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C602C" w:rsidRDefault="001F38CD" w:rsidP="00AC602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6370B2">
        <w:rPr>
          <w:rFonts w:ascii="Times New Roman" w:hAnsi="Times New Roman" w:cs="Times New Roman"/>
          <w:b/>
          <w:sz w:val="24"/>
          <w:szCs w:val="24"/>
        </w:rPr>
        <w:t>Paper</w:t>
      </w:r>
      <w:r w:rsidR="0056784F">
        <w:rPr>
          <w:rFonts w:ascii="Times New Roman" w:hAnsi="Times New Roman" w:cs="Times New Roman"/>
          <w:b/>
          <w:sz w:val="24"/>
          <w:szCs w:val="24"/>
        </w:rPr>
        <w:t xml:space="preserve"> -</w:t>
      </w:r>
      <w:r w:rsidR="00AC602C" w:rsidRPr="00780DE3">
        <w:rPr>
          <w:rFonts w:ascii="Times New Roman" w:hAnsi="Times New Roman" w:cs="Times New Roman"/>
          <w:b/>
          <w:sz w:val="24"/>
          <w:szCs w:val="24"/>
        </w:rPr>
        <w:t xml:space="preserve"> El </w:t>
      </w:r>
      <w:r w:rsidR="00AC602C">
        <w:rPr>
          <w:rFonts w:ascii="Times New Roman" w:hAnsi="Times New Roman" w:cs="Times New Roman"/>
          <w:b/>
          <w:sz w:val="24"/>
          <w:szCs w:val="24"/>
        </w:rPr>
        <w:t>“</w:t>
      </w:r>
      <w:r w:rsidR="00AC602C" w:rsidRPr="00780DE3">
        <w:rPr>
          <w:rFonts w:ascii="Times New Roman" w:hAnsi="Times New Roman" w:cs="Times New Roman"/>
          <w:b/>
          <w:sz w:val="24"/>
          <w:szCs w:val="24"/>
        </w:rPr>
        <w:t>precio</w:t>
      </w:r>
      <w:r w:rsidR="00AC602C">
        <w:rPr>
          <w:rFonts w:ascii="Times New Roman" w:hAnsi="Times New Roman" w:cs="Times New Roman"/>
          <w:b/>
          <w:sz w:val="24"/>
          <w:szCs w:val="24"/>
        </w:rPr>
        <w:t>”</w:t>
      </w:r>
      <w:r w:rsidR="00AC602C" w:rsidRPr="00780DE3">
        <w:rPr>
          <w:rFonts w:ascii="Times New Roman" w:hAnsi="Times New Roman" w:cs="Times New Roman"/>
          <w:b/>
          <w:sz w:val="24"/>
          <w:szCs w:val="24"/>
        </w:rPr>
        <w:t xml:space="preserve"> de la globalización</w:t>
      </w:r>
      <w:r w:rsidR="00AC602C">
        <w:rPr>
          <w:rFonts w:ascii="Times New Roman" w:hAnsi="Times New Roman" w:cs="Times New Roman"/>
          <w:b/>
          <w:sz w:val="24"/>
          <w:szCs w:val="24"/>
        </w:rPr>
        <w:t xml:space="preserve"> (al “costo” de los factores)</w:t>
      </w:r>
    </w:p>
    <w:p w:rsidR="00D645EB" w:rsidRDefault="00D645EB" w:rsidP="00AC602C">
      <w:pPr>
        <w:spacing w:line="240" w:lineRule="auto"/>
        <w:jc w:val="both"/>
        <w:rPr>
          <w:rFonts w:ascii="Times New Roman" w:hAnsi="Times New Roman" w:cs="Times New Roman"/>
          <w:b/>
          <w:sz w:val="24"/>
          <w:szCs w:val="24"/>
        </w:rPr>
      </w:pPr>
    </w:p>
    <w:p w:rsidR="00D645EB" w:rsidRDefault="00D645EB" w:rsidP="00D645EB">
      <w:pPr>
        <w:spacing w:line="240" w:lineRule="auto"/>
        <w:jc w:val="both"/>
        <w:rPr>
          <w:rFonts w:ascii="Times New Roman" w:hAnsi="Times New Roman" w:cs="Times New Roman"/>
          <w:sz w:val="24"/>
          <w:szCs w:val="24"/>
        </w:rPr>
      </w:pPr>
      <w:r>
        <w:rPr>
          <w:noProof/>
          <w:lang w:eastAsia="es-ES"/>
        </w:rPr>
        <w:drawing>
          <wp:inline distT="0" distB="0" distL="0" distR="0" wp14:anchorId="2E1BFE08" wp14:editId="02ED31DB">
            <wp:extent cx="5731510" cy="3221355"/>
            <wp:effectExtent l="0" t="0" r="2540" b="0"/>
            <wp:docPr id="20" name="Imagen 20" descr="https://cflvdg.avoz.es/sc/lBjkoAjy5nJkwESFxzS7vXi7-E0=/x/2020/04/22/00121587561362146360315/Foto/L21A0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flvdg.avoz.es/sc/lBjkoAjy5nJkwESFxzS7vXi7-E0=/x/2020/04/22/00121587561362146360315/Foto/L21A0088.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221355"/>
                    </a:xfrm>
                    <a:prstGeom prst="rect">
                      <a:avLst/>
                    </a:prstGeom>
                    <a:noFill/>
                    <a:ln>
                      <a:noFill/>
                    </a:ln>
                  </pic:spPr>
                </pic:pic>
              </a:graphicData>
            </a:graphic>
          </wp:inline>
        </w:drawing>
      </w:r>
      <w:r w:rsidRPr="00D645EB">
        <w:rPr>
          <w:rFonts w:ascii="Times New Roman" w:hAnsi="Times New Roman" w:cs="Times New Roman"/>
          <w:sz w:val="24"/>
          <w:szCs w:val="24"/>
        </w:rPr>
        <w:t xml:space="preserve">El banco de alimentos de Lugo (España) repartió en un día el suministro que antes de que estallase la pandemia global de coronavirus “entregaba a lo largo de un mes” - Abril 2020 </w:t>
      </w:r>
    </w:p>
    <w:p w:rsidR="0087105D" w:rsidRDefault="0087105D" w:rsidP="00D645EB">
      <w:pPr>
        <w:spacing w:line="240" w:lineRule="auto"/>
        <w:jc w:val="both"/>
        <w:rPr>
          <w:rFonts w:ascii="Times New Roman" w:hAnsi="Times New Roman" w:cs="Times New Roman"/>
          <w:sz w:val="24"/>
          <w:szCs w:val="24"/>
        </w:rPr>
      </w:pPr>
    </w:p>
    <w:p w:rsidR="0087105D" w:rsidRPr="00D645EB" w:rsidRDefault="0087105D" w:rsidP="00D645EB">
      <w:pPr>
        <w:spacing w:line="240" w:lineRule="auto"/>
        <w:jc w:val="both"/>
        <w:rPr>
          <w:rFonts w:ascii="Times New Roman" w:hAnsi="Times New Roman" w:cs="Times New Roman"/>
          <w:b/>
          <w:sz w:val="24"/>
          <w:szCs w:val="24"/>
        </w:rPr>
      </w:pPr>
      <w:r>
        <w:rPr>
          <w:noProof/>
          <w:lang w:eastAsia="es-ES"/>
        </w:rPr>
        <w:drawing>
          <wp:inline distT="0" distB="0" distL="0" distR="0" wp14:anchorId="6165A939" wp14:editId="1419CC19">
            <wp:extent cx="5701553" cy="2931458"/>
            <wp:effectExtent l="0" t="0" r="0" b="2540"/>
            <wp:docPr id="214" name="Imagen 214" descr="A line for a food bank in Brooklyn, N.Y. Unemployment is expected to remain high through next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line for a food bank in Brooklyn, N.Y. Unemployment is expected to remain high through next yea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02174" cy="2931777"/>
                    </a:xfrm>
                    <a:prstGeom prst="rect">
                      <a:avLst/>
                    </a:prstGeom>
                    <a:noFill/>
                    <a:ln>
                      <a:noFill/>
                    </a:ln>
                  </pic:spPr>
                </pic:pic>
              </a:graphicData>
            </a:graphic>
          </wp:inline>
        </w:drawing>
      </w:r>
    </w:p>
    <w:p w:rsidR="0087105D" w:rsidRPr="00091247" w:rsidRDefault="0087105D" w:rsidP="0087105D">
      <w:pPr>
        <w:spacing w:line="240" w:lineRule="auto"/>
        <w:jc w:val="both"/>
        <w:rPr>
          <w:rFonts w:ascii="Times New Roman" w:hAnsi="Times New Roman" w:cs="Times New Roman"/>
          <w:sz w:val="24"/>
          <w:szCs w:val="24"/>
          <w:lang w:val="en-US"/>
        </w:rPr>
      </w:pPr>
      <w:r w:rsidRPr="009F4C11">
        <w:rPr>
          <w:rFonts w:ascii="Times New Roman" w:hAnsi="Times New Roman" w:cs="Times New Roman"/>
          <w:sz w:val="24"/>
          <w:szCs w:val="24"/>
          <w:lang w:val="en-US"/>
        </w:rPr>
        <w:t>A line for a food bank in Brooklyn, N.Y. Unemployment is expected t</w:t>
      </w:r>
      <w:r>
        <w:rPr>
          <w:rFonts w:ascii="Times New Roman" w:hAnsi="Times New Roman" w:cs="Times New Roman"/>
          <w:sz w:val="24"/>
          <w:szCs w:val="24"/>
          <w:lang w:val="en-US"/>
        </w:rPr>
        <w:t>o remain high through next year - WSJ - Mayo 2020</w:t>
      </w:r>
    </w:p>
    <w:p w:rsidR="00D645EB" w:rsidRPr="0087105D" w:rsidRDefault="00D645EB" w:rsidP="00AC602C">
      <w:pPr>
        <w:spacing w:line="240" w:lineRule="auto"/>
        <w:jc w:val="both"/>
        <w:rPr>
          <w:rFonts w:ascii="Times New Roman" w:hAnsi="Times New Roman" w:cs="Times New Roman"/>
          <w:b/>
          <w:sz w:val="24"/>
          <w:szCs w:val="24"/>
          <w:lang w:val="en-US"/>
        </w:rPr>
      </w:pPr>
    </w:p>
    <w:p w:rsidR="00063E70" w:rsidRDefault="00063E70" w:rsidP="00AC602C">
      <w:pPr>
        <w:spacing w:line="240" w:lineRule="auto"/>
        <w:jc w:val="both"/>
        <w:rPr>
          <w:rFonts w:ascii="Times New Roman" w:hAnsi="Times New Roman" w:cs="Times New Roman"/>
          <w:b/>
          <w:sz w:val="24"/>
          <w:szCs w:val="24"/>
          <w:lang w:val="en-US"/>
        </w:rPr>
      </w:pPr>
    </w:p>
    <w:p w:rsidR="00063E70" w:rsidRPr="00331198" w:rsidRDefault="00D645EB" w:rsidP="004C4244">
      <w:pPr>
        <w:spacing w:after="0" w:line="240" w:lineRule="auto"/>
        <w:jc w:val="both"/>
        <w:rPr>
          <w:rFonts w:ascii="Times New Roman" w:eastAsia="Times New Roman" w:hAnsi="Times New Roman" w:cs="Times New Roman"/>
          <w:sz w:val="24"/>
          <w:szCs w:val="24"/>
        </w:rPr>
      </w:pPr>
      <w:r>
        <w:rPr>
          <w:rFonts w:ascii="Times New Roman" w:hAnsi="Times New Roman" w:cs="Times New Roman"/>
          <w:b/>
          <w:sz w:val="24"/>
          <w:szCs w:val="24"/>
        </w:rPr>
        <w:lastRenderedPageBreak/>
        <w:t xml:space="preserve">- </w:t>
      </w:r>
      <w:r w:rsidR="00AC602C">
        <w:rPr>
          <w:rFonts w:ascii="Times New Roman" w:hAnsi="Times New Roman" w:cs="Times New Roman"/>
          <w:b/>
          <w:sz w:val="24"/>
          <w:szCs w:val="24"/>
        </w:rPr>
        <w:t>Introducción</w:t>
      </w:r>
      <w:r w:rsidR="00063E70">
        <w:rPr>
          <w:rFonts w:ascii="Times New Roman" w:hAnsi="Times New Roman" w:cs="Times New Roman"/>
          <w:b/>
          <w:sz w:val="24"/>
          <w:szCs w:val="24"/>
        </w:rPr>
        <w:t>:</w:t>
      </w:r>
      <w:r w:rsidR="004C4244">
        <w:rPr>
          <w:rFonts w:ascii="Times New Roman" w:hAnsi="Times New Roman" w:cs="Times New Roman"/>
          <w:b/>
          <w:sz w:val="24"/>
          <w:szCs w:val="24"/>
        </w:rPr>
        <w:t xml:space="preserve"> </w:t>
      </w:r>
      <w:r w:rsidR="004C4244">
        <w:rPr>
          <w:rFonts w:ascii="Times New Roman" w:eastAsia="Times New Roman" w:hAnsi="Times New Roman" w:cs="Times New Roman"/>
          <w:b/>
          <w:sz w:val="24"/>
          <w:szCs w:val="24"/>
        </w:rPr>
        <w:t xml:space="preserve">La globalización, </w:t>
      </w:r>
      <w:r w:rsidR="004C4244" w:rsidRPr="008E76DC">
        <w:rPr>
          <w:rFonts w:ascii="Times New Roman" w:eastAsia="Times New Roman" w:hAnsi="Times New Roman" w:cs="Times New Roman"/>
          <w:b/>
          <w:sz w:val="24"/>
          <w:szCs w:val="24"/>
        </w:rPr>
        <w:t>co</w:t>
      </w:r>
      <w:r w:rsidR="004C4244">
        <w:rPr>
          <w:rFonts w:ascii="Times New Roman" w:eastAsia="Times New Roman" w:hAnsi="Times New Roman" w:cs="Times New Roman"/>
          <w:b/>
          <w:sz w:val="24"/>
          <w:szCs w:val="24"/>
        </w:rPr>
        <w:t xml:space="preserve">nfirma </w:t>
      </w:r>
      <w:r w:rsidR="004C4244" w:rsidRPr="008E76DC">
        <w:rPr>
          <w:rFonts w:ascii="Times New Roman" w:eastAsia="Times New Roman" w:hAnsi="Times New Roman" w:cs="Times New Roman"/>
          <w:b/>
          <w:sz w:val="24"/>
          <w:szCs w:val="24"/>
        </w:rPr>
        <w:t>que “hay convicciones que crean evidencias”</w:t>
      </w:r>
      <w:r w:rsidR="004C4244">
        <w:rPr>
          <w:rFonts w:ascii="Times New Roman" w:eastAsia="Times New Roman" w:hAnsi="Times New Roman" w:cs="Times New Roman"/>
          <w:b/>
          <w:sz w:val="24"/>
          <w:szCs w:val="24"/>
        </w:rPr>
        <w:t xml:space="preserve"> </w:t>
      </w:r>
      <w:r w:rsidR="004C4244" w:rsidRPr="00331198">
        <w:rPr>
          <w:rFonts w:ascii="Times New Roman" w:eastAsia="Times New Roman" w:hAnsi="Times New Roman" w:cs="Times New Roman"/>
          <w:sz w:val="24"/>
          <w:szCs w:val="24"/>
        </w:rPr>
        <w:t>(Proust)</w:t>
      </w:r>
    </w:p>
    <w:p w:rsidR="004C4244" w:rsidRPr="004C4244" w:rsidRDefault="004C4244" w:rsidP="004C4244">
      <w:pPr>
        <w:spacing w:after="0" w:line="240" w:lineRule="auto"/>
        <w:jc w:val="both"/>
        <w:rPr>
          <w:rFonts w:ascii="Times New Roman" w:eastAsia="Times New Roman" w:hAnsi="Times New Roman" w:cs="Times New Roman"/>
          <w:b/>
          <w:sz w:val="24"/>
          <w:szCs w:val="24"/>
        </w:rPr>
      </w:pPr>
    </w:p>
    <w:p w:rsidR="00063E70" w:rsidRPr="00556EA7" w:rsidRDefault="00063E70" w:rsidP="00063E70">
      <w:pPr>
        <w:spacing w:line="240" w:lineRule="auto"/>
        <w:jc w:val="both"/>
        <w:rPr>
          <w:rFonts w:ascii="Times New Roman" w:hAnsi="Times New Roman" w:cs="Times New Roman"/>
          <w:sz w:val="24"/>
          <w:szCs w:val="24"/>
          <w:shd w:val="clear" w:color="auto" w:fill="FFFFFF"/>
        </w:rPr>
      </w:pPr>
      <w:r w:rsidRPr="00556EA7">
        <w:rPr>
          <w:rFonts w:ascii="Times New Roman" w:hAnsi="Times New Roman" w:cs="Times New Roman"/>
          <w:sz w:val="24"/>
          <w:szCs w:val="24"/>
          <w:shd w:val="clear" w:color="auto" w:fill="FFFFFF"/>
        </w:rPr>
        <w:t xml:space="preserve">Cuando todo (o casi todo) se fabrica en China, resulta  fácil anticipar que en un momento u otro se darán dificultades de abastecimiento en algún sector esencial. La crisis sanitaria (Covid 19) puso en situación de emergencia (primero) y de urgencia (después), el aprovisionamiento de material sanitario (desde las insignificantes mascarillas, a los imprescindibles equipos de protección para el personal sanitaria, y los vitales respiradores para las Unidades de Cuidados Intensivos). Entonces la crisis sanitaria se transformó (por obra y gracia de la globalización), en una crisis de oferta, en toda regla. El “costo”, de la chapuza, fue la muerte de cientos de miles de personas infectadas. </w:t>
      </w:r>
    </w:p>
    <w:p w:rsidR="00063E70" w:rsidRPr="00556EA7" w:rsidRDefault="00063E70" w:rsidP="00063E70">
      <w:pPr>
        <w:spacing w:line="240" w:lineRule="auto"/>
        <w:jc w:val="both"/>
        <w:rPr>
          <w:rFonts w:ascii="Times New Roman" w:hAnsi="Times New Roman" w:cs="Times New Roman"/>
          <w:sz w:val="24"/>
          <w:szCs w:val="24"/>
          <w:shd w:val="clear" w:color="auto" w:fill="FFFFFF"/>
        </w:rPr>
      </w:pPr>
      <w:r w:rsidRPr="00556EA7">
        <w:rPr>
          <w:rFonts w:ascii="Times New Roman" w:hAnsi="Times New Roman" w:cs="Times New Roman"/>
          <w:sz w:val="24"/>
          <w:szCs w:val="24"/>
          <w:shd w:val="clear" w:color="auto" w:fill="FFFFFF"/>
        </w:rPr>
        <w:t xml:space="preserve">La falta de material sanitario en los momentos más graves subrayó las grandes deficiencias de aprovisionamiento que, en muchos campos, poseen los países occidentales, y señaló inequívocamente la dependencia que se tiene de China. El motivo esencial de las deslocalizaciones fue conseguir productos más baratos para que las firmas ganasen más. </w:t>
      </w:r>
    </w:p>
    <w:p w:rsidR="00063E70" w:rsidRPr="00556EA7" w:rsidRDefault="00063E70" w:rsidP="00063E70">
      <w:pPr>
        <w:spacing w:line="240" w:lineRule="auto"/>
        <w:jc w:val="both"/>
        <w:rPr>
          <w:rFonts w:ascii="Times New Roman" w:hAnsi="Times New Roman" w:cs="Times New Roman"/>
          <w:sz w:val="24"/>
          <w:szCs w:val="24"/>
          <w:shd w:val="clear" w:color="auto" w:fill="FFFFFF"/>
        </w:rPr>
      </w:pPr>
      <w:r w:rsidRPr="00556EA7">
        <w:rPr>
          <w:rFonts w:ascii="Times New Roman" w:hAnsi="Times New Roman" w:cs="Times New Roman"/>
          <w:sz w:val="24"/>
          <w:szCs w:val="24"/>
          <w:shd w:val="clear" w:color="auto" w:fill="FFFFFF"/>
        </w:rPr>
        <w:t>Resultado: mayor beneficio para el capital gracias al abaratamiento masivo de los costes laborales globales. Efecto colateral: el ascenso chino se volvió imparable. Si en el cambio del milenio la economía china suponía un 13% del PIB de Estados Unidos, para 2016 ya era el 60% (y alcanzará, en 2023, el 88% según el FMI).</w:t>
      </w:r>
    </w:p>
    <w:p w:rsidR="00063E70" w:rsidRPr="00556EA7" w:rsidRDefault="00063E70" w:rsidP="00063E70">
      <w:pPr>
        <w:spacing w:line="240" w:lineRule="auto"/>
        <w:jc w:val="both"/>
        <w:rPr>
          <w:rFonts w:ascii="Times New Roman" w:hAnsi="Times New Roman" w:cs="Times New Roman"/>
          <w:sz w:val="24"/>
          <w:szCs w:val="24"/>
          <w:shd w:val="clear" w:color="auto" w:fill="FFFFFF"/>
        </w:rPr>
      </w:pPr>
      <w:r w:rsidRPr="00556EA7">
        <w:rPr>
          <w:rFonts w:ascii="Times New Roman" w:hAnsi="Times New Roman" w:cs="Times New Roman"/>
          <w:sz w:val="24"/>
          <w:szCs w:val="24"/>
          <w:shd w:val="clear" w:color="auto" w:fill="FFFFFF"/>
        </w:rPr>
        <w:t>El “invento” de la globalización (a partir de la caída de la Unión Soviética) se basaba en la idea que China aceptaba una posición secundaria en el concierto mundial a cambio de crecer a ritmos vertiginosos mediante exportaciones baratas, y que Estados Unidos, continuaba como único súper poder global, encargado de consumir la sobreproducción asiática y encomendado a liderar una transición productiva basada en la innovación.</w:t>
      </w:r>
    </w:p>
    <w:p w:rsidR="00063E70" w:rsidRPr="00556EA7" w:rsidRDefault="00063E70" w:rsidP="00063E70">
      <w:pPr>
        <w:spacing w:line="240" w:lineRule="auto"/>
        <w:jc w:val="both"/>
        <w:rPr>
          <w:rFonts w:ascii="Times New Roman" w:hAnsi="Times New Roman" w:cs="Times New Roman"/>
          <w:sz w:val="24"/>
          <w:szCs w:val="24"/>
          <w:shd w:val="clear" w:color="auto" w:fill="FFFFFF"/>
        </w:rPr>
      </w:pPr>
      <w:r w:rsidRPr="00556EA7">
        <w:rPr>
          <w:rFonts w:ascii="Times New Roman" w:hAnsi="Times New Roman" w:cs="Times New Roman"/>
          <w:sz w:val="24"/>
          <w:szCs w:val="24"/>
          <w:shd w:val="clear" w:color="auto" w:fill="FFFFFF"/>
        </w:rPr>
        <w:t>Pero este entendimiento nació de un grave error de cálculo de Occidente al permitir, en diciembre de 2001, la adhesión de China a la OMC en 2001 sin ningún tipo de condición, ni regulaciones, ni balances democráticos. Supusieron entonces que la mano invisible del mercado se encargaría de acelerar las dinámicas internas que llevarían al gigante asiático a convertirse en “uno de los nuestros”. En realidad, fue un caballo de Troya en la economía global, introduciendo una fuerza de trabajo imbatible y unas enormes tasas de ahorro.</w:t>
      </w:r>
    </w:p>
    <w:p w:rsidR="00063E70" w:rsidRPr="00556EA7" w:rsidRDefault="00063E70" w:rsidP="00063E70">
      <w:pPr>
        <w:spacing w:line="240" w:lineRule="auto"/>
        <w:jc w:val="both"/>
        <w:rPr>
          <w:rFonts w:ascii="Times New Roman" w:hAnsi="Times New Roman" w:cs="Times New Roman"/>
          <w:sz w:val="24"/>
          <w:szCs w:val="24"/>
          <w:shd w:val="clear" w:color="auto" w:fill="FFFFFF"/>
        </w:rPr>
      </w:pPr>
      <w:r w:rsidRPr="00556EA7">
        <w:rPr>
          <w:rFonts w:ascii="Times New Roman" w:hAnsi="Times New Roman" w:cs="Times New Roman"/>
          <w:sz w:val="24"/>
          <w:szCs w:val="24"/>
          <w:shd w:val="clear" w:color="auto" w:fill="FFFFFF"/>
        </w:rPr>
        <w:t>La crisis sanitaria ha puesto en evidencia la conveniencia de reducir la dependencia del exterior en sectores estratégicos, proteger las inversiones nacionales y ser más ambiciosos para atraer o relocalizar industrias clave. La necesidad de relocalización de muchos sectores está encima de la mesa, EEUU insiste especialmente en ello, y la UE ha subrayado ya que sería un momento conveniente. Europa  tiene que ser menos ingenua e impulsar su soberanía económica, para poder frenar o competir en mejores condiciones con las potencias depredadoras.</w:t>
      </w:r>
    </w:p>
    <w:p w:rsidR="00063E70" w:rsidRPr="00556EA7" w:rsidRDefault="00063E70" w:rsidP="00063E70">
      <w:pPr>
        <w:spacing w:line="240" w:lineRule="auto"/>
        <w:jc w:val="both"/>
        <w:rPr>
          <w:rFonts w:ascii="Times New Roman" w:hAnsi="Times New Roman" w:cs="Times New Roman"/>
          <w:sz w:val="24"/>
          <w:szCs w:val="24"/>
          <w:shd w:val="clear" w:color="auto" w:fill="FFFFFF"/>
        </w:rPr>
      </w:pPr>
      <w:r w:rsidRPr="00556EA7">
        <w:rPr>
          <w:rFonts w:ascii="Times New Roman" w:hAnsi="Times New Roman" w:cs="Times New Roman"/>
          <w:sz w:val="24"/>
          <w:szCs w:val="24"/>
          <w:shd w:val="clear" w:color="auto" w:fill="FFFFFF"/>
        </w:rPr>
        <w:t>Por supuesto, que la globalización ha sido un invento fallido, lo saben muchos analistas económicos, gurús mediáticos, y vacas sagradas de la “Ivy League”… Pero asumirlo implica despojarse de trampas retóricas, ensoñaciones, productos anestésicos, y obliga a hacerse cargo del drama, cada uno desde su lugar.</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¿Podrán los “grandes bonetes” seguir negando las evidencias? ¿Hasta cuándo el “establishment” podrá continuar ejercitando su ceguera voluntaria? ¿Habrá llegado el momento para que se impongan las reflexiones ineludibles?</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lastRenderedPageBreak/>
        <w:t>Entre trampas y falacias, afloró la mentira de la “tierra plana” (Fri</w:t>
      </w:r>
      <w:r w:rsidR="004C4244" w:rsidRPr="00556EA7">
        <w:rPr>
          <w:rFonts w:ascii="Times New Roman" w:hAnsi="Times New Roman" w:cs="Times New Roman"/>
          <w:sz w:val="24"/>
          <w:szCs w:val="24"/>
        </w:rPr>
        <w:t>edman), por no ironizar con la fábula del</w:t>
      </w:r>
      <w:r w:rsidRPr="00556EA7">
        <w:rPr>
          <w:rFonts w:ascii="Times New Roman" w:hAnsi="Times New Roman" w:cs="Times New Roman"/>
          <w:sz w:val="24"/>
          <w:szCs w:val="24"/>
        </w:rPr>
        <w:t xml:space="preserve"> “fin de la historia” (Fukuyama). Al fin, desde mi humilde “speaker corner” y con la poca voz que tengo, después de más de 22 años de publicar y debatir sobre globalización económica, les dejo mi balance: deuda, déficit, despilfarro y depresión. Puro pasivo: recesión, desempleo, desigualdad y pobreza.</w:t>
      </w:r>
    </w:p>
    <w:p w:rsidR="00063E70" w:rsidRPr="00556EA7" w:rsidRDefault="00063E70" w:rsidP="00063E70">
      <w:pPr>
        <w:spacing w:line="240" w:lineRule="auto"/>
        <w:jc w:val="both"/>
        <w:rPr>
          <w:rFonts w:ascii="Times New Roman" w:hAnsi="Times New Roman" w:cs="Times New Roman"/>
          <w:sz w:val="24"/>
          <w:szCs w:val="24"/>
          <w:shd w:val="clear" w:color="auto" w:fill="FFFFFF"/>
        </w:rPr>
      </w:pPr>
      <w:r w:rsidRPr="00556EA7">
        <w:rPr>
          <w:rFonts w:ascii="Times New Roman" w:hAnsi="Times New Roman" w:cs="Times New Roman"/>
          <w:sz w:val="24"/>
          <w:szCs w:val="24"/>
          <w:shd w:val="clear" w:color="auto" w:fill="FFFFFF"/>
        </w:rPr>
        <w:t xml:space="preserve">Toca decidir a estos “ínclitos personajes” (algunos Nobelados, y muchos noveleros) si emplean el tiempo disponible (antes del estallido social) en “ayudar” desde sus púlpitos, a controlar los daños o en exacerbarlos. </w:t>
      </w:r>
      <w:r w:rsidRPr="00556EA7">
        <w:rPr>
          <w:rFonts w:ascii="Times New Roman" w:hAnsi="Times New Roman" w:cs="Times New Roman"/>
          <w:sz w:val="24"/>
          <w:szCs w:val="24"/>
        </w:rPr>
        <w:t>Si los unos (Nobelados) y los otros (noveleros) siguen cerrando los ojos a esa realidad, lo pagarán muy caro. No me preocupa el destino de estos “ínclitos personajes”, que serán bienvenidos en el infierno. Me preocupa la sociedad, la democracia y la economía (en ese orden).</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A la intención política le debe seguir la lógica económica. Y no está nada claro que el consumidor esté dispuesto a pagar más por “salir” de China, ni que las compañías vayan a renunciar a la combinación de ventajas que sigue ofreciendo el país.</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Sobre los consumidores (codiciosos) que quieren seguir optando por productos baratos, se les termina el tiempo feliz (de empujar el carrito de la compra) en cuanto se quedan sin empleo.</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Sobre los empresarios (avaros), creo que la única forma en que les duela el bolsillo (y cambien de actitud), es con alguna forma de boicot por parte de los consumidores a los productos que no sean de industria nacional. ¿Cómo se apañaría Apple, para seguir vendiendo sus chucherías? ¿Qué productos ofrecería Amazon? ¿Habría más “Black Friday”?</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Algunos expertos creen que lo que podemos esperar es una “glocalización” (Rifkin), en la que veremos más inversión industrial en ciertos sectores estratégicos acompañado de una mayor diversificación de las cadenas de suministro hacia centros de producción más cercanos y confiables. Unir el mundo de una manera glocal, distribuida, con redes abiertas. Veremos. </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Nadie pareció prever el efecto devastador que la globalización tendría entre los trabajadores fabriles occidentales, que desde los años sesenta habían conseguido auparse a la clase media y, en muchos casos, se cayeron de ella a partir de la década del dos mil y, de manera más acusada, tras la crisis financiera de 2008. Se pensó que ese problema podía solventarse con otra idea de pensamiento ilusorio: se reasignaría la mano de obra que hubiera perdido su trabajo hacia sectores con un valor añadido cada vez mayor, como si los mercados laborales fueran infinitamente flexibles. </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Hoy, las consecuencias de ese fracaso son, en cierto sentido, el centro de la política en los países ricos: ¿qué hacemos para restaurar la dignidad y la prosperidad heridas de millones de trabajadores a los que el mercado parece decirles que son superfluos? Una parte del electorado ha decidido que el nacionalismo y el mercantilismo pueden ser la solución. </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Es posible que dentro de unos años nos demos cuenta de que las predicciones sobre la desglobalización han sido un poco exageradas. Pero es innegable que la pandemia ha agravado lo que ya es una tendencia, al menos desde 2016, cuando Donald Trump decidió, en parte con buenos motivos pero de manera equivocada, frenar las ambiciones geopolíticas de China golpeándola en la economía. </w:t>
      </w:r>
    </w:p>
    <w:p w:rsidR="004C4244"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Hoy no dejamos de oír que lo que necesitamos son “cadenas logísticas” más cortas: que el lugar donde se diseña un teléfono, sus materias primas y su proceso de ensamblaje deberían estar mucho más cerca de lo que lo están en la actualidad. </w:t>
      </w:r>
    </w:p>
    <w:p w:rsidR="00063E70" w:rsidRPr="00556EA7" w:rsidRDefault="004C4244" w:rsidP="00063E70">
      <w:pPr>
        <w:spacing w:line="240" w:lineRule="auto"/>
        <w:jc w:val="both"/>
        <w:rPr>
          <w:rFonts w:ascii="Times New Roman" w:hAnsi="Times New Roman" w:cs="Times New Roman"/>
          <w:sz w:val="24"/>
          <w:szCs w:val="24"/>
        </w:rPr>
      </w:pPr>
      <w:r w:rsidRPr="00556EA7">
        <w:rPr>
          <w:rFonts w:ascii="Times New Roman" w:hAnsi="Times New Roman" w:cs="Times New Roman"/>
          <w:b/>
          <w:sz w:val="24"/>
          <w:szCs w:val="24"/>
        </w:rPr>
        <w:lastRenderedPageBreak/>
        <w:t>No puedo callar</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El mundo cambiará muy poco, si por poco se considera la consolidación de China como epicentro del mundo, suplantando un siglo de hegemonía norteamericana y reduciendo Europa a ese tópico lugar lleno de bellos museos y magníficos festivales de música veraniegos, al estilo de Salzburgo o Bayreuth. Nuestro mundo seguirá igual, pero peor.</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¿Cuántos países europeos pueden decir que no tienen el peor Gobierno para hacer frente a la peor de las crisis?</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¿Cuántos gobiernos europeos pueden decir que entran en la crisis con margen de maniobra fiscal?</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¿Cuántos gobiernos europeos pueden decir que la hipótesis de una quiebra financiera del Estado es absolutamente descabellada?</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¿Cuántos gobiernos europeos pueden decir que no necesitan como fuente de financiación de la compra de deuda pública por el BCE y/o de los programas de ayuda que ponga en marcha Bruselas?</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 ¿Cuántos gobiernos europeos pueden negar su total dependencia del exterior?</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¿Cuántos gobiernos europeos pueden negar que vivan de la caridad ajena?</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¿Es una forma de “no dejar a nadie atrás”… “dejar a todos atrás”?</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¿Se puede ganar el futuro con una sociedad conformista y anestesiada, devota del estatismo, que aspira al aprobado general sin estudiar y a la paga sin trabajar, y a la que importa un comino la libertad, su libertad, porque nunca ha pensado hacer uso de ella?</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Así se podrá salir de la pandemia (aunque sea con la herida emocional de miles de muertos a cuestas) y se terminará saliendo también de la recesión, pero no se podrá salir (tal vez, nunca) de la irrelevancia y el empobrecimiento (económico, intelectual, y moral).</w:t>
      </w:r>
    </w:p>
    <w:p w:rsidR="00063E70" w:rsidRPr="00556EA7" w:rsidRDefault="00063E70" w:rsidP="00063E70">
      <w:pPr>
        <w:spacing w:line="240" w:lineRule="auto"/>
        <w:jc w:val="both"/>
        <w:rPr>
          <w:rFonts w:ascii="Times New Roman" w:hAnsi="Times New Roman" w:cs="Times New Roman"/>
          <w:b/>
          <w:sz w:val="24"/>
          <w:szCs w:val="24"/>
        </w:rPr>
      </w:pPr>
      <w:r w:rsidRPr="00556EA7">
        <w:rPr>
          <w:rFonts w:ascii="Times New Roman" w:hAnsi="Times New Roman" w:cs="Times New Roman"/>
          <w:b/>
          <w:sz w:val="24"/>
          <w:szCs w:val="24"/>
        </w:rPr>
        <w:t>El fin del silencio de los corderos con GPS</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Cuando abundan las colas de hambre, la angustia de los impagos y la incertidumbre en los empleos, algún “alquimista” (de los tantos que abundan por Washington SA, o por Davos</w:t>
      </w:r>
      <w:r w:rsidR="00331198" w:rsidRPr="00556EA7">
        <w:rPr>
          <w:rFonts w:ascii="Times New Roman" w:hAnsi="Times New Roman" w:cs="Times New Roman"/>
          <w:sz w:val="24"/>
          <w:szCs w:val="24"/>
        </w:rPr>
        <w:t xml:space="preserve"> Inc.</w:t>
      </w:r>
      <w:r w:rsidRPr="00556EA7">
        <w:rPr>
          <w:rFonts w:ascii="Times New Roman" w:hAnsi="Times New Roman" w:cs="Times New Roman"/>
          <w:sz w:val="24"/>
          <w:szCs w:val="24"/>
        </w:rPr>
        <w:t xml:space="preserve">) se cree, aún, que puede convencer a las “ovejas” con GPS (la “manada”, según los </w:t>
      </w:r>
      <w:r w:rsidR="00331198" w:rsidRPr="00556EA7">
        <w:rPr>
          <w:rFonts w:ascii="Times New Roman" w:hAnsi="Times New Roman" w:cs="Times New Roman"/>
          <w:sz w:val="24"/>
          <w:szCs w:val="24"/>
        </w:rPr>
        <w:t>“</w:t>
      </w:r>
      <w:r w:rsidRPr="00556EA7">
        <w:rPr>
          <w:rFonts w:ascii="Times New Roman" w:hAnsi="Times New Roman" w:cs="Times New Roman"/>
          <w:sz w:val="24"/>
          <w:szCs w:val="24"/>
        </w:rPr>
        <w:t>algorítmicos</w:t>
      </w:r>
      <w:r w:rsidR="00331198" w:rsidRPr="00556EA7">
        <w:rPr>
          <w:rFonts w:ascii="Times New Roman" w:hAnsi="Times New Roman" w:cs="Times New Roman"/>
          <w:sz w:val="24"/>
          <w:szCs w:val="24"/>
        </w:rPr>
        <w:t>”</w:t>
      </w:r>
      <w:r w:rsidRPr="00556EA7">
        <w:rPr>
          <w:rFonts w:ascii="Times New Roman" w:hAnsi="Times New Roman" w:cs="Times New Roman"/>
          <w:sz w:val="24"/>
          <w:szCs w:val="24"/>
        </w:rPr>
        <w:t xml:space="preserve"> de Wall Street) que viven mejor con la globalización (que antes, trajo la crisis financiera -2008- y ahora, trajo la crisis sanitaria -2020-), con el librecambio y con la financierización. ¿Que la globalización es un “paradigma” que favorece los ciudadanos?… ¡No jodamos! </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Como dijo Lincoln: “Puedes engañar a todo el mundo algún tiempo. Puedes engañar a algunos todo el tiempo. Pero no puedes engañar a todo el mundo todo el tiempo”. </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Después de tan tremendas carnicerías sociales en poco más de una década (2008-2020): no hay dirigente occidental que aspire hoy a mucho más que a llegar vivo a Navidad. Y queda por ver dónde estarán las grandes empresas y a sus prominentes CEO, para las campanadas. </w:t>
      </w:r>
    </w:p>
    <w:p w:rsidR="00063E70" w:rsidRPr="00556EA7" w:rsidRDefault="00063E70" w:rsidP="00063E70">
      <w:pPr>
        <w:spacing w:line="240" w:lineRule="auto"/>
        <w:jc w:val="both"/>
        <w:rPr>
          <w:rFonts w:ascii="Times New Roman" w:hAnsi="Times New Roman" w:cs="Times New Roman"/>
          <w:sz w:val="24"/>
          <w:szCs w:val="24"/>
        </w:rPr>
      </w:pPr>
      <w:r w:rsidRPr="00556EA7">
        <w:rPr>
          <w:rFonts w:ascii="Times New Roman" w:hAnsi="Times New Roman" w:cs="Times New Roman"/>
          <w:sz w:val="24"/>
          <w:szCs w:val="24"/>
        </w:rPr>
        <w:t xml:space="preserve">Cuando el presente precario se impone, cualquier promesa de futuro, se convierte en una caricatura. Y las propuestas de librecambio, se transforman en una ideología de anticuario. </w:t>
      </w:r>
    </w:p>
    <w:p w:rsidR="00AC602C" w:rsidRDefault="00AC602C" w:rsidP="00AC602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063E70">
        <w:rPr>
          <w:rFonts w:ascii="Times New Roman" w:hAnsi="Times New Roman" w:cs="Times New Roman"/>
          <w:b/>
          <w:sz w:val="24"/>
          <w:szCs w:val="24"/>
        </w:rPr>
        <w:t xml:space="preserve">- </w:t>
      </w:r>
      <w:r>
        <w:rPr>
          <w:rFonts w:ascii="Times New Roman" w:hAnsi="Times New Roman" w:cs="Times New Roman"/>
          <w:b/>
          <w:sz w:val="24"/>
          <w:szCs w:val="24"/>
        </w:rPr>
        <w:t>Los últimos datos que, por razón de tiempo, escapan a las estadísticas</w:t>
      </w:r>
      <w:r w:rsidR="00556EA7">
        <w:rPr>
          <w:rFonts w:ascii="Times New Roman" w:hAnsi="Times New Roman" w:cs="Times New Roman"/>
          <w:b/>
          <w:sz w:val="24"/>
          <w:szCs w:val="24"/>
        </w:rPr>
        <w:t xml:space="preserve"> publicadas</w:t>
      </w:r>
    </w:p>
    <w:p w:rsidR="00AC602C" w:rsidRDefault="00D645EB" w:rsidP="00AC602C">
      <w:pPr>
        <w:spacing w:line="240" w:lineRule="auto"/>
        <w:jc w:val="both"/>
        <w:rPr>
          <w:rFonts w:ascii="Times New Roman" w:hAnsi="Times New Roman" w:cs="Times New Roman"/>
          <w:b/>
          <w:sz w:val="24"/>
          <w:szCs w:val="24"/>
        </w:rPr>
      </w:pPr>
      <w:r>
        <w:rPr>
          <w:noProof/>
          <w:lang w:eastAsia="es-ES"/>
        </w:rPr>
        <w:drawing>
          <wp:inline distT="0" distB="0" distL="0" distR="0" wp14:anchorId="7DFE97DE" wp14:editId="2B15271F">
            <wp:extent cx="5735171" cy="3166782"/>
            <wp:effectExtent l="0" t="0" r="0" b="0"/>
            <wp:docPr id="24" name="Imagen 24" descr="Foto de La banca se enfrenta a un agujero sin precedentes en el trimestre clave del a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 de La banca se enfrenta a un agujero sin precedentes en el trimestre clave del añ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164761"/>
                    </a:xfrm>
                    <a:prstGeom prst="rect">
                      <a:avLst/>
                    </a:prstGeom>
                    <a:noFill/>
                    <a:ln>
                      <a:noFill/>
                    </a:ln>
                  </pic:spPr>
                </pic:pic>
              </a:graphicData>
            </a:graphic>
          </wp:inline>
        </w:drawing>
      </w:r>
    </w:p>
    <w:p w:rsidR="00345DC9" w:rsidRPr="004C4244" w:rsidRDefault="004C4244" w:rsidP="009B368E">
      <w:pPr>
        <w:spacing w:after="0" w:line="240" w:lineRule="auto"/>
        <w:jc w:val="both"/>
        <w:rPr>
          <w:rFonts w:ascii="Times New Roman" w:hAnsi="Times New Roman" w:cs="Times New Roman"/>
          <w:sz w:val="24"/>
          <w:szCs w:val="24"/>
        </w:rPr>
      </w:pPr>
      <w:r w:rsidRPr="00331198">
        <w:rPr>
          <w:rFonts w:ascii="Times New Roman" w:hAnsi="Times New Roman" w:cs="Times New Roman"/>
          <w:b/>
          <w:sz w:val="24"/>
          <w:szCs w:val="24"/>
        </w:rPr>
        <w:t>Nota</w:t>
      </w:r>
      <w:r>
        <w:rPr>
          <w:rFonts w:ascii="Times New Roman" w:hAnsi="Times New Roman" w:cs="Times New Roman"/>
          <w:sz w:val="24"/>
          <w:szCs w:val="24"/>
        </w:rPr>
        <w:t>: los lectores “</w:t>
      </w:r>
      <w:r w:rsidR="00331198">
        <w:rPr>
          <w:rFonts w:ascii="Times New Roman" w:hAnsi="Times New Roman" w:cs="Times New Roman"/>
          <w:sz w:val="24"/>
          <w:szCs w:val="24"/>
        </w:rPr>
        <w:t>con poco tiempo</w:t>
      </w:r>
      <w:r>
        <w:rPr>
          <w:rFonts w:ascii="Times New Roman" w:hAnsi="Times New Roman" w:cs="Times New Roman"/>
          <w:sz w:val="24"/>
          <w:szCs w:val="24"/>
        </w:rPr>
        <w:t>”, los suficientemente “</w:t>
      </w:r>
      <w:r w:rsidR="00331198">
        <w:rPr>
          <w:rFonts w:ascii="Times New Roman" w:hAnsi="Times New Roman" w:cs="Times New Roman"/>
          <w:sz w:val="24"/>
          <w:szCs w:val="24"/>
        </w:rPr>
        <w:t>actualizados</w:t>
      </w:r>
      <w:r>
        <w:rPr>
          <w:rFonts w:ascii="Times New Roman" w:hAnsi="Times New Roman" w:cs="Times New Roman"/>
          <w:sz w:val="24"/>
          <w:szCs w:val="24"/>
        </w:rPr>
        <w:t>” o, simplemente, aquellos</w:t>
      </w:r>
      <w:r w:rsidR="00331198">
        <w:rPr>
          <w:rFonts w:ascii="Times New Roman" w:hAnsi="Times New Roman" w:cs="Times New Roman"/>
          <w:sz w:val="24"/>
          <w:szCs w:val="24"/>
        </w:rPr>
        <w:t xml:space="preserve"> solo</w:t>
      </w:r>
      <w:r>
        <w:rPr>
          <w:rFonts w:ascii="Times New Roman" w:hAnsi="Times New Roman" w:cs="Times New Roman"/>
          <w:sz w:val="24"/>
          <w:szCs w:val="24"/>
        </w:rPr>
        <w:t xml:space="preserve"> interesados en conocer (</w:t>
      </w:r>
      <w:r w:rsidR="00331198">
        <w:rPr>
          <w:rFonts w:ascii="Times New Roman" w:hAnsi="Times New Roman" w:cs="Times New Roman"/>
          <w:sz w:val="24"/>
          <w:szCs w:val="24"/>
        </w:rPr>
        <w:t>revisar</w:t>
      </w:r>
      <w:r w:rsidR="0056784F">
        <w:rPr>
          <w:rFonts w:ascii="Times New Roman" w:hAnsi="Times New Roman" w:cs="Times New Roman"/>
          <w:sz w:val="24"/>
          <w:szCs w:val="24"/>
        </w:rPr>
        <w:t>,</w:t>
      </w:r>
      <w:r w:rsidR="00331198">
        <w:rPr>
          <w:rFonts w:ascii="Times New Roman" w:hAnsi="Times New Roman" w:cs="Times New Roman"/>
          <w:sz w:val="24"/>
          <w:szCs w:val="24"/>
        </w:rPr>
        <w:t xml:space="preserve"> </w:t>
      </w:r>
      <w:r>
        <w:rPr>
          <w:rFonts w:ascii="Times New Roman" w:hAnsi="Times New Roman" w:cs="Times New Roman"/>
          <w:sz w:val="24"/>
          <w:szCs w:val="24"/>
        </w:rPr>
        <w:t xml:space="preserve">o criticar) mis cálculos sobre el </w:t>
      </w:r>
      <w:r w:rsidR="00331198">
        <w:rPr>
          <w:rFonts w:ascii="Times New Roman" w:hAnsi="Times New Roman" w:cs="Times New Roman"/>
          <w:sz w:val="24"/>
          <w:szCs w:val="24"/>
        </w:rPr>
        <w:t>p</w:t>
      </w:r>
      <w:r>
        <w:rPr>
          <w:rFonts w:ascii="Times New Roman" w:hAnsi="Times New Roman" w:cs="Times New Roman"/>
          <w:sz w:val="24"/>
          <w:szCs w:val="24"/>
        </w:rPr>
        <w:t>recio de la globalización</w:t>
      </w:r>
      <w:r w:rsidR="00331198">
        <w:rPr>
          <w:rFonts w:ascii="Times New Roman" w:hAnsi="Times New Roman" w:cs="Times New Roman"/>
          <w:sz w:val="24"/>
          <w:szCs w:val="24"/>
        </w:rPr>
        <w:t xml:space="preserve"> (al costo de los factores), pueden saltear este Apartado (pasando a la pag. 96).</w:t>
      </w:r>
      <w:r>
        <w:rPr>
          <w:rFonts w:ascii="Times New Roman" w:hAnsi="Times New Roman" w:cs="Times New Roman"/>
          <w:sz w:val="24"/>
          <w:szCs w:val="24"/>
        </w:rPr>
        <w:t xml:space="preserve"> </w:t>
      </w:r>
    </w:p>
    <w:p w:rsidR="004C4244" w:rsidRDefault="004C4244" w:rsidP="009B368E">
      <w:pPr>
        <w:spacing w:after="0" w:line="240" w:lineRule="auto"/>
        <w:jc w:val="both"/>
        <w:rPr>
          <w:rFonts w:ascii="Times New Roman" w:hAnsi="Times New Roman" w:cs="Times New Roman"/>
          <w:b/>
          <w:sz w:val="24"/>
          <w:szCs w:val="24"/>
        </w:rPr>
      </w:pPr>
    </w:p>
    <w:p w:rsidR="009B368E" w:rsidRDefault="00736E56" w:rsidP="009B368E">
      <w:pPr>
        <w:spacing w:after="0" w:line="240" w:lineRule="auto"/>
        <w:jc w:val="both"/>
        <w:rPr>
          <w:rFonts w:ascii="Times New Roman" w:eastAsia="Times New Roman" w:hAnsi="Times New Roman" w:cs="Times New Roman"/>
          <w:b/>
          <w:sz w:val="24"/>
          <w:szCs w:val="24"/>
        </w:rPr>
      </w:pPr>
      <w:r>
        <w:rPr>
          <w:rFonts w:ascii="Times New Roman" w:hAnsi="Times New Roman" w:cs="Times New Roman"/>
          <w:b/>
          <w:sz w:val="24"/>
          <w:szCs w:val="24"/>
        </w:rPr>
        <w:t>El día después: “t</w:t>
      </w:r>
      <w:r w:rsidR="009B368E" w:rsidRPr="008E76DC">
        <w:rPr>
          <w:rFonts w:ascii="Times New Roman" w:eastAsia="Times New Roman" w:hAnsi="Times New Roman" w:cs="Times New Roman"/>
          <w:b/>
          <w:sz w:val="24"/>
          <w:szCs w:val="24"/>
        </w:rPr>
        <w:t>oda realidad que se ignora prepara su venganza”</w:t>
      </w:r>
      <w:r w:rsidR="009B368E">
        <w:rPr>
          <w:rFonts w:ascii="Times New Roman" w:eastAsia="Times New Roman" w:hAnsi="Times New Roman" w:cs="Times New Roman"/>
          <w:b/>
          <w:sz w:val="24"/>
          <w:szCs w:val="24"/>
        </w:rPr>
        <w:t xml:space="preserve"> (Ortega)</w:t>
      </w:r>
      <w:r w:rsidR="009B368E" w:rsidRPr="008E76DC">
        <w:rPr>
          <w:rFonts w:ascii="Times New Roman" w:eastAsia="Times New Roman" w:hAnsi="Times New Roman" w:cs="Times New Roman"/>
          <w:b/>
          <w:sz w:val="24"/>
          <w:szCs w:val="24"/>
        </w:rPr>
        <w:t>.</w:t>
      </w:r>
    </w:p>
    <w:p w:rsidR="00B849A0" w:rsidRDefault="00B849A0" w:rsidP="009B368E">
      <w:pPr>
        <w:spacing w:after="0" w:line="240" w:lineRule="auto"/>
        <w:jc w:val="both"/>
        <w:rPr>
          <w:rFonts w:ascii="Times New Roman" w:eastAsia="Times New Roman" w:hAnsi="Times New Roman" w:cs="Times New Roman"/>
          <w:b/>
          <w:sz w:val="24"/>
          <w:szCs w:val="24"/>
        </w:rPr>
      </w:pPr>
    </w:p>
    <w:p w:rsidR="00B849A0" w:rsidRPr="002E231A" w:rsidRDefault="00B849A0" w:rsidP="00B849A0">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En un </w:t>
      </w:r>
      <w:r w:rsidRPr="00B849A0">
        <w:rPr>
          <w:rFonts w:ascii="Times New Roman" w:hAnsi="Times New Roman" w:cs="Times New Roman"/>
          <w:sz w:val="24"/>
          <w:szCs w:val="24"/>
        </w:rPr>
        <w:t>Paper</w:t>
      </w:r>
      <w:r>
        <w:rPr>
          <w:rFonts w:ascii="Times New Roman" w:hAnsi="Times New Roman" w:cs="Times New Roman"/>
          <w:sz w:val="24"/>
          <w:szCs w:val="24"/>
        </w:rPr>
        <w:t xml:space="preserve"> anterior “</w:t>
      </w:r>
      <w:r w:rsidRPr="00AF59A6">
        <w:rPr>
          <w:rFonts w:ascii="Times New Roman" w:hAnsi="Times New Roman" w:cs="Times New Roman"/>
          <w:b/>
          <w:sz w:val="24"/>
          <w:szCs w:val="24"/>
        </w:rPr>
        <w:t>Reflexiones económicas sobre la crisis sanitaria (Covid 19)</w:t>
      </w:r>
      <w:r>
        <w:rPr>
          <w:rFonts w:ascii="Times New Roman" w:hAnsi="Times New Roman" w:cs="Times New Roman"/>
          <w:b/>
          <w:sz w:val="24"/>
          <w:szCs w:val="24"/>
        </w:rPr>
        <w:t>”</w:t>
      </w:r>
      <w:r>
        <w:rPr>
          <w:rFonts w:ascii="Times New Roman" w:hAnsi="Times New Roman" w:cs="Times New Roman"/>
          <w:sz w:val="24"/>
          <w:szCs w:val="24"/>
        </w:rPr>
        <w:t xml:space="preserve">, publicado el </w:t>
      </w:r>
      <w:r w:rsidRPr="00B849A0">
        <w:rPr>
          <w:rFonts w:ascii="Times New Roman" w:hAnsi="Times New Roman" w:cs="Times New Roman"/>
          <w:b/>
          <w:sz w:val="24"/>
          <w:szCs w:val="24"/>
        </w:rPr>
        <w:t>15/5/20</w:t>
      </w:r>
      <w:r>
        <w:rPr>
          <w:rFonts w:ascii="Times New Roman" w:hAnsi="Times New Roman" w:cs="Times New Roman"/>
          <w:sz w:val="24"/>
          <w:szCs w:val="24"/>
        </w:rPr>
        <w:t>, presentaba información</w:t>
      </w:r>
      <w:r w:rsidR="002E231A">
        <w:rPr>
          <w:rFonts w:ascii="Times New Roman" w:hAnsi="Times New Roman" w:cs="Times New Roman"/>
          <w:sz w:val="24"/>
          <w:szCs w:val="24"/>
        </w:rPr>
        <w:t xml:space="preserve"> actualizada</w:t>
      </w:r>
      <w:r>
        <w:rPr>
          <w:rFonts w:ascii="Times New Roman" w:hAnsi="Times New Roman" w:cs="Times New Roman"/>
          <w:sz w:val="24"/>
          <w:szCs w:val="24"/>
        </w:rPr>
        <w:t xml:space="preserve"> </w:t>
      </w:r>
      <w:r w:rsidRPr="00B849A0">
        <w:rPr>
          <w:rFonts w:ascii="Times New Roman" w:hAnsi="Times New Roman" w:cs="Times New Roman"/>
          <w:sz w:val="24"/>
          <w:szCs w:val="24"/>
        </w:rPr>
        <w:t>que, por razón de tiempo</w:t>
      </w:r>
      <w:r>
        <w:rPr>
          <w:rFonts w:ascii="Times New Roman" w:hAnsi="Times New Roman" w:cs="Times New Roman"/>
          <w:sz w:val="24"/>
          <w:szCs w:val="24"/>
        </w:rPr>
        <w:t>, escapa</w:t>
      </w:r>
      <w:r w:rsidRPr="00B849A0">
        <w:rPr>
          <w:rFonts w:ascii="Times New Roman" w:hAnsi="Times New Roman" w:cs="Times New Roman"/>
          <w:sz w:val="24"/>
          <w:szCs w:val="24"/>
        </w:rPr>
        <w:t xml:space="preserve"> a las estadísticas</w:t>
      </w:r>
      <w:r>
        <w:rPr>
          <w:rFonts w:ascii="Times New Roman" w:hAnsi="Times New Roman" w:cs="Times New Roman"/>
          <w:sz w:val="24"/>
          <w:szCs w:val="24"/>
        </w:rPr>
        <w:t xml:space="preserve"> de los Organismos Internacionales, que se adjuntan en el </w:t>
      </w:r>
      <w:r w:rsidRPr="002E231A">
        <w:rPr>
          <w:rFonts w:ascii="Times New Roman" w:hAnsi="Times New Roman" w:cs="Times New Roman"/>
          <w:b/>
          <w:sz w:val="24"/>
          <w:szCs w:val="24"/>
        </w:rPr>
        <w:t>Anexo.</w:t>
      </w:r>
    </w:p>
    <w:p w:rsidR="00B849A0" w:rsidRPr="009C115C" w:rsidRDefault="00B849A0" w:rsidP="00B849A0">
      <w:pPr>
        <w:pStyle w:val="NormalWeb"/>
        <w:spacing w:after="0"/>
        <w:jc w:val="both"/>
        <w:textAlignment w:val="baseline"/>
        <w:rPr>
          <w:color w:val="FF0000"/>
        </w:rPr>
      </w:pPr>
      <w:r>
        <w:rPr>
          <w:b/>
        </w:rPr>
        <w:t>La economía que nos espera (post Covid 19): algunas previsiones, sin provisiones</w:t>
      </w:r>
    </w:p>
    <w:p w:rsidR="00B849A0" w:rsidRDefault="00B849A0" w:rsidP="00B849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434E2">
        <w:rPr>
          <w:rFonts w:ascii="Times New Roman" w:hAnsi="Times New Roman" w:cs="Times New Roman"/>
          <w:sz w:val="24"/>
          <w:szCs w:val="24"/>
          <w:u w:val="single"/>
        </w:rPr>
        <w:t>Roubini cree que el mercado puede caer hasta u</w:t>
      </w:r>
      <w:r>
        <w:rPr>
          <w:rFonts w:ascii="Times New Roman" w:hAnsi="Times New Roman" w:cs="Times New Roman"/>
          <w:sz w:val="24"/>
          <w:szCs w:val="24"/>
          <w:u w:val="single"/>
        </w:rPr>
        <w:t>n 40% por el coronavirus y que “Trump está muerto”</w:t>
      </w:r>
      <w:r>
        <w:rPr>
          <w:rFonts w:ascii="Times New Roman" w:hAnsi="Times New Roman" w:cs="Times New Roman"/>
          <w:sz w:val="24"/>
          <w:szCs w:val="24"/>
        </w:rPr>
        <w:t xml:space="preserve"> (El Economista - </w:t>
      </w:r>
      <w:r>
        <w:rPr>
          <w:rFonts w:ascii="Times New Roman" w:hAnsi="Times New Roman" w:cs="Times New Roman"/>
          <w:b/>
          <w:sz w:val="24"/>
          <w:szCs w:val="24"/>
        </w:rPr>
        <w:t>2</w:t>
      </w:r>
      <w:r w:rsidRPr="001434E2">
        <w:rPr>
          <w:rFonts w:ascii="Times New Roman" w:hAnsi="Times New Roman" w:cs="Times New Roman"/>
          <w:b/>
          <w:sz w:val="24"/>
          <w:szCs w:val="24"/>
        </w:rPr>
        <w:t>/3/20</w:t>
      </w:r>
      <w:r>
        <w:rPr>
          <w:rFonts w:ascii="Times New Roman" w:hAnsi="Times New Roman" w:cs="Times New Roman"/>
          <w:sz w:val="24"/>
          <w:szCs w:val="24"/>
        </w:rPr>
        <w:t>)</w:t>
      </w:r>
    </w:p>
    <w:p w:rsidR="00B849A0" w:rsidRPr="008B4827" w:rsidRDefault="00B849A0" w:rsidP="00B849A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famoso “Doctor Doom”</w:t>
      </w:r>
      <w:r w:rsidRPr="008B4827">
        <w:rPr>
          <w:rFonts w:ascii="Times New Roman" w:hAnsi="Times New Roman" w:cs="Times New Roman"/>
          <w:color w:val="FF0000"/>
          <w:sz w:val="24"/>
          <w:szCs w:val="24"/>
          <w:u w:val="single"/>
        </w:rPr>
        <w:t xml:space="preserve"> de los mercados, Nouriel Roubini, ha hecho sonar sus alarmas en una entrevista en el semanario alemán Der Spiegel. En él, advierte de que </w:t>
      </w:r>
      <w:r w:rsidRPr="008B4827">
        <w:rPr>
          <w:rFonts w:ascii="Times New Roman" w:hAnsi="Times New Roman" w:cs="Times New Roman"/>
          <w:b/>
          <w:color w:val="FF0000"/>
          <w:sz w:val="24"/>
          <w:szCs w:val="24"/>
          <w:u w:val="single"/>
        </w:rPr>
        <w:t>es el momento de cambiar las inversiones hacia bonos ante una posible caída de los mercados mundiales de "entre un 30% y un 40%"</w:t>
      </w:r>
      <w:r w:rsidRPr="008B4827">
        <w:rPr>
          <w:rFonts w:ascii="Times New Roman" w:hAnsi="Times New Roman" w:cs="Times New Roman"/>
          <w:color w:val="FF0000"/>
          <w:sz w:val="24"/>
          <w:szCs w:val="24"/>
          <w:u w:val="single"/>
        </w:rPr>
        <w:t>, que llevará a la derrota a Donald Trump.</w:t>
      </w:r>
    </w:p>
    <w:p w:rsidR="00B849A0" w:rsidRPr="008B4827" w:rsidRDefault="00B849A0" w:rsidP="00B849A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w:t>
      </w:r>
      <w:r w:rsidRPr="001434E2">
        <w:rPr>
          <w:rFonts w:ascii="Times New Roman" w:hAnsi="Times New Roman" w:cs="Times New Roman"/>
          <w:sz w:val="24"/>
          <w:szCs w:val="24"/>
        </w:rPr>
        <w:t xml:space="preserve">Hay que proteger el dinero contra un </w:t>
      </w:r>
      <w:r>
        <w:rPr>
          <w:rFonts w:ascii="Times New Roman" w:hAnsi="Times New Roman" w:cs="Times New Roman"/>
          <w:sz w:val="24"/>
          <w:szCs w:val="24"/>
        </w:rPr>
        <w:t>crash. Mejor prevenir que curar”</w:t>
      </w:r>
      <w:r w:rsidRPr="001434E2">
        <w:rPr>
          <w:rFonts w:ascii="Times New Roman" w:hAnsi="Times New Roman" w:cs="Times New Roman"/>
          <w:sz w:val="24"/>
          <w:szCs w:val="24"/>
        </w:rPr>
        <w:t xml:space="preserve">, afirmó Roubini. En su opinión, </w:t>
      </w:r>
      <w:r w:rsidRPr="008B4827">
        <w:rPr>
          <w:rFonts w:ascii="Times New Roman" w:hAnsi="Times New Roman" w:cs="Times New Roman"/>
          <w:color w:val="FF0000"/>
          <w:sz w:val="24"/>
          <w:szCs w:val="24"/>
          <w:u w:val="single"/>
        </w:rPr>
        <w:t>el coronavirus tiene potencial para sacudir los mercados durante todo el año, con pérdidas irrecuperables en algunos casos y alteraciones de la economía mundial hasta el tercer trimestre, como mínimo.</w:t>
      </w:r>
      <w:r w:rsidRPr="008B4827">
        <w:rPr>
          <w:rFonts w:ascii="Times New Roman" w:hAnsi="Times New Roman" w:cs="Times New Roman"/>
          <w:color w:val="FF0000"/>
          <w:sz w:val="24"/>
          <w:szCs w:val="24"/>
        </w:rPr>
        <w:t xml:space="preserve"> </w:t>
      </w:r>
      <w:r>
        <w:rPr>
          <w:rFonts w:ascii="Times New Roman" w:hAnsi="Times New Roman" w:cs="Times New Roman"/>
          <w:sz w:val="24"/>
          <w:szCs w:val="24"/>
        </w:rPr>
        <w:t>“</w:t>
      </w:r>
      <w:r w:rsidRPr="001434E2">
        <w:rPr>
          <w:rFonts w:ascii="Times New Roman" w:hAnsi="Times New Roman" w:cs="Times New Roman"/>
          <w:sz w:val="24"/>
          <w:szCs w:val="24"/>
        </w:rPr>
        <w:t xml:space="preserve">Vivo en Nueva York y ya casi nadie va a cines o restaurantes por </w:t>
      </w:r>
      <w:r w:rsidRPr="008B4827">
        <w:rPr>
          <w:rFonts w:ascii="Times New Roman" w:hAnsi="Times New Roman" w:cs="Times New Roman"/>
          <w:sz w:val="24"/>
          <w:szCs w:val="24"/>
          <w:u w:val="single"/>
        </w:rPr>
        <w:t>el miedo. Si se extiende más, estamos</w:t>
      </w:r>
      <w:r>
        <w:rPr>
          <w:rFonts w:ascii="Times New Roman" w:hAnsi="Times New Roman" w:cs="Times New Roman"/>
          <w:sz w:val="24"/>
          <w:szCs w:val="24"/>
          <w:u w:val="single"/>
        </w:rPr>
        <w:t xml:space="preserve"> jodidos”</w:t>
      </w:r>
      <w:r w:rsidRPr="008B4827">
        <w:rPr>
          <w:rFonts w:ascii="Times New Roman" w:hAnsi="Times New Roman" w:cs="Times New Roman"/>
          <w:sz w:val="24"/>
          <w:szCs w:val="24"/>
          <w:u w:val="single"/>
        </w:rPr>
        <w:t>.</w:t>
      </w:r>
    </w:p>
    <w:p w:rsidR="00B849A0" w:rsidRDefault="00B849A0" w:rsidP="00B849A0">
      <w:pPr>
        <w:spacing w:line="240" w:lineRule="auto"/>
        <w:jc w:val="both"/>
        <w:rPr>
          <w:rFonts w:ascii="Times New Roman" w:hAnsi="Times New Roman" w:cs="Times New Roman"/>
          <w:color w:val="FF0000"/>
          <w:sz w:val="24"/>
          <w:szCs w:val="24"/>
          <w:u w:val="single"/>
        </w:rPr>
      </w:pPr>
      <w:r w:rsidRPr="001434E2">
        <w:rPr>
          <w:rFonts w:ascii="Times New Roman" w:hAnsi="Times New Roman" w:cs="Times New Roman"/>
          <w:sz w:val="24"/>
          <w:szCs w:val="24"/>
        </w:rPr>
        <w:t xml:space="preserve">La clave está en sus efectos en Europa, especialmente en Italia, que ya estaba al borde de la recesión, y sus repercusiones en Alemania, gran exportador a China. </w:t>
      </w:r>
      <w:r>
        <w:rPr>
          <w:rFonts w:ascii="Times New Roman" w:hAnsi="Times New Roman" w:cs="Times New Roman"/>
          <w:color w:val="FF0000"/>
          <w:sz w:val="24"/>
          <w:szCs w:val="24"/>
          <w:u w:val="single"/>
        </w:rPr>
        <w:t>“</w:t>
      </w:r>
      <w:r w:rsidRPr="008B4827">
        <w:rPr>
          <w:rFonts w:ascii="Times New Roman" w:hAnsi="Times New Roman" w:cs="Times New Roman"/>
          <w:color w:val="FF0000"/>
          <w:sz w:val="24"/>
          <w:szCs w:val="24"/>
          <w:u w:val="single"/>
        </w:rPr>
        <w:t xml:space="preserve">Esta crisis es mucho más grave de lo que pensamos. Es una epidemia global, está muy lejos de haber terminado; el </w:t>
      </w:r>
      <w:r w:rsidRPr="008B4827">
        <w:rPr>
          <w:rFonts w:ascii="Times New Roman" w:hAnsi="Times New Roman" w:cs="Times New Roman"/>
          <w:color w:val="FF0000"/>
          <w:sz w:val="24"/>
          <w:szCs w:val="24"/>
          <w:u w:val="single"/>
        </w:rPr>
        <w:lastRenderedPageBreak/>
        <w:t>impacto para el crecimiento de China será mucho mayor de lo esperado y la política mo</w:t>
      </w:r>
      <w:r>
        <w:rPr>
          <w:rFonts w:ascii="Times New Roman" w:hAnsi="Times New Roman" w:cs="Times New Roman"/>
          <w:color w:val="FF0000"/>
          <w:sz w:val="24"/>
          <w:szCs w:val="24"/>
          <w:u w:val="single"/>
        </w:rPr>
        <w:t>netaria no será capaz de actuar”</w:t>
      </w:r>
      <w:r w:rsidRPr="008B4827">
        <w:rPr>
          <w:rFonts w:ascii="Times New Roman" w:hAnsi="Times New Roman" w:cs="Times New Roman"/>
          <w:color w:val="FF0000"/>
          <w:sz w:val="24"/>
          <w:szCs w:val="24"/>
          <w:u w:val="single"/>
        </w:rPr>
        <w:t>, advirtió.</w:t>
      </w:r>
    </w:p>
    <w:p w:rsidR="002E231A" w:rsidRPr="0087105D" w:rsidRDefault="00B849A0" w:rsidP="00B849A0">
      <w:pPr>
        <w:spacing w:line="240" w:lineRule="auto"/>
        <w:jc w:val="both"/>
        <w:rPr>
          <w:rFonts w:ascii="Times New Roman" w:hAnsi="Times New Roman" w:cs="Times New Roman"/>
          <w:color w:val="FF0000"/>
          <w:sz w:val="24"/>
          <w:szCs w:val="24"/>
          <w:u w:val="single"/>
        </w:rPr>
      </w:pPr>
      <w:r w:rsidRPr="008B4827">
        <w:rPr>
          <w:rFonts w:ascii="Times New Roman" w:hAnsi="Times New Roman" w:cs="Times New Roman"/>
          <w:color w:val="FF0000"/>
          <w:sz w:val="24"/>
          <w:szCs w:val="24"/>
          <w:u w:val="single"/>
        </w:rPr>
        <w:t>Ese golpe tendrá consecuencias políticas, especialmente si el virus continúa extendiéndose por EEUU ante la incapacidad del Gobierno, que se ha limitado a minimizar los riesgos y confi</w:t>
      </w:r>
      <w:r>
        <w:rPr>
          <w:rFonts w:ascii="Times New Roman" w:hAnsi="Times New Roman" w:cs="Times New Roman"/>
          <w:color w:val="FF0000"/>
          <w:sz w:val="24"/>
          <w:szCs w:val="24"/>
          <w:u w:val="single"/>
        </w:rPr>
        <w:t>ar en que desaparezca sin más. “Trump está muerto”, cree Roubini. “</w:t>
      </w:r>
      <w:r w:rsidRPr="008B4827">
        <w:rPr>
          <w:rFonts w:ascii="Times New Roman" w:hAnsi="Times New Roman" w:cs="Times New Roman"/>
          <w:color w:val="FF0000"/>
          <w:sz w:val="24"/>
          <w:szCs w:val="24"/>
          <w:u w:val="single"/>
        </w:rPr>
        <w:t xml:space="preserve">Los </w:t>
      </w:r>
      <w:r>
        <w:rPr>
          <w:rFonts w:ascii="Times New Roman" w:hAnsi="Times New Roman" w:cs="Times New Roman"/>
          <w:color w:val="FF0000"/>
          <w:sz w:val="24"/>
          <w:szCs w:val="24"/>
          <w:u w:val="single"/>
        </w:rPr>
        <w:t>candidatos demócratas son malos”, pero “</w:t>
      </w:r>
      <w:r w:rsidRPr="008B4827">
        <w:rPr>
          <w:rFonts w:ascii="Times New Roman" w:hAnsi="Times New Roman" w:cs="Times New Roman"/>
          <w:color w:val="FF0000"/>
          <w:sz w:val="24"/>
          <w:szCs w:val="24"/>
          <w:u w:val="single"/>
        </w:rPr>
        <w:t xml:space="preserve">esto es lo que ha ocurrido siempre en la historia. Gerald Ford perdió por la crisis del petróleo de 1973. Jimmy Carter perdió por la segunda crisis en el 79, y Bush padre perdió tras </w:t>
      </w:r>
      <w:r>
        <w:rPr>
          <w:rFonts w:ascii="Times New Roman" w:hAnsi="Times New Roman" w:cs="Times New Roman"/>
          <w:color w:val="FF0000"/>
          <w:sz w:val="24"/>
          <w:szCs w:val="24"/>
          <w:u w:val="single"/>
        </w:rPr>
        <w:t>la invasión de Kuwait en el 90”.</w:t>
      </w:r>
    </w:p>
    <w:p w:rsidR="00B849A0" w:rsidRPr="00D62FD6" w:rsidRDefault="00B849A0" w:rsidP="00B849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62FD6">
        <w:rPr>
          <w:rFonts w:ascii="Times New Roman" w:hAnsi="Times New Roman" w:cs="Times New Roman"/>
          <w:sz w:val="24"/>
          <w:szCs w:val="24"/>
          <w:u w:val="single"/>
        </w:rPr>
        <w:t>Recuerdos de los setenta</w:t>
      </w:r>
      <w:r>
        <w:rPr>
          <w:rFonts w:ascii="Times New Roman" w:hAnsi="Times New Roman" w:cs="Times New Roman"/>
          <w:sz w:val="24"/>
          <w:szCs w:val="24"/>
        </w:rPr>
        <w:t xml:space="preserve"> (Project Syndicate - </w:t>
      </w:r>
      <w:r w:rsidRPr="00D62FD6">
        <w:rPr>
          <w:rFonts w:ascii="Times New Roman" w:hAnsi="Times New Roman" w:cs="Times New Roman"/>
          <w:b/>
          <w:sz w:val="24"/>
          <w:szCs w:val="24"/>
        </w:rPr>
        <w:t>2/3/20</w:t>
      </w:r>
      <w:r>
        <w:rPr>
          <w:rFonts w:ascii="Times New Roman" w:hAnsi="Times New Roman" w:cs="Times New Roman"/>
          <w:sz w:val="24"/>
          <w:szCs w:val="24"/>
        </w:rPr>
        <w:t>)</w:t>
      </w:r>
    </w:p>
    <w:p w:rsidR="00B849A0" w:rsidRPr="00651519" w:rsidRDefault="00B849A0" w:rsidP="00B849A0">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Cambridge.-</w:t>
      </w:r>
      <w:r w:rsidRPr="00D62FD6">
        <w:rPr>
          <w:rFonts w:ascii="Times New Roman" w:hAnsi="Times New Roman" w:cs="Times New Roman"/>
          <w:sz w:val="24"/>
          <w:szCs w:val="24"/>
        </w:rPr>
        <w:t xml:space="preserve"> </w:t>
      </w:r>
      <w:r w:rsidRPr="00651519">
        <w:rPr>
          <w:rFonts w:ascii="Times New Roman" w:hAnsi="Times New Roman" w:cs="Times New Roman"/>
          <w:color w:val="FF0000"/>
          <w:sz w:val="24"/>
          <w:szCs w:val="24"/>
          <w:u w:val="single"/>
        </w:rPr>
        <w:t>Es demasiado pronto para predecir la evolución a largo plazo del brote de coronavirus. Pero no es pronto para reconocer que la próxima recesión global puede estar a la vuelta de la esquina, y que tal vez sea muy diferente a las que empezaron en 2001 y 2008.</w:t>
      </w:r>
    </w:p>
    <w:p w:rsidR="00B849A0" w:rsidRPr="00D62FD6" w:rsidRDefault="00B849A0" w:rsidP="00B849A0">
      <w:pPr>
        <w:spacing w:line="240" w:lineRule="auto"/>
        <w:jc w:val="both"/>
        <w:rPr>
          <w:rFonts w:ascii="Times New Roman" w:hAnsi="Times New Roman" w:cs="Times New Roman"/>
          <w:sz w:val="24"/>
          <w:szCs w:val="24"/>
        </w:rPr>
      </w:pPr>
      <w:r w:rsidRPr="00651519">
        <w:rPr>
          <w:rFonts w:ascii="Times New Roman" w:hAnsi="Times New Roman" w:cs="Times New Roman"/>
          <w:color w:val="FF0000"/>
          <w:sz w:val="24"/>
          <w:szCs w:val="24"/>
          <w:u w:val="single"/>
        </w:rPr>
        <w:t>En primer lugar, es probable que el origen de la próxima recesión sea China, y de hecho, puede que ya se esté produciendo</w:t>
      </w:r>
      <w:r w:rsidRPr="00D62FD6">
        <w:rPr>
          <w:rFonts w:ascii="Times New Roman" w:hAnsi="Times New Roman" w:cs="Times New Roman"/>
          <w:sz w:val="24"/>
          <w:szCs w:val="24"/>
        </w:rPr>
        <w:t>. La economía china está sumamente apalancada, y su capacidad de hacer frente a una desaceleración sostenida no es mayor a la de Japón durante su auge económico de los ochenta. Personas, empresas y municipalidades necesitan fondos para pagar deudas desmesuradas. Una situación demográfica muy adversa, el hecho de que ya no queda tanto margen para la modernización tecnológica y el enorme excedente de viviendas derivado de recurrentes programas de estímulo (por no hablar de un proceso de toma de decisiones cada vez más centralizado) ya son presagio de una disminución significativa del crecimien</w:t>
      </w:r>
      <w:r>
        <w:rPr>
          <w:rFonts w:ascii="Times New Roman" w:hAnsi="Times New Roman" w:cs="Times New Roman"/>
          <w:sz w:val="24"/>
          <w:szCs w:val="24"/>
        </w:rPr>
        <w:t>to chino en la década venidera.</w:t>
      </w:r>
    </w:p>
    <w:p w:rsidR="00B849A0" w:rsidRPr="00111150" w:rsidRDefault="00B849A0" w:rsidP="00B849A0">
      <w:pPr>
        <w:spacing w:line="240" w:lineRule="auto"/>
        <w:jc w:val="both"/>
        <w:rPr>
          <w:rFonts w:ascii="Times New Roman" w:hAnsi="Times New Roman" w:cs="Times New Roman"/>
          <w:sz w:val="24"/>
          <w:szCs w:val="24"/>
          <w:u w:val="single"/>
        </w:rPr>
      </w:pPr>
      <w:r w:rsidRPr="00111150">
        <w:rPr>
          <w:rFonts w:ascii="Times New Roman" w:hAnsi="Times New Roman" w:cs="Times New Roman"/>
          <w:color w:val="FF0000"/>
          <w:sz w:val="24"/>
          <w:szCs w:val="24"/>
          <w:u w:val="single"/>
        </w:rPr>
        <w:t>Además, a diferencia de las dos recesiones globales previas de este siglo, el nuevo coronavirus, COVID-19, implica un shock de oferta, no sólo de demanda</w:t>
      </w:r>
      <w:r w:rsidRPr="00D62FD6">
        <w:rPr>
          <w:rFonts w:ascii="Times New Roman" w:hAnsi="Times New Roman" w:cs="Times New Roman"/>
          <w:sz w:val="24"/>
          <w:szCs w:val="24"/>
        </w:rPr>
        <w:t xml:space="preserve">. </w:t>
      </w:r>
      <w:r w:rsidRPr="00111150">
        <w:rPr>
          <w:rFonts w:ascii="Times New Roman" w:hAnsi="Times New Roman" w:cs="Times New Roman"/>
          <w:sz w:val="24"/>
          <w:szCs w:val="24"/>
          <w:u w:val="single"/>
        </w:rPr>
        <w:t>De hecho, para encontrar otro ejemplo de la misma magnitud hay que retrotraerse a los shocks petroleros de mediados de los setenta.</w:t>
      </w:r>
      <w:r w:rsidRPr="00D62FD6">
        <w:rPr>
          <w:rFonts w:ascii="Times New Roman" w:hAnsi="Times New Roman" w:cs="Times New Roman"/>
          <w:sz w:val="24"/>
          <w:szCs w:val="24"/>
        </w:rPr>
        <w:t xml:space="preserve"> Es verdad que el temor al contagio afectará la demanda en el sector de las aerolíneas y el turismo internacional y que generará un aumento del ahorro precautorio. Pero </w:t>
      </w:r>
      <w:r w:rsidRPr="00111150">
        <w:rPr>
          <w:rFonts w:ascii="Times New Roman" w:hAnsi="Times New Roman" w:cs="Times New Roman"/>
          <w:sz w:val="24"/>
          <w:szCs w:val="24"/>
          <w:u w:val="single"/>
        </w:rPr>
        <w:t>si decenas de millones de personas no pudieran ir a trabajar (por cuarentena o por miedo), se interrumpieran las cadenas de valor globales, se cerraran las fronteras y el comercio internacional se redujera porque los países no confían en las estadísticas sanitarias de los otros países, el perjuicio del lado de la oferta sería al menos igual de grande.</w:t>
      </w:r>
    </w:p>
    <w:p w:rsidR="00B849A0" w:rsidRPr="00D62FD6" w:rsidRDefault="00B849A0" w:rsidP="00B849A0">
      <w:pPr>
        <w:spacing w:line="240" w:lineRule="auto"/>
        <w:jc w:val="both"/>
        <w:rPr>
          <w:rFonts w:ascii="Times New Roman" w:hAnsi="Times New Roman" w:cs="Times New Roman"/>
          <w:sz w:val="24"/>
          <w:szCs w:val="24"/>
        </w:rPr>
      </w:pPr>
      <w:r w:rsidRPr="00D62FD6">
        <w:rPr>
          <w:rFonts w:ascii="Times New Roman" w:hAnsi="Times New Roman" w:cs="Times New Roman"/>
          <w:sz w:val="24"/>
          <w:szCs w:val="24"/>
        </w:rPr>
        <w:t>Los países afectados implementarán, con razón, inmensos programas deficitarios de gasto para reforzar sus sistemas sanitarios y estimular sus economías. El motivo de ahorrar para los tiempos malos es poder gastar cuando esos tiempos malos llegan; y la necesidad de estar preparados para pandemias, guerras, crisis climáticas y otros hechos extraordinarios es la razón misma por la que un gasto deficitario ilimitado en t</w:t>
      </w:r>
      <w:r>
        <w:rPr>
          <w:rFonts w:ascii="Times New Roman" w:hAnsi="Times New Roman" w:cs="Times New Roman"/>
          <w:sz w:val="24"/>
          <w:szCs w:val="24"/>
        </w:rPr>
        <w:t>iempos de bonanza es peligroso.</w:t>
      </w:r>
    </w:p>
    <w:p w:rsidR="00B849A0" w:rsidRPr="00111150" w:rsidRDefault="00B849A0" w:rsidP="00B849A0">
      <w:pPr>
        <w:spacing w:line="240" w:lineRule="auto"/>
        <w:jc w:val="both"/>
        <w:rPr>
          <w:rFonts w:ascii="Times New Roman" w:hAnsi="Times New Roman" w:cs="Times New Roman"/>
          <w:color w:val="FF0000"/>
          <w:sz w:val="24"/>
          <w:szCs w:val="24"/>
          <w:u w:val="single"/>
        </w:rPr>
      </w:pPr>
      <w:r w:rsidRPr="00111150">
        <w:rPr>
          <w:rFonts w:ascii="Times New Roman" w:hAnsi="Times New Roman" w:cs="Times New Roman"/>
          <w:color w:val="FF0000"/>
          <w:sz w:val="24"/>
          <w:szCs w:val="24"/>
          <w:u w:val="single"/>
        </w:rPr>
        <w:t>Pero las autoridades políticas (y también demasiados analistas económicos) no logran comprender de qué manera el componente ofertista puede llevar a que la próxima recesión global sea distinta a las dos anteriores. A diferencia de recesiones impulsadas ante todo por escasez de demanda, el desafío que plantea una desaceleración impulsada por la oferta es que puede dar lugar a una marcada reducción de la producción y una multiplicación de cuellos de botella. En tal caso, la escasez generalizada (algo que en algunos países no se ve desde los tiempos de las filas para cargar gasolina en los setenta) puede terminar presionando sobre la inflación al alza, no a la baja.</w:t>
      </w:r>
    </w:p>
    <w:p w:rsidR="00B849A0" w:rsidRPr="00111150" w:rsidRDefault="00B849A0" w:rsidP="00B849A0">
      <w:pPr>
        <w:spacing w:line="240" w:lineRule="auto"/>
        <w:jc w:val="both"/>
        <w:rPr>
          <w:rFonts w:ascii="Times New Roman" w:hAnsi="Times New Roman" w:cs="Times New Roman"/>
          <w:color w:val="FF0000"/>
          <w:sz w:val="24"/>
          <w:szCs w:val="24"/>
          <w:u w:val="single"/>
        </w:rPr>
      </w:pPr>
      <w:r w:rsidRPr="00111150">
        <w:rPr>
          <w:rFonts w:ascii="Times New Roman" w:hAnsi="Times New Roman" w:cs="Times New Roman"/>
          <w:color w:val="FF0000"/>
          <w:sz w:val="24"/>
          <w:szCs w:val="24"/>
          <w:u w:val="single"/>
        </w:rPr>
        <w:lastRenderedPageBreak/>
        <w:t>Es verdad que hoy las condiciones iniciales para contener una inflación generalizada son extraordinariamente favorables. Pero siendo casi seguro que cuatro décadas de globalización han sido el principal factor de los bajos niveles de inflación, un proceso sostenido de retirada al interior de las fronteras nacionales debido a una pandemia de COVID-19 (o incluso al temor permanente a tal pandemia), sumado al aumento de las fricciones comerciales, es una receta para la reaparición de presiones alcistas sobre los precios. En este escenario, el aumento de la inflación puede provocar un alza de los tipos de interés y plantear problemas a las autoridades monetarias y fiscales.</w:t>
      </w:r>
    </w:p>
    <w:p w:rsidR="00B849A0" w:rsidRPr="00D62FD6" w:rsidRDefault="00B849A0" w:rsidP="00B849A0">
      <w:pPr>
        <w:spacing w:line="240" w:lineRule="auto"/>
        <w:jc w:val="both"/>
        <w:rPr>
          <w:rFonts w:ascii="Times New Roman" w:hAnsi="Times New Roman" w:cs="Times New Roman"/>
          <w:sz w:val="24"/>
          <w:szCs w:val="24"/>
        </w:rPr>
      </w:pPr>
      <w:r w:rsidRPr="00111150">
        <w:rPr>
          <w:rFonts w:ascii="Times New Roman" w:hAnsi="Times New Roman" w:cs="Times New Roman"/>
          <w:sz w:val="24"/>
          <w:szCs w:val="24"/>
          <w:u w:val="single"/>
        </w:rPr>
        <w:t>También hay que señalar que la crisis del COVID-19 golpea a la economía mundial en un momento en que el crecimiento ya es tenue y muchos países están demasiado apalancados</w:t>
      </w:r>
      <w:r w:rsidRPr="00D62FD6">
        <w:rPr>
          <w:rFonts w:ascii="Times New Roman" w:hAnsi="Times New Roman" w:cs="Times New Roman"/>
          <w:sz w:val="24"/>
          <w:szCs w:val="24"/>
        </w:rPr>
        <w:t>. El crecimiento mundial en 2019 apenas llegó a 2,9%, no muy lejos del nivel del 2,5% que históricamente ha sido sinónimo de recesión global. La economía italiana apenas comenzaba a recuperarse cuando llegó el virus. La de Japón ya estaba entrando en recesión después de un aumento inoportuno del impuesto al valor agregado, y la de Alemania viene tambaleándose en un contexto de incertidumbre política. Estados Unidos está en su mejor forma, pero si antes se calculaba un 15% de probabilidades de que empiece una recesión antes de las elecciones presidencial y legislativa de noviembre, ahora</w:t>
      </w:r>
      <w:r>
        <w:rPr>
          <w:rFonts w:ascii="Times New Roman" w:hAnsi="Times New Roman" w:cs="Times New Roman"/>
          <w:sz w:val="24"/>
          <w:szCs w:val="24"/>
        </w:rPr>
        <w:t xml:space="preserve"> el cálculo parece mucho mayor.</w:t>
      </w:r>
    </w:p>
    <w:p w:rsidR="00B849A0" w:rsidRPr="00D62FD6" w:rsidRDefault="00B849A0" w:rsidP="00B849A0">
      <w:pPr>
        <w:spacing w:line="240" w:lineRule="auto"/>
        <w:jc w:val="both"/>
        <w:rPr>
          <w:rFonts w:ascii="Times New Roman" w:hAnsi="Times New Roman" w:cs="Times New Roman"/>
          <w:sz w:val="24"/>
          <w:szCs w:val="24"/>
        </w:rPr>
      </w:pPr>
      <w:r w:rsidRPr="00D62FD6">
        <w:rPr>
          <w:rFonts w:ascii="Times New Roman" w:hAnsi="Times New Roman" w:cs="Times New Roman"/>
          <w:sz w:val="24"/>
          <w:szCs w:val="24"/>
        </w:rPr>
        <w:t xml:space="preserve">Puede parecer extraño que el nuevo coronavirus sea capaz de causar tanto daño económico incluso en países que al parecer cuentan con recursos y tecnología para combatirlo. Uno de los principales motivos es que antes la gente era mucho más pobre que ahora, de modo que muchas más personas tenían que correr el riesgo de ir a trabajar. A diferencia de ahora, una retirada radical de la economía en respuesta a una epidemia que no matara a la mayoría de la gente </w:t>
      </w:r>
      <w:r>
        <w:rPr>
          <w:rFonts w:ascii="Times New Roman" w:hAnsi="Times New Roman" w:cs="Times New Roman"/>
          <w:sz w:val="24"/>
          <w:szCs w:val="24"/>
        </w:rPr>
        <w:t>no era una alternativa posible.</w:t>
      </w:r>
    </w:p>
    <w:p w:rsidR="00B849A0" w:rsidRPr="00D62FD6" w:rsidRDefault="00B849A0" w:rsidP="00B849A0">
      <w:pPr>
        <w:spacing w:line="240" w:lineRule="auto"/>
        <w:jc w:val="both"/>
        <w:rPr>
          <w:rFonts w:ascii="Times New Roman" w:hAnsi="Times New Roman" w:cs="Times New Roman"/>
          <w:sz w:val="24"/>
          <w:szCs w:val="24"/>
        </w:rPr>
      </w:pPr>
      <w:r w:rsidRPr="00D62FD6">
        <w:rPr>
          <w:rFonts w:ascii="Times New Roman" w:hAnsi="Times New Roman" w:cs="Times New Roman"/>
          <w:sz w:val="24"/>
          <w:szCs w:val="24"/>
        </w:rPr>
        <w:t>Lo que sucedió en Wuhan (China), epicentro del brote actual, es un caso extremo pero ilustrativo. El gobierno chino básicamente puso en cuarentena la provincia de Hubei e impuso la ley marcial a sus 58 millones de habitantes, de modo que la ciudadanía ordinaria no puede salir de casa, excepto en circunstancias muy específicas. Pero al mismo tiempo, el gobierno se ha mostrado aparentemente capaz de llevar alimento y agua a la población de Hubei por más o menos seis semanas ya, algo que para un</w:t>
      </w:r>
      <w:r>
        <w:rPr>
          <w:rFonts w:ascii="Times New Roman" w:hAnsi="Times New Roman" w:cs="Times New Roman"/>
          <w:sz w:val="24"/>
          <w:szCs w:val="24"/>
        </w:rPr>
        <w:t xml:space="preserve"> país pobre sería inimaginable.</w:t>
      </w:r>
    </w:p>
    <w:p w:rsidR="00B849A0" w:rsidRPr="00D62FD6" w:rsidRDefault="00B849A0" w:rsidP="00B849A0">
      <w:pPr>
        <w:spacing w:line="240" w:lineRule="auto"/>
        <w:jc w:val="both"/>
        <w:rPr>
          <w:rFonts w:ascii="Times New Roman" w:hAnsi="Times New Roman" w:cs="Times New Roman"/>
          <w:sz w:val="24"/>
          <w:szCs w:val="24"/>
        </w:rPr>
      </w:pPr>
      <w:r w:rsidRPr="00D62FD6">
        <w:rPr>
          <w:rFonts w:ascii="Times New Roman" w:hAnsi="Times New Roman" w:cs="Times New Roman"/>
          <w:sz w:val="24"/>
          <w:szCs w:val="24"/>
        </w:rPr>
        <w:t>En otras partes de China, un buen número de personas en c</w:t>
      </w:r>
      <w:r>
        <w:rPr>
          <w:rFonts w:ascii="Times New Roman" w:hAnsi="Times New Roman" w:cs="Times New Roman"/>
          <w:sz w:val="24"/>
          <w:szCs w:val="24"/>
        </w:rPr>
        <w:t>iudades importantes como Shanghá</w:t>
      </w:r>
      <w:r w:rsidRPr="00D62FD6">
        <w:rPr>
          <w:rFonts w:ascii="Times New Roman" w:hAnsi="Times New Roman" w:cs="Times New Roman"/>
          <w:sz w:val="24"/>
          <w:szCs w:val="24"/>
        </w:rPr>
        <w:t>i y Beijing se han quedado en casa la mayor parte del tiempo para reducir la exposición. Es posible que los gobiernos de países como Corea del Sur e Italia no estén tomando medidas tan extremas como las de China, pero muchas personas también se quedan en casa, lo que implica un perjuicio significati</w:t>
      </w:r>
      <w:r>
        <w:rPr>
          <w:rFonts w:ascii="Times New Roman" w:hAnsi="Times New Roman" w:cs="Times New Roman"/>
          <w:sz w:val="24"/>
          <w:szCs w:val="24"/>
        </w:rPr>
        <w:t>vo para la actividad económica.</w:t>
      </w:r>
    </w:p>
    <w:p w:rsidR="00B849A0" w:rsidRPr="00111150" w:rsidRDefault="00B849A0" w:rsidP="00B849A0">
      <w:pPr>
        <w:spacing w:line="240" w:lineRule="auto"/>
        <w:jc w:val="both"/>
        <w:rPr>
          <w:rFonts w:ascii="Times New Roman" w:hAnsi="Times New Roman" w:cs="Times New Roman"/>
          <w:color w:val="FF0000"/>
          <w:sz w:val="24"/>
          <w:szCs w:val="24"/>
          <w:u w:val="single"/>
        </w:rPr>
      </w:pPr>
      <w:r w:rsidRPr="00111150">
        <w:rPr>
          <w:rFonts w:ascii="Times New Roman" w:hAnsi="Times New Roman" w:cs="Times New Roman"/>
          <w:color w:val="FF0000"/>
          <w:sz w:val="24"/>
          <w:szCs w:val="24"/>
          <w:u w:val="single"/>
        </w:rPr>
        <w:t>Las probabilidades de una recesión global han aumentado drásticamente, mucho más de lo que quieren admitir los pronósticos convencionales de inversores e instituciones internacionales. Es necesario que las autoridades se den cuenta de que, además de bajar los tipos de interés y aplicar medidas de estímulo fiscal, hay que dar respuesta al inmenso shock a las cadenas globales de suministro</w:t>
      </w:r>
      <w:r w:rsidRPr="00D62FD6">
        <w:rPr>
          <w:rFonts w:ascii="Times New Roman" w:hAnsi="Times New Roman" w:cs="Times New Roman"/>
          <w:sz w:val="24"/>
          <w:szCs w:val="24"/>
        </w:rPr>
        <w:t xml:space="preserve">. </w:t>
      </w:r>
      <w:r w:rsidRPr="00111150">
        <w:rPr>
          <w:rFonts w:ascii="Times New Roman" w:hAnsi="Times New Roman" w:cs="Times New Roman"/>
          <w:color w:val="FF0000"/>
          <w:sz w:val="24"/>
          <w:szCs w:val="24"/>
          <w:u w:val="single"/>
        </w:rPr>
        <w:t>La forma más inmediata de proveer alivio sería que Estados Unidos reduzca considerablemente los aranceles aplicados como parte de la guerra comercial; eso llevaría calma a los mercados, sería una muestra de estatura política en la relación con China y pondría dinero en los bolsillos de los consumidores estadounidenses. Una recesión global es un momento para la cooperación, no para el aislamiento.</w:t>
      </w:r>
    </w:p>
    <w:p w:rsidR="00B849A0" w:rsidRDefault="00B849A0" w:rsidP="00B849A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D62FD6">
        <w:rPr>
          <w:rFonts w:ascii="Times New Roman" w:hAnsi="Times New Roman" w:cs="Times New Roman"/>
          <w:sz w:val="24"/>
          <w:szCs w:val="24"/>
          <w:lang w:val="en-US"/>
        </w:rPr>
        <w:t xml:space="preserve">Kenneth Rogoff, Professor of Economics and Public Policy at Harvard University and recipient of the 2011 Deutsche Bank Prize in Financial Economics, was the chief economist </w:t>
      </w:r>
      <w:r w:rsidRPr="00D62FD6">
        <w:rPr>
          <w:rFonts w:ascii="Times New Roman" w:hAnsi="Times New Roman" w:cs="Times New Roman"/>
          <w:sz w:val="24"/>
          <w:szCs w:val="24"/>
          <w:lang w:val="en-US"/>
        </w:rPr>
        <w:lastRenderedPageBreak/>
        <w:t xml:space="preserve">of the International Monetary Fund from 2001 to 2003. He is co-author of This Time is Different: Eight Centuries of Financial Folly </w:t>
      </w:r>
      <w:r>
        <w:rPr>
          <w:rFonts w:ascii="Times New Roman" w:hAnsi="Times New Roman" w:cs="Times New Roman"/>
          <w:sz w:val="24"/>
          <w:szCs w:val="24"/>
          <w:lang w:val="en-US"/>
        </w:rPr>
        <w:t>and author of The Curse of Cash)</w:t>
      </w:r>
    </w:p>
    <w:p w:rsidR="00B849A0" w:rsidRDefault="00B849A0" w:rsidP="00B849A0">
      <w:pPr>
        <w:spacing w:line="240" w:lineRule="auto"/>
        <w:jc w:val="both"/>
        <w:rPr>
          <w:rFonts w:ascii="Times New Roman" w:hAnsi="Times New Roman" w:cs="Times New Roman"/>
          <w:sz w:val="24"/>
          <w:szCs w:val="24"/>
          <w:lang w:val="en-US"/>
        </w:rPr>
      </w:pPr>
      <w:r w:rsidRPr="006C62D1">
        <w:rPr>
          <w:rFonts w:ascii="Times New Roman" w:hAnsi="Times New Roman" w:cs="Times New Roman"/>
          <w:noProof/>
          <w:color w:val="FF0000"/>
          <w:sz w:val="24"/>
          <w:szCs w:val="24"/>
          <w:u w:val="single"/>
          <w:lang w:eastAsia="es-ES"/>
        </w:rPr>
        <w:drawing>
          <wp:inline distT="0" distB="0" distL="0" distR="0" wp14:anchorId="58D8B5B3" wp14:editId="0CBF803A">
            <wp:extent cx="5735171" cy="2380129"/>
            <wp:effectExtent l="0" t="0" r="0" b="127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2378610"/>
                    </a:xfrm>
                    <a:prstGeom prst="rect">
                      <a:avLst/>
                    </a:prstGeom>
                  </pic:spPr>
                </pic:pic>
              </a:graphicData>
            </a:graphic>
          </wp:inline>
        </w:drawing>
      </w:r>
    </w:p>
    <w:p w:rsidR="00B849A0" w:rsidRPr="009C115C" w:rsidRDefault="00B849A0" w:rsidP="00B849A0">
      <w:pPr>
        <w:spacing w:line="240" w:lineRule="auto"/>
        <w:jc w:val="both"/>
        <w:rPr>
          <w:rFonts w:ascii="Times New Roman" w:hAnsi="Times New Roman" w:cs="Times New Roman"/>
          <w:color w:val="FF0000"/>
          <w:sz w:val="24"/>
          <w:szCs w:val="24"/>
          <w:u w:val="single"/>
          <w:lang w:val="en-US"/>
        </w:rPr>
      </w:pPr>
    </w:p>
    <w:p w:rsidR="00B849A0" w:rsidRDefault="00B849A0" w:rsidP="00B849A0">
      <w:pPr>
        <w:spacing w:line="240" w:lineRule="auto"/>
        <w:jc w:val="both"/>
        <w:rPr>
          <w:rFonts w:ascii="Times New Roman" w:hAnsi="Times New Roman" w:cs="Times New Roman"/>
          <w:color w:val="FF0000"/>
          <w:sz w:val="24"/>
          <w:szCs w:val="24"/>
          <w:u w:val="single"/>
        </w:rPr>
      </w:pPr>
      <w:r>
        <w:rPr>
          <w:noProof/>
          <w:lang w:eastAsia="es-ES"/>
        </w:rPr>
        <w:drawing>
          <wp:inline distT="0" distB="0" distL="0" distR="0" wp14:anchorId="41C2929D" wp14:editId="607F7058">
            <wp:extent cx="5726666" cy="3852582"/>
            <wp:effectExtent l="0" t="0" r="7620" b="0"/>
            <wp:docPr id="37" name="Imagen 37" descr="Wall Street corona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ll Street coronaviru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3855841"/>
                    </a:xfrm>
                    <a:prstGeom prst="rect">
                      <a:avLst/>
                    </a:prstGeom>
                    <a:noFill/>
                    <a:ln>
                      <a:noFill/>
                    </a:ln>
                  </pic:spPr>
                </pic:pic>
              </a:graphicData>
            </a:graphic>
          </wp:inline>
        </w:drawing>
      </w:r>
    </w:p>
    <w:p w:rsidR="00B849A0" w:rsidRPr="00DB3BC1" w:rsidRDefault="00B849A0" w:rsidP="00B849A0">
      <w:pPr>
        <w:spacing w:line="240" w:lineRule="auto"/>
        <w:jc w:val="both"/>
        <w:rPr>
          <w:rFonts w:ascii="Times New Roman" w:hAnsi="Times New Roman" w:cs="Times New Roman"/>
          <w:sz w:val="24"/>
          <w:szCs w:val="24"/>
        </w:rPr>
      </w:pPr>
      <w:r w:rsidRPr="00DB3BC1">
        <w:rPr>
          <w:rFonts w:ascii="Times New Roman" w:hAnsi="Times New Roman" w:cs="Times New Roman"/>
          <w:sz w:val="24"/>
          <w:szCs w:val="24"/>
        </w:rPr>
        <w:t xml:space="preserve">(Fuente: WSJ y Cinco Días - </w:t>
      </w:r>
      <w:r w:rsidRPr="00DB3BC1">
        <w:rPr>
          <w:rFonts w:ascii="Times New Roman" w:hAnsi="Times New Roman" w:cs="Times New Roman"/>
          <w:b/>
          <w:sz w:val="24"/>
          <w:szCs w:val="24"/>
        </w:rPr>
        <w:t>17/3/20</w:t>
      </w:r>
      <w:r w:rsidRPr="00DB3BC1">
        <w:rPr>
          <w:rFonts w:ascii="Times New Roman" w:hAnsi="Times New Roman" w:cs="Times New Roman"/>
          <w:sz w:val="24"/>
          <w:szCs w:val="24"/>
        </w:rPr>
        <w:t>)</w:t>
      </w:r>
    </w:p>
    <w:p w:rsidR="00B849A0" w:rsidRPr="008973DB" w:rsidRDefault="00B849A0" w:rsidP="00B849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973DB">
        <w:rPr>
          <w:rFonts w:ascii="Times New Roman" w:hAnsi="Times New Roman" w:cs="Times New Roman"/>
          <w:sz w:val="24"/>
          <w:szCs w:val="24"/>
        </w:rPr>
        <w:t>¿</w:t>
      </w:r>
      <w:r w:rsidRPr="008973DB">
        <w:rPr>
          <w:rFonts w:ascii="Times New Roman" w:hAnsi="Times New Roman" w:cs="Times New Roman"/>
          <w:sz w:val="24"/>
          <w:szCs w:val="24"/>
          <w:u w:val="single"/>
        </w:rPr>
        <w:t>Una mayor depresión</w:t>
      </w:r>
      <w:r w:rsidRPr="008973DB">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8973DB">
        <w:rPr>
          <w:rFonts w:ascii="Times New Roman" w:hAnsi="Times New Roman" w:cs="Times New Roman"/>
          <w:b/>
          <w:sz w:val="24"/>
          <w:szCs w:val="24"/>
        </w:rPr>
        <w:t>24/3/20</w:t>
      </w:r>
      <w:r>
        <w:rPr>
          <w:rFonts w:ascii="Times New Roman" w:hAnsi="Times New Roman" w:cs="Times New Roman"/>
          <w:sz w:val="24"/>
          <w:szCs w:val="24"/>
        </w:rPr>
        <w:t>)</w:t>
      </w:r>
    </w:p>
    <w:p w:rsidR="00B849A0" w:rsidRPr="00716A68" w:rsidRDefault="00B849A0" w:rsidP="00B849A0">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Nueva York.-</w:t>
      </w:r>
      <w:r w:rsidRPr="008973DB">
        <w:rPr>
          <w:rFonts w:ascii="Times New Roman" w:hAnsi="Times New Roman" w:cs="Times New Roman"/>
          <w:sz w:val="24"/>
          <w:szCs w:val="24"/>
        </w:rPr>
        <w:t xml:space="preserve"> </w:t>
      </w:r>
      <w:r w:rsidRPr="00716A68">
        <w:rPr>
          <w:rFonts w:ascii="Times New Roman" w:hAnsi="Times New Roman" w:cs="Times New Roman"/>
          <w:sz w:val="24"/>
          <w:szCs w:val="24"/>
          <w:u w:val="single"/>
        </w:rPr>
        <w:t>La sacudida que le está pegando el COVID-19 a la economía global ha sido más rápida y más severa que la crisis financiera global (CFG) de 2008 y hasta la Gran Depresión.</w:t>
      </w:r>
      <w:r w:rsidRPr="008973DB">
        <w:rPr>
          <w:rFonts w:ascii="Times New Roman" w:hAnsi="Times New Roman" w:cs="Times New Roman"/>
          <w:sz w:val="24"/>
          <w:szCs w:val="24"/>
        </w:rPr>
        <w:t xml:space="preserve"> </w:t>
      </w:r>
      <w:r w:rsidRPr="00716A68">
        <w:rPr>
          <w:rFonts w:ascii="Times New Roman" w:hAnsi="Times New Roman" w:cs="Times New Roman"/>
          <w:color w:val="FF0000"/>
          <w:sz w:val="24"/>
          <w:szCs w:val="24"/>
          <w:u w:val="single"/>
        </w:rPr>
        <w:t xml:space="preserve">En esos dos episodios anteriores, los mercados bursátiles colapsaron el 50% o más, los mercados de crédito se congelaron, hubo quiebras gigantescas, las tasas de desempleo se dispararon por encima del 10% y el PIB se contrajo a una tasa anualizada del </w:t>
      </w:r>
      <w:r w:rsidRPr="00716A68">
        <w:rPr>
          <w:rFonts w:ascii="Times New Roman" w:hAnsi="Times New Roman" w:cs="Times New Roman"/>
          <w:color w:val="FF0000"/>
          <w:sz w:val="24"/>
          <w:szCs w:val="24"/>
          <w:u w:val="single"/>
        </w:rPr>
        <w:lastRenderedPageBreak/>
        <w:t xml:space="preserve">10% o más. Pero todo esto transcurrió en un lapso de alrededor de tres años. En la crisis actual, desenlaces macroeconómicos y financieros igual de sombríos se han materializado en tres semanas. </w:t>
      </w:r>
    </w:p>
    <w:p w:rsidR="00B849A0" w:rsidRPr="008973DB" w:rsidRDefault="00B849A0" w:rsidP="00B849A0">
      <w:pPr>
        <w:spacing w:line="240" w:lineRule="auto"/>
        <w:jc w:val="both"/>
        <w:rPr>
          <w:rFonts w:ascii="Times New Roman" w:hAnsi="Times New Roman" w:cs="Times New Roman"/>
          <w:sz w:val="24"/>
          <w:szCs w:val="24"/>
        </w:rPr>
      </w:pPr>
      <w:r w:rsidRPr="00716A68">
        <w:rPr>
          <w:rFonts w:ascii="Times New Roman" w:hAnsi="Times New Roman" w:cs="Times New Roman"/>
          <w:color w:val="FF0000"/>
          <w:sz w:val="24"/>
          <w:szCs w:val="24"/>
          <w:u w:val="single"/>
        </w:rPr>
        <w:t>A comienzos de este mes, sólo hicieron falta 15 días para que el mercado bursátil de Estados Unidos se derrumbara en terreno bajista (una caída del 20% de su pico) –la caída de ese tipo más rápida de la historia-. Ahora, los mercados están un 35% abajo, los mercados de crédito se han congelado y los diferenciales de crédito (al igual que los bonos basura) se han disparado a los niveles de 2008. Inclusive firmas financieras tradicionales como Goldman Sachs, JP Morgan y Morgan Stanley esperan que el PIB de Estados Unidos caiga a una tasa anualizada del 6% en el primer trimestre, y del 24% al 30% en el segundo. El secretario del Tesoro norteamericano, Steve Mnuchin, ha advertido que la tasa de desempleo podría elevarse por encima del 20% (el doble del nivel pico durante la CFG).</w:t>
      </w:r>
    </w:p>
    <w:p w:rsidR="00B849A0" w:rsidRPr="008973DB" w:rsidRDefault="00B849A0" w:rsidP="00B849A0">
      <w:pPr>
        <w:spacing w:line="240" w:lineRule="auto"/>
        <w:jc w:val="both"/>
        <w:rPr>
          <w:rFonts w:ascii="Times New Roman" w:hAnsi="Times New Roman" w:cs="Times New Roman"/>
          <w:sz w:val="24"/>
          <w:szCs w:val="24"/>
        </w:rPr>
      </w:pPr>
      <w:r w:rsidRPr="00716A68">
        <w:rPr>
          <w:rFonts w:ascii="Times New Roman" w:hAnsi="Times New Roman" w:cs="Times New Roman"/>
          <w:color w:val="FF0000"/>
          <w:sz w:val="24"/>
          <w:szCs w:val="24"/>
          <w:u w:val="single"/>
        </w:rPr>
        <w:t>En otras palabras, cada com</w:t>
      </w:r>
      <w:r>
        <w:rPr>
          <w:rFonts w:ascii="Times New Roman" w:hAnsi="Times New Roman" w:cs="Times New Roman"/>
          <w:color w:val="FF0000"/>
          <w:sz w:val="24"/>
          <w:szCs w:val="24"/>
          <w:u w:val="single"/>
        </w:rPr>
        <w:t>ponente de la demanda agregada -</w:t>
      </w:r>
      <w:r w:rsidRPr="00716A68">
        <w:rPr>
          <w:rFonts w:ascii="Times New Roman" w:hAnsi="Times New Roman" w:cs="Times New Roman"/>
          <w:color w:val="FF0000"/>
          <w:sz w:val="24"/>
          <w:szCs w:val="24"/>
          <w:u w:val="single"/>
        </w:rPr>
        <w:t>consumo, gasto de capital, exportaciones- está en una caída libre sin precedentes. Mientras la mayoría de los analistas interesados han venido antici</w:t>
      </w:r>
      <w:r>
        <w:rPr>
          <w:rFonts w:ascii="Times New Roman" w:hAnsi="Times New Roman" w:cs="Times New Roman"/>
          <w:color w:val="FF0000"/>
          <w:sz w:val="24"/>
          <w:szCs w:val="24"/>
          <w:u w:val="single"/>
        </w:rPr>
        <w:t>pando una crisis en forma de V -</w:t>
      </w:r>
      <w:r w:rsidRPr="00716A68">
        <w:rPr>
          <w:rFonts w:ascii="Times New Roman" w:hAnsi="Times New Roman" w:cs="Times New Roman"/>
          <w:color w:val="FF0000"/>
          <w:sz w:val="24"/>
          <w:szCs w:val="24"/>
          <w:u w:val="single"/>
        </w:rPr>
        <w:t>en la que la producción cae marcadamente durante un trimestre y luego se recupera rápidamente en el próximo-, ahora debería quedar claro que la crisis del COVID-19 es algo totalmente diferente. La contracción que hoy está en marcha no se parece ni a una en V, ni en U, ni en L (una marcada crisis seguida de estancamiento). Más bien, se parece a una contracción en I: una línea vertical que representa un derrumbe de los mercados financieros y de la economía real</w:t>
      </w:r>
      <w:r>
        <w:rPr>
          <w:rFonts w:ascii="Times New Roman" w:hAnsi="Times New Roman" w:cs="Times New Roman"/>
          <w:sz w:val="24"/>
          <w:szCs w:val="24"/>
        </w:rPr>
        <w:t>.</w:t>
      </w:r>
    </w:p>
    <w:p w:rsidR="00B849A0" w:rsidRPr="00505974" w:rsidRDefault="00B849A0" w:rsidP="00B849A0">
      <w:pPr>
        <w:spacing w:line="240" w:lineRule="auto"/>
        <w:jc w:val="both"/>
        <w:rPr>
          <w:rFonts w:ascii="Times New Roman" w:hAnsi="Times New Roman" w:cs="Times New Roman"/>
          <w:color w:val="FF0000"/>
          <w:sz w:val="24"/>
          <w:szCs w:val="24"/>
          <w:u w:val="single"/>
        </w:rPr>
      </w:pPr>
      <w:r w:rsidRPr="00716A68">
        <w:rPr>
          <w:rFonts w:ascii="Times New Roman" w:hAnsi="Times New Roman" w:cs="Times New Roman"/>
          <w:sz w:val="24"/>
          <w:szCs w:val="24"/>
          <w:u w:val="single"/>
        </w:rPr>
        <w:t>Ni siquiera durante la Gran Depresión y la Segunda Guerra Mundial el grueso de la actividad económica literalmente se cerró, como sucede en China, Estados Unidos y Europa hoy</w:t>
      </w:r>
      <w:r w:rsidRPr="008973DB">
        <w:rPr>
          <w:rFonts w:ascii="Times New Roman" w:hAnsi="Times New Roman" w:cs="Times New Roman"/>
          <w:sz w:val="24"/>
          <w:szCs w:val="24"/>
        </w:rPr>
        <w:t xml:space="preserve">. </w:t>
      </w:r>
      <w:r w:rsidRPr="00505974">
        <w:rPr>
          <w:rFonts w:ascii="Times New Roman" w:hAnsi="Times New Roman" w:cs="Times New Roman"/>
          <w:color w:val="FF0000"/>
          <w:sz w:val="24"/>
          <w:szCs w:val="24"/>
          <w:u w:val="single"/>
        </w:rPr>
        <w:t xml:space="preserve">El mejor escenario sería una crisis más severa que la de la CFG (en términos de una menor producción global acumulada), pero de más corta vida, lo que permitiría el retorno a un crecimiento positivo en el cuarto trimestre de este año. En ese caso, los mercados comenzarían a recuperarse cuando aparezca la luz al final del túnel. </w:t>
      </w:r>
    </w:p>
    <w:p w:rsidR="00B849A0" w:rsidRPr="008973DB" w:rsidRDefault="00B849A0" w:rsidP="00B849A0">
      <w:pPr>
        <w:spacing w:line="240" w:lineRule="auto"/>
        <w:jc w:val="both"/>
        <w:rPr>
          <w:rFonts w:ascii="Times New Roman" w:hAnsi="Times New Roman" w:cs="Times New Roman"/>
          <w:sz w:val="24"/>
          <w:szCs w:val="24"/>
        </w:rPr>
      </w:pPr>
      <w:r w:rsidRPr="00505974">
        <w:rPr>
          <w:rFonts w:ascii="Times New Roman" w:hAnsi="Times New Roman" w:cs="Times New Roman"/>
          <w:color w:val="FF0000"/>
          <w:sz w:val="24"/>
          <w:szCs w:val="24"/>
          <w:u w:val="single"/>
        </w:rPr>
        <w:t>Pero el mejor escenario supone varias condiciones. Primero, Estados Unidos, Europa y otras economías muy afectadas necesitarían desplegar medidas generalizadas de testeo, rastreo y tratamiento del COVID-19, cuarentenas obligatorias y un aislamiento a plena escala como el que ha implementado China</w:t>
      </w:r>
      <w:r w:rsidRPr="008973DB">
        <w:rPr>
          <w:rFonts w:ascii="Times New Roman" w:hAnsi="Times New Roman" w:cs="Times New Roman"/>
          <w:sz w:val="24"/>
          <w:szCs w:val="24"/>
        </w:rPr>
        <w:t>. Y, como desarrollar y producir una vacuna en gran escala podría demorar 18 meses, será necesario distribuir antivirales e implementar otras medidas</w:t>
      </w:r>
      <w:r>
        <w:rPr>
          <w:rFonts w:ascii="Times New Roman" w:hAnsi="Times New Roman" w:cs="Times New Roman"/>
          <w:sz w:val="24"/>
          <w:szCs w:val="24"/>
        </w:rPr>
        <w:t xml:space="preserve"> terapéuticas en escala masiva.</w:t>
      </w:r>
    </w:p>
    <w:p w:rsidR="00B849A0" w:rsidRPr="008973DB" w:rsidRDefault="00B849A0" w:rsidP="00B849A0">
      <w:pPr>
        <w:spacing w:line="240" w:lineRule="auto"/>
        <w:jc w:val="both"/>
        <w:rPr>
          <w:rFonts w:ascii="Times New Roman" w:hAnsi="Times New Roman" w:cs="Times New Roman"/>
          <w:sz w:val="24"/>
          <w:szCs w:val="24"/>
        </w:rPr>
      </w:pPr>
      <w:r w:rsidRPr="00505974">
        <w:rPr>
          <w:rFonts w:ascii="Times New Roman" w:hAnsi="Times New Roman" w:cs="Times New Roman"/>
          <w:color w:val="FF0000"/>
          <w:sz w:val="24"/>
          <w:szCs w:val="24"/>
          <w:u w:val="single"/>
        </w:rPr>
        <w:t>Segundo, los responsabl</w:t>
      </w:r>
      <w:r>
        <w:rPr>
          <w:rFonts w:ascii="Times New Roman" w:hAnsi="Times New Roman" w:cs="Times New Roman"/>
          <w:color w:val="FF0000"/>
          <w:sz w:val="24"/>
          <w:szCs w:val="24"/>
          <w:u w:val="single"/>
        </w:rPr>
        <w:t>es de las políticas monetarias -</w:t>
      </w:r>
      <w:r w:rsidRPr="00505974">
        <w:rPr>
          <w:rFonts w:ascii="Times New Roman" w:hAnsi="Times New Roman" w:cs="Times New Roman"/>
          <w:color w:val="FF0000"/>
          <w:sz w:val="24"/>
          <w:szCs w:val="24"/>
          <w:u w:val="single"/>
        </w:rPr>
        <w:t>que ya han hecho en menos de un mes lo que les llevó tres años después de la CFG- deben seguir implementando medidas poco convencionales ante la crisis. Eso significa tasas de interés cero o negativas; una mejor orientación futura; alivio cuantitativo y alivio crediticio (la compra de activos privados) para respaldar a los bancos, las instituciones no bancarias, los fondos del mercado de dinero y hasta las grandes corporaciones (instrumentos para papeles comerciales y bonos corporativos).</w:t>
      </w:r>
      <w:r w:rsidRPr="008973DB">
        <w:rPr>
          <w:rFonts w:ascii="Times New Roman" w:hAnsi="Times New Roman" w:cs="Times New Roman"/>
          <w:sz w:val="24"/>
          <w:szCs w:val="24"/>
        </w:rPr>
        <w:t xml:space="preserve"> La Reserva Federal de Estados Unidos ha expandido sus líneas swap transfronterizas para abordar la inmensa escasez de liquidez en dólares en los mercados globales, pero ahora necesitamos más instrumentos para alentar a los bancos a prestarles a empresas pequeñas y medianas ilíquidas pero aún solventes.</w:t>
      </w:r>
    </w:p>
    <w:p w:rsidR="00B849A0" w:rsidRPr="00505974" w:rsidRDefault="00B849A0" w:rsidP="00B849A0">
      <w:pPr>
        <w:spacing w:line="240" w:lineRule="auto"/>
        <w:jc w:val="both"/>
        <w:rPr>
          <w:rFonts w:ascii="Times New Roman" w:hAnsi="Times New Roman" w:cs="Times New Roman"/>
          <w:sz w:val="24"/>
          <w:szCs w:val="24"/>
          <w:u w:val="single"/>
        </w:rPr>
      </w:pPr>
      <w:r w:rsidRPr="00505974">
        <w:rPr>
          <w:rFonts w:ascii="Times New Roman" w:hAnsi="Times New Roman" w:cs="Times New Roman"/>
          <w:color w:val="FF0000"/>
          <w:sz w:val="24"/>
          <w:szCs w:val="24"/>
          <w:u w:val="single"/>
        </w:rPr>
        <w:t>Tercero, los gobiernos tienen que desplegar un enorme estímulo fiscal, inclusive a través de una “distribución en helicóptero” de desembolsos directos de efectivo a los hogares</w:t>
      </w:r>
      <w:r w:rsidRPr="008973DB">
        <w:rPr>
          <w:rFonts w:ascii="Times New Roman" w:hAnsi="Times New Roman" w:cs="Times New Roman"/>
          <w:sz w:val="24"/>
          <w:szCs w:val="24"/>
        </w:rPr>
        <w:t xml:space="preserve">. Dado el tamaño de la crisis económica, los déficits fiscales en las economías avanzadas necesitarán </w:t>
      </w:r>
      <w:r w:rsidRPr="008973DB">
        <w:rPr>
          <w:rFonts w:ascii="Times New Roman" w:hAnsi="Times New Roman" w:cs="Times New Roman"/>
          <w:sz w:val="24"/>
          <w:szCs w:val="24"/>
        </w:rPr>
        <w:lastRenderedPageBreak/>
        <w:t xml:space="preserve">subir de 2-3% del PIB a alrededor del 10% o más. </w:t>
      </w:r>
      <w:r w:rsidRPr="00505974">
        <w:rPr>
          <w:rFonts w:ascii="Times New Roman" w:hAnsi="Times New Roman" w:cs="Times New Roman"/>
          <w:sz w:val="24"/>
          <w:szCs w:val="24"/>
          <w:u w:val="single"/>
        </w:rPr>
        <w:t>Sólo los gobiernos centrales tienen balances lo suficientemente grades y sólidos como para impedir el colapso del sector privado.</w:t>
      </w:r>
    </w:p>
    <w:p w:rsidR="00B849A0" w:rsidRPr="008973DB" w:rsidRDefault="00B849A0" w:rsidP="00B849A0">
      <w:pPr>
        <w:spacing w:line="240" w:lineRule="auto"/>
        <w:jc w:val="both"/>
        <w:rPr>
          <w:rFonts w:ascii="Times New Roman" w:hAnsi="Times New Roman" w:cs="Times New Roman"/>
          <w:sz w:val="24"/>
          <w:szCs w:val="24"/>
        </w:rPr>
      </w:pPr>
      <w:r w:rsidRPr="00505974">
        <w:rPr>
          <w:rFonts w:ascii="Times New Roman" w:hAnsi="Times New Roman" w:cs="Times New Roman"/>
          <w:color w:val="FF0000"/>
          <w:sz w:val="24"/>
          <w:szCs w:val="24"/>
          <w:u w:val="single"/>
        </w:rPr>
        <w:t>Pero estas intervenciones financiadas con déficits deben monetizarse por completo. Si están financiadas a través de deuda gubernamental estándar, las tasas de interés aumentarían marcadamente y la recuperación quedaría asfixiada en la cuna. Dadas las circunstancias, las intervenciones propuestas desde hace mucho tiempo por los izquierdistas de la escuela de la Teoría Monetaria Moderna, incluido el dinero helicóptero, se han vuelto convencionales</w:t>
      </w:r>
      <w:r w:rsidRPr="008973DB">
        <w:rPr>
          <w:rFonts w:ascii="Times New Roman" w:hAnsi="Times New Roman" w:cs="Times New Roman"/>
          <w:sz w:val="24"/>
          <w:szCs w:val="24"/>
        </w:rPr>
        <w:t>.</w:t>
      </w:r>
    </w:p>
    <w:p w:rsidR="00B849A0" w:rsidRPr="00505974" w:rsidRDefault="00B849A0" w:rsidP="00B849A0">
      <w:pPr>
        <w:spacing w:line="240" w:lineRule="auto"/>
        <w:jc w:val="both"/>
        <w:rPr>
          <w:rFonts w:ascii="Times New Roman" w:hAnsi="Times New Roman" w:cs="Times New Roman"/>
          <w:color w:val="FF0000"/>
          <w:sz w:val="24"/>
          <w:szCs w:val="24"/>
          <w:u w:val="single"/>
        </w:rPr>
      </w:pPr>
      <w:r w:rsidRPr="00505974">
        <w:rPr>
          <w:rFonts w:ascii="Times New Roman" w:hAnsi="Times New Roman" w:cs="Times New Roman"/>
          <w:color w:val="FF0000"/>
          <w:sz w:val="24"/>
          <w:szCs w:val="24"/>
          <w:u w:val="single"/>
        </w:rPr>
        <w:t>Desafortunadamente para el mejor escenario, la respuesta de salud pública en las economías avanzadas ha sido mucho más ineficiente de lo que hacía falta para contener la pandemia, mientras que el paquete de políticas fiscales que se está debatiendo en la actualidad no es ni lo suficientemente grande ni lo suficientemente rápido como para crear las condiciones para una recuperación oportuna. Así, el riesgo de una nueva Gran Depresión, peor que la original –una Mayor Depresión- crece día a día.</w:t>
      </w:r>
    </w:p>
    <w:p w:rsidR="00B849A0" w:rsidRPr="008973DB" w:rsidRDefault="00B849A0" w:rsidP="00B849A0">
      <w:pPr>
        <w:spacing w:line="240" w:lineRule="auto"/>
        <w:jc w:val="both"/>
        <w:rPr>
          <w:rFonts w:ascii="Times New Roman" w:hAnsi="Times New Roman" w:cs="Times New Roman"/>
          <w:sz w:val="24"/>
          <w:szCs w:val="24"/>
        </w:rPr>
      </w:pPr>
      <w:r w:rsidRPr="00505974">
        <w:rPr>
          <w:rFonts w:ascii="Times New Roman" w:hAnsi="Times New Roman" w:cs="Times New Roman"/>
          <w:color w:val="FF0000"/>
          <w:sz w:val="24"/>
          <w:szCs w:val="24"/>
          <w:u w:val="single"/>
        </w:rPr>
        <w:t>A menos que se detenga la pandemia, las economías y mercados en todo el mundo seguirán su caída libre. Pero aún si la pandemia está más o menos contenida, el crecimiento general podría no producirse a fines de 2020</w:t>
      </w:r>
      <w:r w:rsidRPr="008973DB">
        <w:rPr>
          <w:rFonts w:ascii="Times New Roman" w:hAnsi="Times New Roman" w:cs="Times New Roman"/>
          <w:sz w:val="24"/>
          <w:szCs w:val="24"/>
        </w:rPr>
        <w:t xml:space="preserve">. Después de todo, para entonces, muy probablemente comience otra temporada de virus con nuevas mutaciones; las intervenciones terapéuticas con las que cuentan muchos pueden resultar menos efectivas de lo que esperaban. Así, las economías volverán a contraerse </w:t>
      </w:r>
      <w:r>
        <w:rPr>
          <w:rFonts w:ascii="Times New Roman" w:hAnsi="Times New Roman" w:cs="Times New Roman"/>
          <w:sz w:val="24"/>
          <w:szCs w:val="24"/>
        </w:rPr>
        <w:t>y los mercados volverán a caer.</w:t>
      </w:r>
    </w:p>
    <w:p w:rsidR="00B849A0" w:rsidRPr="00505974" w:rsidRDefault="00B849A0" w:rsidP="00B849A0">
      <w:pPr>
        <w:spacing w:line="240" w:lineRule="auto"/>
        <w:jc w:val="both"/>
        <w:rPr>
          <w:rFonts w:ascii="Times New Roman" w:hAnsi="Times New Roman" w:cs="Times New Roman"/>
          <w:color w:val="FF0000"/>
          <w:sz w:val="24"/>
          <w:szCs w:val="24"/>
          <w:u w:val="single"/>
        </w:rPr>
      </w:pPr>
      <w:r w:rsidRPr="00505974">
        <w:rPr>
          <w:rFonts w:ascii="Times New Roman" w:hAnsi="Times New Roman" w:cs="Times New Roman"/>
          <w:color w:val="FF0000"/>
          <w:sz w:val="24"/>
          <w:szCs w:val="24"/>
          <w:u w:val="single"/>
        </w:rPr>
        <w:t>Es más, la respuesta fiscal podría chocar contra una pared si la monetización de déficits gigantescos empieza a producir una inflación alta, especialmente si una serie de shocks de oferta negativos relacionados con el virus reduce el potencial crecimiento. Y muchos países simplemente no pueden asumir un endeudamiento semejante en su propia moneda. ¿Quién rescatará a los gobiernos, las corporaciones, los bancos y los hogares en los mercados emergentes?</w:t>
      </w:r>
    </w:p>
    <w:p w:rsidR="00B849A0" w:rsidRPr="008973DB" w:rsidRDefault="00B849A0" w:rsidP="00B849A0">
      <w:pPr>
        <w:spacing w:line="240" w:lineRule="auto"/>
        <w:jc w:val="both"/>
        <w:rPr>
          <w:rFonts w:ascii="Times New Roman" w:hAnsi="Times New Roman" w:cs="Times New Roman"/>
          <w:sz w:val="24"/>
          <w:szCs w:val="24"/>
        </w:rPr>
      </w:pPr>
      <w:r w:rsidRPr="00505974">
        <w:rPr>
          <w:rFonts w:ascii="Times New Roman" w:hAnsi="Times New Roman" w:cs="Times New Roman"/>
          <w:color w:val="FF0000"/>
          <w:sz w:val="24"/>
          <w:szCs w:val="24"/>
          <w:u w:val="single"/>
        </w:rPr>
        <w:t>Como sea, aún si la pandemia y las repercusiones económicas llegaran a controlarse, la economía global todavía podría ser objeto de una cantidad de riesgos de cola de “cisne blanco”</w:t>
      </w:r>
      <w:r w:rsidRPr="008973DB">
        <w:rPr>
          <w:rFonts w:ascii="Times New Roman" w:hAnsi="Times New Roman" w:cs="Times New Roman"/>
          <w:sz w:val="24"/>
          <w:szCs w:val="24"/>
        </w:rPr>
        <w:t>. Las elecciones presidenciales de Estados Unidos se acercan y la crisis del COVID-19 dará lugar a renovados conflictos entre Occidente y por lo menos cuatro potencias revisionistas</w:t>
      </w:r>
      <w:r>
        <w:rPr>
          <w:rFonts w:ascii="Times New Roman" w:hAnsi="Times New Roman" w:cs="Times New Roman"/>
          <w:sz w:val="24"/>
          <w:szCs w:val="24"/>
        </w:rPr>
        <w:t>: China, Rusia, Irán y Corea d</w:t>
      </w:r>
      <w:r w:rsidRPr="008973DB">
        <w:rPr>
          <w:rFonts w:ascii="Times New Roman" w:hAnsi="Times New Roman" w:cs="Times New Roman"/>
          <w:sz w:val="24"/>
          <w:szCs w:val="24"/>
        </w:rPr>
        <w:t>el Norte, que están recurriendo, en su totalidad, a una guerra cibernética asimétrica para minar a Estados Unidos desde adentro. Los inevitables ataques cibernéticos contra el proceso electoral estadounidense pueden conducir a un resultado final impugnado, con acusaciones de “fraude” y la posibilidad de violenc</w:t>
      </w:r>
      <w:r>
        <w:rPr>
          <w:rFonts w:ascii="Times New Roman" w:hAnsi="Times New Roman" w:cs="Times New Roman"/>
          <w:sz w:val="24"/>
          <w:szCs w:val="24"/>
        </w:rPr>
        <w:t>ia manifiesta y desorden civil.</w:t>
      </w:r>
    </w:p>
    <w:p w:rsidR="00B849A0" w:rsidRPr="00505974" w:rsidRDefault="00B849A0" w:rsidP="00B849A0">
      <w:pPr>
        <w:spacing w:line="240" w:lineRule="auto"/>
        <w:jc w:val="both"/>
        <w:rPr>
          <w:rFonts w:ascii="Times New Roman" w:hAnsi="Times New Roman" w:cs="Times New Roman"/>
          <w:color w:val="FF0000"/>
          <w:sz w:val="24"/>
          <w:szCs w:val="24"/>
          <w:u w:val="single"/>
        </w:rPr>
      </w:pPr>
      <w:r w:rsidRPr="008973DB">
        <w:rPr>
          <w:rFonts w:ascii="Times New Roman" w:hAnsi="Times New Roman" w:cs="Times New Roman"/>
          <w:sz w:val="24"/>
          <w:szCs w:val="24"/>
        </w:rPr>
        <w:t xml:space="preserve">De la misma manera, como he dicho anteriormente, los mercados están subestimando, y mucho, el riesgo de una guerra entre Estados Unidos e Irán este año; el deterioro de las relaciones sino-norteamericanas se está acelerando mientras cada parte responsabiliza a la otra de la escala de la pandemia del COVID-19. </w:t>
      </w:r>
      <w:r w:rsidRPr="00505974">
        <w:rPr>
          <w:rFonts w:ascii="Times New Roman" w:hAnsi="Times New Roman" w:cs="Times New Roman"/>
          <w:color w:val="FF0000"/>
          <w:sz w:val="24"/>
          <w:szCs w:val="24"/>
          <w:u w:val="single"/>
        </w:rPr>
        <w:t>La crisis actual probablemente acelere la balcanización y desmadre en curso de la economía global en los meses y años venideros.</w:t>
      </w:r>
    </w:p>
    <w:p w:rsidR="00B849A0" w:rsidRPr="00487292" w:rsidRDefault="00B849A0" w:rsidP="00B849A0">
      <w:pPr>
        <w:spacing w:line="240" w:lineRule="auto"/>
        <w:jc w:val="both"/>
        <w:rPr>
          <w:rFonts w:ascii="Times New Roman" w:hAnsi="Times New Roman" w:cs="Times New Roman"/>
          <w:sz w:val="24"/>
          <w:szCs w:val="24"/>
          <w:u w:val="single"/>
          <w:lang w:val="en-US"/>
        </w:rPr>
      </w:pPr>
      <w:r>
        <w:rPr>
          <w:rFonts w:ascii="Times New Roman" w:hAnsi="Times New Roman" w:cs="Times New Roman"/>
          <w:sz w:val="24"/>
          <w:szCs w:val="24"/>
          <w:u w:val="single"/>
        </w:rPr>
        <w:t>Esta trifecta de riesgos -</w:t>
      </w:r>
      <w:r w:rsidRPr="00505974">
        <w:rPr>
          <w:rFonts w:ascii="Times New Roman" w:hAnsi="Times New Roman" w:cs="Times New Roman"/>
          <w:sz w:val="24"/>
          <w:szCs w:val="24"/>
          <w:u w:val="single"/>
        </w:rPr>
        <w:t xml:space="preserve">pandemia no contenida, arsenales insuficientes de políticas económicas y cisnes blancos geopolíticos- bastarán para hacer caer a la economía global en una depresión persistente y un derrumbe galopante de los mercados financieros. Después de la crisis de 2008, una respuesta contundente (aunque demorada) logró sacar a la economía global del abismo. </w:t>
      </w:r>
      <w:r w:rsidRPr="00487292">
        <w:rPr>
          <w:rFonts w:ascii="Times New Roman" w:hAnsi="Times New Roman" w:cs="Times New Roman"/>
          <w:sz w:val="24"/>
          <w:szCs w:val="24"/>
          <w:u w:val="single"/>
          <w:lang w:val="en-US"/>
        </w:rPr>
        <w:t>Quizás esta vez no tengamos tanta suerte.</w:t>
      </w:r>
    </w:p>
    <w:p w:rsidR="00B849A0" w:rsidRPr="001A588A" w:rsidRDefault="00B849A0" w:rsidP="00B849A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w:t>
      </w:r>
      <w:r w:rsidRPr="008973DB">
        <w:rPr>
          <w:rFonts w:ascii="Times New Roman" w:hAnsi="Times New Roman" w:cs="Times New Roman"/>
          <w:sz w:val="24"/>
          <w:szCs w:val="24"/>
          <w:lang w:val="en-US"/>
        </w:rPr>
        <w:t>Nouriel Roubini, Professor of Economics at New York University's Stern School of Business and Chairman of Roubini Macro Associates, was Senior Economist for International Affairs in the White House’s Council of Economic Advisers during the Clinton Administration. He has worked for the International Monetary Fund, the US Feder</w:t>
      </w:r>
      <w:r>
        <w:rPr>
          <w:rFonts w:ascii="Times New Roman" w:hAnsi="Times New Roman" w:cs="Times New Roman"/>
          <w:sz w:val="24"/>
          <w:szCs w:val="24"/>
          <w:lang w:val="en-US"/>
        </w:rPr>
        <w:t>al Reserve, and the World Bank</w:t>
      </w:r>
      <w:r w:rsidRPr="001A588A">
        <w:rPr>
          <w:rFonts w:ascii="Times New Roman" w:hAnsi="Times New Roman" w:cs="Times New Roman"/>
          <w:sz w:val="24"/>
          <w:szCs w:val="24"/>
          <w:lang w:val="en-US"/>
        </w:rPr>
        <w:t>)</w:t>
      </w:r>
    </w:p>
    <w:p w:rsidR="00B849A0" w:rsidRPr="00061EA1" w:rsidRDefault="00B849A0" w:rsidP="00B849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61EA1">
        <w:rPr>
          <w:rFonts w:ascii="Times New Roman" w:hAnsi="Times New Roman" w:cs="Times New Roman"/>
          <w:sz w:val="24"/>
          <w:szCs w:val="24"/>
          <w:u w:val="single"/>
        </w:rPr>
        <w:t>Cuánto durará el desplome bursátil y cómo se recuperará</w:t>
      </w:r>
      <w:r>
        <w:rPr>
          <w:rFonts w:ascii="Times New Roman" w:hAnsi="Times New Roman" w:cs="Times New Roman"/>
          <w:sz w:val="24"/>
          <w:szCs w:val="24"/>
        </w:rPr>
        <w:t xml:space="preserve"> (Expansión - FT - </w:t>
      </w:r>
      <w:r w:rsidRPr="00061EA1">
        <w:rPr>
          <w:rFonts w:ascii="Times New Roman" w:hAnsi="Times New Roman" w:cs="Times New Roman"/>
          <w:b/>
          <w:sz w:val="24"/>
          <w:szCs w:val="24"/>
        </w:rPr>
        <w:t>28/3/20</w:t>
      </w:r>
      <w:r>
        <w:rPr>
          <w:rFonts w:ascii="Times New Roman" w:hAnsi="Times New Roman" w:cs="Times New Roman"/>
          <w:sz w:val="24"/>
          <w:szCs w:val="24"/>
        </w:rPr>
        <w:t>)</w:t>
      </w:r>
    </w:p>
    <w:p w:rsidR="00B849A0" w:rsidRDefault="00B849A0" w:rsidP="00B849A0">
      <w:pPr>
        <w:spacing w:line="240" w:lineRule="auto"/>
        <w:jc w:val="both"/>
        <w:rPr>
          <w:rFonts w:ascii="Times New Roman" w:hAnsi="Times New Roman" w:cs="Times New Roman"/>
          <w:sz w:val="24"/>
          <w:szCs w:val="24"/>
          <w:lang w:val="en-US"/>
        </w:rPr>
      </w:pPr>
      <w:r w:rsidRPr="00DB3BC1">
        <w:rPr>
          <w:rFonts w:ascii="Times New Roman" w:hAnsi="Times New Roman" w:cs="Times New Roman"/>
          <w:sz w:val="24"/>
          <w:szCs w:val="24"/>
          <w:lang w:val="en-US"/>
        </w:rPr>
        <w:t>(Por Robin Wigglesworth - Financial Times)</w:t>
      </w:r>
    </w:p>
    <w:p w:rsidR="00B849A0" w:rsidRPr="00EA5174" w:rsidRDefault="00B849A0" w:rsidP="00B849A0">
      <w:pPr>
        <w:spacing w:line="240" w:lineRule="auto"/>
        <w:jc w:val="both"/>
        <w:rPr>
          <w:rFonts w:ascii="Times New Roman" w:hAnsi="Times New Roman" w:cs="Times New Roman"/>
          <w:color w:val="FF0000"/>
          <w:sz w:val="24"/>
          <w:szCs w:val="24"/>
          <w:u w:val="single"/>
        </w:rPr>
      </w:pPr>
      <w:r w:rsidRPr="00EA5174">
        <w:rPr>
          <w:rFonts w:ascii="Times New Roman" w:hAnsi="Times New Roman" w:cs="Times New Roman"/>
          <w:color w:val="FF0000"/>
          <w:sz w:val="24"/>
          <w:szCs w:val="24"/>
          <w:u w:val="single"/>
        </w:rPr>
        <w:t>Las estadísticas desde el año 1800 indican que la bolsa de EEUU se ha desplomado en las crisis, de media, un 38% y que han necesitado 60 meses para recuperarse.</w:t>
      </w:r>
    </w:p>
    <w:p w:rsidR="00B849A0" w:rsidRPr="00D7645D" w:rsidRDefault="00B849A0" w:rsidP="00B849A0">
      <w:pPr>
        <w:spacing w:line="240" w:lineRule="auto"/>
        <w:jc w:val="both"/>
        <w:rPr>
          <w:rFonts w:ascii="Times New Roman" w:hAnsi="Times New Roman" w:cs="Times New Roman"/>
          <w:sz w:val="24"/>
          <w:szCs w:val="24"/>
          <w:u w:val="single"/>
        </w:rPr>
      </w:pPr>
      <w:r w:rsidRPr="00EA5174">
        <w:rPr>
          <w:rFonts w:ascii="Times New Roman" w:hAnsi="Times New Roman" w:cs="Times New Roman"/>
          <w:sz w:val="24"/>
          <w:szCs w:val="24"/>
          <w:u w:val="single"/>
        </w:rPr>
        <w:t>La larga racha alcista de las bolsas estadounidenses ha acabado de forma cruenta. Pero la duración de este mercado bajista dependerá principalmente del tipo de convulsión que termine suponiendo para la economía el coronavirus -y de las otras vulnerabilida</w:t>
      </w:r>
      <w:r w:rsidR="00D7645D">
        <w:rPr>
          <w:rFonts w:ascii="Times New Roman" w:hAnsi="Times New Roman" w:cs="Times New Roman"/>
          <w:sz w:val="24"/>
          <w:szCs w:val="24"/>
          <w:u w:val="single"/>
        </w:rPr>
        <w:t>des que haga emerger o agrave-.</w:t>
      </w:r>
    </w:p>
    <w:p w:rsidR="00B849A0" w:rsidRDefault="00B849A0" w:rsidP="00B849A0">
      <w:pPr>
        <w:spacing w:line="240" w:lineRule="auto"/>
        <w:jc w:val="both"/>
        <w:rPr>
          <w:rFonts w:ascii="Times New Roman" w:hAnsi="Times New Roman" w:cs="Times New Roman"/>
          <w:sz w:val="24"/>
          <w:szCs w:val="24"/>
        </w:rPr>
      </w:pPr>
      <w:r>
        <w:rPr>
          <w:noProof/>
          <w:lang w:eastAsia="es-ES"/>
        </w:rPr>
        <w:drawing>
          <wp:inline distT="0" distB="0" distL="0" distR="0" wp14:anchorId="16BDD848" wp14:editId="0C1F128F">
            <wp:extent cx="5734049" cy="2711450"/>
            <wp:effectExtent l="0" t="0" r="635" b="0"/>
            <wp:docPr id="38" name="Imagen 38" descr="https://e00-expansion.uecdn.es/assets/multimedia/imagenes/2020/03/27/15853436354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20/03/27/15853436354238.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710249"/>
                    </a:xfrm>
                    <a:prstGeom prst="rect">
                      <a:avLst/>
                    </a:prstGeom>
                    <a:noFill/>
                    <a:ln>
                      <a:noFill/>
                    </a:ln>
                  </pic:spPr>
                </pic:pic>
              </a:graphicData>
            </a:graphic>
          </wp:inline>
        </w:drawing>
      </w:r>
    </w:p>
    <w:p w:rsidR="00B849A0" w:rsidRPr="00EA5174" w:rsidRDefault="00B849A0" w:rsidP="00B849A0">
      <w:pPr>
        <w:spacing w:line="240" w:lineRule="auto"/>
        <w:jc w:val="both"/>
        <w:rPr>
          <w:rFonts w:ascii="Times New Roman" w:hAnsi="Times New Roman" w:cs="Times New Roman"/>
          <w:color w:val="FF0000"/>
          <w:sz w:val="24"/>
          <w:szCs w:val="24"/>
          <w:u w:val="single"/>
        </w:rPr>
      </w:pPr>
      <w:r w:rsidRPr="00EA5174">
        <w:rPr>
          <w:rFonts w:ascii="Times New Roman" w:hAnsi="Times New Roman" w:cs="Times New Roman"/>
          <w:color w:val="FF0000"/>
          <w:sz w:val="24"/>
          <w:szCs w:val="24"/>
          <w:u w:val="single"/>
        </w:rPr>
        <w:t>El S&amp;P 500 está un 24% por debajo de su máximo, lo que lleva a los analistas y a los inversores a preguntarse si esto representa una oportunidad para volver a la Bolsa, o si las caídas se prolongarán.</w:t>
      </w:r>
    </w:p>
    <w:p w:rsidR="00B849A0" w:rsidRPr="00061EA1" w:rsidRDefault="00B849A0" w:rsidP="00B849A0">
      <w:pPr>
        <w:spacing w:line="240" w:lineRule="auto"/>
        <w:jc w:val="both"/>
        <w:rPr>
          <w:rFonts w:ascii="Times New Roman" w:hAnsi="Times New Roman" w:cs="Times New Roman"/>
          <w:sz w:val="24"/>
          <w:szCs w:val="24"/>
        </w:rPr>
      </w:pPr>
      <w:r w:rsidRPr="00061EA1">
        <w:rPr>
          <w:rFonts w:ascii="Times New Roman" w:hAnsi="Times New Roman" w:cs="Times New Roman"/>
          <w:sz w:val="24"/>
          <w:szCs w:val="24"/>
        </w:rPr>
        <w:t>El responsable de estrategia global de Goldman Sachs, Peter Oppenheimer, ha contabilizado 27 mercados bajistas desde la primera década del siglo XIX. Oppenheimer halló que el descenso medio es del 38%, y que las acci</w:t>
      </w:r>
      <w:r>
        <w:rPr>
          <w:rFonts w:ascii="Times New Roman" w:hAnsi="Times New Roman" w:cs="Times New Roman"/>
          <w:sz w:val="24"/>
          <w:szCs w:val="24"/>
        </w:rPr>
        <w:t>ones estadounidenses han necesit</w:t>
      </w:r>
      <w:r w:rsidRPr="00061EA1">
        <w:rPr>
          <w:rFonts w:ascii="Times New Roman" w:hAnsi="Times New Roman" w:cs="Times New Roman"/>
          <w:sz w:val="24"/>
          <w:szCs w:val="24"/>
        </w:rPr>
        <w:t>ado de media 60 meses para volver a su máximo previo. Sin embargo, el grado de dispersión entre los distintos tipos de me</w:t>
      </w:r>
      <w:r>
        <w:rPr>
          <w:rFonts w:ascii="Times New Roman" w:hAnsi="Times New Roman" w:cs="Times New Roman"/>
          <w:sz w:val="24"/>
          <w:szCs w:val="24"/>
        </w:rPr>
        <w:t>rcado bajista es significativo.</w:t>
      </w:r>
    </w:p>
    <w:p w:rsidR="00B849A0" w:rsidRPr="00EA5174" w:rsidRDefault="00B849A0" w:rsidP="00B849A0">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1. Los mercados bajistas “estructurales”</w:t>
      </w:r>
      <w:r w:rsidRPr="00EA5174">
        <w:rPr>
          <w:rFonts w:ascii="Times New Roman" w:hAnsi="Times New Roman" w:cs="Times New Roman"/>
          <w:color w:val="FF0000"/>
          <w:sz w:val="24"/>
          <w:szCs w:val="24"/>
        </w:rPr>
        <w:t>, que están provocados por desequilibrios económicos profundamente arraigados y por el estallido de burbujas financieras, se han traducido de media en un hundimiento del 57%, y han tardado 111 meses en recuperar su último pico.</w:t>
      </w:r>
    </w:p>
    <w:p w:rsidR="00B849A0" w:rsidRPr="00EA5174" w:rsidRDefault="00B849A0" w:rsidP="00B849A0">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2. Los mercados bajistas “cíclicos”</w:t>
      </w:r>
      <w:r w:rsidRPr="00EA5174">
        <w:rPr>
          <w:rFonts w:ascii="Times New Roman" w:hAnsi="Times New Roman" w:cs="Times New Roman"/>
          <w:color w:val="FF0000"/>
          <w:sz w:val="24"/>
          <w:szCs w:val="24"/>
        </w:rPr>
        <w:t>, más comunes y corrientes, donde la subida de los tipos de interés asfixia la actividad económica y reduce los beneficios corporativos, han derivado habitualmente en una caída de la Bolsa estadounidense del 31%, y la recuperación ha necesitado por término medio 50 meses.</w:t>
      </w:r>
    </w:p>
    <w:p w:rsidR="00B849A0" w:rsidRPr="00EA5174" w:rsidRDefault="00B849A0" w:rsidP="00B849A0">
      <w:pPr>
        <w:spacing w:line="240" w:lineRule="auto"/>
        <w:jc w:val="both"/>
        <w:rPr>
          <w:rFonts w:ascii="Times New Roman" w:hAnsi="Times New Roman" w:cs="Times New Roman"/>
          <w:color w:val="FF0000"/>
          <w:sz w:val="24"/>
          <w:szCs w:val="24"/>
        </w:rPr>
      </w:pPr>
      <w:r w:rsidRPr="00EA5174">
        <w:rPr>
          <w:rFonts w:ascii="Times New Roman" w:hAnsi="Times New Roman" w:cs="Times New Roman"/>
          <w:color w:val="FF0000"/>
          <w:sz w:val="24"/>
          <w:szCs w:val="24"/>
        </w:rPr>
        <w:lastRenderedPageBreak/>
        <w:t>3. Por otra par</w:t>
      </w:r>
      <w:r>
        <w:rPr>
          <w:rFonts w:ascii="Times New Roman" w:hAnsi="Times New Roman" w:cs="Times New Roman"/>
          <w:color w:val="FF0000"/>
          <w:sz w:val="24"/>
          <w:szCs w:val="24"/>
        </w:rPr>
        <w:t>te están los mercados bajistas “</w:t>
      </w:r>
      <w:r w:rsidRPr="00EA5174">
        <w:rPr>
          <w:rFonts w:ascii="Times New Roman" w:hAnsi="Times New Roman" w:cs="Times New Roman"/>
          <w:color w:val="FF0000"/>
          <w:sz w:val="24"/>
          <w:szCs w:val="24"/>
        </w:rPr>
        <w:t>provo</w:t>
      </w:r>
      <w:r>
        <w:rPr>
          <w:rFonts w:ascii="Times New Roman" w:hAnsi="Times New Roman" w:cs="Times New Roman"/>
          <w:color w:val="FF0000"/>
          <w:sz w:val="24"/>
          <w:szCs w:val="24"/>
        </w:rPr>
        <w:t>cados por un suceso (temáticos)”</w:t>
      </w:r>
      <w:r w:rsidRPr="00EA5174">
        <w:rPr>
          <w:rFonts w:ascii="Times New Roman" w:hAnsi="Times New Roman" w:cs="Times New Roman"/>
          <w:color w:val="FF0000"/>
          <w:sz w:val="24"/>
          <w:szCs w:val="24"/>
        </w:rPr>
        <w:t>. Son los ocasionados por alguna conmoción extraordinaria como una guerra, el repunte del precio del petróleo, una crisis de los mercados emergentes o un episodio financiero dramático breve como el desplome del Lunes Negro. Ésta es la categoría a la que mejor parece ajustarse el escenario del coronavirus, según Oppenheimer. Este tipo de mercados bajistas ocasiona por término medio una caída más modesta del 29%, y sólo dura 15 meses.</w:t>
      </w:r>
    </w:p>
    <w:p w:rsidR="00B849A0" w:rsidRPr="00EA5174" w:rsidRDefault="00B849A0" w:rsidP="00B849A0">
      <w:pPr>
        <w:spacing w:line="240" w:lineRule="auto"/>
        <w:jc w:val="both"/>
        <w:rPr>
          <w:rFonts w:ascii="Times New Roman" w:hAnsi="Times New Roman" w:cs="Times New Roman"/>
          <w:b/>
          <w:color w:val="FF0000"/>
          <w:sz w:val="24"/>
          <w:szCs w:val="24"/>
          <w:u w:val="single"/>
        </w:rPr>
      </w:pPr>
      <w:r w:rsidRPr="00EA5174">
        <w:rPr>
          <w:rFonts w:ascii="Times New Roman" w:hAnsi="Times New Roman" w:cs="Times New Roman"/>
          <w:b/>
          <w:color w:val="FF0000"/>
          <w:sz w:val="24"/>
          <w:szCs w:val="24"/>
          <w:u w:val="single"/>
        </w:rPr>
        <w:t>Sin embargo, Oppenheimer acentúa que existen razones para pensar que el actual mercado bajista puede resultar más doloroso que otros episodios causados por acontecimientos.</w:t>
      </w:r>
    </w:p>
    <w:p w:rsidR="00B849A0" w:rsidRPr="00061EA1" w:rsidRDefault="00B849A0" w:rsidP="00B849A0">
      <w:pPr>
        <w:spacing w:line="240" w:lineRule="auto"/>
        <w:jc w:val="both"/>
        <w:rPr>
          <w:rFonts w:ascii="Times New Roman" w:hAnsi="Times New Roman" w:cs="Times New Roman"/>
          <w:sz w:val="24"/>
          <w:szCs w:val="24"/>
        </w:rPr>
      </w:pPr>
      <w:r w:rsidRPr="00061EA1">
        <w:rPr>
          <w:rFonts w:ascii="Times New Roman" w:hAnsi="Times New Roman" w:cs="Times New Roman"/>
          <w:sz w:val="24"/>
          <w:szCs w:val="24"/>
        </w:rPr>
        <w:t>Una pandemia global supone un nuevo peligro sin precedentes modernos, y los tipos de interés están ya extremadamente bajos en la mayoría de la economía global, lo que implica que los bancos centrales disponen de menos pólvora para mitigar el impacto, según advir</w:t>
      </w:r>
      <w:r>
        <w:rPr>
          <w:rFonts w:ascii="Times New Roman" w:hAnsi="Times New Roman" w:cs="Times New Roman"/>
          <w:sz w:val="24"/>
          <w:szCs w:val="24"/>
        </w:rPr>
        <w:t>tió el ejecutivo.</w:t>
      </w:r>
    </w:p>
    <w:p w:rsidR="00B849A0" w:rsidRDefault="00B849A0" w:rsidP="00B849A0">
      <w:pPr>
        <w:spacing w:line="240" w:lineRule="auto"/>
        <w:jc w:val="both"/>
        <w:rPr>
          <w:rFonts w:ascii="Times New Roman" w:hAnsi="Times New Roman" w:cs="Times New Roman"/>
          <w:sz w:val="24"/>
          <w:szCs w:val="24"/>
        </w:rPr>
      </w:pPr>
      <w:r w:rsidRPr="00061EA1">
        <w:rPr>
          <w:rFonts w:ascii="Times New Roman" w:hAnsi="Times New Roman" w:cs="Times New Roman"/>
          <w:sz w:val="24"/>
          <w:szCs w:val="24"/>
        </w:rPr>
        <w:t>Por lo tanto, este mercado bajista podría mutar en algo mucho más pernicioso y duradero.</w:t>
      </w:r>
    </w:p>
    <w:p w:rsidR="00B849A0" w:rsidRPr="006530EA" w:rsidRDefault="00B849A0" w:rsidP="00B849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530EA">
        <w:rPr>
          <w:rFonts w:ascii="Times New Roman" w:hAnsi="Times New Roman" w:cs="Times New Roman"/>
          <w:sz w:val="24"/>
          <w:szCs w:val="24"/>
          <w:u w:val="single"/>
        </w:rPr>
        <w:t>La guerra que libramos contra la COVID-19</w:t>
      </w:r>
      <w:r>
        <w:rPr>
          <w:rFonts w:ascii="Times New Roman" w:hAnsi="Times New Roman" w:cs="Times New Roman"/>
          <w:sz w:val="24"/>
          <w:szCs w:val="24"/>
        </w:rPr>
        <w:t xml:space="preserve"> (Project Syndicate - </w:t>
      </w:r>
      <w:r w:rsidRPr="006530EA">
        <w:rPr>
          <w:rFonts w:ascii="Times New Roman" w:hAnsi="Times New Roman" w:cs="Times New Roman"/>
          <w:b/>
          <w:sz w:val="24"/>
          <w:szCs w:val="24"/>
        </w:rPr>
        <w:t>27/3/20</w:t>
      </w:r>
      <w:r>
        <w:rPr>
          <w:rFonts w:ascii="Times New Roman" w:hAnsi="Times New Roman" w:cs="Times New Roman"/>
          <w:sz w:val="24"/>
          <w:szCs w:val="24"/>
        </w:rPr>
        <w:t>)</w:t>
      </w:r>
    </w:p>
    <w:p w:rsidR="00B849A0" w:rsidRPr="002D4361" w:rsidRDefault="00B849A0" w:rsidP="00B849A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Hong Kong.-</w:t>
      </w:r>
      <w:r w:rsidRPr="006530EA">
        <w:rPr>
          <w:rFonts w:ascii="Times New Roman" w:hAnsi="Times New Roman" w:cs="Times New Roman"/>
          <w:sz w:val="24"/>
          <w:szCs w:val="24"/>
        </w:rPr>
        <w:t xml:space="preserve"> </w:t>
      </w:r>
      <w:r w:rsidRPr="002D4361">
        <w:rPr>
          <w:rFonts w:ascii="Times New Roman" w:hAnsi="Times New Roman" w:cs="Times New Roman"/>
          <w:sz w:val="24"/>
          <w:szCs w:val="24"/>
          <w:u w:val="single"/>
        </w:rPr>
        <w:t>El mundo está en guerra. El enemigo es resistente, despiadado e impredecible, no distingue razas, nacionalidades, ideologías ni riqueza. Ya dio muerte a más de 26 000 personas e infectó a más de 566 000. Desde trabajadores comunes, hasta el primer ministro y el príncipe heredero del Reino Unido. Ha detenido economías, colapsado los sistemas de atención sanitaria y obligado a cientos de millones de personas a quedarse confinadas en sus hogares. Y no retrocederá.</w:t>
      </w:r>
    </w:p>
    <w:p w:rsidR="00B849A0" w:rsidRPr="002D4361" w:rsidRDefault="00B849A0" w:rsidP="00B849A0">
      <w:pPr>
        <w:spacing w:line="240" w:lineRule="auto"/>
        <w:jc w:val="both"/>
        <w:rPr>
          <w:rFonts w:ascii="Times New Roman" w:hAnsi="Times New Roman" w:cs="Times New Roman"/>
          <w:sz w:val="24"/>
          <w:szCs w:val="24"/>
          <w:u w:val="single"/>
        </w:rPr>
      </w:pPr>
      <w:r w:rsidRPr="006530EA">
        <w:rPr>
          <w:rFonts w:ascii="Times New Roman" w:hAnsi="Times New Roman" w:cs="Times New Roman"/>
          <w:sz w:val="24"/>
          <w:szCs w:val="24"/>
        </w:rPr>
        <w:t xml:space="preserve">A diferencia de una guerra convencional, la pandemia de la COVID-19 no es una opción ni una competencia. No se puede consensuar un cese del fuego ni firmar un acuerdo. Y, sin vacunas ni curas eficaces, el mundo cuenta con pocas armas para combatirla. </w:t>
      </w:r>
      <w:r w:rsidRPr="002D4361">
        <w:rPr>
          <w:rFonts w:ascii="Times New Roman" w:hAnsi="Times New Roman" w:cs="Times New Roman"/>
          <w:sz w:val="24"/>
          <w:szCs w:val="24"/>
          <w:u w:val="single"/>
        </w:rPr>
        <w:t>La ú</w:t>
      </w:r>
      <w:r>
        <w:rPr>
          <w:rFonts w:ascii="Times New Roman" w:hAnsi="Times New Roman" w:cs="Times New Roman"/>
          <w:sz w:val="24"/>
          <w:szCs w:val="24"/>
          <w:u w:val="single"/>
        </w:rPr>
        <w:t>nica forma de recuperar la paz -</w:t>
      </w:r>
      <w:r w:rsidRPr="002D4361">
        <w:rPr>
          <w:rFonts w:ascii="Times New Roman" w:hAnsi="Times New Roman" w:cs="Times New Roman"/>
          <w:sz w:val="24"/>
          <w:szCs w:val="24"/>
          <w:u w:val="single"/>
        </w:rPr>
        <w:t>o, al menos, de evitar una falla sistémica hasta que s</w:t>
      </w:r>
      <w:r>
        <w:rPr>
          <w:rFonts w:ascii="Times New Roman" w:hAnsi="Times New Roman" w:cs="Times New Roman"/>
          <w:sz w:val="24"/>
          <w:szCs w:val="24"/>
          <w:u w:val="single"/>
        </w:rPr>
        <w:t>e desarrolle un arma más eficaz-</w:t>
      </w:r>
      <w:r w:rsidRPr="002D4361">
        <w:rPr>
          <w:rFonts w:ascii="Times New Roman" w:hAnsi="Times New Roman" w:cs="Times New Roman"/>
          <w:sz w:val="24"/>
          <w:szCs w:val="24"/>
          <w:u w:val="single"/>
        </w:rPr>
        <w:t xml:space="preserve"> es con un enfoque que integre a todo el gobierno, toda la sociedad y todo el mundo.</w:t>
      </w:r>
    </w:p>
    <w:p w:rsidR="00B849A0" w:rsidRPr="002D4361" w:rsidRDefault="00B849A0" w:rsidP="00B849A0">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El imperativo más urgente es garantizar que la primera línea no sea sobrepasada. Como muestra un estudio del Imperial College, la mejor forma de lograrlo es con el distanciamiento social temprano y decidido: mantener a la gente separada para desacelerar el contagio. Esto reemplaza una «curva de pandemia con un pico» exponencial de contagios con otra «aplastada», en la cual los casos graves no superan la capacidad del sistema sanitario.</w:t>
      </w:r>
    </w:p>
    <w:p w:rsidR="00B849A0" w:rsidRPr="006530EA" w:rsidRDefault="00B849A0" w:rsidP="00B849A0">
      <w:pPr>
        <w:spacing w:line="240" w:lineRule="auto"/>
        <w:jc w:val="both"/>
        <w:rPr>
          <w:rFonts w:ascii="Times New Roman" w:hAnsi="Times New Roman" w:cs="Times New Roman"/>
          <w:sz w:val="24"/>
          <w:szCs w:val="24"/>
        </w:rPr>
      </w:pPr>
      <w:r w:rsidRPr="006530EA">
        <w:rPr>
          <w:rFonts w:ascii="Times New Roman" w:hAnsi="Times New Roman" w:cs="Times New Roman"/>
          <w:sz w:val="24"/>
          <w:szCs w:val="24"/>
        </w:rPr>
        <w:t>No es lo que ocurrió Wuhan, China, cuando apareció el virus. Las autoridades no eran conscientes de la patología ni del potencial de la COVID-19 y tuvieron que correr por detrás de los acontecimientos, con demoras que probablemente hayan aumentado la cantidad total de muertes. Tampoco es lo que ocurrió en Italia, donde el sistema de salud colapsó rápidamente y la cantidad de muertes s</w:t>
      </w:r>
      <w:r>
        <w:rPr>
          <w:rFonts w:ascii="Times New Roman" w:hAnsi="Times New Roman" w:cs="Times New Roman"/>
          <w:sz w:val="24"/>
          <w:szCs w:val="24"/>
        </w:rPr>
        <w:t>upera el doble de las de China.</w:t>
      </w:r>
    </w:p>
    <w:p w:rsidR="00B849A0" w:rsidRPr="002D4361" w:rsidRDefault="00B849A0" w:rsidP="00B849A0">
      <w:pPr>
        <w:spacing w:line="240" w:lineRule="auto"/>
        <w:jc w:val="both"/>
        <w:rPr>
          <w:rFonts w:ascii="Times New Roman" w:hAnsi="Times New Roman" w:cs="Times New Roman"/>
          <w:sz w:val="24"/>
          <w:szCs w:val="24"/>
          <w:u w:val="single"/>
        </w:rPr>
      </w:pPr>
      <w:r w:rsidRPr="002D4361">
        <w:rPr>
          <w:rFonts w:ascii="Times New Roman" w:hAnsi="Times New Roman" w:cs="Times New Roman"/>
          <w:sz w:val="24"/>
          <w:szCs w:val="24"/>
          <w:u w:val="single"/>
        </w:rPr>
        <w:t>La lección es clara: los gobiernos deben implementar medidas de confinamiento con urgencia. Tanto China como Italia lo hicieron (aunque las medidas más draconianas de China, junto con factores demográficos y otras acciones como la construcción de hospitales especia</w:t>
      </w:r>
      <w:r>
        <w:rPr>
          <w:rFonts w:ascii="Times New Roman" w:hAnsi="Times New Roman" w:cs="Times New Roman"/>
          <w:sz w:val="24"/>
          <w:szCs w:val="24"/>
          <w:u w:val="single"/>
        </w:rPr>
        <w:t>les para la COVID-19,</w:t>
      </w:r>
      <w:r w:rsidRPr="002D4361">
        <w:rPr>
          <w:rFonts w:ascii="Times New Roman" w:hAnsi="Times New Roman" w:cs="Times New Roman"/>
          <w:sz w:val="24"/>
          <w:szCs w:val="24"/>
          <w:u w:val="single"/>
        </w:rPr>
        <w:t xml:space="preserve"> resultaron más eficaces).</w:t>
      </w:r>
    </w:p>
    <w:p w:rsidR="00B849A0" w:rsidRPr="002D4361" w:rsidRDefault="00B849A0" w:rsidP="00B849A0">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 xml:space="preserve">Sin embargo, aunque esas acciones son fundamentales para proteger la salud pública, afectan gravemente a la economía. Cuanto más se extienda el confinamiento, mayor es la </w:t>
      </w:r>
      <w:r w:rsidRPr="002D4361">
        <w:rPr>
          <w:rFonts w:ascii="Times New Roman" w:hAnsi="Times New Roman" w:cs="Times New Roman"/>
          <w:color w:val="FF0000"/>
          <w:sz w:val="24"/>
          <w:szCs w:val="24"/>
          <w:u w:val="single"/>
        </w:rPr>
        <w:lastRenderedPageBreak/>
        <w:t>probabilidad del desempleo a gran escala, el colapso de la demanda y la recesión, especialmente si tenemos en cuenta las burbujas mundiales de activos que existen desde hace tiempo, fomentadas por tasas de interés nulas o negativas.</w:t>
      </w:r>
    </w:p>
    <w:p w:rsidR="00B849A0" w:rsidRPr="002D4361" w:rsidRDefault="00B849A0" w:rsidP="00B849A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economía mundial del “modelo justo a tiempo”</w:t>
      </w:r>
      <w:r w:rsidRPr="002D4361">
        <w:rPr>
          <w:rFonts w:ascii="Times New Roman" w:hAnsi="Times New Roman" w:cs="Times New Roman"/>
          <w:color w:val="FF0000"/>
          <w:sz w:val="24"/>
          <w:szCs w:val="24"/>
          <w:u w:val="single"/>
        </w:rPr>
        <w:t xml:space="preserve"> no puede sobrevivir a más de dos meses de conf</w:t>
      </w:r>
      <w:r>
        <w:rPr>
          <w:rFonts w:ascii="Times New Roman" w:hAnsi="Times New Roman" w:cs="Times New Roman"/>
          <w:color w:val="FF0000"/>
          <w:sz w:val="24"/>
          <w:szCs w:val="24"/>
          <w:u w:val="single"/>
        </w:rPr>
        <w:t>inamiento antes de llegar a su “momento Minsky”</w:t>
      </w:r>
      <w:r w:rsidRPr="002D4361">
        <w:rPr>
          <w:rFonts w:ascii="Times New Roman" w:hAnsi="Times New Roman" w:cs="Times New Roman"/>
          <w:color w:val="FF0000"/>
          <w:sz w:val="24"/>
          <w:szCs w:val="24"/>
          <w:u w:val="single"/>
        </w:rPr>
        <w:t>: cuando los inversores comienzan sus ventas de pánico, la bonanza se convierte en crac y estalla la burbuja. Los mercados de valores occidentales ya se han desplomado. En Estados Unidos, el Promedio Industrial Dow Jones, incluso con su reciente repunte, va rumbo a su peor momento desde la Gran Depresión.</w:t>
      </w:r>
    </w:p>
    <w:p w:rsidR="00B849A0" w:rsidRPr="006530EA" w:rsidRDefault="00B849A0" w:rsidP="00B849A0">
      <w:pPr>
        <w:spacing w:line="240" w:lineRule="auto"/>
        <w:jc w:val="both"/>
        <w:rPr>
          <w:rFonts w:ascii="Times New Roman" w:hAnsi="Times New Roman" w:cs="Times New Roman"/>
          <w:sz w:val="24"/>
          <w:szCs w:val="24"/>
        </w:rPr>
      </w:pPr>
      <w:r w:rsidRPr="006530EA">
        <w:rPr>
          <w:rFonts w:ascii="Times New Roman" w:hAnsi="Times New Roman" w:cs="Times New Roman"/>
          <w:sz w:val="24"/>
          <w:szCs w:val="24"/>
        </w:rPr>
        <w:t xml:space="preserve">A pesar de que el mercado bursátil chino hasta el momento ha soportado el confinamiento sin caídas bruscas, en gran medida porque ya se había visto afectado </w:t>
      </w:r>
      <w:r>
        <w:rPr>
          <w:rFonts w:ascii="Times New Roman" w:hAnsi="Times New Roman" w:cs="Times New Roman"/>
          <w:sz w:val="24"/>
          <w:szCs w:val="24"/>
        </w:rPr>
        <w:t>por la guerra comercial con EEUU</w:t>
      </w:r>
      <w:r w:rsidRPr="006530EA">
        <w:rPr>
          <w:rFonts w:ascii="Times New Roman" w:hAnsi="Times New Roman" w:cs="Times New Roman"/>
          <w:sz w:val="24"/>
          <w:szCs w:val="24"/>
        </w:rPr>
        <w:t xml:space="preserve">, se han destruido enormes riquezas. Durante los primeros dos meses de 2020, el valor agregado industrial de las empresas grandes y medianas chinas cayó el 13,5 % interanual; la inversión urbana en activos fijos se desplomó el 24,5 %; y las ventas minoristas totales bajaron un 20,5 %. En diciembre de 2019, por el contrario, esos tres indicadores habían aumentado el 6,9 %, 5,4 % y </w:t>
      </w:r>
      <w:r>
        <w:rPr>
          <w:rFonts w:ascii="Times New Roman" w:hAnsi="Times New Roman" w:cs="Times New Roman"/>
          <w:sz w:val="24"/>
          <w:szCs w:val="24"/>
        </w:rPr>
        <w:t>8 %, respectivamente.</w:t>
      </w:r>
    </w:p>
    <w:p w:rsidR="00B849A0" w:rsidRPr="002D4361" w:rsidRDefault="00B849A0" w:rsidP="00B849A0">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El mensaje es claro: Aunque el confinamiento es fundamental, también lo son las acciones firmes para estimular la producción y el consumo. En el corto plazo, esto puede implicar una política monetaria y fiscal activa, pero el potencial de esas medidas es limitado. Incluso la rápida intervención de la Reserva Federal estadounidense para recortar las tasas de interés y prometer la inyección de billones de dólares no logró detener la caída del mercado de valores.</w:t>
      </w:r>
    </w:p>
    <w:p w:rsidR="00B849A0" w:rsidRPr="002D4361" w:rsidRDefault="00B849A0" w:rsidP="00B849A0">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 xml:space="preserve">Las medidas fiscales podrían tener un impacto mayor. De hecho, fue la aprobación legislativa de un paquete de estabilización </w:t>
      </w:r>
      <w:r>
        <w:rPr>
          <w:rFonts w:ascii="Times New Roman" w:hAnsi="Times New Roman" w:cs="Times New Roman"/>
          <w:color w:val="FF0000"/>
          <w:sz w:val="24"/>
          <w:szCs w:val="24"/>
          <w:u w:val="single"/>
        </w:rPr>
        <w:t>económica de 2 billones de USD -</w:t>
      </w:r>
      <w:r w:rsidRPr="002D4361">
        <w:rPr>
          <w:rFonts w:ascii="Times New Roman" w:hAnsi="Times New Roman" w:cs="Times New Roman"/>
          <w:color w:val="FF0000"/>
          <w:sz w:val="24"/>
          <w:szCs w:val="24"/>
          <w:u w:val="single"/>
        </w:rPr>
        <w:t>que incluye pagos directos a los contribuyentes, beneficios por desempleo y un fondo de 500 000 millo</w:t>
      </w:r>
      <w:r>
        <w:rPr>
          <w:rFonts w:ascii="Times New Roman" w:hAnsi="Times New Roman" w:cs="Times New Roman"/>
          <w:color w:val="FF0000"/>
          <w:sz w:val="24"/>
          <w:szCs w:val="24"/>
          <w:u w:val="single"/>
        </w:rPr>
        <w:t>nes para asistir a las empresas-</w:t>
      </w:r>
      <w:r w:rsidRPr="002D4361">
        <w:rPr>
          <w:rFonts w:ascii="Times New Roman" w:hAnsi="Times New Roman" w:cs="Times New Roman"/>
          <w:color w:val="FF0000"/>
          <w:sz w:val="24"/>
          <w:szCs w:val="24"/>
          <w:u w:val="single"/>
        </w:rPr>
        <w:t xml:space="preserve"> lo que detuvo la caída del mercado bursátil estadounidense. Pero incluso eso tiene sus limitaciones frente a un confinamiento prolongado.</w:t>
      </w:r>
    </w:p>
    <w:p w:rsidR="00B849A0" w:rsidRPr="002D4361" w:rsidRDefault="00B849A0" w:rsidP="00B849A0">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Las reservas de efectivo de la mayoría de los trabajadores y empresas son limitadas. Un reciente estudio de Brookings señala que el 44 % de los estadounidenses son trabajadores por hora con bajas remuneraciones, y una encuesta de la Fed de 2019 sugiere que el 40 % de los estadounidenses adultos no podría cubrir un gasto inesperado de $</w:t>
      </w:r>
      <w:r>
        <w:rPr>
          <w:rFonts w:ascii="Times New Roman" w:hAnsi="Times New Roman" w:cs="Times New Roman"/>
          <w:color w:val="FF0000"/>
          <w:sz w:val="24"/>
          <w:szCs w:val="24"/>
          <w:u w:val="single"/>
        </w:rPr>
        <w:t xml:space="preserve"> </w:t>
      </w:r>
      <w:r w:rsidRPr="002D4361">
        <w:rPr>
          <w:rFonts w:ascii="Times New Roman" w:hAnsi="Times New Roman" w:cs="Times New Roman"/>
          <w:color w:val="FF0000"/>
          <w:sz w:val="24"/>
          <w:szCs w:val="24"/>
          <w:u w:val="single"/>
        </w:rPr>
        <w:t>400 con efectivo o ahorros, o con sus tarjetas de crédito y repagarlo rápidamente.</w:t>
      </w:r>
    </w:p>
    <w:p w:rsidR="00B849A0" w:rsidRPr="002D4361" w:rsidRDefault="00B849A0" w:rsidP="00B849A0">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En la Unión Euro</w:t>
      </w:r>
      <w:r>
        <w:rPr>
          <w:rFonts w:ascii="Times New Roman" w:hAnsi="Times New Roman" w:cs="Times New Roman"/>
          <w:color w:val="FF0000"/>
          <w:sz w:val="24"/>
          <w:szCs w:val="24"/>
          <w:u w:val="single"/>
        </w:rPr>
        <w:t>pea, el 22,4 % de la población -112,8 millones de personas-</w:t>
      </w:r>
      <w:r w:rsidRPr="002D4361">
        <w:rPr>
          <w:rFonts w:ascii="Times New Roman" w:hAnsi="Times New Roman" w:cs="Times New Roman"/>
          <w:color w:val="FF0000"/>
          <w:sz w:val="24"/>
          <w:szCs w:val="24"/>
          <w:u w:val="single"/>
        </w:rPr>
        <w:t xml:space="preserve"> vivían en hogares con riesgo de pobreza o exclusión social en 2017. No es gente que pueda permitirse una interrupción en sus ingresos por mucho tiempo. Y, como muchos de ellos se ocupan de tareas que no permiten el trabajo remoto, eso es exactamente lo que ocurriría con un confinamiento prolongado.</w:t>
      </w:r>
    </w:p>
    <w:p w:rsidR="00B849A0" w:rsidRPr="00544E3D" w:rsidRDefault="00B849A0" w:rsidP="00B849A0">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La probabilidad de todo eso aumenta más todavía porque muchos de sus empleadores no serían capaces de seguir pagándoles</w:t>
      </w:r>
      <w:r w:rsidRPr="006530EA">
        <w:rPr>
          <w:rFonts w:ascii="Times New Roman" w:hAnsi="Times New Roman" w:cs="Times New Roman"/>
          <w:sz w:val="24"/>
          <w:szCs w:val="24"/>
        </w:rPr>
        <w:t xml:space="preserve">. </w:t>
      </w:r>
      <w:r w:rsidRPr="00544E3D">
        <w:rPr>
          <w:rFonts w:ascii="Times New Roman" w:hAnsi="Times New Roman" w:cs="Times New Roman"/>
          <w:color w:val="FF0000"/>
          <w:sz w:val="24"/>
          <w:szCs w:val="24"/>
          <w:u w:val="single"/>
        </w:rPr>
        <w:t>JP Morgan estima que las reservas promedio de efectivo alcanzan para 16 días en el caso de los restaurantes, 19 días para las tiendas minoristas, 27 días para las pequeñas empresas, 33 días para los servicios de alta tecnología y 47 días para las empresas de bienes raíces.</w:t>
      </w:r>
    </w:p>
    <w:p w:rsidR="00B849A0" w:rsidRPr="00544E3D" w:rsidRDefault="00B849A0" w:rsidP="00B849A0">
      <w:pPr>
        <w:spacing w:line="240" w:lineRule="auto"/>
        <w:jc w:val="both"/>
        <w:rPr>
          <w:rFonts w:ascii="Times New Roman" w:hAnsi="Times New Roman" w:cs="Times New Roman"/>
          <w:color w:val="FF0000"/>
          <w:sz w:val="24"/>
          <w:szCs w:val="24"/>
          <w:u w:val="single"/>
        </w:rPr>
      </w:pPr>
      <w:r w:rsidRPr="00544E3D">
        <w:rPr>
          <w:rFonts w:ascii="Times New Roman" w:hAnsi="Times New Roman" w:cs="Times New Roman"/>
          <w:color w:val="FF0000"/>
          <w:sz w:val="24"/>
          <w:szCs w:val="24"/>
          <w:u w:val="single"/>
        </w:rPr>
        <w:t>La Organización Mundial del Trabajo prevé la pérdida de entre 5,3 y 24,7 millones de empleos por la pandemia. (La crisis de 2008 aumentó el desempleo mundial e</w:t>
      </w:r>
      <w:r>
        <w:rPr>
          <w:rFonts w:ascii="Times New Roman" w:hAnsi="Times New Roman" w:cs="Times New Roman"/>
          <w:color w:val="FF0000"/>
          <w:sz w:val="24"/>
          <w:szCs w:val="24"/>
          <w:u w:val="single"/>
        </w:rPr>
        <w:t xml:space="preserve">n 22 millones). </w:t>
      </w:r>
      <w:r>
        <w:rPr>
          <w:rFonts w:ascii="Times New Roman" w:hAnsi="Times New Roman" w:cs="Times New Roman"/>
          <w:color w:val="FF0000"/>
          <w:sz w:val="24"/>
          <w:szCs w:val="24"/>
          <w:u w:val="single"/>
        </w:rPr>
        <w:lastRenderedPageBreak/>
        <w:t>Tan solo en EEUU</w:t>
      </w:r>
      <w:r w:rsidRPr="00544E3D">
        <w:rPr>
          <w:rFonts w:ascii="Times New Roman" w:hAnsi="Times New Roman" w:cs="Times New Roman"/>
          <w:color w:val="FF0000"/>
          <w:sz w:val="24"/>
          <w:szCs w:val="24"/>
          <w:u w:val="single"/>
        </w:rPr>
        <w:t>, 3,3 millones de personas solicitaron beneficios por desempleo la semana pasada, un tercio más que lo estimado por Goldman Sachs (2,25 millones).</w:t>
      </w:r>
    </w:p>
    <w:p w:rsidR="00B849A0" w:rsidRPr="00544E3D" w:rsidRDefault="00B849A0" w:rsidP="00B849A0">
      <w:pPr>
        <w:spacing w:line="240" w:lineRule="auto"/>
        <w:jc w:val="both"/>
        <w:rPr>
          <w:rFonts w:ascii="Times New Roman" w:hAnsi="Times New Roman" w:cs="Times New Roman"/>
          <w:color w:val="FF0000"/>
          <w:sz w:val="24"/>
          <w:szCs w:val="24"/>
          <w:u w:val="single"/>
        </w:rPr>
      </w:pPr>
      <w:r w:rsidRPr="00544E3D">
        <w:rPr>
          <w:rFonts w:ascii="Times New Roman" w:hAnsi="Times New Roman" w:cs="Times New Roman"/>
          <w:color w:val="FF0000"/>
          <w:sz w:val="24"/>
          <w:szCs w:val="24"/>
          <w:u w:val="single"/>
        </w:rPr>
        <w:t>Sin embargo, no hay muchos motivos para esperar que la pandemia concluya rápida y definitivamente. Según el Imperial College, incluso si pronto alcanza su punto máximo, habrá brotes más pequeños que podrían requerir confinamientos reiterados, hasta que se desarrolle, pruebe, fabrique y distribuya ampliamente una vacuna eficaz, un proceso que requeriría como mínimo entre 12 y 18 meses.</w:t>
      </w:r>
    </w:p>
    <w:p w:rsidR="00B849A0" w:rsidRPr="006530EA" w:rsidRDefault="00B849A0" w:rsidP="00B849A0">
      <w:pPr>
        <w:spacing w:line="240" w:lineRule="auto"/>
        <w:jc w:val="both"/>
        <w:rPr>
          <w:rFonts w:ascii="Times New Roman" w:hAnsi="Times New Roman" w:cs="Times New Roman"/>
          <w:sz w:val="24"/>
          <w:szCs w:val="24"/>
        </w:rPr>
      </w:pPr>
      <w:r w:rsidRPr="006530EA">
        <w:rPr>
          <w:rFonts w:ascii="Times New Roman" w:hAnsi="Times New Roman" w:cs="Times New Roman"/>
          <w:sz w:val="24"/>
          <w:szCs w:val="24"/>
        </w:rPr>
        <w:t>El mundo solo tiene una esperanza para contrarrestar las consecuencias de las periódicas paralizaciones económicas durante este período: la cooperación. Eso incluye tanto las políticas económicas coordinadas como el libre intercambio</w:t>
      </w:r>
      <w:r>
        <w:rPr>
          <w:rFonts w:ascii="Times New Roman" w:hAnsi="Times New Roman" w:cs="Times New Roman"/>
          <w:sz w:val="24"/>
          <w:szCs w:val="24"/>
        </w:rPr>
        <w:t xml:space="preserve"> de conocimiento e información.</w:t>
      </w:r>
    </w:p>
    <w:p w:rsidR="00B849A0" w:rsidRPr="006530EA" w:rsidRDefault="00B849A0" w:rsidP="00B849A0">
      <w:pPr>
        <w:spacing w:line="240" w:lineRule="auto"/>
        <w:jc w:val="both"/>
        <w:rPr>
          <w:rFonts w:ascii="Times New Roman" w:hAnsi="Times New Roman" w:cs="Times New Roman"/>
          <w:sz w:val="24"/>
          <w:szCs w:val="24"/>
        </w:rPr>
      </w:pPr>
      <w:r w:rsidRPr="006530EA">
        <w:rPr>
          <w:rFonts w:ascii="Times New Roman" w:hAnsi="Times New Roman" w:cs="Times New Roman"/>
          <w:sz w:val="24"/>
          <w:szCs w:val="24"/>
        </w:rPr>
        <w:t>Como en cualquier guerra, la lucha contra la COVID-19 perjudicará más a quienes ya son vulnerables. A menos que los países logren superar el nacionalismo destruc</w:t>
      </w:r>
      <w:r>
        <w:rPr>
          <w:rFonts w:ascii="Times New Roman" w:hAnsi="Times New Roman" w:cs="Times New Roman"/>
          <w:sz w:val="24"/>
          <w:szCs w:val="24"/>
        </w:rPr>
        <w:t>tivo y la competencia mezquina -</w:t>
      </w:r>
      <w:r w:rsidRPr="006530EA">
        <w:rPr>
          <w:rFonts w:ascii="Times New Roman" w:hAnsi="Times New Roman" w:cs="Times New Roman"/>
          <w:sz w:val="24"/>
          <w:szCs w:val="24"/>
        </w:rPr>
        <w:t>como la insistencia del presidente estadounidense Donald</w:t>
      </w:r>
      <w:r>
        <w:rPr>
          <w:rFonts w:ascii="Times New Roman" w:hAnsi="Times New Roman" w:cs="Times New Roman"/>
          <w:sz w:val="24"/>
          <w:szCs w:val="24"/>
        </w:rPr>
        <w:t xml:space="preserve"> Trump en llamar a la COVID-19 “</w:t>
      </w:r>
      <w:r w:rsidRPr="006530EA">
        <w:rPr>
          <w:rFonts w:ascii="Times New Roman" w:hAnsi="Times New Roman" w:cs="Times New Roman"/>
          <w:sz w:val="24"/>
          <w:szCs w:val="24"/>
        </w:rPr>
        <w:t>el vi</w:t>
      </w:r>
      <w:r>
        <w:rPr>
          <w:rFonts w:ascii="Times New Roman" w:hAnsi="Times New Roman" w:cs="Times New Roman"/>
          <w:sz w:val="24"/>
          <w:szCs w:val="24"/>
        </w:rPr>
        <w:t>rus chino”-</w:t>
      </w:r>
      <w:r w:rsidRPr="006530EA">
        <w:rPr>
          <w:rFonts w:ascii="Times New Roman" w:hAnsi="Times New Roman" w:cs="Times New Roman"/>
          <w:sz w:val="24"/>
          <w:szCs w:val="24"/>
        </w:rPr>
        <w:t>, millones de personas sufrirán. La furia resultante podría llevar al mundo hacia el conflicto convencional, y causar aún</w:t>
      </w:r>
      <w:r>
        <w:rPr>
          <w:rFonts w:ascii="Times New Roman" w:hAnsi="Times New Roman" w:cs="Times New Roman"/>
          <w:sz w:val="24"/>
          <w:szCs w:val="24"/>
        </w:rPr>
        <w:t xml:space="preserve"> más destrucción y sufrimiento.</w:t>
      </w:r>
    </w:p>
    <w:p w:rsidR="00B849A0" w:rsidRPr="00554313" w:rsidRDefault="00B849A0" w:rsidP="00B849A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rPr>
        <w:t>En las pandemias, es</w:t>
      </w:r>
      <w:r w:rsidRPr="006530EA">
        <w:rPr>
          <w:rFonts w:ascii="Times New Roman" w:hAnsi="Times New Roman" w:cs="Times New Roman"/>
          <w:sz w:val="24"/>
          <w:szCs w:val="24"/>
        </w:rPr>
        <w:t xml:space="preserve"> como las guerras, no importa quién tiene la razón, sino quien queda en pie. </w:t>
      </w:r>
      <w:r w:rsidRPr="00554313">
        <w:rPr>
          <w:rFonts w:ascii="Times New Roman" w:hAnsi="Times New Roman" w:cs="Times New Roman"/>
          <w:sz w:val="24"/>
          <w:szCs w:val="24"/>
          <w:lang w:val="en-US"/>
        </w:rPr>
        <w:t>Necesitamos una alianza mundial para lograr la victoria.</w:t>
      </w:r>
    </w:p>
    <w:p w:rsidR="00B849A0" w:rsidRDefault="00B849A0" w:rsidP="00B849A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6530EA">
        <w:rPr>
          <w:rFonts w:ascii="Times New Roman" w:hAnsi="Times New Roman" w:cs="Times New Roman"/>
          <w:sz w:val="24"/>
          <w:szCs w:val="24"/>
          <w:lang w:val="en-US"/>
        </w:rPr>
        <w:t>Andrew Sheng, Distinguished Fellow of the Asia Global Institute at the University of Hong Kong and a member of the UNEP Advisory Council on Sustainable Finance, is a former chairman of the Hong Kong Securities and Futures Commission. His latest book is From Asian to Global Financial Crisis.</w:t>
      </w:r>
      <w:r>
        <w:rPr>
          <w:rFonts w:ascii="Times New Roman" w:hAnsi="Times New Roman" w:cs="Times New Roman"/>
          <w:sz w:val="24"/>
          <w:szCs w:val="24"/>
          <w:lang w:val="en-US"/>
        </w:rPr>
        <w:t xml:space="preserve"> </w:t>
      </w:r>
      <w:r w:rsidRPr="006530EA">
        <w:rPr>
          <w:rFonts w:ascii="Times New Roman" w:hAnsi="Times New Roman" w:cs="Times New Roman"/>
          <w:sz w:val="24"/>
          <w:szCs w:val="24"/>
          <w:lang w:val="en-US"/>
        </w:rPr>
        <w:t xml:space="preserve">Xiao Geng, President of the Hong Kong Institution for International Finance, is a professor and Director of the Research Institute of Maritime Silk-Road at Peking </w:t>
      </w:r>
      <w:r>
        <w:rPr>
          <w:rFonts w:ascii="Times New Roman" w:hAnsi="Times New Roman" w:cs="Times New Roman"/>
          <w:sz w:val="24"/>
          <w:szCs w:val="24"/>
          <w:lang w:val="en-US"/>
        </w:rPr>
        <w:t>University HSBC Business School)</w:t>
      </w:r>
    </w:p>
    <w:p w:rsidR="00B849A0" w:rsidRPr="00DE236D" w:rsidRDefault="00B849A0" w:rsidP="00B849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Reinhart: “</w:t>
      </w:r>
      <w:r w:rsidRPr="00DE236D">
        <w:rPr>
          <w:rFonts w:ascii="Times New Roman" w:hAnsi="Times New Roman" w:cs="Times New Roman"/>
          <w:sz w:val="24"/>
          <w:szCs w:val="24"/>
          <w:u w:val="single"/>
        </w:rPr>
        <w:t>La crisis creada por el coronavirus será la mayor desde la Gran Depresión</w:t>
      </w:r>
      <w:r>
        <w:rPr>
          <w:rFonts w:ascii="Times New Roman" w:hAnsi="Times New Roman" w:cs="Times New Roman"/>
          <w:sz w:val="24"/>
          <w:szCs w:val="24"/>
        </w:rPr>
        <w:t xml:space="preserve">” (El Economista - </w:t>
      </w:r>
      <w:r w:rsidRPr="00DE236D">
        <w:rPr>
          <w:rFonts w:ascii="Times New Roman" w:hAnsi="Times New Roman" w:cs="Times New Roman"/>
          <w:b/>
          <w:sz w:val="24"/>
          <w:szCs w:val="24"/>
        </w:rPr>
        <w:t>30/3/20</w:t>
      </w:r>
      <w:r>
        <w:rPr>
          <w:rFonts w:ascii="Times New Roman" w:hAnsi="Times New Roman" w:cs="Times New Roman"/>
          <w:sz w:val="24"/>
          <w:szCs w:val="24"/>
        </w:rPr>
        <w:t>)</w:t>
      </w:r>
    </w:p>
    <w:p w:rsidR="00B849A0" w:rsidRPr="00554313" w:rsidRDefault="00B849A0" w:rsidP="00B849A0">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Pr="00554313">
        <w:rPr>
          <w:rFonts w:ascii="Times New Roman" w:hAnsi="Times New Roman" w:cs="Times New Roman"/>
          <w:color w:val="FF0000"/>
          <w:sz w:val="24"/>
          <w:szCs w:val="24"/>
        </w:rPr>
        <w:t>La probabilidad de una recupera</w:t>
      </w:r>
      <w:r>
        <w:rPr>
          <w:rFonts w:ascii="Times New Roman" w:hAnsi="Times New Roman" w:cs="Times New Roman"/>
          <w:color w:val="FF0000"/>
          <w:sz w:val="24"/>
          <w:szCs w:val="24"/>
        </w:rPr>
        <w:t>ción con forma de V es muy baja”</w:t>
      </w:r>
    </w:p>
    <w:p w:rsidR="00B849A0" w:rsidRPr="00554313" w:rsidRDefault="00B849A0" w:rsidP="00B849A0">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Pr="00554313">
        <w:rPr>
          <w:rFonts w:ascii="Times New Roman" w:hAnsi="Times New Roman" w:cs="Times New Roman"/>
          <w:color w:val="FF0000"/>
          <w:sz w:val="24"/>
          <w:szCs w:val="24"/>
        </w:rPr>
        <w:t>Existe un claro riesgo en Europa de que esto se convierta en u</w:t>
      </w:r>
      <w:r>
        <w:rPr>
          <w:rFonts w:ascii="Times New Roman" w:hAnsi="Times New Roman" w:cs="Times New Roman"/>
          <w:color w:val="FF0000"/>
          <w:sz w:val="24"/>
          <w:szCs w:val="24"/>
        </w:rPr>
        <w:t>na crisis financiera y de deuda”</w:t>
      </w:r>
    </w:p>
    <w:p w:rsidR="00B849A0" w:rsidRPr="00554313" w:rsidRDefault="00B849A0" w:rsidP="00B849A0">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Pr="00554313">
        <w:rPr>
          <w:rFonts w:ascii="Times New Roman" w:hAnsi="Times New Roman" w:cs="Times New Roman"/>
          <w:color w:val="FF0000"/>
          <w:sz w:val="24"/>
          <w:szCs w:val="24"/>
        </w:rPr>
        <w:t xml:space="preserve">Restaurar el comercio global tal cual lo conocíamos </w:t>
      </w:r>
      <w:r>
        <w:rPr>
          <w:rFonts w:ascii="Times New Roman" w:hAnsi="Times New Roman" w:cs="Times New Roman"/>
          <w:color w:val="FF0000"/>
          <w:sz w:val="24"/>
          <w:szCs w:val="24"/>
        </w:rPr>
        <w:t>antes del virus no va a ocurrir”</w:t>
      </w:r>
    </w:p>
    <w:p w:rsidR="00B849A0" w:rsidRPr="00DE236D" w:rsidRDefault="00B849A0" w:rsidP="00B849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E236D">
        <w:rPr>
          <w:rFonts w:ascii="Times New Roman" w:hAnsi="Times New Roman" w:cs="Times New Roman"/>
          <w:sz w:val="24"/>
          <w:szCs w:val="24"/>
        </w:rPr>
        <w:t>José Luis de Haro</w:t>
      </w:r>
      <w:r>
        <w:rPr>
          <w:rFonts w:ascii="Times New Roman" w:hAnsi="Times New Roman" w:cs="Times New Roman"/>
          <w:sz w:val="24"/>
          <w:szCs w:val="24"/>
        </w:rPr>
        <w:t>)</w:t>
      </w:r>
    </w:p>
    <w:p w:rsidR="00B849A0" w:rsidRPr="00554313" w:rsidRDefault="00B849A0" w:rsidP="00B849A0">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Carmen Reinhart, actual profesora de Sistema Financiero Internacional en la Escuela Kennedy de la Universidad de Harvard, es junto a Kenneth Rogoff, una de las economistas que ha dedicado su vida a estudiar y entender las crisis económicas a lo largo de la historia, tanto en economías desarrolladas como países emergentes. Además de su bagaje académico fue subdirectora gerente del Fondo Monetario Internacional y economista jefa del perecido banco de inversión Bear Stearns. Actualmente es consejera de la Reserva Federal de Nueva York y miembro del panel de economistas de la Oficina Presupuestaria del Congreso (CBO, por sus siglas en inglés).</w:t>
      </w:r>
    </w:p>
    <w:p w:rsidR="00B849A0" w:rsidRPr="00554313" w:rsidRDefault="00B849A0" w:rsidP="00B849A0">
      <w:pPr>
        <w:spacing w:line="240" w:lineRule="auto"/>
        <w:jc w:val="both"/>
        <w:rPr>
          <w:rFonts w:ascii="Times New Roman" w:hAnsi="Times New Roman" w:cs="Times New Roman"/>
          <w:sz w:val="24"/>
          <w:szCs w:val="24"/>
          <w:u w:val="single"/>
        </w:rPr>
      </w:pPr>
      <w:r w:rsidRPr="00DE236D">
        <w:rPr>
          <w:rFonts w:ascii="Times New Roman" w:hAnsi="Times New Roman" w:cs="Times New Roman"/>
          <w:sz w:val="24"/>
          <w:szCs w:val="24"/>
        </w:rPr>
        <w:lastRenderedPageBreak/>
        <w:t xml:space="preserve">El Fondo Monetario Internacional habla ya de una recesión económica global mayor a la vista durante la crisis financiera, </w:t>
      </w:r>
      <w:r w:rsidRPr="00554313">
        <w:rPr>
          <w:rFonts w:ascii="Times New Roman" w:hAnsi="Times New Roman" w:cs="Times New Roman"/>
          <w:sz w:val="24"/>
          <w:szCs w:val="24"/>
          <w:u w:val="single"/>
        </w:rPr>
        <w:t>¿será la crisis económica provocada por el COVID-19 la más profunda desde la Gran Depresión?</w:t>
      </w:r>
    </w:p>
    <w:p w:rsidR="00B849A0" w:rsidRPr="00DE236D" w:rsidRDefault="00B849A0" w:rsidP="00B849A0">
      <w:pPr>
        <w:spacing w:line="240" w:lineRule="auto"/>
        <w:jc w:val="both"/>
        <w:rPr>
          <w:rFonts w:ascii="Times New Roman" w:hAnsi="Times New Roman" w:cs="Times New Roman"/>
          <w:sz w:val="24"/>
          <w:szCs w:val="24"/>
        </w:rPr>
      </w:pPr>
      <w:r w:rsidRPr="001A588A">
        <w:rPr>
          <w:rFonts w:ascii="Times New Roman" w:hAnsi="Times New Roman" w:cs="Times New Roman"/>
          <w:color w:val="FF0000"/>
          <w:sz w:val="24"/>
          <w:szCs w:val="24"/>
          <w:u w:val="single"/>
        </w:rPr>
        <w:t>Así lo creo por distintos motivos. La crisis global del 2008 fue una crisis de 11 países avanzados, incluyendo España, Estados Unidos o Reino Unido. Los países emergentes se recuperaron muy fuerte dado que los precios de las commodities ayudaron mucho. La crisis de los años 80 fue más una crisis de emergentes. La crisis actual es global, como en los años 30, y está dividida entre avanzados y emergentes casi por igual. Otro factor muy parecido es el desplome del comercio internacional</w:t>
      </w:r>
      <w:r w:rsidRPr="001A588A">
        <w:rPr>
          <w:rFonts w:ascii="Times New Roman" w:hAnsi="Times New Roman" w:cs="Times New Roman"/>
          <w:sz w:val="24"/>
          <w:szCs w:val="24"/>
          <w:u w:val="single"/>
        </w:rPr>
        <w:t>.</w:t>
      </w:r>
      <w:r w:rsidRPr="00DE236D">
        <w:rPr>
          <w:rFonts w:ascii="Times New Roman" w:hAnsi="Times New Roman" w:cs="Times New Roman"/>
          <w:sz w:val="24"/>
          <w:szCs w:val="24"/>
        </w:rPr>
        <w:t xml:space="preserve"> Obviamente en 2008 también hubo una fuerte caída del comercio, pero esta vez venimos de </w:t>
      </w:r>
      <w:r w:rsidRPr="00554313">
        <w:rPr>
          <w:rFonts w:ascii="Times New Roman" w:hAnsi="Times New Roman" w:cs="Times New Roman"/>
          <w:sz w:val="24"/>
          <w:szCs w:val="24"/>
          <w:u w:val="single"/>
        </w:rPr>
        <w:t>una base más debilitada por el Brexit y la guerra comercial de Trump con China.</w:t>
      </w:r>
      <w:r w:rsidRPr="00DE236D">
        <w:rPr>
          <w:rFonts w:ascii="Times New Roman" w:hAnsi="Times New Roman" w:cs="Times New Roman"/>
          <w:sz w:val="24"/>
          <w:szCs w:val="24"/>
        </w:rPr>
        <w:t xml:space="preserve"> Si miramos el crecimiento del comercio internacional, el volumen en los 10 años antes de la crisis era alrededor del 6%. Durante los 10 últimos años ha sido más cerca de 2,5%. La depresión del comercio global se parece mucho también a los 30. El último factor que quiero mencionar es </w:t>
      </w:r>
      <w:r w:rsidRPr="00554313">
        <w:rPr>
          <w:rFonts w:ascii="Times New Roman" w:hAnsi="Times New Roman" w:cs="Times New Roman"/>
          <w:sz w:val="24"/>
          <w:szCs w:val="24"/>
          <w:u w:val="single"/>
        </w:rPr>
        <w:t>el shock de la guerra de precios entre Rusia y Arabia Saudita y el desplome de las materias primas</w:t>
      </w:r>
      <w:r w:rsidRPr="00DE236D">
        <w:rPr>
          <w:rFonts w:ascii="Times New Roman" w:hAnsi="Times New Roman" w:cs="Times New Roman"/>
          <w:sz w:val="24"/>
          <w:szCs w:val="24"/>
        </w:rPr>
        <w:t>. Ecuador, Angola y Argelia están al punto del default.</w:t>
      </w:r>
    </w:p>
    <w:p w:rsidR="00B849A0" w:rsidRPr="00554313" w:rsidRDefault="00B849A0" w:rsidP="00B849A0">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¿Supondrá entonces esto un desencadenante para los productores de crudo de países emergentes?</w:t>
      </w:r>
    </w:p>
    <w:p w:rsidR="00B849A0" w:rsidRPr="00554313" w:rsidRDefault="00B849A0" w:rsidP="00B849A0">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Sí, será el beso de la muerte y llevo preocupada por los emergentes hace ya más de un año.</w:t>
      </w:r>
      <w:r w:rsidRPr="00DE236D">
        <w:rPr>
          <w:rFonts w:ascii="Times New Roman" w:hAnsi="Times New Roman" w:cs="Times New Roman"/>
          <w:sz w:val="24"/>
          <w:szCs w:val="24"/>
        </w:rPr>
        <w:t xml:space="preserve"> En Ecuador, por ejemplo, el precio del petróleo que ellos asumían en su programa fiscal era de 48 dólares el barril. Ahora estamos a menos de la mitad. </w:t>
      </w:r>
      <w:r w:rsidRPr="00554313">
        <w:rPr>
          <w:rFonts w:ascii="Times New Roman" w:hAnsi="Times New Roman" w:cs="Times New Roman"/>
          <w:sz w:val="24"/>
          <w:szCs w:val="24"/>
          <w:u w:val="single"/>
        </w:rPr>
        <w:t>En este ambiente, a no ser que todo repunte con una fuerza bárbara muy pronto, no aguantarán</w:t>
      </w:r>
      <w:r w:rsidRPr="00DE236D">
        <w:rPr>
          <w:rFonts w:ascii="Times New Roman" w:hAnsi="Times New Roman" w:cs="Times New Roman"/>
          <w:sz w:val="24"/>
          <w:szCs w:val="24"/>
        </w:rPr>
        <w:t xml:space="preserve">. </w:t>
      </w:r>
      <w:r w:rsidRPr="00554313">
        <w:rPr>
          <w:rFonts w:ascii="Times New Roman" w:hAnsi="Times New Roman" w:cs="Times New Roman"/>
          <w:sz w:val="24"/>
          <w:szCs w:val="24"/>
          <w:u w:val="single"/>
        </w:rPr>
        <w:t>La incidencia de los default soberanos va a ir aumentando</w:t>
      </w:r>
      <w:r w:rsidRPr="00DE236D">
        <w:rPr>
          <w:rFonts w:ascii="Times New Roman" w:hAnsi="Times New Roman" w:cs="Times New Roman"/>
          <w:sz w:val="24"/>
          <w:szCs w:val="24"/>
        </w:rPr>
        <w:t xml:space="preserve">. </w:t>
      </w:r>
      <w:r w:rsidRPr="00554313">
        <w:rPr>
          <w:rFonts w:ascii="Times New Roman" w:hAnsi="Times New Roman" w:cs="Times New Roman"/>
          <w:color w:val="FF0000"/>
          <w:sz w:val="24"/>
          <w:szCs w:val="24"/>
          <w:u w:val="single"/>
        </w:rPr>
        <w:t>Tanto Kenneth Rogoff como yo abogamos en estos momentos por una moratoria temporal en el pago de las deudas, dado que si se paraliza la capacidad de tener ingresos, también es justo que se paralice el pago de éstas</w:t>
      </w:r>
      <w:r w:rsidRPr="00DE236D">
        <w:rPr>
          <w:rFonts w:ascii="Times New Roman" w:hAnsi="Times New Roman" w:cs="Times New Roman"/>
          <w:sz w:val="24"/>
          <w:szCs w:val="24"/>
        </w:rPr>
        <w:t xml:space="preserve">. Esto es posible a nivel corporativo, de los hogares, pero no soluciona el problema a nivel soberano. Las deudas de muchos países emergentes a China son enormes, más grandes que el FMI y el Banco Mundial combinados. Tanto China como estas instituciones deben conceder una moratoria. </w:t>
      </w:r>
      <w:r w:rsidRPr="00554313">
        <w:rPr>
          <w:rFonts w:ascii="Times New Roman" w:hAnsi="Times New Roman" w:cs="Times New Roman"/>
          <w:sz w:val="24"/>
          <w:szCs w:val="24"/>
          <w:u w:val="single"/>
        </w:rPr>
        <w:t>En los años 30 también hubo una oleada de defaults global y algunos tardaron hasta dos décadas en solucionarse.</w:t>
      </w:r>
    </w:p>
    <w:p w:rsidR="00B849A0" w:rsidRPr="00554313" w:rsidRDefault="00B849A0" w:rsidP="00B849A0">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¿Cree entonces que la pandemia y el shock en los precios del crudo acabarán por generar una década perdida?</w:t>
      </w:r>
    </w:p>
    <w:p w:rsidR="00B849A0" w:rsidRPr="00554313" w:rsidRDefault="00B849A0" w:rsidP="00B849A0">
      <w:pPr>
        <w:spacing w:line="240" w:lineRule="auto"/>
        <w:jc w:val="both"/>
        <w:rPr>
          <w:rFonts w:ascii="Times New Roman" w:hAnsi="Times New Roman" w:cs="Times New Roman"/>
          <w:color w:val="FF0000"/>
          <w:sz w:val="24"/>
          <w:szCs w:val="24"/>
          <w:u w:val="single"/>
        </w:rPr>
      </w:pPr>
      <w:r w:rsidRPr="00554313">
        <w:rPr>
          <w:rFonts w:ascii="Times New Roman" w:hAnsi="Times New Roman" w:cs="Times New Roman"/>
          <w:color w:val="FF0000"/>
          <w:sz w:val="24"/>
          <w:szCs w:val="24"/>
          <w:u w:val="single"/>
        </w:rPr>
        <w:t>No quiero adelantar si es una década o no, pero la idea de que esto va a ser una recuperación con forma de V, lo veo con muy baja probabilidad</w:t>
      </w:r>
      <w:r w:rsidRPr="00DE236D">
        <w:rPr>
          <w:rFonts w:ascii="Times New Roman" w:hAnsi="Times New Roman" w:cs="Times New Roman"/>
          <w:sz w:val="24"/>
          <w:szCs w:val="24"/>
        </w:rPr>
        <w:t xml:space="preserve">. Los bancos se van a encontrar con consumidores y hogares que han perdido el empleo, empresas que han tenido que cerrar, por lo que su cartera lucirá muy distinta pese a las mejoras registradas por estas entidades, tanto en Europa como EEUU desde la crisis. Pese a la ayuda del Banco Central Europeo y la Reserva Federal, especialmente ésta última a través de las distintas facilidades creadas para ayudar a los pequeños negocios y los hogares, es inevitable dada la severidad de este shock que terminemos con un sistema financiero mucho más débil. </w:t>
      </w:r>
      <w:r w:rsidRPr="00554313">
        <w:rPr>
          <w:rFonts w:ascii="Times New Roman" w:hAnsi="Times New Roman" w:cs="Times New Roman"/>
          <w:color w:val="FF0000"/>
          <w:sz w:val="24"/>
          <w:szCs w:val="24"/>
          <w:u w:val="single"/>
        </w:rPr>
        <w:t>Pongo en duda que muchas empresas puedan aguantar más de uno o dos meses en esta situación. Las caídas para el PIB van a ser mucho más profundas que las registradas durante la crisis del 2008.</w:t>
      </w:r>
    </w:p>
    <w:p w:rsidR="00B849A0" w:rsidRPr="00554313" w:rsidRDefault="00B849A0" w:rsidP="00B849A0">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Países como España o Italia se han convertido en el epicentro de la pandemia en Europa. ¿Se corre el riesgo de que esta situación tenga consecuencias más allá de una crisis económica severa?</w:t>
      </w:r>
    </w:p>
    <w:p w:rsidR="00B849A0" w:rsidRPr="00DE236D" w:rsidRDefault="00B849A0" w:rsidP="00B849A0">
      <w:pPr>
        <w:spacing w:line="240" w:lineRule="auto"/>
        <w:jc w:val="both"/>
        <w:rPr>
          <w:rFonts w:ascii="Times New Roman" w:hAnsi="Times New Roman" w:cs="Times New Roman"/>
          <w:sz w:val="24"/>
          <w:szCs w:val="24"/>
        </w:rPr>
      </w:pPr>
      <w:r w:rsidRPr="00554313">
        <w:rPr>
          <w:rFonts w:ascii="Times New Roman" w:hAnsi="Times New Roman" w:cs="Times New Roman"/>
          <w:color w:val="FF0000"/>
          <w:sz w:val="24"/>
          <w:szCs w:val="24"/>
          <w:u w:val="single"/>
        </w:rPr>
        <w:lastRenderedPageBreak/>
        <w:t>Se corre claramente el riesgo de que esto se convierta no solamente en una crisis económica sino también en una crisis financiera y una crisis de deuda</w:t>
      </w:r>
      <w:r w:rsidRPr="00DE236D">
        <w:rPr>
          <w:rFonts w:ascii="Times New Roman" w:hAnsi="Times New Roman" w:cs="Times New Roman"/>
          <w:sz w:val="24"/>
          <w:szCs w:val="24"/>
        </w:rPr>
        <w:t xml:space="preserve">. Es por ello que el Banco Central Europeo y las instituciones deben jugar un rol enorme para aliviar las disrupciones y el contagio económico. </w:t>
      </w:r>
      <w:r w:rsidRPr="00554313">
        <w:rPr>
          <w:rFonts w:ascii="Times New Roman" w:hAnsi="Times New Roman" w:cs="Times New Roman"/>
          <w:color w:val="FF0000"/>
          <w:sz w:val="24"/>
          <w:szCs w:val="24"/>
          <w:u w:val="single"/>
        </w:rPr>
        <w:t>Una moratoria de la deuda es muy atractivo para muchos países emergentes, pero no es una opción para Europa</w:t>
      </w:r>
      <w:r w:rsidRPr="00DE236D">
        <w:rPr>
          <w:rFonts w:ascii="Times New Roman" w:hAnsi="Times New Roman" w:cs="Times New Roman"/>
          <w:sz w:val="24"/>
          <w:szCs w:val="24"/>
        </w:rPr>
        <w:t>. Por ejemplo, en Italia que es el caso más extremo, los hogares son tenedores importantes de esa deuda, es decir, que si hay una suspensión de pago, hay que compensar a esos hogares por la suspensión de pago, que es distinto a los países emergentes donde generalmente la deuda extern</w:t>
      </w:r>
      <w:r>
        <w:rPr>
          <w:rFonts w:ascii="Times New Roman" w:hAnsi="Times New Roman" w:cs="Times New Roman"/>
          <w:sz w:val="24"/>
          <w:szCs w:val="24"/>
        </w:rPr>
        <w:t>a está en manos de extranjeros.</w:t>
      </w:r>
    </w:p>
    <w:p w:rsidR="00B849A0" w:rsidRPr="00554313" w:rsidRDefault="00B849A0" w:rsidP="00B849A0">
      <w:pPr>
        <w:spacing w:line="240" w:lineRule="auto"/>
        <w:jc w:val="both"/>
        <w:rPr>
          <w:rFonts w:ascii="Times New Roman" w:hAnsi="Times New Roman" w:cs="Times New Roman"/>
          <w:sz w:val="24"/>
          <w:szCs w:val="24"/>
          <w:u w:val="single"/>
        </w:rPr>
      </w:pPr>
      <w:r w:rsidRPr="00554313">
        <w:rPr>
          <w:rFonts w:ascii="Times New Roman" w:hAnsi="Times New Roman" w:cs="Times New Roman"/>
          <w:sz w:val="24"/>
          <w:szCs w:val="24"/>
          <w:u w:val="single"/>
        </w:rPr>
        <w:t>Entonces, ¿aboga usted por la creación de coronabonos o eurobonos, que mutualicen la deuda?</w:t>
      </w:r>
    </w:p>
    <w:p w:rsidR="00B849A0" w:rsidRPr="002D4361" w:rsidRDefault="00B849A0" w:rsidP="00B849A0">
      <w:pPr>
        <w:spacing w:line="240" w:lineRule="auto"/>
        <w:jc w:val="both"/>
        <w:rPr>
          <w:rFonts w:ascii="Times New Roman" w:hAnsi="Times New Roman" w:cs="Times New Roman"/>
          <w:color w:val="FF0000"/>
          <w:sz w:val="24"/>
          <w:szCs w:val="24"/>
          <w:u w:val="single"/>
        </w:rPr>
      </w:pPr>
      <w:r w:rsidRPr="00554313">
        <w:rPr>
          <w:rFonts w:ascii="Times New Roman" w:hAnsi="Times New Roman" w:cs="Times New Roman"/>
          <w:color w:val="FF0000"/>
          <w:sz w:val="24"/>
          <w:szCs w:val="24"/>
          <w:u w:val="single"/>
        </w:rPr>
        <w:t>Hace mucho tiempo que veo con ojos muy favorables el tema de tratar de unificar un mercado de deuda</w:t>
      </w:r>
      <w:r w:rsidRPr="00DE236D">
        <w:rPr>
          <w:rFonts w:ascii="Times New Roman" w:hAnsi="Times New Roman" w:cs="Times New Roman"/>
          <w:sz w:val="24"/>
          <w:szCs w:val="24"/>
        </w:rPr>
        <w:t xml:space="preserve">. Desde la crisis financiera global, el uso del dólar internacional ha aumentado y el euro, que había ganado espacio en los primeros años, ha retrocedido bárbaramente. Parte de eso se debe a no tener un mercado de bonos unificado, porque los inversores no compran euro, compran la deuda. Un bund alemán no es lo mismo que un bono irlandés o un bono portugués y así sucesivamente. </w:t>
      </w:r>
      <w:r w:rsidRPr="002D4361">
        <w:rPr>
          <w:rFonts w:ascii="Times New Roman" w:hAnsi="Times New Roman" w:cs="Times New Roman"/>
          <w:color w:val="FF0000"/>
          <w:sz w:val="24"/>
          <w:szCs w:val="24"/>
          <w:u w:val="single"/>
        </w:rPr>
        <w:t>Este es un momento de emergencia donde un punto clave podría ser la unificación del mercado de deuda, que es uno de los elementos que haría al euro más sostenible como moneda.</w:t>
      </w:r>
    </w:p>
    <w:p w:rsidR="00B849A0" w:rsidRPr="002D4361" w:rsidRDefault="00B849A0" w:rsidP="00B849A0">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¿Será la crisis desatada por el coronavirus un factor más que invite a la desglobalización?</w:t>
      </w:r>
    </w:p>
    <w:p w:rsidR="00B849A0" w:rsidRPr="002D4361" w:rsidRDefault="00B849A0" w:rsidP="00B849A0">
      <w:pPr>
        <w:spacing w:line="240" w:lineRule="auto"/>
        <w:jc w:val="both"/>
        <w:rPr>
          <w:rFonts w:ascii="Times New Roman" w:hAnsi="Times New Roman" w:cs="Times New Roman"/>
          <w:color w:val="FF0000"/>
          <w:sz w:val="24"/>
          <w:szCs w:val="24"/>
          <w:u w:val="single"/>
        </w:rPr>
      </w:pPr>
      <w:r w:rsidRPr="002D4361">
        <w:rPr>
          <w:rFonts w:ascii="Times New Roman" w:hAnsi="Times New Roman" w:cs="Times New Roman"/>
          <w:color w:val="FF0000"/>
          <w:sz w:val="24"/>
          <w:szCs w:val="24"/>
          <w:u w:val="single"/>
        </w:rPr>
        <w:t>Restaurar el comercio global tal cual lo conocíamos antes del virus no va a ocurrir. Cuanto más dure el brote, más se cuestionarán las empresas sus modelos y cadenas de producción.</w:t>
      </w:r>
      <w:r w:rsidRPr="002D4361">
        <w:rPr>
          <w:rFonts w:ascii="Times New Roman" w:hAnsi="Times New Roman" w:cs="Times New Roman"/>
          <w:color w:val="FF0000"/>
          <w:sz w:val="24"/>
          <w:szCs w:val="24"/>
        </w:rPr>
        <w:t xml:space="preserve"> </w:t>
      </w:r>
      <w:r w:rsidRPr="002D4361">
        <w:rPr>
          <w:rFonts w:ascii="Times New Roman" w:hAnsi="Times New Roman" w:cs="Times New Roman"/>
          <w:sz w:val="24"/>
          <w:szCs w:val="24"/>
          <w:u w:val="single"/>
        </w:rPr>
        <w:t>Además, la gente no volverá a viajar tanto como antes por lo que el turismo también va a estar paralizado durante mucho tiempo</w:t>
      </w:r>
      <w:r w:rsidRPr="00DE236D">
        <w:rPr>
          <w:rFonts w:ascii="Times New Roman" w:hAnsi="Times New Roman" w:cs="Times New Roman"/>
          <w:sz w:val="24"/>
          <w:szCs w:val="24"/>
        </w:rPr>
        <w:t xml:space="preserve">. </w:t>
      </w:r>
      <w:r w:rsidRPr="002D4361">
        <w:rPr>
          <w:rFonts w:ascii="Times New Roman" w:hAnsi="Times New Roman" w:cs="Times New Roman"/>
          <w:color w:val="FF0000"/>
          <w:sz w:val="24"/>
          <w:szCs w:val="24"/>
          <w:u w:val="single"/>
        </w:rPr>
        <w:t>El punto máximo de la globalización lo dejamos atrás hace más de una década.</w:t>
      </w:r>
      <w:r w:rsidRPr="00DE236D">
        <w:rPr>
          <w:rFonts w:ascii="Times New Roman" w:hAnsi="Times New Roman" w:cs="Times New Roman"/>
          <w:sz w:val="24"/>
          <w:szCs w:val="24"/>
        </w:rPr>
        <w:t xml:space="preserve"> </w:t>
      </w:r>
      <w:r w:rsidRPr="002D4361">
        <w:rPr>
          <w:rFonts w:ascii="Times New Roman" w:hAnsi="Times New Roman" w:cs="Times New Roman"/>
          <w:color w:val="FF0000"/>
          <w:sz w:val="24"/>
          <w:szCs w:val="24"/>
          <w:u w:val="single"/>
        </w:rPr>
        <w:t>Además, la crisis financiera de 2008, el Brexit, las tensiones de Trump con China han sido olas que nos han ido llevando a la desglobalización</w:t>
      </w:r>
      <w:r w:rsidRPr="00DE236D">
        <w:rPr>
          <w:rFonts w:ascii="Times New Roman" w:hAnsi="Times New Roman" w:cs="Times New Roman"/>
          <w:sz w:val="24"/>
          <w:szCs w:val="24"/>
        </w:rPr>
        <w:t xml:space="preserve">. En EEUU donde hay opinión común entre los demócratas y los republicanos es en el problema con el comercio de China. </w:t>
      </w:r>
      <w:r w:rsidRPr="002D4361">
        <w:rPr>
          <w:rFonts w:ascii="Times New Roman" w:hAnsi="Times New Roman" w:cs="Times New Roman"/>
          <w:color w:val="FF0000"/>
          <w:sz w:val="24"/>
          <w:szCs w:val="24"/>
          <w:u w:val="single"/>
        </w:rPr>
        <w:t>El problema en que se encuentra China ahora es que quiere ser tratado como un país emergente pero también como una potencia global y no puede ser ambas. Esto está generando una desconfianza en la interacción entre China y el resto del mundo.</w:t>
      </w:r>
    </w:p>
    <w:p w:rsidR="00B849A0" w:rsidRPr="004956B9" w:rsidRDefault="00B849A0" w:rsidP="00B849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956B9">
        <w:rPr>
          <w:rFonts w:ascii="Times New Roman" w:hAnsi="Times New Roman" w:cs="Times New Roman"/>
          <w:sz w:val="24"/>
          <w:szCs w:val="24"/>
          <w:u w:val="single"/>
        </w:rPr>
        <w:t>El FMI da por hecho que “estamos ante una crisis nunca vista antes en la historia”</w:t>
      </w:r>
      <w:r>
        <w:rPr>
          <w:rFonts w:ascii="Times New Roman" w:hAnsi="Times New Roman" w:cs="Times New Roman"/>
          <w:sz w:val="24"/>
          <w:szCs w:val="24"/>
        </w:rPr>
        <w:t xml:space="preserve"> (Cinco Días - </w:t>
      </w:r>
      <w:r>
        <w:rPr>
          <w:rFonts w:ascii="Times New Roman" w:hAnsi="Times New Roman" w:cs="Times New Roman"/>
          <w:b/>
          <w:sz w:val="24"/>
          <w:szCs w:val="24"/>
        </w:rPr>
        <w:t>3</w:t>
      </w:r>
      <w:r w:rsidRPr="004956B9">
        <w:rPr>
          <w:rFonts w:ascii="Times New Roman" w:hAnsi="Times New Roman" w:cs="Times New Roman"/>
          <w:b/>
          <w:sz w:val="24"/>
          <w:szCs w:val="24"/>
        </w:rPr>
        <w:t>/4/20</w:t>
      </w:r>
      <w:r>
        <w:rPr>
          <w:rFonts w:ascii="Times New Roman" w:hAnsi="Times New Roman" w:cs="Times New Roman"/>
          <w:sz w:val="24"/>
          <w:szCs w:val="24"/>
        </w:rPr>
        <w:t>)</w:t>
      </w:r>
    </w:p>
    <w:p w:rsidR="00B849A0" w:rsidRPr="0097462F" w:rsidRDefault="00B849A0" w:rsidP="00B849A0">
      <w:pPr>
        <w:spacing w:line="240" w:lineRule="auto"/>
        <w:jc w:val="both"/>
        <w:rPr>
          <w:rFonts w:ascii="Times New Roman" w:hAnsi="Times New Roman" w:cs="Times New Roman"/>
          <w:color w:val="FF0000"/>
          <w:sz w:val="24"/>
          <w:szCs w:val="24"/>
        </w:rPr>
      </w:pPr>
      <w:r w:rsidRPr="0097462F">
        <w:rPr>
          <w:rFonts w:ascii="Times New Roman" w:hAnsi="Times New Roman" w:cs="Times New Roman"/>
          <w:color w:val="FF0000"/>
          <w:sz w:val="24"/>
          <w:szCs w:val="24"/>
        </w:rPr>
        <w:t>La directora gerente del Fondo Monetario Internacional, Kristalina Georgieva, movilizará hasta un billón de dólares para combatir los efectos de la pandemia</w:t>
      </w:r>
    </w:p>
    <w:p w:rsidR="00B849A0" w:rsidRPr="0097462F" w:rsidRDefault="00B849A0" w:rsidP="00B849A0">
      <w:pPr>
        <w:spacing w:line="240" w:lineRule="auto"/>
        <w:jc w:val="both"/>
        <w:rPr>
          <w:rFonts w:ascii="Times New Roman" w:hAnsi="Times New Roman" w:cs="Times New Roman"/>
          <w:color w:val="FF0000"/>
          <w:sz w:val="24"/>
          <w:szCs w:val="24"/>
          <w:u w:val="single"/>
        </w:rPr>
      </w:pPr>
      <w:r w:rsidRPr="0097462F">
        <w:rPr>
          <w:rFonts w:ascii="Times New Roman" w:hAnsi="Times New Roman" w:cs="Times New Roman"/>
          <w:color w:val="FF0000"/>
          <w:sz w:val="24"/>
          <w:szCs w:val="24"/>
          <w:u w:val="single"/>
        </w:rPr>
        <w:t>La directora gerente del Fondo Monetario Internacional (FMI), Kristalina Georgieva, subrayó este vier</w:t>
      </w:r>
      <w:r w:rsidR="00D7645D">
        <w:rPr>
          <w:rFonts w:ascii="Times New Roman" w:hAnsi="Times New Roman" w:cs="Times New Roman"/>
          <w:color w:val="FF0000"/>
          <w:sz w:val="24"/>
          <w:szCs w:val="24"/>
          <w:u w:val="single"/>
        </w:rPr>
        <w:t>nes que el mundo se enfrenta a “</w:t>
      </w:r>
      <w:r w:rsidRPr="0097462F">
        <w:rPr>
          <w:rFonts w:ascii="Times New Roman" w:hAnsi="Times New Roman" w:cs="Times New Roman"/>
          <w:color w:val="FF0000"/>
          <w:sz w:val="24"/>
          <w:szCs w:val="24"/>
          <w:u w:val="single"/>
        </w:rPr>
        <w:t>una crisis n</w:t>
      </w:r>
      <w:r w:rsidR="00D7645D">
        <w:rPr>
          <w:rFonts w:ascii="Times New Roman" w:hAnsi="Times New Roman" w:cs="Times New Roman"/>
          <w:color w:val="FF0000"/>
          <w:sz w:val="24"/>
          <w:szCs w:val="24"/>
          <w:u w:val="single"/>
        </w:rPr>
        <w:t>unca antes vista en la historia”</w:t>
      </w:r>
      <w:r w:rsidRPr="0097462F">
        <w:rPr>
          <w:rFonts w:ascii="Times New Roman" w:hAnsi="Times New Roman" w:cs="Times New Roman"/>
          <w:color w:val="FF0000"/>
          <w:sz w:val="24"/>
          <w:szCs w:val="24"/>
          <w:u w:val="single"/>
        </w:rPr>
        <w:t>, y destacó que su organización movilizará su reserva de emergencias para préstamos, de un billón de dólares, para afrontarla.</w:t>
      </w:r>
    </w:p>
    <w:p w:rsidR="00B849A0" w:rsidRPr="0097462F" w:rsidRDefault="00D7645D" w:rsidP="00B849A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B849A0" w:rsidRPr="0097462F">
        <w:rPr>
          <w:rFonts w:ascii="Times New Roman" w:hAnsi="Times New Roman" w:cs="Times New Roman"/>
          <w:color w:val="FF0000"/>
          <w:sz w:val="24"/>
          <w:szCs w:val="24"/>
          <w:u w:val="single"/>
        </w:rPr>
        <w:t>Tenemos una reserva para emergencias de un billón de dólares y estamos decididos a usar toda la que haga falta para proteger de las cicatrices que causa</w:t>
      </w:r>
      <w:r>
        <w:rPr>
          <w:rFonts w:ascii="Times New Roman" w:hAnsi="Times New Roman" w:cs="Times New Roman"/>
          <w:color w:val="FF0000"/>
          <w:sz w:val="24"/>
          <w:szCs w:val="24"/>
          <w:u w:val="single"/>
        </w:rPr>
        <w:t>rá esta crisis”</w:t>
      </w:r>
      <w:r w:rsidR="00B849A0" w:rsidRPr="0097462F">
        <w:rPr>
          <w:rFonts w:ascii="Times New Roman" w:hAnsi="Times New Roman" w:cs="Times New Roman"/>
          <w:color w:val="FF0000"/>
          <w:sz w:val="24"/>
          <w:szCs w:val="24"/>
          <w:u w:val="single"/>
        </w:rPr>
        <w:t>, destacó la economista búlgara en una rueda de prensa junto al director general de la Organización Mundial de la Salud (OMS), Tedros Adhanom Ghebreyesus.</w:t>
      </w:r>
    </w:p>
    <w:p w:rsidR="00B849A0" w:rsidRPr="004956B9" w:rsidRDefault="00B849A0" w:rsidP="00B849A0">
      <w:pPr>
        <w:spacing w:line="240" w:lineRule="auto"/>
        <w:jc w:val="both"/>
        <w:rPr>
          <w:rFonts w:ascii="Times New Roman" w:hAnsi="Times New Roman" w:cs="Times New Roman"/>
          <w:sz w:val="24"/>
          <w:szCs w:val="24"/>
        </w:rPr>
      </w:pPr>
      <w:r w:rsidRPr="004956B9">
        <w:rPr>
          <w:rFonts w:ascii="Times New Roman" w:hAnsi="Times New Roman" w:cs="Times New Roman"/>
          <w:sz w:val="24"/>
          <w:szCs w:val="24"/>
        </w:rPr>
        <w:t>La directora gerente anunció en videoconferencia que más de 90 países han pedido ya ayuda financiera de emergencia al FMI a causa de la ac</w:t>
      </w:r>
      <w:r>
        <w:rPr>
          <w:rFonts w:ascii="Times New Roman" w:hAnsi="Times New Roman" w:cs="Times New Roman"/>
          <w:sz w:val="24"/>
          <w:szCs w:val="24"/>
        </w:rPr>
        <w:t>tual crisis por el coronavirus.</w:t>
      </w:r>
    </w:p>
    <w:p w:rsidR="00B849A0" w:rsidRPr="0097462F" w:rsidRDefault="00B849A0" w:rsidP="00B849A0">
      <w:pPr>
        <w:spacing w:line="240" w:lineRule="auto"/>
        <w:jc w:val="both"/>
        <w:rPr>
          <w:rFonts w:ascii="Times New Roman" w:hAnsi="Times New Roman" w:cs="Times New Roman"/>
          <w:color w:val="FF0000"/>
          <w:sz w:val="24"/>
          <w:szCs w:val="24"/>
          <w:u w:val="single"/>
        </w:rPr>
      </w:pPr>
      <w:r w:rsidRPr="0097462F">
        <w:rPr>
          <w:rFonts w:ascii="Times New Roman" w:hAnsi="Times New Roman" w:cs="Times New Roman"/>
          <w:color w:val="FF0000"/>
          <w:sz w:val="24"/>
          <w:szCs w:val="24"/>
          <w:u w:val="single"/>
        </w:rPr>
        <w:lastRenderedPageBreak/>
        <w:t>También aseguró que la pan</w:t>
      </w:r>
      <w:r>
        <w:rPr>
          <w:rFonts w:ascii="Times New Roman" w:hAnsi="Times New Roman" w:cs="Times New Roman"/>
          <w:color w:val="FF0000"/>
          <w:sz w:val="24"/>
          <w:szCs w:val="24"/>
          <w:u w:val="single"/>
        </w:rPr>
        <w:t>demia de COVID-19 ha provocado “</w:t>
      </w:r>
      <w:r w:rsidRPr="0097462F">
        <w:rPr>
          <w:rFonts w:ascii="Times New Roman" w:hAnsi="Times New Roman" w:cs="Times New Roman"/>
          <w:color w:val="FF0000"/>
          <w:sz w:val="24"/>
          <w:szCs w:val="24"/>
          <w:u w:val="single"/>
        </w:rPr>
        <w:t>una para</w:t>
      </w:r>
      <w:r>
        <w:rPr>
          <w:rFonts w:ascii="Times New Roman" w:hAnsi="Times New Roman" w:cs="Times New Roman"/>
          <w:color w:val="FF0000"/>
          <w:sz w:val="24"/>
          <w:szCs w:val="24"/>
          <w:u w:val="single"/>
        </w:rPr>
        <w:t>lización de la economía mundial”</w:t>
      </w:r>
      <w:r w:rsidRPr="0097462F">
        <w:rPr>
          <w:rFonts w:ascii="Times New Roman" w:hAnsi="Times New Roman" w:cs="Times New Roman"/>
          <w:color w:val="FF0000"/>
          <w:sz w:val="24"/>
          <w:szCs w:val="24"/>
          <w:u w:val="single"/>
        </w:rPr>
        <w:t xml:space="preserve"> </w:t>
      </w:r>
      <w:r w:rsidR="003B038D">
        <w:rPr>
          <w:rFonts w:ascii="Times New Roman" w:hAnsi="Times New Roman" w:cs="Times New Roman"/>
          <w:color w:val="FF0000"/>
          <w:sz w:val="24"/>
          <w:szCs w:val="24"/>
          <w:u w:val="single"/>
        </w:rPr>
        <w:t>que ya ha sumido al planeta en “</w:t>
      </w:r>
      <w:r w:rsidRPr="0097462F">
        <w:rPr>
          <w:rFonts w:ascii="Times New Roman" w:hAnsi="Times New Roman" w:cs="Times New Roman"/>
          <w:color w:val="FF0000"/>
          <w:sz w:val="24"/>
          <w:szCs w:val="24"/>
          <w:u w:val="single"/>
        </w:rPr>
        <w:t>una recesión much</w:t>
      </w:r>
      <w:r w:rsidR="003B038D">
        <w:rPr>
          <w:rFonts w:ascii="Times New Roman" w:hAnsi="Times New Roman" w:cs="Times New Roman"/>
          <w:color w:val="FF0000"/>
          <w:sz w:val="24"/>
          <w:szCs w:val="24"/>
          <w:u w:val="single"/>
        </w:rPr>
        <w:t>o peor que la crisis financiera”</w:t>
      </w:r>
      <w:r w:rsidRPr="0097462F">
        <w:rPr>
          <w:rFonts w:ascii="Times New Roman" w:hAnsi="Times New Roman" w:cs="Times New Roman"/>
          <w:color w:val="FF0000"/>
          <w:sz w:val="24"/>
          <w:szCs w:val="24"/>
          <w:u w:val="single"/>
        </w:rPr>
        <w:t xml:space="preserve"> iniciada en 2008.</w:t>
      </w:r>
    </w:p>
    <w:p w:rsidR="00B849A0" w:rsidRPr="004956B9" w:rsidRDefault="00B849A0" w:rsidP="00B849A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956B9">
        <w:rPr>
          <w:rFonts w:ascii="Times New Roman" w:hAnsi="Times New Roman" w:cs="Times New Roman"/>
          <w:sz w:val="24"/>
          <w:szCs w:val="24"/>
        </w:rPr>
        <w:t>La OMS está aquí para proteger la salud de la gente, el FMI para proteger el estado de la economía mundial, ambas cosas están siendo asediadas y sólo unido</w:t>
      </w:r>
      <w:r>
        <w:rPr>
          <w:rFonts w:ascii="Times New Roman" w:hAnsi="Times New Roman" w:cs="Times New Roman"/>
          <w:sz w:val="24"/>
          <w:szCs w:val="24"/>
        </w:rPr>
        <w:t>s podemos conseguirlo”, señaló.</w:t>
      </w:r>
    </w:p>
    <w:p w:rsidR="00B849A0" w:rsidRPr="004956B9" w:rsidRDefault="00B849A0" w:rsidP="00B849A0">
      <w:pPr>
        <w:spacing w:line="240" w:lineRule="auto"/>
        <w:jc w:val="both"/>
        <w:rPr>
          <w:rFonts w:ascii="Times New Roman" w:hAnsi="Times New Roman" w:cs="Times New Roman"/>
          <w:sz w:val="24"/>
          <w:szCs w:val="24"/>
        </w:rPr>
      </w:pPr>
      <w:r w:rsidRPr="004956B9">
        <w:rPr>
          <w:rFonts w:ascii="Times New Roman" w:hAnsi="Times New Roman" w:cs="Times New Roman"/>
          <w:sz w:val="24"/>
          <w:szCs w:val="24"/>
        </w:rPr>
        <w:t>Georgieva indicó que de la misma manera que el coronavirus daña especialmente a los pacientes más vulnerables, la crisis golpeará sobre todo a los países en desarrollo y emergentes, de los que ya han salido en los últimos meses inversiones por valor de 90.000 millones de dólares</w:t>
      </w:r>
      <w:r>
        <w:rPr>
          <w:rFonts w:ascii="Times New Roman" w:hAnsi="Times New Roman" w:cs="Times New Roman"/>
          <w:sz w:val="24"/>
          <w:szCs w:val="24"/>
        </w:rPr>
        <w:t>, más que en la crisis de 2008.</w:t>
      </w:r>
    </w:p>
    <w:p w:rsidR="00B849A0" w:rsidRPr="0097462F" w:rsidRDefault="00B849A0" w:rsidP="00B849A0">
      <w:pPr>
        <w:spacing w:line="240" w:lineRule="auto"/>
        <w:jc w:val="both"/>
        <w:rPr>
          <w:rFonts w:ascii="Times New Roman" w:hAnsi="Times New Roman" w:cs="Times New Roman"/>
          <w:color w:val="FF0000"/>
          <w:sz w:val="24"/>
          <w:szCs w:val="24"/>
          <w:u w:val="single"/>
        </w:rPr>
      </w:pPr>
      <w:r w:rsidRPr="0097462F">
        <w:rPr>
          <w:rFonts w:ascii="Times New Roman" w:hAnsi="Times New Roman" w:cs="Times New Roman"/>
          <w:color w:val="FF0000"/>
          <w:sz w:val="24"/>
          <w:szCs w:val="24"/>
          <w:u w:val="single"/>
        </w:rPr>
        <w:t>Concluyó subrayando que la actua</w:t>
      </w:r>
      <w:r>
        <w:rPr>
          <w:rFonts w:ascii="Times New Roman" w:hAnsi="Times New Roman" w:cs="Times New Roman"/>
          <w:color w:val="FF0000"/>
          <w:sz w:val="24"/>
          <w:szCs w:val="24"/>
          <w:u w:val="single"/>
        </w:rPr>
        <w:t>l crisis es “</w:t>
      </w:r>
      <w:r w:rsidRPr="0097462F">
        <w:rPr>
          <w:rFonts w:ascii="Times New Roman" w:hAnsi="Times New Roman" w:cs="Times New Roman"/>
          <w:color w:val="FF0000"/>
          <w:sz w:val="24"/>
          <w:szCs w:val="24"/>
          <w:u w:val="single"/>
        </w:rPr>
        <w:t>la hora más oscura para la humanidad, una gran amenaza ante la que debemos estar unidos para</w:t>
      </w:r>
      <w:r>
        <w:rPr>
          <w:rFonts w:ascii="Times New Roman" w:hAnsi="Times New Roman" w:cs="Times New Roman"/>
          <w:color w:val="FF0000"/>
          <w:sz w:val="24"/>
          <w:szCs w:val="24"/>
          <w:u w:val="single"/>
        </w:rPr>
        <w:t xml:space="preserve"> proteger a los más vulnerables”</w:t>
      </w:r>
      <w:r w:rsidRPr="0097462F">
        <w:rPr>
          <w:rFonts w:ascii="Times New Roman" w:hAnsi="Times New Roman" w:cs="Times New Roman"/>
          <w:color w:val="FF0000"/>
          <w:sz w:val="24"/>
          <w:szCs w:val="24"/>
          <w:u w:val="single"/>
        </w:rPr>
        <w:t>.</w:t>
      </w:r>
    </w:p>
    <w:p w:rsidR="00B849A0" w:rsidRPr="00CD2A0F" w:rsidRDefault="00B849A0" w:rsidP="00B849A0">
      <w:pPr>
        <w:spacing w:line="240" w:lineRule="auto"/>
        <w:rPr>
          <w:rFonts w:ascii="Times New Roman" w:hAnsi="Times New Roman" w:cs="Times New Roman"/>
          <w:b/>
          <w:sz w:val="24"/>
          <w:szCs w:val="24"/>
        </w:rPr>
      </w:pPr>
      <w:r>
        <w:rPr>
          <w:noProof/>
          <w:lang w:eastAsia="es-ES"/>
        </w:rPr>
        <w:drawing>
          <wp:inline distT="0" distB="0" distL="0" distR="0" wp14:anchorId="6E73FB36" wp14:editId="72792686">
            <wp:extent cx="5727372" cy="2635624"/>
            <wp:effectExtent l="0" t="0" r="6985" b="0"/>
            <wp:docPr id="39" name="Imagen 39" descr="https://d500.epimg.net/descargables/2020/04/03/42c284d6b96ad57b316aad3c43251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20/04/03/42c284d6b96ad57b316aad3c43251e72.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2637528"/>
                    </a:xfrm>
                    <a:prstGeom prst="rect">
                      <a:avLst/>
                    </a:prstGeom>
                    <a:noFill/>
                    <a:ln>
                      <a:noFill/>
                    </a:ln>
                  </pic:spPr>
                </pic:pic>
              </a:graphicData>
            </a:graphic>
          </wp:inline>
        </w:drawing>
      </w:r>
    </w:p>
    <w:p w:rsidR="00B849A0" w:rsidRDefault="00B849A0" w:rsidP="00B849A0">
      <w:pPr>
        <w:pStyle w:val="NormalWeb"/>
        <w:spacing w:after="0"/>
        <w:jc w:val="both"/>
        <w:textAlignment w:val="baseline"/>
      </w:pPr>
      <w:r>
        <w:t xml:space="preserve">- </w:t>
      </w:r>
      <w:r w:rsidRPr="00995A4B">
        <w:rPr>
          <w:u w:val="single"/>
        </w:rPr>
        <w:t>Perspectivas para la recesión de la COVID</w:t>
      </w:r>
      <w:r w:rsidRPr="00995A4B">
        <w:rPr>
          <w:rFonts w:ascii="Cambria Math" w:hAnsi="Cambria Math" w:cs="Cambria Math"/>
          <w:u w:val="single"/>
        </w:rPr>
        <w:t>‑</w:t>
      </w:r>
      <w:r w:rsidRPr="00995A4B">
        <w:rPr>
          <w:u w:val="single"/>
        </w:rPr>
        <w:t>19</w:t>
      </w:r>
      <w:r>
        <w:t xml:space="preserve"> (Project Syndicate - </w:t>
      </w:r>
      <w:r w:rsidRPr="00995A4B">
        <w:rPr>
          <w:b/>
        </w:rPr>
        <w:t>7/4/20</w:t>
      </w:r>
      <w:r>
        <w:t>)</w:t>
      </w:r>
    </w:p>
    <w:p w:rsidR="00B849A0" w:rsidRPr="007D349B" w:rsidRDefault="00B849A0" w:rsidP="00B849A0">
      <w:pPr>
        <w:pStyle w:val="NormalWeb"/>
        <w:spacing w:after="0"/>
        <w:jc w:val="both"/>
        <w:textAlignment w:val="baseline"/>
        <w:rPr>
          <w:color w:val="FF0000"/>
          <w:u w:val="single"/>
        </w:rPr>
      </w:pPr>
      <w:r>
        <w:t xml:space="preserve">Cambridge.-  </w:t>
      </w:r>
      <w:r w:rsidRPr="007D349B">
        <w:rPr>
          <w:color w:val="FF0000"/>
          <w:u w:val="single"/>
        </w:rPr>
        <w:t>Con cada día que pasa, la crisis financiera global de 2008 se va pareciendo cada vez más a un mero ensayo para la catástrofe económica actual. El derrumbe inmediato de la producción global que ya está en curso parece destinado a ser comparable o superior a cualquier recesión de los últimos 150 años.</w:t>
      </w:r>
    </w:p>
    <w:p w:rsidR="00B849A0" w:rsidRPr="007D349B" w:rsidRDefault="00B849A0" w:rsidP="00B849A0">
      <w:pPr>
        <w:pStyle w:val="NormalWeb"/>
        <w:spacing w:after="0"/>
        <w:jc w:val="both"/>
        <w:textAlignment w:val="baseline"/>
        <w:rPr>
          <w:color w:val="FF0000"/>
          <w:u w:val="single"/>
        </w:rPr>
      </w:pPr>
      <w:r>
        <w:t xml:space="preserve">Incluso con los decididos esfuerzos de bancos centrales y autoridades fiscales para suavizar el golpe, los mercados de activos en las economías avanzadas se derrumbaron, y los capitales huyen de los mercados emergentes a una velocidad pasmosa. </w:t>
      </w:r>
      <w:r w:rsidRPr="007D349B">
        <w:rPr>
          <w:color w:val="FF0000"/>
          <w:u w:val="single"/>
        </w:rPr>
        <w:t>Nada podrá evitar una profunda desaceleración económica y una crisis financiera. La pregunta clave ahora es cuáles serán la gravedad y duración de la recesión.</w:t>
      </w:r>
    </w:p>
    <w:p w:rsidR="00B849A0" w:rsidRDefault="00B849A0" w:rsidP="00B849A0">
      <w:pPr>
        <w:pStyle w:val="NormalWeb"/>
        <w:spacing w:after="0"/>
        <w:jc w:val="both"/>
        <w:textAlignment w:val="baseline"/>
      </w:pPr>
      <w:r w:rsidRPr="007D349B">
        <w:rPr>
          <w:u w:val="single"/>
        </w:rPr>
        <w:t>Mientras no se sepa cuán rápida y completa será la solución del desafío sanitario, es casi imposible para los economistas predecir cómo terminará esta crisis</w:t>
      </w:r>
      <w:r>
        <w:t>. A la incertidumbre científica en relación con el coronavirus se le agrega la incertidumbre socioeconómica respecto de la conducta de las personas y de las autoridades en las próximas semanas y meses.</w:t>
      </w:r>
    </w:p>
    <w:p w:rsidR="00B849A0" w:rsidRDefault="00B849A0" w:rsidP="00B849A0">
      <w:pPr>
        <w:pStyle w:val="NormalWeb"/>
        <w:spacing w:after="0"/>
        <w:jc w:val="both"/>
        <w:textAlignment w:val="baseline"/>
      </w:pPr>
      <w:r w:rsidRPr="007D349B">
        <w:rPr>
          <w:u w:val="single"/>
        </w:rPr>
        <w:lastRenderedPageBreak/>
        <w:t>Al fin y al cabo, el mundo está experimentando algo similar a una invasión extraterrestre. Sabemos que la determinación y la creatividad de la humanidad triunfarán. ¿Pero a qué costo?</w:t>
      </w:r>
      <w:r>
        <w:t xml:space="preserve"> Al momento de escribir estas líneas, los mercados parecen cautamente esperanzados en una recuperación rápida, tal vez a partir del cuarto trimestre de este año. Muchos analistas señalan la experiencia china como un preanuncio alentador de lo que puede esperar el resto del mundo.</w:t>
      </w:r>
    </w:p>
    <w:p w:rsidR="00B849A0" w:rsidRPr="007D349B" w:rsidRDefault="00B849A0" w:rsidP="00B849A0">
      <w:pPr>
        <w:pStyle w:val="NormalWeb"/>
        <w:spacing w:after="0"/>
        <w:jc w:val="both"/>
        <w:textAlignment w:val="baseline"/>
        <w:rPr>
          <w:u w:val="single"/>
        </w:rPr>
      </w:pPr>
      <w:r>
        <w:t xml:space="preserve">Pero ¿se justifica realmente esa mirada? </w:t>
      </w:r>
      <w:r w:rsidRPr="001A588A">
        <w:rPr>
          <w:color w:val="FF0000"/>
          <w:u w:val="single"/>
        </w:rPr>
        <w:t>Pese a cierta recuperación del empleo en China, no está nada claro cuándo regresará a niveles similares a los de antes de la COVID</w:t>
      </w:r>
      <w:r w:rsidRPr="001A588A">
        <w:rPr>
          <w:rFonts w:ascii="Cambria Math" w:hAnsi="Cambria Math" w:cs="Cambria Math"/>
          <w:color w:val="FF0000"/>
          <w:u w:val="single"/>
        </w:rPr>
        <w:t>‑</w:t>
      </w:r>
      <w:r w:rsidRPr="001A588A">
        <w:rPr>
          <w:color w:val="FF0000"/>
          <w:u w:val="single"/>
        </w:rPr>
        <w:t>19</w:t>
      </w:r>
      <w:r>
        <w:t>. E incluso con una recuperaci</w:t>
      </w:r>
      <w:r>
        <w:rPr>
          <w:rFonts w:ascii="Calibri" w:hAnsi="Calibri" w:cs="Calibri"/>
        </w:rPr>
        <w:t>ó</w:t>
      </w:r>
      <w:r>
        <w:t xml:space="preserve">n plena de la actividad industrial china, </w:t>
      </w:r>
      <w:r w:rsidRPr="007D349B">
        <w:rPr>
          <w:rFonts w:ascii="Calibri" w:hAnsi="Calibri" w:cs="Calibri"/>
          <w:u w:val="single"/>
        </w:rPr>
        <w:t>¿</w:t>
      </w:r>
      <w:r w:rsidRPr="007D349B">
        <w:rPr>
          <w:u w:val="single"/>
        </w:rPr>
        <w:t>qui</w:t>
      </w:r>
      <w:r w:rsidRPr="007D349B">
        <w:rPr>
          <w:rFonts w:ascii="Calibri" w:hAnsi="Calibri" w:cs="Calibri"/>
          <w:u w:val="single"/>
        </w:rPr>
        <w:t>é</w:t>
      </w:r>
      <w:r w:rsidRPr="007D349B">
        <w:rPr>
          <w:u w:val="single"/>
        </w:rPr>
        <w:t>n comprar</w:t>
      </w:r>
      <w:r w:rsidRPr="007D349B">
        <w:rPr>
          <w:rFonts w:ascii="Calibri" w:hAnsi="Calibri" w:cs="Calibri"/>
          <w:u w:val="single"/>
        </w:rPr>
        <w:t>á</w:t>
      </w:r>
      <w:r w:rsidRPr="007D349B">
        <w:rPr>
          <w:u w:val="single"/>
        </w:rPr>
        <w:t xml:space="preserve"> esos bienes si el resto de la econom</w:t>
      </w:r>
      <w:r w:rsidRPr="007D349B">
        <w:rPr>
          <w:rFonts w:ascii="Calibri" w:hAnsi="Calibri" w:cs="Calibri"/>
          <w:u w:val="single"/>
        </w:rPr>
        <w:t>í</w:t>
      </w:r>
      <w:r w:rsidRPr="007D349B">
        <w:rPr>
          <w:u w:val="single"/>
        </w:rPr>
        <w:t>a global se hunde? En cuanto a Estados Unidos, regresar al 70% o 80% de la capacidad parece un sueño lejano.</w:t>
      </w:r>
    </w:p>
    <w:p w:rsidR="00B849A0" w:rsidRPr="007D349B" w:rsidRDefault="00B849A0" w:rsidP="00B849A0">
      <w:pPr>
        <w:pStyle w:val="NormalWeb"/>
        <w:spacing w:after="0"/>
        <w:jc w:val="both"/>
        <w:textAlignment w:val="baseline"/>
        <w:rPr>
          <w:u w:val="single"/>
        </w:rPr>
      </w:pPr>
      <w:r>
        <w:t xml:space="preserve">Ahora que la contención del brote en Estados Unidos ha sido un fracaso rotundo (pese a tener el sistema sanitario más avanzado del mundo), </w:t>
      </w:r>
      <w:r w:rsidRPr="007D349B">
        <w:rPr>
          <w:u w:val="single"/>
        </w:rPr>
        <w:t>para los estadounidenses será sumamente difícil regresar a la normalidad económica hasta que se disponga de una vacuna, algo que puede demorar un año o más. Ni siquiera es seguro cómo se las arreglará Estados Unidos para celebrar la elección presidencial de noviembre de 2020.</w:t>
      </w:r>
    </w:p>
    <w:p w:rsidR="00B849A0" w:rsidRPr="007D349B" w:rsidRDefault="00B849A0" w:rsidP="00B849A0">
      <w:pPr>
        <w:pStyle w:val="NormalWeb"/>
        <w:spacing w:after="0"/>
        <w:jc w:val="both"/>
        <w:textAlignment w:val="baseline"/>
        <w:rPr>
          <w:color w:val="FF0000"/>
          <w:u w:val="single"/>
        </w:rPr>
      </w:pPr>
      <w:r w:rsidRPr="007D349B">
        <w:rPr>
          <w:color w:val="FF0000"/>
          <w:u w:val="single"/>
        </w:rPr>
        <w:t>Por ahora, los mercados parecen hallar alivio en los inmensos programas de estímulo en Estados Unidos, absolutamente necesarios para proteger a los trabajadores y evitar un derrumbe del mercado. Pero ya es evidente que se necesita mucho más.</w:t>
      </w:r>
    </w:p>
    <w:p w:rsidR="00B849A0" w:rsidRPr="004955C8" w:rsidRDefault="00B849A0" w:rsidP="00B849A0">
      <w:pPr>
        <w:pStyle w:val="NormalWeb"/>
        <w:spacing w:after="0"/>
        <w:jc w:val="both"/>
        <w:textAlignment w:val="baseline"/>
        <w:rPr>
          <w:u w:val="single"/>
        </w:rPr>
      </w:pPr>
      <w:r>
        <w:t xml:space="preserve">Si esto fuera un pánico financiero común y corriente, una inyección masiva de estímulo fiscal a la demanda resolvería muchos problemas. Pero </w:t>
      </w:r>
      <w:r w:rsidRPr="004955C8">
        <w:rPr>
          <w:u w:val="single"/>
        </w:rPr>
        <w:t>el mundo está experimentando la pandemia más grave desde el brote de gripe de 1918</w:t>
      </w:r>
      <w:r w:rsidRPr="004955C8">
        <w:rPr>
          <w:rFonts w:ascii="Cambria Math" w:hAnsi="Cambria Math" w:cs="Cambria Math"/>
          <w:u w:val="single"/>
        </w:rPr>
        <w:t>‑</w:t>
      </w:r>
      <w:r w:rsidRPr="004955C8">
        <w:rPr>
          <w:u w:val="single"/>
        </w:rPr>
        <w:t>20. Si esta vez muriera otro 2% de la poblaci</w:t>
      </w:r>
      <w:r w:rsidRPr="004955C8">
        <w:rPr>
          <w:rFonts w:ascii="Calibri" w:hAnsi="Calibri" w:cs="Calibri"/>
          <w:u w:val="single"/>
        </w:rPr>
        <w:t>ó</w:t>
      </w:r>
      <w:r w:rsidRPr="004955C8">
        <w:rPr>
          <w:u w:val="single"/>
        </w:rPr>
        <w:t>n mundial, la cifra de muertes llegar</w:t>
      </w:r>
      <w:r w:rsidRPr="004955C8">
        <w:rPr>
          <w:rFonts w:ascii="Calibri" w:hAnsi="Calibri" w:cs="Calibri"/>
          <w:u w:val="single"/>
        </w:rPr>
        <w:t>í</w:t>
      </w:r>
      <w:r w:rsidRPr="004955C8">
        <w:rPr>
          <w:u w:val="single"/>
        </w:rPr>
        <w:t>a a unos 150 millones de personas.</w:t>
      </w:r>
    </w:p>
    <w:p w:rsidR="00B849A0" w:rsidRDefault="00B849A0" w:rsidP="00B849A0">
      <w:pPr>
        <w:pStyle w:val="NormalWeb"/>
        <w:spacing w:after="0"/>
        <w:jc w:val="both"/>
        <w:textAlignment w:val="baseline"/>
      </w:pPr>
      <w:r w:rsidRPr="004955C8">
        <w:rPr>
          <w:u w:val="single"/>
        </w:rPr>
        <w:t>Felizmente, es probable que no se llegue a semejante extremo, vistas las medidas radicales de confinamiento y distanciamiento social que se están adoptando en todo el mundo. Pero mientras la crisis sanitaria no esté resuelta, la situación económica será muy sombría</w:t>
      </w:r>
      <w:r>
        <w:t>. E incluso después de un reinicio de la actividad económica, el daño a las empresas y a los mercados de deuda tendrá efectos duraderos, especialmente si se tiene en cuenta que antes del inicio de la crisis el nivel global de endeudamiento ya estaba en niveles récord.</w:t>
      </w:r>
    </w:p>
    <w:p w:rsidR="00B849A0" w:rsidRPr="004955C8" w:rsidRDefault="00B849A0" w:rsidP="00B849A0">
      <w:pPr>
        <w:pStyle w:val="NormalWeb"/>
        <w:spacing w:after="0"/>
        <w:jc w:val="both"/>
        <w:textAlignment w:val="baseline"/>
        <w:rPr>
          <w:color w:val="FF0000"/>
          <w:u w:val="single"/>
        </w:rPr>
      </w:pPr>
      <w:r w:rsidRPr="004955C8">
        <w:rPr>
          <w:u w:val="single"/>
        </w:rPr>
        <w:t>Es verdad que los gobiernos y bancos centrales han provisto protección a amplias franjas del sector financiero con medidas tan minuciosas que casi parecen chinas; y tienen poder de fuego suficiente para hacer mucho más si fuera necesario</w:t>
      </w:r>
      <w:r>
        <w:t xml:space="preserve">. </w:t>
      </w:r>
      <w:r w:rsidRPr="004955C8">
        <w:rPr>
          <w:color w:val="FF0000"/>
          <w:u w:val="single"/>
        </w:rPr>
        <w:t>Pero el problema es que lo que tenemos enfrente no es solamente un shock de demanda sino también un inmenso shock de oferta.</w:t>
      </w:r>
      <w:r>
        <w:t xml:space="preserve"> </w:t>
      </w:r>
      <w:r w:rsidRPr="004955C8">
        <w:rPr>
          <w:color w:val="FF0000"/>
          <w:u w:val="single"/>
        </w:rPr>
        <w:t>Las políticas de apoyo a la demanda pueden ayudar a aplanar la curva de contagios en la medida en que facilitan la permanencia de las personas en sus hogares, pero su capacidad de sostener la economía es limitada si, digamos, el 20 o 30% de la fuerza laboral estuviera en aislamiento buena parte de los próximos dos años.</w:t>
      </w:r>
    </w:p>
    <w:p w:rsidR="00B849A0" w:rsidRPr="004955C8" w:rsidRDefault="00B849A0" w:rsidP="00B849A0">
      <w:pPr>
        <w:pStyle w:val="NormalWeb"/>
        <w:spacing w:after="0"/>
        <w:jc w:val="both"/>
        <w:textAlignment w:val="baseline"/>
        <w:rPr>
          <w:u w:val="single"/>
        </w:rPr>
      </w:pPr>
      <w:r w:rsidRPr="004955C8">
        <w:rPr>
          <w:b/>
          <w:color w:val="FF0000"/>
          <w:u w:val="single"/>
        </w:rPr>
        <w:t>Y todavía no he mencionado la enorme incertidumbre política que puede seguir a una depresión global. Así como la crisis financiera de 2008 produjo una profunda parálisis política y alentó el surgimiento de una camada de líderes populistas antitecnocráticos, es previsible que la crisis de la COVID</w:t>
      </w:r>
      <w:r w:rsidRPr="004955C8">
        <w:rPr>
          <w:rFonts w:ascii="Cambria Math" w:hAnsi="Cambria Math" w:cs="Cambria Math"/>
          <w:b/>
          <w:color w:val="FF0000"/>
          <w:u w:val="single"/>
        </w:rPr>
        <w:t>‑</w:t>
      </w:r>
      <w:r w:rsidRPr="004955C8">
        <w:rPr>
          <w:b/>
          <w:color w:val="FF0000"/>
          <w:u w:val="single"/>
        </w:rPr>
        <w:t>19 lleve a disrupciones todav</w:t>
      </w:r>
      <w:r w:rsidRPr="004955C8">
        <w:rPr>
          <w:rFonts w:ascii="Calibri" w:hAnsi="Calibri" w:cs="Calibri"/>
          <w:b/>
          <w:color w:val="FF0000"/>
          <w:u w:val="single"/>
        </w:rPr>
        <w:t>í</w:t>
      </w:r>
      <w:r w:rsidRPr="004955C8">
        <w:rPr>
          <w:b/>
          <w:color w:val="FF0000"/>
          <w:u w:val="single"/>
        </w:rPr>
        <w:t>a m</w:t>
      </w:r>
      <w:r w:rsidRPr="004955C8">
        <w:rPr>
          <w:rFonts w:ascii="Calibri" w:hAnsi="Calibri" w:cs="Calibri"/>
          <w:b/>
          <w:color w:val="FF0000"/>
          <w:u w:val="single"/>
        </w:rPr>
        <w:t>á</w:t>
      </w:r>
      <w:r w:rsidRPr="004955C8">
        <w:rPr>
          <w:b/>
          <w:color w:val="FF0000"/>
          <w:u w:val="single"/>
        </w:rPr>
        <w:t>s extremas</w:t>
      </w:r>
      <w:r>
        <w:t xml:space="preserve">. La respuesta sanitaria en Estados Unidos ha sido catastrófica, por una combinación de incompetencia y negligencia en muchos de los niveles de gobierno (incluido el más alto). </w:t>
      </w:r>
      <w:r w:rsidRPr="004955C8">
        <w:rPr>
          <w:u w:val="single"/>
        </w:rPr>
        <w:t xml:space="preserve">Si </w:t>
      </w:r>
      <w:r w:rsidRPr="004955C8">
        <w:rPr>
          <w:u w:val="single"/>
        </w:rPr>
        <w:lastRenderedPageBreak/>
        <w:t>se mantiene la trayectoria actual, la cifra de muertes sólo en Nueva York puede superar a la de Italia.</w:t>
      </w:r>
    </w:p>
    <w:p w:rsidR="00B849A0" w:rsidRPr="004955C8" w:rsidRDefault="00B849A0" w:rsidP="00B849A0">
      <w:pPr>
        <w:pStyle w:val="NormalWeb"/>
        <w:spacing w:after="0"/>
        <w:jc w:val="both"/>
        <w:textAlignment w:val="baseline"/>
        <w:rPr>
          <w:u w:val="single"/>
        </w:rPr>
      </w:pPr>
      <w:r w:rsidRPr="004955C8">
        <w:rPr>
          <w:u w:val="single"/>
        </w:rPr>
        <w:t>Claro que es posible imaginar escenarios más optimistas. Con testeos a gran escala podríamos determinar quién está enfermo, quién sano y quién ya está inmunizado y puede volver a trabajar. Ese conocimiento sería invaluable. Pero aquí también, Estados Unidos tiene una tremenda insuficiencia de recursos de testeo, que se debe a muchos años de incorrecta fijación de prioridades y mala gestión en varios niveles.</w:t>
      </w:r>
    </w:p>
    <w:p w:rsidR="00B849A0" w:rsidRPr="004955C8" w:rsidRDefault="00B849A0" w:rsidP="00B849A0">
      <w:pPr>
        <w:pStyle w:val="NormalWeb"/>
        <w:spacing w:after="0"/>
        <w:jc w:val="both"/>
        <w:textAlignment w:val="baseline"/>
        <w:rPr>
          <w:color w:val="FF0000"/>
          <w:u w:val="single"/>
        </w:rPr>
      </w:pPr>
      <w:r w:rsidRPr="004955C8">
        <w:rPr>
          <w:color w:val="FF0000"/>
          <w:u w:val="single"/>
        </w:rPr>
        <w:t>Incluso sin una vacuna, la economía puede volver a la normalidad en relativamente poco tiempo si se consigue una implementación rápida de tratamientos eficaces. Pero sin testeos a gran escala y una idea clara de lo que será la «normalidad» en un par de años, será difícil persuadir a las empresas de invertir y tomar personal, especialmente cuando prevén una suba de impuestos cuando todo termine. Y que las bolsas hasta ahora hayan perdido menos que en 2008 puede deberse exclusivamente a que todos recuerdan el rebote de las cotizaciones durante la recuperación. Pero si fuera cierto que aquella crisis apenas fue un ensayo para esta, los inversores no deben esperar un rebote rápido.</w:t>
      </w:r>
    </w:p>
    <w:p w:rsidR="00B849A0" w:rsidRPr="004955C8" w:rsidRDefault="00B849A0" w:rsidP="00B849A0">
      <w:pPr>
        <w:pStyle w:val="NormalWeb"/>
        <w:spacing w:after="0"/>
        <w:jc w:val="both"/>
        <w:textAlignment w:val="baseline"/>
        <w:rPr>
          <w:color w:val="FF0000"/>
          <w:u w:val="single"/>
        </w:rPr>
      </w:pPr>
      <w:r>
        <w:t xml:space="preserve">En unos pocos meses, los científicos sabrán mucho más acerca de nuestro invasor microscópico. La propagación del virus a través de Estados Unidos dará a los investigadores de este país acceso directo a datos y pacientes, en vez de tener que basarse solamente en datos chinos de la provincia de Hubei. </w:t>
      </w:r>
      <w:r w:rsidRPr="004955C8">
        <w:rPr>
          <w:color w:val="FF0000"/>
          <w:u w:val="single"/>
        </w:rPr>
        <w:t>Sólo cuando la invasión haya sido derrotada será posible evaluar el costo del cataclismo económico que dejará tras de sí.</w:t>
      </w:r>
    </w:p>
    <w:p w:rsidR="00B849A0" w:rsidRDefault="00B849A0" w:rsidP="00B849A0">
      <w:pPr>
        <w:pStyle w:val="NormalWeb"/>
        <w:spacing w:after="0"/>
        <w:jc w:val="both"/>
        <w:textAlignment w:val="baseline"/>
        <w:rPr>
          <w:lang w:val="en-US"/>
        </w:rPr>
      </w:pPr>
      <w:r>
        <w:rPr>
          <w:lang w:val="en-US"/>
        </w:rPr>
        <w:t>(</w:t>
      </w:r>
      <w:r w:rsidRPr="00995A4B">
        <w:rPr>
          <w:lang w:val="en-US"/>
        </w:rPr>
        <w:t xml:space="preserve">Kenneth Rogoff, Professor of Economics and Public Policy at Harvard University and recipient of the 2011 Deutsche Bank Prize in Financial Economics, was the chief economist of the International Monetary Fund from 2001 to 2003. He is co-author of This Time is Different: Eight Centuries of Financial Folly </w:t>
      </w:r>
      <w:r>
        <w:rPr>
          <w:lang w:val="en-US"/>
        </w:rPr>
        <w:t>and author of The Curse of Cash)</w:t>
      </w:r>
    </w:p>
    <w:p w:rsidR="003B038D" w:rsidRDefault="003B038D" w:rsidP="003B038D">
      <w:pPr>
        <w:pStyle w:val="NormalWeb"/>
        <w:spacing w:after="0"/>
        <w:jc w:val="both"/>
        <w:textAlignment w:val="baseline"/>
      </w:pPr>
      <w:r>
        <w:t xml:space="preserve">- </w:t>
      </w:r>
      <w:r w:rsidRPr="00192FC1">
        <w:rPr>
          <w:u w:val="single"/>
        </w:rPr>
        <w:t>OIT: El COVID-19 causa pérdidas devastadoras de empleos y horas de trabajo</w:t>
      </w:r>
      <w:r>
        <w:t xml:space="preserve"> (Comunicado de prensa - </w:t>
      </w:r>
      <w:r>
        <w:rPr>
          <w:b/>
        </w:rPr>
        <w:t>7/4/</w:t>
      </w:r>
      <w:r w:rsidRPr="00460972">
        <w:rPr>
          <w:b/>
        </w:rPr>
        <w:t>20</w:t>
      </w:r>
      <w:r>
        <w:t>)</w:t>
      </w:r>
    </w:p>
    <w:p w:rsidR="003B038D" w:rsidRDefault="003B038D" w:rsidP="003B038D">
      <w:pPr>
        <w:pStyle w:val="NormalWeb"/>
        <w:spacing w:after="0"/>
        <w:jc w:val="both"/>
        <w:textAlignment w:val="baseline"/>
      </w:pPr>
      <w:r>
        <w:t>La pandemia COVID-19 está teniendo un efecto catastrófico en el tiempo de trabajo y en los ingresos, a nivel mundial. Un nuevo informe de la OIT destaca algunos de los sectores y regiones más afectados, y esboza unas políticas para mitigar la crisis.</w:t>
      </w:r>
    </w:p>
    <w:p w:rsidR="003B038D" w:rsidRDefault="003B038D" w:rsidP="003B038D">
      <w:pPr>
        <w:pStyle w:val="NormalWeb"/>
        <w:spacing w:after="0"/>
        <w:jc w:val="both"/>
        <w:textAlignment w:val="baseline"/>
      </w:pPr>
      <w:r>
        <w:t>(Por Luis Acosta / AFP)</w:t>
      </w:r>
    </w:p>
    <w:p w:rsidR="003B038D" w:rsidRDefault="003B038D" w:rsidP="003B038D">
      <w:pPr>
        <w:pStyle w:val="NormalWeb"/>
        <w:spacing w:after="0"/>
        <w:jc w:val="both"/>
        <w:textAlignment w:val="baseline"/>
      </w:pPr>
      <w:r>
        <w:t>Ginebra (OIT Noticias).- A nivel mundial, se prevé que la crisis por el COVID-19  hará desaparecer 6,7 por ciento de las horas de trabajo en el segundo trimestre de 2020, lo que equivale a 195 millones de trabajadores a tiempo completo.</w:t>
      </w:r>
    </w:p>
    <w:p w:rsidR="003B038D" w:rsidRDefault="003B038D" w:rsidP="003B038D">
      <w:pPr>
        <w:pStyle w:val="NormalWeb"/>
        <w:spacing w:after="0"/>
        <w:jc w:val="both"/>
        <w:textAlignment w:val="baseline"/>
      </w:pPr>
      <w:r>
        <w:t>Recortes a gran escala están previstos en los Estados Árabes (8,1 por ciento, equivalente a 5 millones de trabajadores a tiempo completo), en Europa (7,8 por ciento, o 12 millones de trabajadores a tiempo completo) y en Asia y el Pacífico (7,2 por ciento, 125 millones de trabajadores a tiempo completo).</w:t>
      </w:r>
    </w:p>
    <w:p w:rsidR="003B038D" w:rsidRDefault="003B038D" w:rsidP="003B038D">
      <w:pPr>
        <w:pStyle w:val="NormalWeb"/>
        <w:spacing w:after="0"/>
        <w:jc w:val="both"/>
        <w:textAlignment w:val="baseline"/>
      </w:pPr>
      <w:r>
        <w:t>Se prevén enormes pérdidas en los distintos grupos de ingresos, en particular en los países de ingresos medios altos (7 por ciento o 100 millones de trabajadores a tiempo completo). Esto supera con creces los efectos de la crisis financiera de 2008-2009.</w:t>
      </w:r>
    </w:p>
    <w:p w:rsidR="003B038D" w:rsidRDefault="003B038D" w:rsidP="003B038D">
      <w:pPr>
        <w:pStyle w:val="NormalWeb"/>
        <w:spacing w:after="0"/>
        <w:jc w:val="both"/>
        <w:textAlignment w:val="baseline"/>
      </w:pPr>
      <w:r>
        <w:lastRenderedPageBreak/>
        <w:t>Los sectores más expuestos al riesgo incluyen los servicios de hospedaje y restauración, la manufactura, el comercio minorista y las actividades empresariales y administrativas.</w:t>
      </w:r>
    </w:p>
    <w:p w:rsidR="003B038D" w:rsidRDefault="003B038D" w:rsidP="003B038D">
      <w:pPr>
        <w:pStyle w:val="NormalWeb"/>
        <w:spacing w:after="0"/>
        <w:jc w:val="both"/>
        <w:textAlignment w:val="baseline"/>
      </w:pPr>
      <w:r>
        <w:t>El posible aumento del desempleo mundial durante 2020 dependerá de manera considerable de la evolución futura y de las medidas políticas que serán adoptadas. Existe un riesgo elevado de que para final de año la cifra será significativamente más alta que la previsión inicial de la OIT, de 25 millones de desempleados.</w:t>
      </w:r>
    </w:p>
    <w:p w:rsidR="003B038D" w:rsidRDefault="003B038D" w:rsidP="003B038D">
      <w:pPr>
        <w:pStyle w:val="NormalWeb"/>
        <w:spacing w:after="0"/>
        <w:jc w:val="both"/>
        <w:textAlignment w:val="baseline"/>
      </w:pPr>
      <w:r>
        <w:t>Más de cuatro de cada cinco personas (81 por ciento) de las 3.300 millones que conforman la fuerza de trabajo mundial están siendo afectadas por cierres totales o parciales de su lugar de trabajo.</w:t>
      </w:r>
    </w:p>
    <w:p w:rsidR="003B038D" w:rsidRDefault="003B038D" w:rsidP="003B038D">
      <w:pPr>
        <w:pStyle w:val="NormalWeb"/>
        <w:spacing w:after="0"/>
        <w:jc w:val="both"/>
        <w:textAlignment w:val="baseline"/>
      </w:pPr>
      <w:r>
        <w:t>“Los trabajadores y las empresas se enfrentan una catástrofe, tanto en las economías desarrolladas como en las que están en desarrollo”, declaró el Director General de la OIT, Guy Ryder”. “Tenemos que actuar con rapidez, decisión y coordinación. Las medidas correctas y urgentes podrían hacer la diferencia entre la supervivencia y el colapso”.</w:t>
      </w:r>
    </w:p>
    <w:p w:rsidR="003B038D" w:rsidRDefault="003B038D" w:rsidP="003B038D">
      <w:pPr>
        <w:pStyle w:val="NormalWeb"/>
        <w:spacing w:after="0"/>
        <w:jc w:val="both"/>
        <w:textAlignment w:val="baseline"/>
      </w:pPr>
      <w:r>
        <w:t>La segunda edición del Observatorio de la OIT: El COVID-19 y el mundo del trabajo, describe el COVID-19 como “la peor crisis mundial desde la Segunda Guerra Mundial”, actualiza la primera nota de investigación de la OIT publicada el 18 de marzo. La nueva versión incluye información sectorial y regional sobre los efectos de la pandemia.</w:t>
      </w:r>
    </w:p>
    <w:p w:rsidR="003B038D" w:rsidRDefault="003B038D" w:rsidP="003B038D">
      <w:pPr>
        <w:pStyle w:val="NormalWeb"/>
        <w:spacing w:after="0"/>
        <w:jc w:val="both"/>
        <w:textAlignment w:val="baseline"/>
      </w:pPr>
      <w:r>
        <w:t>Según el nuevo estudio, 1.250 millones de personas trabajan en los sectores considerados de alto riesgo de sufrir “drásticos y devastadores” aumentos en los despidos y disminución de los salarios y horas de trabajo. Muchas de estas personas están empleadas en trabajos mal remunerados, de baja calificación, donde una pérdida imprevista de ingreso tiene consecuencias devastadoras.</w:t>
      </w:r>
    </w:p>
    <w:p w:rsidR="003B038D" w:rsidRDefault="003B038D" w:rsidP="003B038D">
      <w:pPr>
        <w:pStyle w:val="NormalWeb"/>
        <w:spacing w:after="0"/>
        <w:jc w:val="both"/>
        <w:textAlignment w:val="baseline"/>
      </w:pPr>
      <w:r>
        <w:t>A nivel regional, la proporción de trabajadores en estos sectores “en riesgo” varía de 43 por ciento en las Américas a 26 por ciento en África. Algunas regiones, África en particular, tienen niveles de informalidad más altos, lo cual unido a la falta de protección social, gran densidad de población y débil capacidad, plantea a los gobiernos serios desafíos sanitarios y económicos, advierte el informe.</w:t>
      </w:r>
    </w:p>
    <w:p w:rsidR="003B038D" w:rsidRDefault="003B038D" w:rsidP="003B038D">
      <w:pPr>
        <w:pStyle w:val="NormalWeb"/>
        <w:spacing w:after="0"/>
        <w:jc w:val="both"/>
        <w:textAlignment w:val="baseline"/>
      </w:pPr>
      <w:r>
        <w:t>A nivel mundial, dos mil millones de personas trabajan en el sector informal (la mayoría en las economías emergentes y en desarrollo) y corren un riesgo especial.</w:t>
      </w:r>
    </w:p>
    <w:p w:rsidR="003B038D" w:rsidRDefault="003B038D" w:rsidP="003B038D">
      <w:pPr>
        <w:pStyle w:val="NormalWeb"/>
        <w:spacing w:after="0"/>
        <w:jc w:val="both"/>
        <w:textAlignment w:val="baseline"/>
      </w:pPr>
      <w:r>
        <w:t>Es necesario adoptar medidas políticas integradas y a gran escala, centradas en cuatro pilares: apoyar a las empresas, al empleo y los ingresos; estimular la economía y los empleos; proteger a los trabajadores en el lugar de trabajo; y utilizar el diálogo social entre gobiernos, trabajadores y empleadores a fin de encontrar soluciones, señala el estudio.</w:t>
      </w:r>
    </w:p>
    <w:p w:rsidR="003B038D" w:rsidRDefault="003B038D" w:rsidP="003B038D">
      <w:pPr>
        <w:pStyle w:val="NormalWeb"/>
        <w:spacing w:after="0"/>
        <w:jc w:val="both"/>
        <w:textAlignment w:val="baseline"/>
      </w:pPr>
      <w:r>
        <w:t>“Esta es la mayor prueba para la cooperación internacional en más de 75 años”, afirmó Guy Ryder. “Si un país fracasa, entonces todos fracasamos. Debemos buscar soluciones que ayuden a todos los segmentos de nuestra sociedad global, en particular los más vulnerables y los que tienen menores posibilidades de valerse por sí mismos.</w:t>
      </w:r>
    </w:p>
    <w:p w:rsidR="003B038D" w:rsidRDefault="003B038D" w:rsidP="003B038D">
      <w:pPr>
        <w:pStyle w:val="NormalWeb"/>
        <w:spacing w:after="0"/>
        <w:jc w:val="both"/>
        <w:textAlignment w:val="baseline"/>
      </w:pPr>
      <w:r>
        <w:t xml:space="preserve">“Las decisiones que tomemos hoy afectarán directamente la manera en que esta crisis evolucionará así como la vida de miles de millones de personas”, agregó. “Con las medidas correctas podemos limitar su impacto y las heridas que dejará. Nuestro objetivo debe ser </w:t>
      </w:r>
      <w:r>
        <w:lastRenderedPageBreak/>
        <w:t>reconstruir mejor para que nuestros nuevos sistemas sean más seguros, más justos y más sostenibles de los que permitieron que esta crisis ocurriera”.</w:t>
      </w:r>
    </w:p>
    <w:p w:rsidR="003B038D" w:rsidRDefault="003B038D" w:rsidP="003B038D">
      <w:pPr>
        <w:pStyle w:val="NormalWeb"/>
        <w:spacing w:after="0"/>
        <w:jc w:val="both"/>
        <w:textAlignment w:val="baseline"/>
      </w:pPr>
      <w:r>
        <w:t xml:space="preserve">- </w:t>
      </w:r>
      <w:r w:rsidRPr="00CB28F7">
        <w:rPr>
          <w:u w:val="single"/>
        </w:rPr>
        <w:t>De la peste negra al coronavirus: la economía no vuelve a ser la misma tras una epidemia con secuelas que duran 40 años</w:t>
      </w:r>
      <w:r>
        <w:t xml:space="preserve"> (El Economista - </w:t>
      </w:r>
      <w:r w:rsidRPr="00CB28F7">
        <w:rPr>
          <w:b/>
        </w:rPr>
        <w:t>7/4/20</w:t>
      </w:r>
      <w:r>
        <w:t>)</w:t>
      </w:r>
    </w:p>
    <w:p w:rsidR="003B038D" w:rsidRPr="00CB28F7" w:rsidRDefault="003B038D" w:rsidP="003B038D">
      <w:pPr>
        <w:shd w:val="clear" w:color="auto" w:fill="FFFFFF"/>
        <w:spacing w:after="0"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72286778" wp14:editId="13166167">
            <wp:extent cx="5715000" cy="2279277"/>
            <wp:effectExtent l="0" t="0" r="0" b="6985"/>
            <wp:docPr id="86" name="Imagen 86" descr="guerra-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19953" descr="guerra-pandemi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5000" cy="2279277"/>
                    </a:xfrm>
                    <a:prstGeom prst="rect">
                      <a:avLst/>
                    </a:prstGeom>
                    <a:noFill/>
                    <a:ln>
                      <a:noFill/>
                    </a:ln>
                  </pic:spPr>
                </pic:pic>
              </a:graphicData>
            </a:graphic>
          </wp:inline>
        </w:drawing>
      </w:r>
      <w:r w:rsidRPr="00CB28F7">
        <w:rPr>
          <w:rFonts w:ascii="Times New Roman" w:hAnsi="Times New Roman" w:cs="Times New Roman"/>
          <w:color w:val="212529"/>
          <w:sz w:val="24"/>
          <w:szCs w:val="24"/>
        </w:rPr>
        <w:t>Respuesta de las economías europeas a las pandemias. Fuente: Reserva Federal de San Francisco.</w:t>
      </w:r>
    </w:p>
    <w:p w:rsidR="003B038D" w:rsidRPr="00CB28F7" w:rsidRDefault="003B038D" w:rsidP="003B038D">
      <w:pPr>
        <w:shd w:val="clear" w:color="auto" w:fill="FFFFFF"/>
        <w:spacing w:before="100" w:beforeAutospacing="1" w:after="100" w:afterAutospacing="1" w:line="240" w:lineRule="auto"/>
        <w:jc w:val="both"/>
        <w:rPr>
          <w:rFonts w:ascii="Times New Roman" w:hAnsi="Times New Roman" w:cs="Times New Roman"/>
          <w:bCs/>
          <w:sz w:val="24"/>
          <w:szCs w:val="24"/>
        </w:rPr>
      </w:pPr>
      <w:r w:rsidRPr="00CB28F7">
        <w:rPr>
          <w:rFonts w:ascii="Times New Roman" w:hAnsi="Times New Roman" w:cs="Times New Roman"/>
          <w:bCs/>
          <w:sz w:val="24"/>
          <w:szCs w:val="24"/>
        </w:rPr>
        <w:t xml:space="preserve">(Por </w:t>
      </w:r>
      <w:hyperlink r:id="rId15" w:history="1">
        <w:r w:rsidRPr="00552C6D">
          <w:rPr>
            <w:rStyle w:val="Hipervnculo"/>
            <w:rFonts w:ascii="Times New Roman" w:hAnsi="Times New Roman" w:cs="Times New Roman"/>
            <w:color w:val="auto"/>
            <w:sz w:val="24"/>
            <w:szCs w:val="24"/>
          </w:rPr>
          <w:t>Francisco S. Jiménez</w:t>
        </w:r>
      </w:hyperlink>
      <w:r w:rsidRPr="00552C6D">
        <w:rPr>
          <w:rFonts w:ascii="Times New Roman" w:hAnsi="Times New Roman" w:cs="Times New Roman"/>
          <w:bCs/>
          <w:sz w:val="24"/>
          <w:szCs w:val="24"/>
        </w:rPr>
        <w:t>)</w:t>
      </w:r>
    </w:p>
    <w:p w:rsidR="003B038D" w:rsidRPr="00A661FA" w:rsidRDefault="003B038D" w:rsidP="003B038D">
      <w:pPr>
        <w:pStyle w:val="NormalWeb"/>
        <w:shd w:val="clear" w:color="auto" w:fill="FFFFFF"/>
        <w:spacing w:before="0" w:beforeAutospacing="0" w:after="270" w:afterAutospacing="0"/>
        <w:jc w:val="both"/>
        <w:rPr>
          <w:color w:val="212529"/>
          <w:spacing w:val="-1"/>
          <w:u w:val="single"/>
        </w:rPr>
      </w:pPr>
      <w:r w:rsidRPr="00A661FA">
        <w:rPr>
          <w:color w:val="212529"/>
          <w:spacing w:val="-1"/>
          <w:u w:val="single"/>
        </w:rPr>
        <w:t>Las grandes guerras y las epidemias tienen en común, desde el punto de vista económico, que arrasan con el capital humano, pero mientras las primeras destruyen activos productivos, las segundas se cargan la inversión y disparan el ahorro, provocando efectos muy distintos a largo plazo, según un reciente estudio publicado por la Reserva Federal de San Francisco. Los investigadores destacan que las epidemias han deprimido durante décadas la rentabilidad real de los activos y hundido los tipos de interés naturales, que terminan afectando al precio del dinero.</w:t>
      </w:r>
      <w:r w:rsidRPr="00CB28F7">
        <w:rPr>
          <w:color w:val="212529"/>
          <w:spacing w:val="-1"/>
        </w:rPr>
        <w:t xml:space="preserve"> Históricamente, España e Italia lo han pasado mucho peor que economías como la alemana o francesa. </w:t>
      </w:r>
      <w:r w:rsidRPr="00A661FA">
        <w:rPr>
          <w:color w:val="212529"/>
          <w:spacing w:val="-1"/>
          <w:u w:val="single"/>
        </w:rPr>
        <w:t>La buena noticia de la investigación es que el coronavirus dejará margen fiscal suficiente para echar mano de bonos de guerra y paliar la crisis económica.</w:t>
      </w:r>
    </w:p>
    <w:p w:rsidR="003B038D" w:rsidRPr="00A661FA" w:rsidRDefault="003B038D" w:rsidP="003B038D">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Para los investigadores una vez superada la crisis transitoria que causa una pandemia, </w:t>
      </w:r>
      <w:r w:rsidRPr="00A661FA">
        <w:rPr>
          <w:b/>
          <w:bCs/>
          <w:color w:val="FF0000"/>
          <w:spacing w:val="-1"/>
          <w:u w:val="single"/>
        </w:rPr>
        <w:t>se producen desviaciones significativas en un horizonte temporal de entre 10 y 20 años para los tipos de interés</w:t>
      </w:r>
      <w:r w:rsidRPr="00A661FA">
        <w:rPr>
          <w:color w:val="FF0000"/>
          <w:spacing w:val="-1"/>
          <w:u w:val="single"/>
        </w:rPr>
        <w:t>. La necesidad de inversión disminuye por la escasez de mano de obra y por otro lado se produce un shock en el ahorro. La tasa de ahorro sube durante los siguientes años a medida que surgen nuevos motivos de precaución o simplemente para reemplazar la riqueza perdida utilizada durante el pico de la calamidad. Esta situación es </w:t>
      </w:r>
      <w:hyperlink r:id="rId16" w:tgtFrame="_self" w:history="1">
        <w:r w:rsidRPr="00A661FA">
          <w:rPr>
            <w:rStyle w:val="Hipervnculo"/>
            <w:rFonts w:eastAsiaTheme="majorEastAsia"/>
            <w:color w:val="FF0000"/>
            <w:spacing w:val="-1"/>
          </w:rPr>
          <w:t>demoledora para los tipos de interés</w:t>
        </w:r>
      </w:hyperlink>
      <w:r w:rsidRPr="00A661FA">
        <w:rPr>
          <w:color w:val="FF0000"/>
          <w:spacing w:val="-1"/>
          <w:u w:val="single"/>
        </w:rPr>
        <w:t>, que terminan por los suelos.</w:t>
      </w:r>
    </w:p>
    <w:p w:rsidR="003B038D" w:rsidRPr="00CB28F7" w:rsidRDefault="003B038D" w:rsidP="003B038D">
      <w:pPr>
        <w:pStyle w:val="NormalWeb"/>
        <w:shd w:val="clear" w:color="auto" w:fill="FFFFFF"/>
        <w:spacing w:before="0" w:beforeAutospacing="0" w:after="270" w:afterAutospacing="0"/>
        <w:jc w:val="both"/>
        <w:rPr>
          <w:color w:val="212529"/>
          <w:spacing w:val="-1"/>
        </w:rPr>
      </w:pPr>
      <w:r w:rsidRPr="00CB28F7">
        <w:rPr>
          <w:color w:val="212529"/>
          <w:spacing w:val="-1"/>
        </w:rPr>
        <w:t xml:space="preserve">Y ha sido así desde </w:t>
      </w:r>
      <w:r w:rsidRPr="00A661FA">
        <w:rPr>
          <w:color w:val="212529"/>
          <w:spacing w:val="-1"/>
          <w:u w:val="single"/>
        </w:rPr>
        <w:t>la </w:t>
      </w:r>
      <w:r w:rsidRPr="00A661FA">
        <w:rPr>
          <w:b/>
          <w:bCs/>
          <w:color w:val="212529"/>
          <w:spacing w:val="-1"/>
          <w:u w:val="single"/>
        </w:rPr>
        <w:t>peste negra del Siglo XIV.  </w:t>
      </w:r>
      <w:r w:rsidRPr="00A661FA">
        <w:rPr>
          <w:color w:val="212529"/>
          <w:spacing w:val="-1"/>
          <w:u w:val="single"/>
        </w:rPr>
        <w:t>Murieron alrededor de 75 millones de personas entre 1331 y 1353</w:t>
      </w:r>
      <w:r w:rsidRPr="00CB28F7">
        <w:rPr>
          <w:color w:val="212529"/>
          <w:spacing w:val="-1"/>
        </w:rPr>
        <w:t>, provocando un profundo cambio económico, social y político. La falta de mano de obra desembocó en revueltas de los campesinos por todo el continente al exigir mejores salarios a los señores feudales. La más conocida fue el </w:t>
      </w:r>
      <w:r w:rsidRPr="00CB28F7">
        <w:rPr>
          <w:b/>
          <w:bCs/>
          <w:color w:val="212529"/>
          <w:spacing w:val="-1"/>
        </w:rPr>
        <w:t>Gran levantamiento de 1381 en Inglaterra </w:t>
      </w:r>
      <w:r w:rsidRPr="00CB28F7">
        <w:rPr>
          <w:color w:val="212529"/>
          <w:spacing w:val="-1"/>
        </w:rPr>
        <w:t xml:space="preserve">y aunque todas fracasaron cambiaron las reglas del juego. Prácticamente se abolió el régimen de esclavitud que reinaba en la baja Edad Media. Los propietarios de grandes tierras estaban desesperados por encontrar trabajadores que labraran y cultivaran sus campos. Según el economista e historiador Gregory Clark, la epidemia redujo la oferta de </w:t>
      </w:r>
      <w:r w:rsidRPr="00CB28F7">
        <w:rPr>
          <w:color w:val="212529"/>
          <w:spacing w:val="-1"/>
        </w:rPr>
        <w:lastRenderedPageBreak/>
        <w:t>mano de obra entre un 25% y un 40%, lo que provocó que </w:t>
      </w:r>
      <w:r w:rsidRPr="00A34C2E">
        <w:rPr>
          <w:bCs/>
          <w:color w:val="212529"/>
          <w:spacing w:val="-1"/>
        </w:rPr>
        <w:t>los salarios entre las clases pobres crecieran un 100%</w:t>
      </w:r>
      <w:r w:rsidRPr="00A34C2E">
        <w:rPr>
          <w:color w:val="212529"/>
          <w:spacing w:val="-1"/>
        </w:rPr>
        <w:t>.</w:t>
      </w:r>
      <w:r w:rsidRPr="00CB28F7">
        <w:rPr>
          <w:color w:val="212529"/>
          <w:spacing w:val="-1"/>
        </w:rPr>
        <w:t xml:space="preserve"> Estos porcentajes se tradujeron en mayores sueldos, pero también en menos horas de trabajo y libertad para elegir al señor a quien servir.</w:t>
      </w:r>
    </w:p>
    <w:p w:rsidR="003B038D" w:rsidRDefault="003B038D" w:rsidP="003B038D">
      <w:pPr>
        <w:pStyle w:val="NormalWeb"/>
        <w:shd w:val="clear" w:color="auto" w:fill="FFFFFF"/>
        <w:spacing w:before="0" w:beforeAutospacing="0" w:after="270" w:afterAutospacing="0"/>
        <w:jc w:val="both"/>
        <w:rPr>
          <w:color w:val="212529"/>
          <w:spacing w:val="-1"/>
          <w:u w:val="single"/>
        </w:rPr>
      </w:pPr>
      <w:r w:rsidRPr="00A34C2E">
        <w:rPr>
          <w:color w:val="212529"/>
          <w:spacing w:val="-1"/>
          <w:u w:val="single"/>
        </w:rPr>
        <w:t>La peste negra dejó una lección importante, </w:t>
      </w:r>
      <w:r w:rsidRPr="00A34C2E">
        <w:rPr>
          <w:bCs/>
          <w:color w:val="212529"/>
          <w:spacing w:val="-1"/>
          <w:u w:val="single"/>
        </w:rPr>
        <w:t>la economía se reequilibra a costa de los rendimientos de capital</w:t>
      </w:r>
      <w:r w:rsidRPr="00CB28F7">
        <w:rPr>
          <w:color w:val="212529"/>
          <w:spacing w:val="-1"/>
        </w:rPr>
        <w:t xml:space="preserve">. Los activos más comunes de la época se depreciaron con fuerza. La rentabilidad de la tierra de cultivo pasó del 8% al 5% por el incremento de los costes laborales, según el experto. Cuando todavía es imposible calibrar el desastre económico que provocará el coronavirus en las economías, </w:t>
      </w:r>
      <w:r w:rsidRPr="00A661FA">
        <w:rPr>
          <w:color w:val="212529"/>
          <w:spacing w:val="-1"/>
          <w:u w:val="single"/>
        </w:rPr>
        <w:t xml:space="preserve">los investigadores de la Fed de San Francisco Òscar Jordà, Sanjay R. Singh y Alan M. Taylor han analizado el impacto que tuvieron epidemias pasadas teniendo en cuenta los salarios en </w:t>
      </w:r>
      <w:r w:rsidRPr="00A34C2E">
        <w:rPr>
          <w:spacing w:val="-1"/>
          <w:u w:val="single"/>
        </w:rPr>
        <w:t>un </w:t>
      </w:r>
      <w:hyperlink r:id="rId17" w:tgtFrame="_blank" w:history="1">
        <w:r w:rsidRPr="00A34C2E">
          <w:rPr>
            <w:rStyle w:val="Hipervnculo"/>
            <w:rFonts w:eastAsiaTheme="majorEastAsia"/>
            <w:color w:val="auto"/>
            <w:spacing w:val="-1"/>
          </w:rPr>
          <w:t>estudio para la Reserva Federal de San Francisco</w:t>
        </w:r>
      </w:hyperlink>
      <w:r w:rsidRPr="00A34C2E">
        <w:rPr>
          <w:spacing w:val="-1"/>
          <w:u w:val="single"/>
        </w:rPr>
        <w:t xml:space="preserve">. </w:t>
      </w:r>
      <w:r w:rsidRPr="00A661FA">
        <w:rPr>
          <w:color w:val="212529"/>
          <w:spacing w:val="-1"/>
          <w:u w:val="single"/>
        </w:rPr>
        <w:t>Constatan el incremento de salarios, pero van más allá y hallan que la mejora se prolonga durante décadas.</w:t>
      </w:r>
    </w:p>
    <w:p w:rsidR="003B038D" w:rsidRPr="003B038D" w:rsidRDefault="003B038D" w:rsidP="003B038D">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El mismo ejercicio lo hacen con las doce pandemias que más muertes han provocado desde la peste negra. Los sueldos suben progresivamente hasta alcanzar un pico de un 5%  aproximadamente tres décadas después de la epidemia.</w:t>
      </w:r>
    </w:p>
    <w:p w:rsidR="003B038D" w:rsidRPr="00CB28F7" w:rsidRDefault="003B038D" w:rsidP="003B038D">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Respuesta de los salarios a las pandemias</w:t>
      </w:r>
    </w:p>
    <w:p w:rsidR="003B038D" w:rsidRPr="00CB28F7" w:rsidRDefault="003B038D" w:rsidP="003B038D">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5CA37B2B" wp14:editId="06B8F6CB">
            <wp:extent cx="5641041" cy="2353235"/>
            <wp:effectExtent l="0" t="0" r="0" b="9525"/>
            <wp:docPr id="187" name="Imagen 187" descr="https://s03.s3c.es/imag/_v0/1184x549/e/8/f/respuesta-salarios-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1184x549/e/8/f/respuesta-salarios-pandemia.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38800" cy="2352300"/>
                    </a:xfrm>
                    <a:prstGeom prst="rect">
                      <a:avLst/>
                    </a:prstGeom>
                    <a:noFill/>
                    <a:ln>
                      <a:noFill/>
                    </a:ln>
                  </pic:spPr>
                </pic:pic>
              </a:graphicData>
            </a:graphic>
          </wp:inline>
        </w:drawing>
      </w:r>
    </w:p>
    <w:p w:rsidR="003B038D" w:rsidRDefault="003B038D" w:rsidP="003B038D">
      <w:pPr>
        <w:pStyle w:val="Ttulo2"/>
        <w:shd w:val="clear" w:color="auto" w:fill="FFFFFF"/>
        <w:spacing w:before="0"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Durante décadas los retornos de capital quedan deprimidos</w:t>
      </w:r>
    </w:p>
    <w:p w:rsidR="003B038D" w:rsidRPr="00EB6C53" w:rsidRDefault="003B038D" w:rsidP="003B038D">
      <w:pPr>
        <w:rPr>
          <w:lang w:eastAsia="es-ES"/>
        </w:rPr>
      </w:pPr>
    </w:p>
    <w:p w:rsidR="003B038D" w:rsidRPr="00A661FA" w:rsidRDefault="003B038D" w:rsidP="003B038D">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Por contra, descubren que la depresión en los tipos es</w:t>
      </w:r>
      <w:r>
        <w:rPr>
          <w:color w:val="FF0000"/>
          <w:spacing w:val="-1"/>
          <w:u w:val="single"/>
        </w:rPr>
        <w:t xml:space="preserve"> seguida</w:t>
      </w:r>
      <w:r w:rsidRPr="00A661FA">
        <w:rPr>
          <w:color w:val="FF0000"/>
          <w:spacing w:val="-1"/>
          <w:u w:val="single"/>
        </w:rPr>
        <w:t xml:space="preserve"> por períodos sostenidos, durante varias décadas, de retornos de rentabilidad de inversión muy bajos, debido al exceso de capital que se queda en menos manos, y al </w:t>
      </w:r>
      <w:r w:rsidRPr="00A34C2E">
        <w:rPr>
          <w:bCs/>
          <w:color w:val="FF0000"/>
          <w:spacing w:val="-1"/>
          <w:u w:val="single"/>
        </w:rPr>
        <w:t>incremento del ahorro</w:t>
      </w:r>
      <w:r w:rsidRPr="00A661FA">
        <w:rPr>
          <w:color w:val="FF0000"/>
          <w:spacing w:val="-1"/>
          <w:u w:val="single"/>
        </w:rPr>
        <w:t> como medida de prevención o para recuperar parte de la riqueza agotada.</w:t>
      </w:r>
    </w:p>
    <w:p w:rsidR="003B038D" w:rsidRPr="00A661FA" w:rsidRDefault="003B038D" w:rsidP="003B038D">
      <w:pPr>
        <w:pStyle w:val="NormalWeb"/>
        <w:shd w:val="clear" w:color="auto" w:fill="FFFFFF"/>
        <w:spacing w:before="0" w:beforeAutospacing="0" w:after="270" w:afterAutospacing="0"/>
        <w:jc w:val="both"/>
        <w:rPr>
          <w:color w:val="FF0000"/>
          <w:spacing w:val="-1"/>
          <w:u w:val="single"/>
        </w:rPr>
      </w:pPr>
      <w:r w:rsidRPr="00CB28F7">
        <w:rPr>
          <w:color w:val="212529"/>
          <w:spacing w:val="-1"/>
        </w:rPr>
        <w:t xml:space="preserve">La novedad del estudio es que se centra sobre el impacto que han tenido las pandemias a muy largo plazo, recogiendo las experiencias de </w:t>
      </w:r>
      <w:r w:rsidRPr="00A661FA">
        <w:rPr>
          <w:color w:val="FF0000"/>
          <w:spacing w:val="-1"/>
          <w:u w:val="single"/>
        </w:rPr>
        <w:t>doce crisis sanitarias históricas</w:t>
      </w:r>
      <w:r w:rsidRPr="00CB28F7">
        <w:rPr>
          <w:color w:val="212529"/>
          <w:spacing w:val="-1"/>
        </w:rPr>
        <w:t xml:space="preserve">, incluida </w:t>
      </w:r>
      <w:r w:rsidRPr="00A661FA">
        <w:rPr>
          <w:color w:val="FF0000"/>
          <w:spacing w:val="-1"/>
          <w:u w:val="single"/>
        </w:rPr>
        <w:t>la gran peste de Londres del s. XVII, las plagas de cólera del XVIII, la gripe española de principio del siglo XX, o la reciente gripe aviar en Asia.</w:t>
      </w:r>
      <w:r w:rsidRPr="00CB28F7">
        <w:rPr>
          <w:color w:val="212529"/>
          <w:spacing w:val="-1"/>
        </w:rPr>
        <w:t xml:space="preserve"> Las actuales previsiones están enfocadas a corto plazo. </w:t>
      </w:r>
      <w:r w:rsidRPr="00A661FA">
        <w:rPr>
          <w:color w:val="FF0000"/>
          <w:spacing w:val="-1"/>
          <w:u w:val="single"/>
        </w:rPr>
        <w:t>Muchas casas de análisis ya vaticinan caídas en picado del PIB de más del 10% para EEUU y sobre el </w:t>
      </w:r>
      <w:hyperlink r:id="rId19" w:tgtFrame="_self" w:history="1">
        <w:r w:rsidRPr="00A661FA">
          <w:rPr>
            <w:rStyle w:val="Hipervnculo"/>
            <w:rFonts w:eastAsiaTheme="majorEastAsia"/>
            <w:color w:val="FF0000"/>
            <w:spacing w:val="-1"/>
          </w:rPr>
          <w:t>15% para la mayoría de las economías europeas</w:t>
        </w:r>
      </w:hyperlink>
      <w:r w:rsidRPr="00A661FA">
        <w:rPr>
          <w:color w:val="FF0000"/>
          <w:spacing w:val="-1"/>
          <w:u w:val="single"/>
        </w:rPr>
        <w:t> y que termine todo en una recesión limitada. Pero los autores señalan que apenas hay precedentes para establecer un cuadro económico cuando la actividad comercial mundial entra en coma inducido.</w:t>
      </w:r>
    </w:p>
    <w:p w:rsidR="003B038D" w:rsidRDefault="003B038D" w:rsidP="003B038D">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lastRenderedPageBreak/>
        <w:t>A la</w:t>
      </w:r>
      <w:r>
        <w:rPr>
          <w:color w:val="FF0000"/>
          <w:spacing w:val="-1"/>
          <w:u w:val="single"/>
        </w:rPr>
        <w:t xml:space="preserve"> conclusión que llega</w:t>
      </w:r>
      <w:r w:rsidRPr="00A661FA">
        <w:rPr>
          <w:color w:val="FF0000"/>
          <w:spacing w:val="-1"/>
          <w:u w:val="single"/>
        </w:rPr>
        <w:t xml:space="preserve"> es que todas las plagas dejaron una larga secuela que tarda en desaparecer décadas.</w:t>
      </w:r>
      <w:r w:rsidRPr="00CB28F7">
        <w:rPr>
          <w:color w:val="212529"/>
          <w:spacing w:val="-1"/>
        </w:rPr>
        <w:t xml:space="preserve"> Los académicos utilizan en su estudio la </w:t>
      </w:r>
      <w:r w:rsidRPr="00775512">
        <w:rPr>
          <w:bCs/>
          <w:color w:val="212529"/>
          <w:spacing w:val="-1"/>
        </w:rPr>
        <w:t>tasa de interés natural</w:t>
      </w:r>
      <w:r w:rsidRPr="00CB28F7">
        <w:rPr>
          <w:color w:val="212529"/>
          <w:spacing w:val="-1"/>
        </w:rPr>
        <w:t> para medir los efectos a largo plazo que han tenido las pandemias en las economías europeas. A grandes rasgos se podría definir como el punto de equilibrio entre salarios y precios para que una economía se encuentre equilibrada. Este concepto les sirve a los autores, utilizando datos disponibles de sueldos y activos, como un </w:t>
      </w:r>
      <w:r w:rsidRPr="00A34C2E">
        <w:rPr>
          <w:bCs/>
          <w:color w:val="212529"/>
          <w:spacing w:val="-1"/>
        </w:rPr>
        <w:t>barómetro útil de las fluctuaciones a largo plazo del dinamismo económico</w:t>
      </w:r>
      <w:r w:rsidRPr="00CB28F7">
        <w:rPr>
          <w:color w:val="212529"/>
          <w:spacing w:val="-1"/>
        </w:rPr>
        <w:t xml:space="preserve">. Para la política monetaria también es una herramienta esencial. </w:t>
      </w:r>
      <w:r w:rsidRPr="00A661FA">
        <w:rPr>
          <w:color w:val="FF0000"/>
          <w:spacing w:val="-1"/>
          <w:u w:val="single"/>
        </w:rPr>
        <w:t>La teoría económica apunta a que la fijación de los tipos de interés se tiene que fijar cerca de la tasa natural para lograr que el PIB, el empleo y la inflación se sitúen en el nivel óptimo para que la economía crezca sin desequilibrios.</w:t>
      </w:r>
    </w:p>
    <w:p w:rsidR="003B038D" w:rsidRDefault="003B038D" w:rsidP="003B038D">
      <w:pPr>
        <w:pStyle w:val="Ttulo2"/>
        <w:shd w:val="clear" w:color="auto" w:fill="FFFFFF"/>
        <w:spacing w:before="0" w:line="240" w:lineRule="auto"/>
        <w:jc w:val="both"/>
        <w:rPr>
          <w:rFonts w:ascii="Times New Roman" w:hAnsi="Times New Roman" w:cs="Times New Roman"/>
          <w:b w:val="0"/>
          <w:bCs w:val="0"/>
          <w:color w:val="212529"/>
          <w:sz w:val="24"/>
          <w:szCs w:val="24"/>
        </w:rPr>
      </w:pPr>
      <w:r>
        <w:rPr>
          <w:rFonts w:ascii="Times New Roman" w:hAnsi="Times New Roman" w:cs="Times New Roman"/>
          <w:b w:val="0"/>
          <w:bCs w:val="0"/>
          <w:color w:val="212529"/>
          <w:sz w:val="24"/>
          <w:szCs w:val="24"/>
        </w:rPr>
        <w:t>El efecto de la</w:t>
      </w:r>
      <w:r w:rsidRPr="00CB28F7">
        <w:rPr>
          <w:rFonts w:ascii="Times New Roman" w:hAnsi="Times New Roman" w:cs="Times New Roman"/>
          <w:b w:val="0"/>
          <w:bCs w:val="0"/>
          <w:color w:val="212529"/>
          <w:sz w:val="24"/>
          <w:szCs w:val="24"/>
        </w:rPr>
        <w:t xml:space="preserve"> crisis financiera sobre los tipos se pueden alargar 10 años</w:t>
      </w:r>
    </w:p>
    <w:p w:rsidR="003B038D" w:rsidRPr="0056784F" w:rsidRDefault="003B038D" w:rsidP="003B038D">
      <w:pPr>
        <w:rPr>
          <w:lang w:eastAsia="es-ES"/>
        </w:rPr>
      </w:pPr>
    </w:p>
    <w:p w:rsidR="003B038D" w:rsidRPr="00A661FA" w:rsidRDefault="003B038D" w:rsidP="003B038D">
      <w:pPr>
        <w:pStyle w:val="NormalWeb"/>
        <w:shd w:val="clear" w:color="auto" w:fill="FFFFFF"/>
        <w:spacing w:before="0" w:beforeAutospacing="0" w:after="270" w:afterAutospacing="0"/>
        <w:jc w:val="both"/>
        <w:rPr>
          <w:color w:val="FF0000"/>
          <w:spacing w:val="-1"/>
          <w:u w:val="single"/>
        </w:rPr>
      </w:pPr>
      <w:r>
        <w:rPr>
          <w:color w:val="FF0000"/>
          <w:spacing w:val="-1"/>
          <w:u w:val="single"/>
        </w:rPr>
        <w:t>“</w:t>
      </w:r>
      <w:r w:rsidRPr="00A661FA">
        <w:rPr>
          <w:color w:val="FF0000"/>
          <w:spacing w:val="-1"/>
          <w:u w:val="single"/>
        </w:rPr>
        <w:t>Después de una pandemia la tasa de interés natural disminuye durante décadas alcanzando su punto más bajo unos 20 años después, con una tasa natural aproximadamente 2% menor si la p</w:t>
      </w:r>
      <w:r>
        <w:rPr>
          <w:color w:val="FF0000"/>
          <w:spacing w:val="-1"/>
          <w:u w:val="single"/>
        </w:rPr>
        <w:t>andemia no hubiera tenido lugar”</w:t>
      </w:r>
      <w:r w:rsidRPr="00A661FA">
        <w:rPr>
          <w:color w:val="FF0000"/>
          <w:spacing w:val="-1"/>
          <w:u w:val="single"/>
        </w:rPr>
        <w:t>, explica el estudio. Y tarda otros 20 años en recuperar los niveles previos.</w:t>
      </w:r>
      <w:r w:rsidRPr="00CB28F7">
        <w:rPr>
          <w:color w:val="212529"/>
          <w:spacing w:val="-1"/>
        </w:rPr>
        <w:t xml:space="preserve"> El alcance de una pandemia para las tasas de interés son mucho mayores que en una crisis financiera</w:t>
      </w:r>
      <w:r>
        <w:rPr>
          <w:color w:val="FF0000"/>
          <w:spacing w:val="-1"/>
          <w:u w:val="single"/>
        </w:rPr>
        <w:t>. “</w:t>
      </w:r>
      <w:r w:rsidRPr="00A661FA">
        <w:rPr>
          <w:color w:val="FF0000"/>
          <w:spacing w:val="-1"/>
          <w:u w:val="single"/>
        </w:rPr>
        <w:t>Después de las grandes recesiones causadas por crisis financieras, la historia muestra que los tipos reales permanecen a la baja de 5 a 10 años, pero el estudio demuestra una persistencia aún m</w:t>
      </w:r>
      <w:r>
        <w:rPr>
          <w:color w:val="FF0000"/>
          <w:spacing w:val="-1"/>
          <w:u w:val="single"/>
        </w:rPr>
        <w:t>ás pronunciada en las epidemias”</w:t>
      </w:r>
      <w:r w:rsidRPr="00A661FA">
        <w:rPr>
          <w:color w:val="FF0000"/>
          <w:spacing w:val="-1"/>
          <w:u w:val="single"/>
        </w:rPr>
        <w:t>, señalan.</w:t>
      </w:r>
    </w:p>
    <w:p w:rsidR="003B038D" w:rsidRDefault="003B038D" w:rsidP="003B038D">
      <w:pPr>
        <w:pStyle w:val="NormalWeb"/>
        <w:shd w:val="clear" w:color="auto" w:fill="FFFFFF"/>
        <w:spacing w:before="0" w:beforeAutospacing="0" w:after="270" w:afterAutospacing="0"/>
        <w:jc w:val="both"/>
        <w:rPr>
          <w:color w:val="212529"/>
          <w:spacing w:val="-1"/>
        </w:rPr>
      </w:pPr>
      <w:r w:rsidRPr="00CB28F7">
        <w:rPr>
          <w:color w:val="212529"/>
          <w:spacing w:val="-1"/>
        </w:rPr>
        <w:t>Uno de los hallazgos más interesantes de la investigación es la comparación que se realiza con el comportamiento de las tasas de interés tras un conflicto bélico respecto a las epidemias. Aunque a lo largo de la historia suele solaparse, como ocurrió con la gripe española y la I Guerra Mundial, lo cierto es que la economía responde de manera diferente.</w:t>
      </w:r>
    </w:p>
    <w:p w:rsidR="003B038D" w:rsidRPr="00A34C2E" w:rsidRDefault="003B038D" w:rsidP="003B038D">
      <w:pPr>
        <w:pStyle w:val="NormalWeb"/>
        <w:shd w:val="clear" w:color="auto" w:fill="FFFFFF"/>
        <w:spacing w:before="0" w:beforeAutospacing="0" w:after="270" w:afterAutospacing="0"/>
        <w:jc w:val="both"/>
        <w:rPr>
          <w:color w:val="212529"/>
          <w:spacing w:val="-1"/>
        </w:rPr>
      </w:pPr>
      <w:r w:rsidRPr="00A34C2E">
        <w:rPr>
          <w:color w:val="212529"/>
          <w:spacing w:val="-1"/>
        </w:rPr>
        <w:t>En </w:t>
      </w:r>
      <w:r w:rsidRPr="00A34C2E">
        <w:rPr>
          <w:bCs/>
          <w:color w:val="212529"/>
          <w:spacing w:val="-1"/>
        </w:rPr>
        <w:t>las guerras, los tipos suelen reaccionar bruscamente a la baja, para luego repuntar en línea con la subida de precios</w:t>
      </w:r>
      <w:r>
        <w:rPr>
          <w:color w:val="212529"/>
          <w:spacing w:val="-1"/>
        </w:rPr>
        <w:t> ante la escasez de productos. “</w:t>
      </w:r>
      <w:r w:rsidRPr="00A34C2E">
        <w:rPr>
          <w:color w:val="212529"/>
          <w:spacing w:val="-1"/>
        </w:rPr>
        <w:t>El sesgo sobre los tipos de interés natural puede leerse fácilmente a la i</w:t>
      </w:r>
      <w:r>
        <w:rPr>
          <w:color w:val="212529"/>
          <w:spacing w:val="-1"/>
        </w:rPr>
        <w:t>nversa”</w:t>
      </w:r>
      <w:r w:rsidRPr="00A34C2E">
        <w:rPr>
          <w:color w:val="212529"/>
          <w:spacing w:val="-1"/>
        </w:rPr>
        <w:t>, comentan los expertos.</w:t>
      </w:r>
    </w:p>
    <w:p w:rsidR="003B038D" w:rsidRPr="00CB28F7" w:rsidRDefault="003B038D" w:rsidP="003B038D">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Respuesta de los tipos naturales a las guerra</w:t>
      </w:r>
      <w:r>
        <w:rPr>
          <w:rFonts w:ascii="Times New Roman" w:hAnsi="Times New Roman" w:cs="Times New Roman"/>
          <w:b w:val="0"/>
          <w:bCs w:val="0"/>
          <w:color w:val="212529"/>
          <w:sz w:val="24"/>
          <w:szCs w:val="24"/>
        </w:rPr>
        <w:t>s</w:t>
      </w:r>
      <w:r w:rsidRPr="00CB28F7">
        <w:rPr>
          <w:rFonts w:ascii="Times New Roman" w:hAnsi="Times New Roman" w:cs="Times New Roman"/>
          <w:b w:val="0"/>
          <w:bCs w:val="0"/>
          <w:color w:val="212529"/>
          <w:sz w:val="24"/>
          <w:szCs w:val="24"/>
        </w:rPr>
        <w:t xml:space="preserve"> y a las pandemias</w:t>
      </w:r>
    </w:p>
    <w:p w:rsidR="003B038D" w:rsidRPr="00CB28F7" w:rsidRDefault="003B038D" w:rsidP="003B038D">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00E078E1" wp14:editId="3E8A0CE1">
            <wp:extent cx="5674659" cy="2393576"/>
            <wp:effectExtent l="0" t="0" r="2540" b="6985"/>
            <wp:docPr id="188" name="Imagen 188" descr="https://s03.s3c.es/imag/_v0/1109x610/e/7/1/repuesta-tipos-interes-guerra-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03.s3c.es/imag/_v0/1109x610/e/7/1/repuesta-tipos-interes-guerra-pandemia.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83250" cy="2397200"/>
                    </a:xfrm>
                    <a:prstGeom prst="rect">
                      <a:avLst/>
                    </a:prstGeom>
                    <a:noFill/>
                    <a:ln>
                      <a:noFill/>
                    </a:ln>
                  </pic:spPr>
                </pic:pic>
              </a:graphicData>
            </a:graphic>
          </wp:inline>
        </w:drawing>
      </w:r>
    </w:p>
    <w:p w:rsidR="003B038D" w:rsidRDefault="003B038D" w:rsidP="003B038D">
      <w:pPr>
        <w:pStyle w:val="Ttulo2"/>
        <w:shd w:val="clear" w:color="auto" w:fill="FFFFFF"/>
        <w:spacing w:before="0" w:line="240" w:lineRule="auto"/>
        <w:jc w:val="both"/>
        <w:rPr>
          <w:rFonts w:ascii="Times New Roman" w:hAnsi="Times New Roman" w:cs="Times New Roman"/>
          <w:b w:val="0"/>
          <w:bCs w:val="0"/>
          <w:color w:val="212529"/>
          <w:sz w:val="24"/>
          <w:szCs w:val="24"/>
        </w:rPr>
      </w:pPr>
    </w:p>
    <w:p w:rsidR="003B038D" w:rsidRDefault="003B038D" w:rsidP="003B038D">
      <w:pPr>
        <w:pStyle w:val="Ttulo2"/>
        <w:shd w:val="clear" w:color="auto" w:fill="FFFFFF"/>
        <w:spacing w:before="0"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Los bonos, un invento de la guerra para financiarse</w:t>
      </w:r>
    </w:p>
    <w:p w:rsidR="003B038D" w:rsidRPr="00CB28F7" w:rsidRDefault="003B038D" w:rsidP="003B038D">
      <w:pPr>
        <w:spacing w:line="240" w:lineRule="auto"/>
      </w:pPr>
    </w:p>
    <w:p w:rsidR="003B038D" w:rsidRPr="00CB28F7" w:rsidRDefault="003B038D" w:rsidP="003B038D">
      <w:pPr>
        <w:pStyle w:val="NormalWeb"/>
        <w:shd w:val="clear" w:color="auto" w:fill="FFFFFF"/>
        <w:spacing w:before="0" w:beforeAutospacing="0" w:after="270" w:afterAutospacing="0"/>
        <w:jc w:val="both"/>
        <w:rPr>
          <w:color w:val="212529"/>
          <w:spacing w:val="-1"/>
        </w:rPr>
      </w:pPr>
      <w:r w:rsidRPr="002503CF">
        <w:rPr>
          <w:color w:val="FF0000"/>
          <w:spacing w:val="-1"/>
          <w:u w:val="single"/>
        </w:rPr>
        <w:lastRenderedPageBreak/>
        <w:t>Las epidemias y las guerras comparten el factor de alta mortalidad afec</w:t>
      </w:r>
      <w:r>
        <w:rPr>
          <w:color w:val="FF0000"/>
          <w:spacing w:val="-1"/>
          <w:u w:val="single"/>
        </w:rPr>
        <w:t>tando a la mano de obra. Pero, “</w:t>
      </w:r>
      <w:r w:rsidRPr="002503CF">
        <w:rPr>
          <w:color w:val="FF0000"/>
          <w:spacing w:val="-1"/>
          <w:u w:val="single"/>
        </w:rPr>
        <w:t>la escasez de capital creada por la destrucción física es una cara</w:t>
      </w:r>
      <w:r>
        <w:rPr>
          <w:color w:val="FF0000"/>
          <w:spacing w:val="-1"/>
          <w:u w:val="single"/>
        </w:rPr>
        <w:t>cterística ausente en pandemias”</w:t>
      </w:r>
      <w:r w:rsidRPr="002503CF">
        <w:rPr>
          <w:color w:val="FF0000"/>
          <w:spacing w:val="-1"/>
          <w:u w:val="single"/>
        </w:rPr>
        <w:t>, lo que impacta directamente en la oferta y estimula los precios, a pesar de que retroceda la demanda</w:t>
      </w:r>
      <w:r w:rsidRPr="00CB28F7">
        <w:rPr>
          <w:color w:val="212529"/>
          <w:spacing w:val="-1"/>
        </w:rPr>
        <w:t>. Además, los expertos recuerdan que la deuda suele aumentar en época de conflicto. La guerra inventó los bonos para financiarse. Desde el principio de los tiempos, los contendientes ante la escasez de recursos recurren a la deud</w:t>
      </w:r>
      <w:r>
        <w:rPr>
          <w:color w:val="212529"/>
          <w:spacing w:val="-1"/>
        </w:rPr>
        <w:t>a para financiar la contienda. “</w:t>
      </w:r>
      <w:r w:rsidRPr="00CB28F7">
        <w:rPr>
          <w:color w:val="212529"/>
          <w:spacing w:val="-1"/>
        </w:rPr>
        <w:t xml:space="preserve">La carga de recaudar grandes sumas de dinero a través implica </w:t>
      </w:r>
      <w:r>
        <w:rPr>
          <w:color w:val="212529"/>
          <w:spacing w:val="-1"/>
        </w:rPr>
        <w:t>unos tipos de interés más altos”</w:t>
      </w:r>
      <w:r w:rsidRPr="00CB28F7">
        <w:rPr>
          <w:color w:val="212529"/>
          <w:spacing w:val="-1"/>
        </w:rPr>
        <w:t>, subrayan.</w:t>
      </w:r>
    </w:p>
    <w:p w:rsidR="003B038D" w:rsidRPr="002503CF" w:rsidRDefault="003B038D" w:rsidP="003B038D">
      <w:pPr>
        <w:pStyle w:val="NormalWeb"/>
        <w:shd w:val="clear" w:color="auto" w:fill="FFFFFF"/>
        <w:spacing w:before="0" w:beforeAutospacing="0" w:after="270" w:afterAutospacing="0"/>
        <w:jc w:val="both"/>
        <w:rPr>
          <w:color w:val="FF0000"/>
          <w:spacing w:val="-1"/>
          <w:u w:val="single"/>
        </w:rPr>
      </w:pPr>
      <w:r w:rsidRPr="002503CF">
        <w:rPr>
          <w:color w:val="FF0000"/>
          <w:spacing w:val="-1"/>
          <w:u w:val="single"/>
        </w:rPr>
        <w:t xml:space="preserve">La gran pregunta es si las economías europeas se van a comportar igual ante la pandemia del coronavirus. Lo cierto es que </w:t>
      </w:r>
      <w:r w:rsidRPr="00A34C2E">
        <w:rPr>
          <w:color w:val="FF0000"/>
          <w:spacing w:val="-1"/>
          <w:u w:val="single"/>
        </w:rPr>
        <w:t>los </w:t>
      </w:r>
      <w:r w:rsidRPr="00A34C2E">
        <w:rPr>
          <w:bCs/>
          <w:color w:val="FF0000"/>
          <w:spacing w:val="-1"/>
          <w:u w:val="single"/>
        </w:rPr>
        <w:t>tipos de interés llevan una tendencia a la baja</w:t>
      </w:r>
      <w:r w:rsidRPr="002503CF">
        <w:rPr>
          <w:color w:val="FF0000"/>
          <w:spacing w:val="-1"/>
          <w:u w:val="single"/>
        </w:rPr>
        <w:t>, agudizada desde la última crisis financiera y la Gran Recesión hasta tipos negativos. Pero no es más que un pequeño fragmento dentro de una disminución secular que se remonta a siglos atrás.</w:t>
      </w:r>
    </w:p>
    <w:p w:rsidR="003B038D" w:rsidRPr="00CB28F7" w:rsidRDefault="003B038D" w:rsidP="003B038D">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511CF5F8" wp14:editId="5F15156A">
            <wp:extent cx="5633339" cy="2729753"/>
            <wp:effectExtent l="0" t="0" r="5715" b="0"/>
            <wp:docPr id="189" name="Imagen 189" descr="https://s03.s3c.es/imag/_v0/791x358/3/0/5/tipos-natural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03.s3c.es/imag/_v0/791x358/3/0/5/tipos-naturales-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38800" cy="2732399"/>
                    </a:xfrm>
                    <a:prstGeom prst="rect">
                      <a:avLst/>
                    </a:prstGeom>
                    <a:noFill/>
                    <a:ln>
                      <a:noFill/>
                    </a:ln>
                  </pic:spPr>
                </pic:pic>
              </a:graphicData>
            </a:graphic>
          </wp:inline>
        </w:drawing>
      </w:r>
    </w:p>
    <w:p w:rsidR="003B038D" w:rsidRPr="002503CF" w:rsidRDefault="003B038D" w:rsidP="003B038D">
      <w:pPr>
        <w:pStyle w:val="NormalWeb"/>
        <w:shd w:val="clear" w:color="auto" w:fill="FFFFFF"/>
        <w:spacing w:before="0" w:beforeAutospacing="0" w:after="270" w:afterAutospacing="0"/>
        <w:jc w:val="both"/>
        <w:rPr>
          <w:color w:val="FF0000"/>
          <w:spacing w:val="-1"/>
          <w:u w:val="single"/>
        </w:rPr>
      </w:pPr>
      <w:r w:rsidRPr="002503CF">
        <w:rPr>
          <w:color w:val="FF0000"/>
          <w:spacing w:val="-1"/>
          <w:u w:val="single"/>
        </w:rPr>
        <w:t>Según la evolución de la tasa de interés natural, </w:t>
      </w:r>
      <w:r w:rsidRPr="00A34C2E">
        <w:rPr>
          <w:bCs/>
          <w:color w:val="FF0000"/>
          <w:spacing w:val="-1"/>
          <w:u w:val="single"/>
        </w:rPr>
        <w:t>durante la Edad Media se situó sobre el 10%</w:t>
      </w:r>
      <w:r w:rsidRPr="002503CF">
        <w:rPr>
          <w:color w:val="FF0000"/>
          <w:spacing w:val="-1"/>
          <w:u w:val="single"/>
        </w:rPr>
        <w:t>, al comienzo de la Revolución Industrial bajó al 5% y hoy en día ronda el 0%. Sobre este nivel, siguiendo la tesis de Jordà, Singh y Taylor, la proyección de los tipos tenderá a hundirse poco a poco hasta el -2% de media, en un plazo de veinte años.</w:t>
      </w:r>
    </w:p>
    <w:p w:rsidR="003B038D" w:rsidRDefault="003B038D" w:rsidP="003B038D">
      <w:pPr>
        <w:pStyle w:val="Ttulo2"/>
        <w:shd w:val="clear" w:color="auto" w:fill="FFFFFF"/>
        <w:spacing w:before="0"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La peste negra y otras plagas golpearon a las poblaciones por debajo de los 60 años</w:t>
      </w:r>
    </w:p>
    <w:p w:rsidR="003B038D" w:rsidRPr="00CB28F7" w:rsidRDefault="003B038D" w:rsidP="003B038D">
      <w:pPr>
        <w:spacing w:line="240" w:lineRule="auto"/>
      </w:pPr>
    </w:p>
    <w:p w:rsidR="003B038D" w:rsidRPr="002503CF" w:rsidRDefault="003B038D" w:rsidP="003B038D">
      <w:pPr>
        <w:pStyle w:val="NormalWeb"/>
        <w:shd w:val="clear" w:color="auto" w:fill="FFFFFF"/>
        <w:spacing w:before="0" w:beforeAutospacing="0" w:after="270" w:afterAutospacing="0"/>
        <w:jc w:val="both"/>
        <w:rPr>
          <w:color w:val="212529"/>
          <w:spacing w:val="-1"/>
          <w:u w:val="single"/>
        </w:rPr>
      </w:pPr>
      <w:r w:rsidRPr="00CB28F7">
        <w:rPr>
          <w:color w:val="212529"/>
          <w:spacing w:val="-1"/>
        </w:rPr>
        <w:t>Sin embargo, sobre los tipos oficiales y naturales influyen muchos factores más que terminan evitando una curva suave. El factor tecnológico sobre la producción, el demográfico como el </w:t>
      </w:r>
      <w:hyperlink r:id="rId22" w:tgtFrame="_self" w:history="1">
        <w:r w:rsidRPr="00A34C2E">
          <w:rPr>
            <w:rStyle w:val="Hipervnculo"/>
            <w:rFonts w:eastAsiaTheme="majorEastAsia"/>
            <w:color w:val="auto"/>
            <w:spacing w:val="-1"/>
          </w:rPr>
          <w:t>envejecimiento de la población</w:t>
        </w:r>
      </w:hyperlink>
      <w:r w:rsidRPr="00A34C2E">
        <w:rPr>
          <w:spacing w:val="-1"/>
        </w:rPr>
        <w:t> </w:t>
      </w:r>
      <w:r>
        <w:rPr>
          <w:color w:val="212529"/>
          <w:spacing w:val="-1"/>
        </w:rPr>
        <w:t>y el político (</w:t>
      </w:r>
      <w:r w:rsidRPr="00CB28F7">
        <w:rPr>
          <w:color w:val="212529"/>
          <w:spacing w:val="-1"/>
        </w:rPr>
        <w:t>las propias decisiones de los propios bancos centrales) provoca en determinados fuertes oscilaciones, aunque no han evitado modificar la tendencia de fondo. Estas circunstanci</w:t>
      </w:r>
      <w:r>
        <w:rPr>
          <w:color w:val="212529"/>
          <w:spacing w:val="-1"/>
        </w:rPr>
        <w:t>as platean dudas si la actual pa</w:t>
      </w:r>
      <w:r w:rsidRPr="00CB28F7">
        <w:rPr>
          <w:color w:val="212529"/>
          <w:spacing w:val="-1"/>
        </w:rPr>
        <w:t>ndemia tendrá las mismas consecuencias. </w:t>
      </w:r>
      <w:r w:rsidRPr="002503CF">
        <w:rPr>
          <w:b/>
          <w:bCs/>
          <w:color w:val="212529"/>
          <w:spacing w:val="-1"/>
          <w:u w:val="single"/>
        </w:rPr>
        <w:t>Hasta el momento la mortalidad del COVID-19 se ceba con personas de elevada edad reduciéndose el impacto sobre la fuerza de trabajo</w:t>
      </w:r>
      <w:r w:rsidRPr="002503CF">
        <w:rPr>
          <w:color w:val="212529"/>
          <w:spacing w:val="-1"/>
          <w:u w:val="single"/>
        </w:rPr>
        <w:t>, un elemento que terminó desestabilizando a las economías en pasadas pandemias. El desarrollo de la tecnología también apunta a que por este lado pueda amortiguar e</w:t>
      </w:r>
      <w:r>
        <w:rPr>
          <w:color w:val="212529"/>
          <w:spacing w:val="-1"/>
          <w:u w:val="single"/>
        </w:rPr>
        <w:t>l golpe sobre la mano de obra. “</w:t>
      </w:r>
      <w:r w:rsidRPr="002503CF">
        <w:rPr>
          <w:color w:val="212529"/>
          <w:spacing w:val="-1"/>
          <w:u w:val="single"/>
        </w:rPr>
        <w:t>La peste negra y otras plagas golpearon a las poblaciones por debajo de los 60 años, por lo q</w:t>
      </w:r>
      <w:r>
        <w:rPr>
          <w:color w:val="212529"/>
          <w:spacing w:val="-1"/>
          <w:u w:val="single"/>
        </w:rPr>
        <w:t>ue esta vez puede ser diferente”</w:t>
      </w:r>
      <w:r w:rsidRPr="002503CF">
        <w:rPr>
          <w:color w:val="212529"/>
          <w:spacing w:val="-1"/>
          <w:u w:val="single"/>
        </w:rPr>
        <w:t>, afirman.</w:t>
      </w:r>
    </w:p>
    <w:p w:rsidR="003B038D" w:rsidRPr="00CB28F7" w:rsidRDefault="003B038D" w:rsidP="003B038D">
      <w:pPr>
        <w:pStyle w:val="NormalWeb"/>
        <w:shd w:val="clear" w:color="auto" w:fill="FFFFFF"/>
        <w:spacing w:before="0" w:beforeAutospacing="0" w:after="270" w:afterAutospacing="0"/>
        <w:jc w:val="both"/>
        <w:rPr>
          <w:color w:val="212529"/>
          <w:spacing w:val="-1"/>
        </w:rPr>
      </w:pPr>
      <w:r w:rsidRPr="00CB28F7">
        <w:rPr>
          <w:color w:val="212529"/>
          <w:spacing w:val="-1"/>
        </w:rPr>
        <w:lastRenderedPageBreak/>
        <w:t>Otra interrogante que abre el estudio es si todas las economías europeas sufrieron las consecuencias de la misma manera. Y la respuesta arroja luz sobre la actual situación. Europa ha caído en un debate de qué medidas a adoptar, mientras los contagios y las muertes crecen de manera dispar entre sus poblaciones. El estudio recoge cómo han ido respondiendo las economías de Francia, Alemania, Italia, Holanda, España y el Reino Unido a las distintas epidemias. Los tipos naturales sufren de media una caída del 10% y de alrededor de un 4% en Francia y España, en contraste con el bloque del norte de Europa con consecuencias más modestas.</w:t>
      </w:r>
    </w:p>
    <w:p w:rsidR="003B038D" w:rsidRPr="00CB28F7" w:rsidRDefault="003B038D" w:rsidP="003B038D">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46E37A0B" wp14:editId="1FCDDF79">
            <wp:extent cx="5746750" cy="3771900"/>
            <wp:effectExtent l="0" t="0" r="6350" b="0"/>
            <wp:docPr id="190" name="Imagen 190" descr="https://s03.s3c.es/imag/_v0/1072x574/0/c/6/economias-europe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03.s3c.es/imag/_v0/1072x574/0/c/6/economias-europeas.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46750" cy="3771900"/>
                    </a:xfrm>
                    <a:prstGeom prst="rect">
                      <a:avLst/>
                    </a:prstGeom>
                    <a:noFill/>
                    <a:ln>
                      <a:noFill/>
                    </a:ln>
                  </pic:spPr>
                </pic:pic>
              </a:graphicData>
            </a:graphic>
          </wp:inline>
        </w:drawing>
      </w:r>
    </w:p>
    <w:p w:rsidR="003B038D" w:rsidRDefault="003B038D" w:rsidP="003B038D">
      <w:pPr>
        <w:pStyle w:val="NormalWeb"/>
        <w:shd w:val="clear" w:color="auto" w:fill="FFFFFF"/>
        <w:spacing w:before="0" w:beforeAutospacing="0" w:after="270" w:afterAutospacing="0"/>
        <w:jc w:val="both"/>
        <w:rPr>
          <w:color w:val="212529"/>
          <w:spacing w:val="-1"/>
        </w:rPr>
      </w:pPr>
      <w:r w:rsidRPr="002503CF">
        <w:rPr>
          <w:color w:val="212529"/>
          <w:spacing w:val="-1"/>
          <w:u w:val="single"/>
        </w:rPr>
        <w:t>Es</w:t>
      </w:r>
      <w:r>
        <w:rPr>
          <w:color w:val="212529"/>
          <w:spacing w:val="-1"/>
          <w:u w:val="single"/>
        </w:rPr>
        <w:t>tos resultados se explican por “</w:t>
      </w:r>
      <w:r w:rsidRPr="002503CF">
        <w:rPr>
          <w:color w:val="212529"/>
          <w:spacing w:val="-1"/>
          <w:u w:val="single"/>
        </w:rPr>
        <w:t>la exposición de cada país a la pandemia, el tamaño de la población activa y la industrializació</w:t>
      </w:r>
      <w:r>
        <w:rPr>
          <w:color w:val="212529"/>
          <w:spacing w:val="-1"/>
          <w:u w:val="single"/>
        </w:rPr>
        <w:t>n de cada economía”</w:t>
      </w:r>
      <w:r w:rsidRPr="002503CF">
        <w:rPr>
          <w:color w:val="212529"/>
          <w:spacing w:val="-1"/>
          <w:u w:val="single"/>
        </w:rPr>
        <w:t>. Circunstancias que a día de hoy también definen las posiciones de cada país para defender el tipo de ayuda y la magnitud a través de la Unión Europea. La buena noticia es que si se cumplen las consecuencias de anteriores plagas con un descenso mayor en los tipos habrá espacio fiscal suficiente para que los gobiernos cumplan con su retórica de economía de guerra para elevar la deuda y aplicar estímulos</w:t>
      </w:r>
      <w:r w:rsidRPr="00CB28F7">
        <w:rPr>
          <w:color w:val="212529"/>
          <w:spacing w:val="-1"/>
        </w:rPr>
        <w:t>.</w:t>
      </w:r>
    </w:p>
    <w:p w:rsidR="00B849A0" w:rsidRPr="00393AD3" w:rsidRDefault="00B849A0" w:rsidP="00B849A0">
      <w:pPr>
        <w:pStyle w:val="NormalWeb"/>
        <w:spacing w:after="0"/>
        <w:jc w:val="both"/>
        <w:textAlignment w:val="baseline"/>
      </w:pPr>
      <w:r>
        <w:t xml:space="preserve">- </w:t>
      </w:r>
      <w:r w:rsidRPr="00393AD3">
        <w:rPr>
          <w:u w:val="single"/>
        </w:rPr>
        <w:t>El Covid-19 es la ruina: la deuda supondrá el 342% del PIB mundial este año</w:t>
      </w:r>
      <w:r>
        <w:t xml:space="preserve"> (El Confidencial - </w:t>
      </w:r>
      <w:r w:rsidRPr="00393AD3">
        <w:rPr>
          <w:b/>
        </w:rPr>
        <w:t>8/4/20</w:t>
      </w:r>
      <w:r>
        <w:t>)</w:t>
      </w:r>
    </w:p>
    <w:p w:rsidR="00B849A0" w:rsidRPr="008B08A8" w:rsidRDefault="00B849A0" w:rsidP="00B849A0">
      <w:pPr>
        <w:pStyle w:val="NormalWeb"/>
        <w:spacing w:after="0"/>
        <w:jc w:val="both"/>
        <w:textAlignment w:val="baseline"/>
        <w:rPr>
          <w:u w:val="single"/>
        </w:rPr>
      </w:pPr>
      <w:r w:rsidRPr="00F3777A">
        <w:rPr>
          <w:u w:val="single"/>
        </w:rPr>
        <w:t xml:space="preserve">La factura del coronavirus, en términos económicos, no deja de subir. El mundo tuvo que endeudarse en dos billones solo en marzo. </w:t>
      </w:r>
      <w:r w:rsidRPr="008B08A8">
        <w:rPr>
          <w:u w:val="single"/>
        </w:rPr>
        <w:t>Y todo indica que esa tendencia continuará</w:t>
      </w:r>
    </w:p>
    <w:p w:rsidR="00B849A0" w:rsidRPr="008B08A8" w:rsidRDefault="00B849A0" w:rsidP="00B849A0">
      <w:pPr>
        <w:pStyle w:val="NormalWeb"/>
        <w:spacing w:after="0"/>
        <w:jc w:val="both"/>
        <w:textAlignment w:val="baseline"/>
      </w:pPr>
      <w:r w:rsidRPr="008B08A8">
        <w:t>(Por Carlos Sánchez)</w:t>
      </w:r>
    </w:p>
    <w:p w:rsidR="00B849A0" w:rsidRPr="007D349B" w:rsidRDefault="00B849A0" w:rsidP="00B849A0">
      <w:pPr>
        <w:pStyle w:val="NormalWeb"/>
        <w:shd w:val="clear" w:color="auto" w:fill="FFFFFF"/>
        <w:spacing w:before="0" w:beforeAutospacing="0" w:after="0" w:afterAutospacing="0"/>
        <w:jc w:val="both"/>
        <w:textAlignment w:val="baseline"/>
        <w:rPr>
          <w:color w:val="FF0000"/>
          <w:u w:val="single"/>
        </w:rPr>
      </w:pPr>
      <w:r w:rsidRPr="00393AD3">
        <w:t xml:space="preserve">La pandemia del Covid-19 continúa pulverizando todos los registros. </w:t>
      </w:r>
      <w:r w:rsidRPr="007D349B">
        <w:rPr>
          <w:color w:val="FF0000"/>
          <w:u w:val="single"/>
        </w:rPr>
        <w:t>Ahora ha vuelto a ser la </w:t>
      </w:r>
      <w:r w:rsidRPr="007D349B">
        <w:rPr>
          <w:rStyle w:val="Textoennegrita"/>
          <w:rFonts w:eastAsiaTheme="majorEastAsia"/>
          <w:b w:val="0"/>
          <w:color w:val="FF0000"/>
          <w:bdr w:val="none" w:sz="0" w:space="0" w:color="auto" w:frame="1"/>
        </w:rPr>
        <w:t>patronal bancaria mundial</w:t>
      </w:r>
      <w:r w:rsidRPr="007D349B">
        <w:rPr>
          <w:color w:val="FF0000"/>
          <w:u w:val="single"/>
        </w:rPr>
        <w:t> quien ha llamado la atención sobre el enorme </w:t>
      </w:r>
      <w:hyperlink r:id="rId24" w:history="1">
        <w:r w:rsidRPr="007D349B">
          <w:rPr>
            <w:rStyle w:val="Hipervnculo"/>
            <w:rFonts w:eastAsiaTheme="majorEastAsia"/>
            <w:color w:val="FF0000"/>
          </w:rPr>
          <w:t>aumento de la deuda</w:t>
        </w:r>
      </w:hyperlink>
      <w:r w:rsidRPr="007D349B">
        <w:rPr>
          <w:color w:val="FF0000"/>
          <w:u w:val="single"/>
        </w:rPr>
        <w:t xml:space="preserve"> en el conjunto de la economía global en marzo. En concreto, el endeudamiento, solo de </w:t>
      </w:r>
      <w:r w:rsidRPr="007D349B">
        <w:rPr>
          <w:color w:val="FF0000"/>
          <w:u w:val="single"/>
        </w:rPr>
        <w:lastRenderedPageBreak/>
        <w:t xml:space="preserve">los Estados, se ha disparado hasta los 2,1 billones de dólares, una cifra que el </w:t>
      </w:r>
      <w:r w:rsidRPr="003B038D">
        <w:rPr>
          <w:color w:val="FF0000"/>
          <w:u w:val="single"/>
        </w:rPr>
        <w:t>propio </w:t>
      </w:r>
      <w:r w:rsidRPr="003B038D">
        <w:rPr>
          <w:rStyle w:val="Textoennegrita"/>
          <w:rFonts w:eastAsiaTheme="majorEastAsia"/>
          <w:b w:val="0"/>
          <w:color w:val="FF0000"/>
          <w:u w:val="single"/>
          <w:bdr w:val="none" w:sz="0" w:space="0" w:color="auto" w:frame="1"/>
        </w:rPr>
        <w:t>Instituto de Finanzas Internacionales</w:t>
      </w:r>
      <w:r w:rsidRPr="007D349B">
        <w:rPr>
          <w:color w:val="FF0000"/>
          <w:u w:val="single"/>
        </w:rPr>
        <w:t> (IIF, por sus siglas en inglés) califica de “récord”.</w:t>
      </w:r>
    </w:p>
    <w:p w:rsidR="00B849A0" w:rsidRPr="00393AD3" w:rsidRDefault="00B849A0" w:rsidP="00B849A0">
      <w:pPr>
        <w:pStyle w:val="NormalWeb"/>
        <w:shd w:val="clear" w:color="auto" w:fill="FFFFFF"/>
        <w:spacing w:before="0" w:beforeAutospacing="0" w:after="0" w:afterAutospacing="0"/>
        <w:jc w:val="both"/>
        <w:textAlignment w:val="baseline"/>
      </w:pPr>
    </w:p>
    <w:p w:rsidR="00B849A0" w:rsidRPr="007D349B" w:rsidRDefault="00B849A0" w:rsidP="00B849A0">
      <w:pPr>
        <w:pStyle w:val="NormalWeb"/>
        <w:shd w:val="clear" w:color="auto" w:fill="FFFFFF"/>
        <w:spacing w:before="0" w:beforeAutospacing="0" w:after="0" w:afterAutospacing="0"/>
        <w:jc w:val="both"/>
        <w:textAlignment w:val="baseline"/>
        <w:rPr>
          <w:color w:val="FF0000"/>
          <w:u w:val="single"/>
        </w:rPr>
      </w:pPr>
      <w:r w:rsidRPr="007D349B">
        <w:rPr>
          <w:color w:val="FF0000"/>
          <w:u w:val="single"/>
        </w:rPr>
        <w:t>Ahora bien, si se incluyen las </w:t>
      </w:r>
      <w:hyperlink r:id="rId25" w:history="1">
        <w:r w:rsidRPr="007D349B">
          <w:rPr>
            <w:rStyle w:val="Hipervnculo"/>
            <w:rFonts w:eastAsiaTheme="majorEastAsia"/>
            <w:color w:val="FF0000"/>
          </w:rPr>
          <w:t>deudas</w:t>
        </w:r>
      </w:hyperlink>
      <w:r w:rsidRPr="007D349B">
        <w:rPr>
          <w:color w:val="FF0000"/>
          <w:u w:val="single"/>
        </w:rPr>
        <w:t xml:space="preserve"> que han contraído las empresas y los particulares, se estaría hablando de 3,2 </w:t>
      </w:r>
      <w:r w:rsidRPr="008D15C6">
        <w:rPr>
          <w:color w:val="FF0000"/>
          <w:u w:val="single"/>
        </w:rPr>
        <w:t>billones (</w:t>
      </w:r>
      <w:r w:rsidRPr="008D15C6">
        <w:rPr>
          <w:rStyle w:val="Textoennegrita"/>
          <w:rFonts w:eastAsiaTheme="majorEastAsia"/>
          <w:b w:val="0"/>
          <w:color w:val="FF0000"/>
          <w:u w:val="single"/>
          <w:bdr w:val="none" w:sz="0" w:space="0" w:color="auto" w:frame="1"/>
        </w:rPr>
        <w:t>2,9 billones de euros</w:t>
      </w:r>
      <w:r w:rsidRPr="008D15C6">
        <w:rPr>
          <w:color w:val="FF0000"/>
          <w:u w:val="single"/>
        </w:rPr>
        <w:t>).</w:t>
      </w:r>
      <w:r w:rsidRPr="008D15C6">
        <w:rPr>
          <w:color w:val="FF0000"/>
        </w:rPr>
        <w:t xml:space="preserve"> </w:t>
      </w:r>
      <w:r w:rsidRPr="007D349B">
        <w:rPr>
          <w:color w:val="FF0000"/>
          <w:u w:val="single"/>
        </w:rPr>
        <w:t>Es decir, cerca de dos veces y media el PIB de España.</w:t>
      </w:r>
    </w:p>
    <w:p w:rsidR="00B849A0" w:rsidRPr="007D349B" w:rsidRDefault="00B849A0" w:rsidP="00B849A0">
      <w:pPr>
        <w:pStyle w:val="NormalWeb"/>
        <w:shd w:val="clear" w:color="auto" w:fill="FFFFFF"/>
        <w:spacing w:before="0" w:beforeAutospacing="0" w:after="0" w:afterAutospacing="0"/>
        <w:jc w:val="both"/>
        <w:textAlignment w:val="baseline"/>
        <w:rPr>
          <w:color w:val="FF0000"/>
          <w:u w:val="single"/>
        </w:rPr>
      </w:pPr>
    </w:p>
    <w:p w:rsidR="00B849A0" w:rsidRDefault="00B849A0" w:rsidP="00B849A0">
      <w:pPr>
        <w:pStyle w:val="NormalWeb"/>
        <w:shd w:val="clear" w:color="auto" w:fill="FFFFFF"/>
        <w:spacing w:before="0" w:beforeAutospacing="0" w:after="0" w:afterAutospacing="0"/>
        <w:jc w:val="both"/>
        <w:textAlignment w:val="baseline"/>
        <w:rPr>
          <w:color w:val="FF0000"/>
          <w:u w:val="single"/>
        </w:rPr>
      </w:pPr>
      <w:r w:rsidRPr="007D349B">
        <w:rPr>
          <w:color w:val="FF0000"/>
          <w:u w:val="single"/>
        </w:rPr>
        <w:t xml:space="preserve">Para hacerse una idea de </w:t>
      </w:r>
      <w:r>
        <w:rPr>
          <w:color w:val="FF0000"/>
          <w:u w:val="single"/>
        </w:rPr>
        <w:t>lo que significa aquella cifra -</w:t>
      </w:r>
      <w:r w:rsidRPr="007D349B">
        <w:rPr>
          <w:color w:val="FF0000"/>
          <w:u w:val="single"/>
        </w:rPr>
        <w:t>y en ese momento todavía no se habían materializado los gigantescos planes de estímulo que </w:t>
      </w:r>
      <w:hyperlink r:id="rId26" w:history="1">
        <w:r w:rsidRPr="007D349B">
          <w:rPr>
            <w:rStyle w:val="Hipervnculo"/>
            <w:rFonts w:eastAsiaTheme="majorEastAsia"/>
            <w:color w:val="FF0000"/>
          </w:rPr>
          <w:t>han anunciado</w:t>
        </w:r>
      </w:hyperlink>
      <w:r w:rsidRPr="007D349B">
        <w:rPr>
          <w:color w:val="FF0000"/>
          <w:u w:val="single"/>
        </w:rPr>
        <w:t> los gobiernos en las última semanas, hay que tener en cuenta que representa más del doble del promedio registrado entre 2017 y 2019, que fue equivalente a 0,9 billones de dólares.</w:t>
      </w:r>
    </w:p>
    <w:p w:rsidR="00B849A0" w:rsidRDefault="00B849A0" w:rsidP="00B849A0">
      <w:pPr>
        <w:pStyle w:val="NormalWeb"/>
        <w:shd w:val="clear" w:color="auto" w:fill="FFFFFF"/>
        <w:spacing w:before="0" w:beforeAutospacing="0" w:after="0" w:afterAutospacing="0"/>
        <w:jc w:val="both"/>
        <w:textAlignment w:val="baseline"/>
        <w:rPr>
          <w:color w:val="FF0000"/>
          <w:u w:val="single"/>
        </w:rPr>
      </w:pPr>
    </w:p>
    <w:p w:rsidR="00B849A0" w:rsidRPr="008D15C6" w:rsidRDefault="00B849A0" w:rsidP="00B849A0">
      <w:pPr>
        <w:pStyle w:val="NormalWeb"/>
        <w:shd w:val="clear" w:color="auto" w:fill="FFFFFF"/>
        <w:spacing w:before="0" w:beforeAutospacing="0" w:after="0" w:afterAutospacing="0"/>
        <w:jc w:val="both"/>
        <w:textAlignment w:val="baseline"/>
        <w:rPr>
          <w:b/>
          <w:color w:val="FF0000"/>
          <w:u w:val="single"/>
        </w:rPr>
      </w:pPr>
      <w:r w:rsidRPr="008D15C6">
        <w:rPr>
          <w:b/>
          <w:color w:val="FF0000"/>
          <w:u w:val="single"/>
        </w:rPr>
        <w:t>El órgano que reúne a los banqueros del planeta destaca, en el sentido negativo, dentro de las economías avanzadas a seis países, </w:t>
      </w:r>
      <w:r w:rsidRPr="008D15C6">
        <w:rPr>
          <w:rStyle w:val="Textoennegrita"/>
          <w:rFonts w:eastAsiaTheme="majorEastAsia"/>
          <w:color w:val="FF0000"/>
          <w:u w:val="single"/>
          <w:bdr w:val="none" w:sz="0" w:space="0" w:color="auto" w:frame="1"/>
        </w:rPr>
        <w:t>España, Reino Unido, Japón, Francia, Italia y EEUU</w:t>
      </w:r>
      <w:r w:rsidRPr="008D15C6">
        <w:rPr>
          <w:color w:val="FF0000"/>
          <w:u w:val="single"/>
        </w:rPr>
        <w:t>,</w:t>
      </w:r>
      <w:r w:rsidRPr="008D15C6">
        <w:rPr>
          <w:b/>
          <w:color w:val="FF0000"/>
          <w:u w:val="single"/>
        </w:rPr>
        <w:t xml:space="preserve"> que han visto crecer su deuda en más de 40 puntos de PIB desde la última gran crisis.</w:t>
      </w:r>
    </w:p>
    <w:p w:rsidR="00B849A0" w:rsidRPr="00393AD3" w:rsidRDefault="00B849A0" w:rsidP="00B849A0">
      <w:pPr>
        <w:pStyle w:val="NormalWeb"/>
        <w:shd w:val="clear" w:color="auto" w:fill="FFFFFF"/>
        <w:spacing w:before="0" w:beforeAutospacing="0" w:after="0" w:afterAutospacing="0"/>
        <w:jc w:val="both"/>
        <w:textAlignment w:val="baseline"/>
      </w:pPr>
    </w:p>
    <w:p w:rsidR="00B849A0" w:rsidRPr="007D349B" w:rsidRDefault="00B849A0" w:rsidP="00B849A0">
      <w:pPr>
        <w:pStyle w:val="NormalWeb"/>
        <w:shd w:val="clear" w:color="auto" w:fill="FFFFFF"/>
        <w:spacing w:before="0" w:beforeAutospacing="0" w:after="0" w:afterAutospacing="0"/>
        <w:jc w:val="both"/>
        <w:textAlignment w:val="baseline"/>
        <w:rPr>
          <w:color w:val="FF0000"/>
          <w:u w:val="single"/>
        </w:rPr>
      </w:pPr>
      <w:r w:rsidRPr="00393AD3">
        <w:t>A partir de estos datos, los banqueros han hecho una </w:t>
      </w:r>
      <w:hyperlink r:id="rId27" w:history="1">
        <w:r w:rsidRPr="003B038D">
          <w:rPr>
            <w:rStyle w:val="Hipervnculo"/>
            <w:rFonts w:eastAsiaTheme="majorEastAsia"/>
            <w:color w:val="auto"/>
            <w:u w:val="none"/>
          </w:rPr>
          <w:t>proyección</w:t>
        </w:r>
      </w:hyperlink>
      <w:r w:rsidRPr="00393AD3">
        <w:t xml:space="preserve"> y estiman que, si se mantiene este ritmo a lo largo del año 2020, y teniendo en cuenta que el PIB del planeta puede caer un 3% en términos nominales, </w:t>
      </w:r>
      <w:r w:rsidRPr="007D349B">
        <w:rPr>
          <w:color w:val="FF0000"/>
          <w:u w:val="single"/>
        </w:rPr>
        <w:t xml:space="preserve">una estimación moderada respecto a otros informes, </w:t>
      </w:r>
      <w:r w:rsidRPr="008D15C6">
        <w:rPr>
          <w:color w:val="FF0000"/>
          <w:u w:val="single"/>
        </w:rPr>
        <w:t>la </w:t>
      </w:r>
      <w:r w:rsidRPr="008D15C6">
        <w:rPr>
          <w:rStyle w:val="Textoennegrita"/>
          <w:rFonts w:eastAsiaTheme="majorEastAsia"/>
          <w:b w:val="0"/>
          <w:color w:val="FF0000"/>
          <w:u w:val="single"/>
          <w:bdr w:val="none" w:sz="0" w:space="0" w:color="auto" w:frame="1"/>
        </w:rPr>
        <w:t>deuda global</w:t>
      </w:r>
      <w:r w:rsidRPr="008D15C6">
        <w:rPr>
          <w:color w:val="FF0000"/>
          <w:u w:val="single"/>
        </w:rPr>
        <w:t> pasará</w:t>
      </w:r>
      <w:r w:rsidRPr="007D349B">
        <w:rPr>
          <w:color w:val="FF0000"/>
          <w:u w:val="single"/>
        </w:rPr>
        <w:t xml:space="preserve"> de representar un 322% del producto interior bruto a un 342%. No hace falta decir que se trata de niveles jamás alcanzados.</w:t>
      </w:r>
    </w:p>
    <w:p w:rsidR="00B849A0" w:rsidRPr="007D349B" w:rsidRDefault="00B849A0" w:rsidP="00B849A0">
      <w:pPr>
        <w:pStyle w:val="NormalWeb"/>
        <w:shd w:val="clear" w:color="auto" w:fill="FFFFFF"/>
        <w:spacing w:before="0" w:beforeAutospacing="0" w:after="0" w:afterAutospacing="0"/>
        <w:jc w:val="both"/>
        <w:textAlignment w:val="baseline"/>
        <w:rPr>
          <w:color w:val="FF0000"/>
          <w:u w:val="single"/>
        </w:rPr>
      </w:pPr>
    </w:p>
    <w:p w:rsidR="00B849A0" w:rsidRPr="00393AD3" w:rsidRDefault="00B849A0" w:rsidP="00B849A0">
      <w:pPr>
        <w:shd w:val="clear" w:color="auto" w:fill="FFFFFF"/>
        <w:spacing w:line="240" w:lineRule="auto"/>
        <w:jc w:val="both"/>
        <w:textAlignment w:val="baseline"/>
        <w:rPr>
          <w:rFonts w:ascii="Times New Roman" w:hAnsi="Times New Roman" w:cs="Times New Roman"/>
          <w:sz w:val="24"/>
          <w:szCs w:val="24"/>
        </w:rPr>
      </w:pPr>
      <w:r w:rsidRPr="00393AD3">
        <w:rPr>
          <w:rFonts w:ascii="Times New Roman" w:hAnsi="Times New Roman" w:cs="Times New Roman"/>
          <w:noProof/>
          <w:sz w:val="24"/>
          <w:szCs w:val="24"/>
          <w:lang w:eastAsia="es-ES"/>
        </w:rPr>
        <w:drawing>
          <wp:inline distT="0" distB="0" distL="0" distR="0" wp14:anchorId="395A5E3B" wp14:editId="5ADDD4A6">
            <wp:extent cx="5735171" cy="3039035"/>
            <wp:effectExtent l="0" t="0" r="0" b="9525"/>
            <wp:docPr id="41" name="Imagen 41" descr="Impacto del coronavirus en sectores con reservas de efectivo limitad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pacto del coronavirus en sectores con reservas de efectivo limitadas.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4050" cy="3038441"/>
                    </a:xfrm>
                    <a:prstGeom prst="rect">
                      <a:avLst/>
                    </a:prstGeom>
                    <a:noFill/>
                    <a:ln>
                      <a:noFill/>
                    </a:ln>
                  </pic:spPr>
                </pic:pic>
              </a:graphicData>
            </a:graphic>
          </wp:inline>
        </w:drawing>
      </w:r>
      <w:r w:rsidRPr="00393AD3">
        <w:rPr>
          <w:rFonts w:ascii="Times New Roman" w:hAnsi="Times New Roman" w:cs="Times New Roman"/>
          <w:sz w:val="24"/>
          <w:szCs w:val="24"/>
        </w:rPr>
        <w:t>Impacto del coronavirus en sectores con reservas de efectivo limitadas.</w:t>
      </w:r>
    </w:p>
    <w:p w:rsidR="00B849A0" w:rsidRPr="008D15C6" w:rsidRDefault="00B849A0" w:rsidP="00B849A0">
      <w:pPr>
        <w:pStyle w:val="NormalWeb"/>
        <w:shd w:val="clear" w:color="auto" w:fill="FFFFFF"/>
        <w:spacing w:before="0" w:beforeAutospacing="0" w:after="0" w:afterAutospacing="0"/>
        <w:jc w:val="both"/>
        <w:textAlignment w:val="baseline"/>
        <w:rPr>
          <w:color w:val="FF0000"/>
          <w:u w:val="single"/>
        </w:rPr>
      </w:pPr>
      <w:r w:rsidRPr="007D349B">
        <w:rPr>
          <w:color w:val="FF0000"/>
          <w:u w:val="single"/>
        </w:rPr>
        <w:t>Lo que </w:t>
      </w:r>
      <w:hyperlink r:id="rId29" w:history="1">
        <w:r w:rsidRPr="007D349B">
          <w:rPr>
            <w:rStyle w:val="Hipervnculo"/>
            <w:rFonts w:eastAsiaTheme="majorEastAsia"/>
            <w:color w:val="FF0000"/>
          </w:rPr>
          <w:t>preocupa</w:t>
        </w:r>
      </w:hyperlink>
      <w:r w:rsidRPr="007D349B">
        <w:rPr>
          <w:color w:val="FF0000"/>
          <w:u w:val="single"/>
        </w:rPr>
        <w:t> al IIF es que este incremento del endeudamiento se producirá en un contexto económico extremadamente difícil. Habrá, por un lado, una fuerte contracción en los </w:t>
      </w:r>
      <w:r w:rsidRPr="007D349B">
        <w:rPr>
          <w:rStyle w:val="Textoennegrita"/>
          <w:rFonts w:eastAsiaTheme="majorEastAsia"/>
          <w:b w:val="0"/>
          <w:color w:val="FF0000"/>
          <w:bdr w:val="none" w:sz="0" w:space="0" w:color="auto" w:frame="1"/>
        </w:rPr>
        <w:t>beneficios empresariales</w:t>
      </w:r>
      <w:r w:rsidRPr="007D349B">
        <w:rPr>
          <w:color w:val="FF0000"/>
          <w:u w:val="single"/>
        </w:rPr>
        <w:t> (lo que puede aumentar la morosidad) y, por otro, la pérdida de empleos será ingente, como ayer mismo </w:t>
      </w:r>
      <w:hyperlink r:id="rId30" w:history="1">
        <w:r w:rsidRPr="007D349B">
          <w:rPr>
            <w:rStyle w:val="Hipervnculo"/>
            <w:rFonts w:eastAsiaTheme="majorEastAsia"/>
            <w:color w:val="FF0000"/>
          </w:rPr>
          <w:t>estimó</w:t>
        </w:r>
      </w:hyperlink>
      <w:r w:rsidRPr="007D349B">
        <w:rPr>
          <w:color w:val="FF0000"/>
          <w:u w:val="single"/>
        </w:rPr>
        <w:t> la Organización Internacional del Trabajo. La OIT, en concreto, prevé que 230 millones de trabajadores en todo el mundo se vean </w:t>
      </w:r>
      <w:hyperlink r:id="rId31" w:history="1">
        <w:r w:rsidRPr="007D349B">
          <w:rPr>
            <w:rStyle w:val="Hipervnculo"/>
            <w:rFonts w:eastAsiaTheme="majorEastAsia"/>
            <w:color w:val="FF0000"/>
          </w:rPr>
          <w:t>afectados</w:t>
        </w:r>
      </w:hyperlink>
      <w:r w:rsidRPr="007D349B">
        <w:rPr>
          <w:color w:val="FF0000"/>
          <w:u w:val="single"/>
        </w:rPr>
        <w:t> de una u otra manera por recortes de plantillas</w:t>
      </w:r>
      <w:r w:rsidRPr="008D15C6">
        <w:rPr>
          <w:color w:val="FF0000"/>
          <w:u w:val="single"/>
        </w:rPr>
        <w:t>, </w:t>
      </w:r>
      <w:r w:rsidRPr="008D15C6">
        <w:rPr>
          <w:rStyle w:val="Textoennegrita"/>
          <w:rFonts w:eastAsiaTheme="majorEastAsia"/>
          <w:b w:val="0"/>
          <w:color w:val="FF0000"/>
          <w:u w:val="single"/>
          <w:bdr w:val="none" w:sz="0" w:space="0" w:color="auto" w:frame="1"/>
        </w:rPr>
        <w:t>suspensión de empleo</w:t>
      </w:r>
      <w:r w:rsidRPr="008D15C6">
        <w:rPr>
          <w:color w:val="FF0000"/>
          <w:u w:val="single"/>
        </w:rPr>
        <w:t> o reducción de horas de trabajo.</w:t>
      </w:r>
    </w:p>
    <w:p w:rsidR="00B849A0" w:rsidRPr="007D349B" w:rsidRDefault="00B849A0" w:rsidP="00B849A0">
      <w:pPr>
        <w:pStyle w:val="NormalWeb"/>
        <w:shd w:val="clear" w:color="auto" w:fill="FFFFFF"/>
        <w:spacing w:before="0" w:beforeAutospacing="0" w:after="0" w:afterAutospacing="0"/>
        <w:jc w:val="both"/>
        <w:textAlignment w:val="baseline"/>
        <w:rPr>
          <w:color w:val="FF0000"/>
          <w:u w:val="single"/>
        </w:rPr>
      </w:pPr>
    </w:p>
    <w:p w:rsidR="00B849A0" w:rsidRPr="003B038D" w:rsidRDefault="00B849A0" w:rsidP="00B849A0">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3B038D">
        <w:rPr>
          <w:rFonts w:ascii="Times New Roman" w:hAnsi="Times New Roman" w:cs="Times New Roman"/>
          <w:b w:val="0"/>
          <w:i w:val="0"/>
          <w:color w:val="auto"/>
          <w:sz w:val="24"/>
          <w:szCs w:val="24"/>
        </w:rPr>
        <w:lastRenderedPageBreak/>
        <w:t>Muy vulnerables</w:t>
      </w:r>
    </w:p>
    <w:p w:rsidR="00B849A0" w:rsidRDefault="00B849A0" w:rsidP="00B849A0">
      <w:pPr>
        <w:pStyle w:val="NormalWeb"/>
        <w:shd w:val="clear" w:color="auto" w:fill="FFFFFF"/>
        <w:spacing w:before="0" w:beforeAutospacing="0" w:after="0" w:afterAutospacing="0"/>
        <w:jc w:val="both"/>
        <w:textAlignment w:val="baseline"/>
        <w:rPr>
          <w:rFonts w:asciiTheme="minorHAnsi" w:eastAsiaTheme="minorEastAsia" w:hAnsiTheme="minorHAnsi" w:cstheme="minorBidi"/>
          <w:sz w:val="22"/>
          <w:szCs w:val="22"/>
        </w:rPr>
      </w:pPr>
    </w:p>
    <w:p w:rsidR="00B849A0" w:rsidRPr="008D15C6" w:rsidRDefault="00B849A0" w:rsidP="00B849A0">
      <w:pPr>
        <w:pStyle w:val="NormalWeb"/>
        <w:shd w:val="clear" w:color="auto" w:fill="FFFFFF"/>
        <w:spacing w:before="0" w:beforeAutospacing="0" w:after="0" w:afterAutospacing="0"/>
        <w:jc w:val="both"/>
        <w:textAlignment w:val="baseline"/>
        <w:rPr>
          <w:color w:val="FF0000"/>
          <w:u w:val="single"/>
        </w:rPr>
      </w:pPr>
      <w:r w:rsidRPr="008D15C6">
        <w:rPr>
          <w:color w:val="FF0000"/>
          <w:u w:val="single"/>
        </w:rPr>
        <w:t>Los banqueros mundiales ponen el acento en el hecho de que el mundo encara una recesión de intensidad y duración desconocida con </w:t>
      </w:r>
      <w:r w:rsidRPr="008D15C6">
        <w:rPr>
          <w:rStyle w:val="Textoennegrita"/>
          <w:rFonts w:eastAsiaTheme="majorEastAsia"/>
          <w:b w:val="0"/>
          <w:color w:val="FF0000"/>
          <w:u w:val="single"/>
          <w:bdr w:val="none" w:sz="0" w:space="0" w:color="auto" w:frame="1"/>
        </w:rPr>
        <w:t>87 billones de dólares</w:t>
      </w:r>
      <w:r w:rsidRPr="008D15C6">
        <w:rPr>
          <w:color w:val="FF0000"/>
          <w:u w:val="single"/>
        </w:rPr>
        <w:t> más de deuda que en la anterior crisis económica, hace poco más de una década.</w:t>
      </w:r>
    </w:p>
    <w:p w:rsidR="00B849A0" w:rsidRPr="00393AD3" w:rsidRDefault="00B849A0" w:rsidP="00B849A0">
      <w:pPr>
        <w:pStyle w:val="NormalWeb"/>
        <w:shd w:val="clear" w:color="auto" w:fill="FFFFFF"/>
        <w:spacing w:before="0" w:beforeAutospacing="0" w:after="0" w:afterAutospacing="0"/>
        <w:jc w:val="both"/>
        <w:textAlignment w:val="baseline"/>
      </w:pPr>
    </w:p>
    <w:p w:rsidR="00B849A0" w:rsidRPr="00393AD3" w:rsidRDefault="00B849A0" w:rsidP="00B849A0">
      <w:pPr>
        <w:shd w:val="clear" w:color="auto" w:fill="FFFFFF"/>
        <w:spacing w:line="240" w:lineRule="auto"/>
        <w:jc w:val="both"/>
        <w:textAlignment w:val="baseline"/>
        <w:rPr>
          <w:rFonts w:ascii="Times New Roman" w:hAnsi="Times New Roman" w:cs="Times New Roman"/>
          <w:sz w:val="24"/>
          <w:szCs w:val="24"/>
        </w:rPr>
      </w:pPr>
      <w:r w:rsidRPr="00393AD3">
        <w:rPr>
          <w:rFonts w:ascii="Times New Roman" w:hAnsi="Times New Roman" w:cs="Times New Roman"/>
          <w:noProof/>
          <w:sz w:val="24"/>
          <w:szCs w:val="24"/>
          <w:lang w:eastAsia="es-ES"/>
        </w:rPr>
        <w:drawing>
          <wp:inline distT="0" distB="0" distL="0" distR="0" wp14:anchorId="3DD4CC86" wp14:editId="27B70D38">
            <wp:extent cx="5802404" cy="2830605"/>
            <wp:effectExtent l="0" t="0" r="8255" b="8255"/>
            <wp:docPr id="42" name="Imagen 42" descr="Evolución de la deuda desde 200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volución de la deuda desde 2008.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02406" cy="2830606"/>
                    </a:xfrm>
                    <a:prstGeom prst="rect">
                      <a:avLst/>
                    </a:prstGeom>
                    <a:noFill/>
                    <a:ln>
                      <a:noFill/>
                    </a:ln>
                  </pic:spPr>
                </pic:pic>
              </a:graphicData>
            </a:graphic>
          </wp:inline>
        </w:drawing>
      </w:r>
      <w:r w:rsidRPr="00393AD3">
        <w:rPr>
          <w:rFonts w:ascii="Times New Roman" w:hAnsi="Times New Roman" w:cs="Times New Roman"/>
          <w:sz w:val="24"/>
          <w:szCs w:val="24"/>
        </w:rPr>
        <w:t>Evolución de la deuda desde 2008.</w:t>
      </w:r>
    </w:p>
    <w:p w:rsidR="00B849A0" w:rsidRPr="007D349B" w:rsidRDefault="00B849A0" w:rsidP="00B849A0">
      <w:pPr>
        <w:pStyle w:val="NormalWeb"/>
        <w:shd w:val="clear" w:color="auto" w:fill="FFFFFF"/>
        <w:spacing w:before="0" w:beforeAutospacing="0" w:after="0" w:afterAutospacing="0"/>
        <w:jc w:val="both"/>
        <w:textAlignment w:val="baseline"/>
        <w:rPr>
          <w:color w:val="FF0000"/>
          <w:u w:val="single"/>
        </w:rPr>
      </w:pPr>
      <w:r w:rsidRPr="00393AD3">
        <w:t>El IIF está igualmente preocupado, no solo por el volumen de deuda, tanto pública como privada, sino también porque economías </w:t>
      </w:r>
      <w:r w:rsidRPr="00393AD3">
        <w:rPr>
          <w:rStyle w:val="Textoennegrita"/>
          <w:rFonts w:eastAsiaTheme="majorEastAsia"/>
          <w:b w:val="0"/>
          <w:bdr w:val="none" w:sz="0" w:space="0" w:color="auto" w:frame="1"/>
        </w:rPr>
        <w:t>muy vulnerables</w:t>
      </w:r>
      <w:r w:rsidRPr="00393AD3">
        <w:t xml:space="preserve">, como las de </w:t>
      </w:r>
      <w:r w:rsidRPr="007D349B">
        <w:rPr>
          <w:color w:val="FF0000"/>
          <w:u w:val="single"/>
        </w:rPr>
        <w:t>los países emergentes, necesitarán refinanciar solo este año nada menos que 730.000 millones de deuda en unos momentos en que los mercados están sobresaturados.</w:t>
      </w:r>
    </w:p>
    <w:p w:rsidR="00B849A0" w:rsidRDefault="00B849A0" w:rsidP="00B849A0">
      <w:pPr>
        <w:pStyle w:val="NormalWeb"/>
        <w:shd w:val="clear" w:color="auto" w:fill="FFFFFF"/>
        <w:spacing w:before="0" w:beforeAutospacing="0" w:after="0" w:afterAutospacing="0"/>
        <w:jc w:val="both"/>
        <w:textAlignment w:val="baseline"/>
        <w:rPr>
          <w:color w:val="FF0000"/>
          <w:u w:val="single"/>
        </w:rPr>
      </w:pPr>
    </w:p>
    <w:p w:rsidR="00B849A0" w:rsidRDefault="00B849A0" w:rsidP="00B849A0">
      <w:pPr>
        <w:pStyle w:val="NormalWeb"/>
        <w:shd w:val="clear" w:color="auto" w:fill="FFFFFF"/>
        <w:spacing w:before="0" w:beforeAutospacing="0" w:after="0" w:afterAutospacing="0"/>
        <w:jc w:val="both"/>
        <w:textAlignment w:val="baseline"/>
      </w:pPr>
      <w:r w:rsidRPr="007D349B">
        <w:rPr>
          <w:color w:val="FF0000"/>
          <w:u w:val="single"/>
        </w:rPr>
        <w:t>Y lo que no es menos significativo, el 80% de esa deuda está denominado en </w:t>
      </w:r>
      <w:hyperlink r:id="rId33" w:history="1">
        <w:r w:rsidRPr="007D349B">
          <w:rPr>
            <w:rStyle w:val="Hipervnculo"/>
            <w:rFonts w:eastAsiaTheme="majorEastAsia"/>
            <w:color w:val="FF0000"/>
          </w:rPr>
          <w:t>dólares</w:t>
        </w:r>
      </w:hyperlink>
      <w:r w:rsidRPr="007D349B">
        <w:rPr>
          <w:color w:val="FF0000"/>
          <w:u w:val="single"/>
        </w:rPr>
        <w:t>, lo que hace que cualquier apreciación del billete verde se convierta en una tragedia económica para los gobiernos de países muy vulnerables que, además, tienen que luchar en sus países contra la pandemia, aumentando el gasto público de una forma muy importante</w:t>
      </w:r>
      <w:r w:rsidRPr="00393AD3">
        <w:t>. Esto explica, por ejemplo, que el FMI </w:t>
      </w:r>
      <w:hyperlink r:id="rId34" w:history="1">
        <w:r w:rsidRPr="003B038D">
          <w:rPr>
            <w:rStyle w:val="Hipervnculo"/>
            <w:rFonts w:eastAsiaTheme="majorEastAsia"/>
            <w:color w:val="auto"/>
            <w:u w:val="none"/>
          </w:rPr>
          <w:t>haya pedido</w:t>
        </w:r>
      </w:hyperlink>
      <w:r w:rsidRPr="00393AD3">
        <w:t> a Argentina que reduzca entre 55.000 millones y 85.000 millones de dólares los pagos de su deuda durante la próxima década.</w:t>
      </w:r>
    </w:p>
    <w:p w:rsidR="00B849A0" w:rsidRPr="00393AD3" w:rsidRDefault="00B849A0" w:rsidP="00B849A0">
      <w:pPr>
        <w:pStyle w:val="NormalWeb"/>
        <w:shd w:val="clear" w:color="auto" w:fill="FFFFFF"/>
        <w:spacing w:before="0" w:beforeAutospacing="0" w:after="0" w:afterAutospacing="0"/>
        <w:jc w:val="both"/>
        <w:textAlignment w:val="baseline"/>
      </w:pPr>
    </w:p>
    <w:p w:rsidR="00B849A0" w:rsidRDefault="00B849A0" w:rsidP="00B849A0">
      <w:pPr>
        <w:pStyle w:val="NormalWeb"/>
        <w:shd w:val="clear" w:color="auto" w:fill="FFFFFF"/>
        <w:spacing w:before="0" w:beforeAutospacing="0" w:after="0" w:afterAutospacing="0"/>
        <w:jc w:val="both"/>
        <w:textAlignment w:val="baseline"/>
        <w:rPr>
          <w:color w:val="FF0000"/>
          <w:u w:val="single"/>
        </w:rPr>
      </w:pPr>
      <w:r w:rsidRPr="003B038D">
        <w:rPr>
          <w:color w:val="FF0000"/>
          <w:u w:val="single"/>
        </w:rPr>
        <w:t>En el caso de la </w:t>
      </w:r>
      <w:r w:rsidRPr="003B038D">
        <w:rPr>
          <w:rStyle w:val="Textoennegrita"/>
          <w:rFonts w:eastAsiaTheme="majorEastAsia"/>
          <w:b w:val="0"/>
          <w:color w:val="FF0000"/>
          <w:u w:val="single"/>
          <w:bdr w:val="none" w:sz="0" w:space="0" w:color="auto" w:frame="1"/>
        </w:rPr>
        <w:t>deuda privada</w:t>
      </w:r>
      <w:r w:rsidRPr="003B038D">
        <w:rPr>
          <w:color w:val="FF0000"/>
          <w:u w:val="single"/>
        </w:rPr>
        <w:t>, el informe</w:t>
      </w:r>
      <w:r w:rsidRPr="007D349B">
        <w:rPr>
          <w:color w:val="FF0000"/>
          <w:u w:val="single"/>
        </w:rPr>
        <w:t xml:space="preserve"> recuerda que supera los 48 billones de dólares, frente a los 35 billones con que comenzó la anterior crisis económica, lo que significa que también en este segmento el punto de partida es peor. Suiza, Dinamarca, Noruega, Canadá y Holanda son los países donde los hogares están más endeudados del mundo en relación con el PIB, sin bien donde más ha crecido en los últimos años es en China.</w:t>
      </w:r>
    </w:p>
    <w:p w:rsidR="003B038D" w:rsidRDefault="003B038D" w:rsidP="00B849A0">
      <w:pPr>
        <w:pStyle w:val="NormalWeb"/>
        <w:shd w:val="clear" w:color="auto" w:fill="FFFFFF"/>
        <w:spacing w:before="0" w:beforeAutospacing="0" w:after="0" w:afterAutospacing="0"/>
        <w:jc w:val="both"/>
        <w:textAlignment w:val="baseline"/>
        <w:rPr>
          <w:color w:val="FF0000"/>
          <w:u w:val="single"/>
        </w:rPr>
      </w:pPr>
    </w:p>
    <w:p w:rsidR="003B038D" w:rsidRPr="007D349B" w:rsidRDefault="003B038D" w:rsidP="003B038D">
      <w:pPr>
        <w:pStyle w:val="NormalWeb"/>
        <w:shd w:val="clear" w:color="auto" w:fill="FFFFFF"/>
        <w:spacing w:before="0" w:beforeAutospacing="0" w:after="0" w:afterAutospacing="0"/>
        <w:jc w:val="both"/>
        <w:textAlignment w:val="baseline"/>
        <w:rPr>
          <w:color w:val="FF0000"/>
          <w:u w:val="single"/>
        </w:rPr>
      </w:pPr>
      <w:r w:rsidRPr="007D349B">
        <w:rPr>
          <w:color w:val="FF0000"/>
          <w:u w:val="single"/>
        </w:rPr>
        <w:t>En lo que respecta a las empresas no financieras, su deuda se ha incrementado en más de un 70% desde 2007, hasta representar cerca del 92% del PIB. En este caso, las peores posiciones son las de Canadá, Chile, Francia, Filipinas, Singapur y Sudáfrica.</w:t>
      </w:r>
    </w:p>
    <w:p w:rsidR="003B038D" w:rsidRPr="007D349B" w:rsidRDefault="003B038D" w:rsidP="003B038D">
      <w:pPr>
        <w:pStyle w:val="NormalWeb"/>
        <w:shd w:val="clear" w:color="auto" w:fill="FFFFFF"/>
        <w:spacing w:before="0" w:beforeAutospacing="0" w:after="0" w:afterAutospacing="0"/>
        <w:jc w:val="both"/>
        <w:textAlignment w:val="baseline"/>
        <w:rPr>
          <w:color w:val="FF0000"/>
          <w:u w:val="single"/>
        </w:rPr>
      </w:pPr>
    </w:p>
    <w:p w:rsidR="003B038D" w:rsidRDefault="003B038D" w:rsidP="003B038D">
      <w:pPr>
        <w:pStyle w:val="NormalWeb"/>
        <w:shd w:val="clear" w:color="auto" w:fill="FFFFFF"/>
        <w:spacing w:before="0" w:beforeAutospacing="0" w:after="0" w:afterAutospacing="0"/>
        <w:jc w:val="both"/>
        <w:textAlignment w:val="baseline"/>
      </w:pPr>
      <w:r w:rsidRPr="00393AD3">
        <w:t>La conclusión que obtienen los banqueros privados es que los </w:t>
      </w:r>
      <w:r w:rsidRPr="00393AD3">
        <w:rPr>
          <w:rStyle w:val="Textoennegrita"/>
          <w:rFonts w:eastAsiaTheme="majorEastAsia"/>
          <w:b w:val="0"/>
          <w:bdr w:val="none" w:sz="0" w:space="0" w:color="auto" w:frame="1"/>
        </w:rPr>
        <w:t>colchones financieros</w:t>
      </w:r>
      <w:r w:rsidRPr="00393AD3">
        <w:t> para hacer frente a una disrupción económica prolongada son muy escasos, lo que hace que sea más difícil una recuperación en V.</w:t>
      </w:r>
    </w:p>
    <w:p w:rsidR="003B038D" w:rsidRPr="007D349B" w:rsidRDefault="003B038D" w:rsidP="00B849A0">
      <w:pPr>
        <w:pStyle w:val="NormalWeb"/>
        <w:shd w:val="clear" w:color="auto" w:fill="FFFFFF"/>
        <w:spacing w:before="0" w:beforeAutospacing="0" w:after="0" w:afterAutospacing="0"/>
        <w:jc w:val="both"/>
        <w:textAlignment w:val="baseline"/>
        <w:rPr>
          <w:color w:val="FF0000"/>
          <w:u w:val="single"/>
        </w:rPr>
      </w:pPr>
    </w:p>
    <w:p w:rsidR="00B849A0" w:rsidRDefault="00B849A0" w:rsidP="00B849A0">
      <w:pPr>
        <w:shd w:val="clear" w:color="auto" w:fill="FFFFFF"/>
        <w:spacing w:line="240" w:lineRule="auto"/>
        <w:jc w:val="both"/>
        <w:textAlignment w:val="baseline"/>
        <w:rPr>
          <w:rFonts w:ascii="Times New Roman" w:hAnsi="Times New Roman" w:cs="Times New Roman"/>
          <w:sz w:val="24"/>
          <w:szCs w:val="24"/>
        </w:rPr>
      </w:pPr>
      <w:r w:rsidRPr="00393AD3">
        <w:rPr>
          <w:rFonts w:ascii="Times New Roman" w:hAnsi="Times New Roman" w:cs="Times New Roman"/>
          <w:noProof/>
          <w:sz w:val="24"/>
          <w:szCs w:val="24"/>
          <w:lang w:eastAsia="es-ES"/>
        </w:rPr>
        <w:lastRenderedPageBreak/>
        <w:drawing>
          <wp:inline distT="0" distB="0" distL="0" distR="0" wp14:anchorId="0CA23AFF" wp14:editId="46BE081A">
            <wp:extent cx="5665171" cy="3146612"/>
            <wp:effectExtent l="0" t="0" r="0" b="0"/>
            <wp:docPr id="43" name="Imagen 43" descr="Cambios en la deuda desde 200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mbios en la deuda desde 2007.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70550" cy="3149600"/>
                    </a:xfrm>
                    <a:prstGeom prst="rect">
                      <a:avLst/>
                    </a:prstGeom>
                    <a:noFill/>
                    <a:ln>
                      <a:noFill/>
                    </a:ln>
                  </pic:spPr>
                </pic:pic>
              </a:graphicData>
            </a:graphic>
          </wp:inline>
        </w:drawing>
      </w:r>
      <w:r w:rsidRPr="00393AD3">
        <w:rPr>
          <w:rFonts w:ascii="Times New Roman" w:hAnsi="Times New Roman" w:cs="Times New Roman"/>
          <w:sz w:val="24"/>
          <w:szCs w:val="24"/>
        </w:rPr>
        <w:t>Cambios en la deuda desde 2007.</w:t>
      </w:r>
    </w:p>
    <w:p w:rsidR="00B849A0" w:rsidRPr="0051226F" w:rsidRDefault="00B849A0" w:rsidP="00B849A0">
      <w:pPr>
        <w:pStyle w:val="NormalWeb"/>
        <w:spacing w:after="0"/>
        <w:jc w:val="both"/>
        <w:textAlignment w:val="baseline"/>
      </w:pPr>
      <w:r>
        <w:t xml:space="preserve">- </w:t>
      </w:r>
      <w:r w:rsidRPr="000B61F9">
        <w:rPr>
          <w:u w:val="single"/>
        </w:rPr>
        <w:t>DB apunta a la debilidad de España: necesita coronabonos o endeudarse otro 22% del PIB</w:t>
      </w:r>
      <w:r>
        <w:t xml:space="preserve"> (El Confidencial - </w:t>
      </w:r>
      <w:r w:rsidRPr="000B61F9">
        <w:rPr>
          <w:b/>
        </w:rPr>
        <w:t>9/4/20</w:t>
      </w:r>
      <w:r>
        <w:t>)</w:t>
      </w:r>
    </w:p>
    <w:p w:rsidR="00B849A0" w:rsidRPr="005D5229" w:rsidRDefault="00B849A0" w:rsidP="00B849A0">
      <w:pPr>
        <w:pStyle w:val="NormalWeb"/>
        <w:spacing w:after="0"/>
        <w:jc w:val="both"/>
        <w:textAlignment w:val="baseline"/>
        <w:rPr>
          <w:color w:val="FF0000"/>
        </w:rPr>
      </w:pPr>
      <w:r w:rsidRPr="005D5229">
        <w:rPr>
          <w:color w:val="FF0000"/>
        </w:rPr>
        <w:t>Un informe urge a una respuesta europea común para evitar que se disparen las diferencias entre norte y sur. Avisa de que el mercado laboral español es el más afectado</w:t>
      </w:r>
    </w:p>
    <w:p w:rsidR="00B849A0" w:rsidRPr="005D5229" w:rsidRDefault="00D87818" w:rsidP="00B849A0">
      <w:pPr>
        <w:pStyle w:val="NormalWeb"/>
        <w:spacing w:after="0"/>
        <w:jc w:val="both"/>
        <w:textAlignment w:val="baseline"/>
        <w:rPr>
          <w:u w:val="single"/>
        </w:rPr>
      </w:pPr>
      <w:hyperlink r:id="rId36" w:tgtFrame="_self" w:history="1">
        <w:r w:rsidR="00B849A0" w:rsidRPr="00552C6D">
          <w:rPr>
            <w:rStyle w:val="Hipervnculo"/>
            <w:rFonts w:eastAsiaTheme="majorEastAsia"/>
            <w:color w:val="auto"/>
          </w:rPr>
          <w:t>Deutsche Bank</w:t>
        </w:r>
      </w:hyperlink>
      <w:r w:rsidR="00B849A0" w:rsidRPr="00552C6D">
        <w:t>, cuyos informes llevan años criticando los estímulos del </w:t>
      </w:r>
      <w:hyperlink r:id="rId37" w:tgtFrame="_self" w:history="1">
        <w:r w:rsidR="00B849A0" w:rsidRPr="00552C6D">
          <w:rPr>
            <w:rStyle w:val="Hipervnculo"/>
            <w:rFonts w:eastAsiaTheme="majorEastAsia"/>
            <w:color w:val="auto"/>
          </w:rPr>
          <w:t>Banco Central Europeo (BCE)</w:t>
        </w:r>
      </w:hyperlink>
      <w:r w:rsidR="00B849A0" w:rsidRPr="00552C6D">
        <w:t>, que perseguían reducir primas de riesgo, pide ahora una respuesta europea contra las divergencias entre norte y sur. El mayor banco europeo por tamaño de balance teme un </w:t>
      </w:r>
      <w:r w:rsidR="00B849A0" w:rsidRPr="00552C6D">
        <w:rPr>
          <w:rStyle w:val="Textoennegrita"/>
          <w:rFonts w:eastAsiaTheme="majorEastAsia"/>
          <w:b w:val="0"/>
          <w:bdr w:val="none" w:sz="0" w:space="0" w:color="auto" w:frame="1"/>
        </w:rPr>
        <w:t>impacto sin precedentes de esta crisis que ponga en riesgo el euro. </w:t>
      </w:r>
      <w:r w:rsidR="00B849A0" w:rsidRPr="00552C6D">
        <w:t>Y </w:t>
      </w:r>
      <w:hyperlink r:id="rId38" w:tgtFrame="_self" w:history="1">
        <w:r w:rsidR="00B849A0" w:rsidRPr="00552C6D">
          <w:rPr>
            <w:rStyle w:val="Hipervnculo"/>
            <w:rFonts w:eastAsiaTheme="majorEastAsia"/>
            <w:color w:val="auto"/>
          </w:rPr>
          <w:t>señala en especial España por su deuda externa</w:t>
        </w:r>
      </w:hyperlink>
      <w:r w:rsidR="00B849A0" w:rsidRPr="005D5229">
        <w:rPr>
          <w:u w:val="single"/>
        </w:rPr>
        <w:t>, porque estima que tendrá que pedir al mercado más de un 20% extra del PIB si no hay coronabonos y porque será el mercado laboral más golpeado por esta crisis.</w:t>
      </w:r>
    </w:p>
    <w:p w:rsidR="00B849A0" w:rsidRPr="00552C6D" w:rsidRDefault="00B849A0" w:rsidP="00B849A0">
      <w:pPr>
        <w:pStyle w:val="NormalWeb"/>
        <w:shd w:val="clear" w:color="auto" w:fill="FFFFFF"/>
        <w:spacing w:before="0" w:beforeAutospacing="0" w:after="0" w:afterAutospacing="0"/>
        <w:jc w:val="both"/>
        <w:textAlignment w:val="baseline"/>
      </w:pPr>
      <w:r w:rsidRPr="00552C6D">
        <w:t>El equipo de análisis de la entidad alemana ha publicado un informe con estimaciones del impacto económico de esta crisis, derivada de la parálisis de la actividad económica para </w:t>
      </w:r>
      <w:r w:rsidRPr="00552C6D">
        <w:rPr>
          <w:rStyle w:val="Textoennegrita"/>
          <w:rFonts w:eastAsiaTheme="majorEastAsia"/>
          <w:b w:val="0"/>
          <w:bdr w:val="none" w:sz="0" w:space="0" w:color="auto" w:frame="1"/>
        </w:rPr>
        <w:t>tratar de contener el virus a lo largo de Occidente</w:t>
      </w:r>
      <w:r w:rsidRPr="00552C6D">
        <w:t>. Las </w:t>
      </w:r>
      <w:hyperlink r:id="rId39" w:tgtFrame="_self" w:history="1">
        <w:r w:rsidRPr="00552C6D">
          <w:rPr>
            <w:rStyle w:val="Hipervnculo"/>
            <w:rFonts w:eastAsiaTheme="majorEastAsia"/>
            <w:color w:val="auto"/>
          </w:rPr>
          <w:t>restricciones más severas se están poniendo en España e Italia</w:t>
        </w:r>
      </w:hyperlink>
      <w:r w:rsidRPr="00552C6D">
        <w:t>, que son, asimismo, los dos países más afectados y los que han llegado a esta contracción con la vulnerabilidad más relevante por sus desequilibrios.</w:t>
      </w:r>
    </w:p>
    <w:p w:rsidR="00B849A0" w:rsidRPr="00552C6D" w:rsidRDefault="00B849A0" w:rsidP="00B849A0">
      <w:pPr>
        <w:pStyle w:val="NormalWeb"/>
        <w:shd w:val="clear" w:color="auto" w:fill="FFFFFF"/>
        <w:spacing w:before="0" w:beforeAutospacing="0" w:after="0" w:afterAutospacing="0"/>
        <w:jc w:val="both"/>
        <w:textAlignment w:val="baseline"/>
      </w:pPr>
    </w:p>
    <w:p w:rsidR="00B849A0" w:rsidRDefault="00B849A0" w:rsidP="00B849A0">
      <w:pPr>
        <w:pStyle w:val="NormalWeb"/>
        <w:shd w:val="clear" w:color="auto" w:fill="FFFFFF"/>
        <w:spacing w:before="0" w:beforeAutospacing="0" w:after="0" w:afterAutospacing="0"/>
        <w:jc w:val="both"/>
        <w:textAlignment w:val="baseline"/>
        <w:rPr>
          <w:color w:val="FF0000"/>
          <w:u w:val="single"/>
        </w:rPr>
      </w:pPr>
      <w:r w:rsidRPr="005D5229">
        <w:rPr>
          <w:color w:val="FF0000"/>
          <w:u w:val="single"/>
        </w:rPr>
        <w:t>Los seis economistas de Deutsche Bank Research que firman el informe dibujan su propio escenario de recuperación, que no es de V, U, W o el símbolo de Nike que está empezando a circular. En su caso, </w:t>
      </w:r>
      <w:r w:rsidRPr="005D5229">
        <w:rPr>
          <w:rStyle w:val="Textoennegrita"/>
          <w:rFonts w:eastAsiaTheme="majorEastAsia"/>
          <w:b w:val="0"/>
          <w:color w:val="FF0000"/>
          <w:bdr w:val="none" w:sz="0" w:space="0" w:color="auto" w:frame="1"/>
        </w:rPr>
        <w:t>contemplan una V, pero sin llegar al punto de producción anterior</w:t>
      </w:r>
      <w:r w:rsidRPr="005D5229">
        <w:rPr>
          <w:color w:val="FF0000"/>
          <w:u w:val="single"/>
        </w:rPr>
        <w:t>, sino que empezaría antes una recuperación más lenta hasta volver a los niveles previos a finales de 2021. No en vano, esperan una </w:t>
      </w:r>
      <w:hyperlink r:id="rId40" w:tgtFrame="_self" w:history="1">
        <w:r w:rsidRPr="005D5229">
          <w:rPr>
            <w:rStyle w:val="Hipervnculo"/>
            <w:rFonts w:eastAsiaTheme="majorEastAsia"/>
            <w:color w:val="FF0000"/>
          </w:rPr>
          <w:t>contracción del PIB de más del doble a la sufrida en la gran crisis financiera</w:t>
        </w:r>
      </w:hyperlink>
      <w:r w:rsidRPr="005D5229">
        <w:rPr>
          <w:color w:val="FF0000"/>
          <w:u w:val="single"/>
        </w:rPr>
        <w:t>, con una caída del 3,4% en el primer trimestre y del 11,4% en el segundo en la eurozona.</w:t>
      </w:r>
    </w:p>
    <w:p w:rsidR="00B849A0" w:rsidRPr="005D5229" w:rsidRDefault="00B849A0" w:rsidP="00B849A0">
      <w:pPr>
        <w:pStyle w:val="NormalWeb"/>
        <w:shd w:val="clear" w:color="auto" w:fill="FFFFFF"/>
        <w:spacing w:before="0" w:beforeAutospacing="0" w:after="0" w:afterAutospacing="0"/>
        <w:jc w:val="both"/>
        <w:textAlignment w:val="baseline"/>
        <w:rPr>
          <w:color w:val="FF0000"/>
          <w:u w:val="single"/>
        </w:rPr>
      </w:pPr>
    </w:p>
    <w:p w:rsidR="00B849A0" w:rsidRPr="000B61F9" w:rsidRDefault="00B849A0" w:rsidP="00B849A0">
      <w:pPr>
        <w:shd w:val="clear" w:color="auto" w:fill="FFFFFF"/>
        <w:spacing w:line="240" w:lineRule="auto"/>
        <w:jc w:val="both"/>
        <w:textAlignment w:val="baseline"/>
        <w:rPr>
          <w:rFonts w:ascii="Times New Roman" w:hAnsi="Times New Roman" w:cs="Times New Roman"/>
          <w:sz w:val="24"/>
          <w:szCs w:val="24"/>
        </w:rPr>
      </w:pPr>
      <w:r w:rsidRPr="000B61F9">
        <w:rPr>
          <w:rFonts w:ascii="Times New Roman" w:hAnsi="Times New Roman" w:cs="Times New Roman"/>
          <w:noProof/>
          <w:sz w:val="24"/>
          <w:szCs w:val="24"/>
          <w:lang w:eastAsia="es-ES"/>
        </w:rPr>
        <w:lastRenderedPageBreak/>
        <w:drawing>
          <wp:inline distT="0" distB="0" distL="0" distR="0" wp14:anchorId="599220CD" wp14:editId="56013FB9">
            <wp:extent cx="5755340" cy="2877671"/>
            <wp:effectExtent l="0" t="0" r="0" b="0"/>
            <wp:docPr id="44" name="Imagen 44" descr="Impacto en el PIB del coronavirus. (Fuente: Deutsche B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pacto en el PIB del coronavirus. (Fuente: Deutsche Bank)"/>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53100" cy="2876551"/>
                    </a:xfrm>
                    <a:prstGeom prst="rect">
                      <a:avLst/>
                    </a:prstGeom>
                    <a:noFill/>
                    <a:ln>
                      <a:noFill/>
                    </a:ln>
                  </pic:spPr>
                </pic:pic>
              </a:graphicData>
            </a:graphic>
          </wp:inline>
        </w:drawing>
      </w:r>
      <w:r w:rsidRPr="000B61F9">
        <w:rPr>
          <w:rFonts w:ascii="Times New Roman" w:hAnsi="Times New Roman" w:cs="Times New Roman"/>
          <w:sz w:val="24"/>
          <w:szCs w:val="24"/>
        </w:rPr>
        <w:t>Impacto en el PIB del coronavirus. (Fuente: Deutsche Bank)</w:t>
      </w:r>
    </w:p>
    <w:p w:rsidR="00B849A0" w:rsidRDefault="00B849A0" w:rsidP="00B849A0">
      <w:pPr>
        <w:pStyle w:val="NormalWeb"/>
        <w:shd w:val="clear" w:color="auto" w:fill="FFFFFF"/>
        <w:spacing w:before="0" w:beforeAutospacing="0" w:after="0" w:afterAutospacing="0"/>
        <w:jc w:val="both"/>
        <w:textAlignment w:val="baseline"/>
        <w:rPr>
          <w:b/>
          <w:color w:val="FF0000"/>
          <w:u w:val="single"/>
        </w:rPr>
      </w:pPr>
      <w:r w:rsidRPr="005D5229">
        <w:rPr>
          <w:b/>
          <w:color w:val="FF0000"/>
          <w:u w:val="single"/>
        </w:rPr>
        <w:t>El mayor impacto negativo lo sufriría España</w:t>
      </w:r>
      <w:r w:rsidRPr="001A588A">
        <w:rPr>
          <w:b/>
          <w:color w:val="FF0000"/>
          <w:u w:val="single"/>
        </w:rPr>
        <w:t>. </w:t>
      </w:r>
      <w:r w:rsidRPr="001A588A">
        <w:rPr>
          <w:rStyle w:val="Textoennegrita"/>
          <w:rFonts w:eastAsiaTheme="majorEastAsia"/>
          <w:color w:val="FF0000"/>
          <w:u w:val="single"/>
          <w:bdr w:val="none" w:sz="0" w:space="0" w:color="auto" w:frame="1"/>
        </w:rPr>
        <w:t>La intensidad de la contracción proyectada de la producción supera el 20%</w:t>
      </w:r>
      <w:r w:rsidRPr="001A588A">
        <w:rPr>
          <w:color w:val="FF0000"/>
          <w:u w:val="single"/>
        </w:rPr>
        <w:t xml:space="preserve">, </w:t>
      </w:r>
      <w:r w:rsidRPr="005D5229">
        <w:rPr>
          <w:b/>
          <w:color w:val="FF0000"/>
          <w:u w:val="single"/>
        </w:rPr>
        <w:t>mientras que Deutsche Bank anticipa un 12,2% en Alemania, un 14,8% en Francia, un 15,1% en Reino Unido y un 16,3% en Italia</w:t>
      </w:r>
      <w:r w:rsidRPr="000B61F9">
        <w:t xml:space="preserve">. </w:t>
      </w:r>
      <w:r w:rsidRPr="005D5229">
        <w:rPr>
          <w:b/>
          <w:color w:val="FF0000"/>
          <w:u w:val="single"/>
        </w:rPr>
        <w:t>El escenario base del banco alemán es que el retroceso del PIB tendrá un pico del 25% en el conjunto de la eurozona, para recuperarse a lo largo del segundo trimestre según cambia la curva de contagios, y terminar en junio en torno al 10%, por debajo de los niveles que antecedieron a la pandemia.</w:t>
      </w:r>
    </w:p>
    <w:p w:rsidR="00B849A0" w:rsidRPr="005D5229" w:rsidRDefault="00B849A0" w:rsidP="00B849A0">
      <w:pPr>
        <w:pStyle w:val="NormalWeb"/>
        <w:shd w:val="clear" w:color="auto" w:fill="FFFFFF"/>
        <w:spacing w:before="0" w:beforeAutospacing="0" w:after="0" w:afterAutospacing="0"/>
        <w:jc w:val="both"/>
        <w:textAlignment w:val="baseline"/>
        <w:rPr>
          <w:b/>
          <w:color w:val="FF0000"/>
          <w:u w:val="single"/>
        </w:rPr>
      </w:pPr>
    </w:p>
    <w:p w:rsidR="00B849A0" w:rsidRPr="001A588A" w:rsidRDefault="00B849A0" w:rsidP="00B849A0">
      <w:pPr>
        <w:spacing w:line="240" w:lineRule="auto"/>
        <w:jc w:val="both"/>
        <w:rPr>
          <w:rFonts w:ascii="Times New Roman" w:hAnsi="Times New Roman" w:cs="Times New Roman"/>
          <w:color w:val="FF0000"/>
          <w:sz w:val="24"/>
          <w:szCs w:val="24"/>
          <w:u w:val="single"/>
        </w:rPr>
      </w:pPr>
      <w:r w:rsidRPr="005D5229">
        <w:rPr>
          <w:rFonts w:ascii="Times New Roman" w:hAnsi="Times New Roman" w:cs="Times New Roman"/>
          <w:sz w:val="24"/>
          <w:szCs w:val="24"/>
          <w:u w:val="single"/>
        </w:rPr>
        <w:t>Las necesidades de financiación se dispararán en toda la eurozona, poniendo el foco en Italia y en España por la incidencia de la crisis y sus grados de apalancamiento</w:t>
      </w:r>
      <w:r w:rsidRPr="000B61F9">
        <w:rPr>
          <w:rFonts w:ascii="Times New Roman" w:hAnsi="Times New Roman" w:cs="Times New Roman"/>
          <w:sz w:val="24"/>
          <w:szCs w:val="24"/>
        </w:rPr>
        <w:t xml:space="preserve">. Según los indicadores de sostenibilidad fiscal de la Comisión Europea que cita Deutsche Bank, son las dos economías más vulnerables. </w:t>
      </w:r>
      <w:r w:rsidRPr="001A588A">
        <w:rPr>
          <w:rFonts w:ascii="Times New Roman" w:hAnsi="Times New Roman" w:cs="Times New Roman"/>
          <w:color w:val="FF0000"/>
          <w:sz w:val="24"/>
          <w:szCs w:val="24"/>
          <w:u w:val="single"/>
        </w:rPr>
        <w:t>En Italia, suponiendo medidas del Gobierno valoradas en 50.000 millones, la deuda pública sobre el PIB subiría 20 puntos porcentuales, hasta el 160%, en 2021. </w:t>
      </w:r>
      <w:r w:rsidRPr="001A588A">
        <w:rPr>
          <w:rStyle w:val="Textoennegrita"/>
          <w:rFonts w:ascii="Times New Roman" w:hAnsi="Times New Roman" w:cs="Times New Roman"/>
          <w:b w:val="0"/>
          <w:color w:val="FF0000"/>
          <w:sz w:val="24"/>
          <w:szCs w:val="24"/>
          <w:u w:val="single"/>
          <w:bdr w:val="none" w:sz="0" w:space="0" w:color="auto" w:frame="1"/>
        </w:rPr>
        <w:t>En España, esta ratio pasaría desde el 96% de 2019 hasta el 117,7% en 2021</w:t>
      </w:r>
      <w:r w:rsidRPr="001A588A">
        <w:rPr>
          <w:rFonts w:ascii="Times New Roman" w:hAnsi="Times New Roman" w:cs="Times New Roman"/>
          <w:color w:val="FF0000"/>
          <w:sz w:val="24"/>
          <w:szCs w:val="24"/>
          <w:u w:val="single"/>
        </w:rPr>
        <w:t>.</w:t>
      </w:r>
    </w:p>
    <w:p w:rsidR="00B849A0" w:rsidRPr="00552C6D" w:rsidRDefault="00B849A0" w:rsidP="00B849A0">
      <w:pPr>
        <w:pStyle w:val="NormalWeb"/>
        <w:shd w:val="clear" w:color="auto" w:fill="FFFFFF"/>
        <w:spacing w:before="0" w:beforeAutospacing="0" w:after="0" w:afterAutospacing="0"/>
        <w:jc w:val="both"/>
        <w:textAlignment w:val="baseline"/>
      </w:pPr>
      <w:r w:rsidRPr="005D5229">
        <w:rPr>
          <w:u w:val="single"/>
        </w:rPr>
        <w:t>Este incremento se produciría en un escenario en el que se supone que no hay coronabonos o cualquier emisión europea mutualizada que relaje las necesidades de financiación</w:t>
      </w:r>
      <w:r w:rsidRPr="000B61F9">
        <w:t>. Así, el Tesoro español tendría que pedir al mercado más de 260.000 millones de euros netos adicionales a las emisiones habituales. </w:t>
      </w:r>
      <w:hyperlink r:id="rId42" w:tgtFrame="_self" w:history="1">
        <w:r w:rsidRPr="00552C6D">
          <w:rPr>
            <w:rStyle w:val="Hipervnculo"/>
            <w:rFonts w:eastAsiaTheme="majorEastAsia"/>
            <w:color w:val="auto"/>
          </w:rPr>
          <w:t>Para 2020, el Tesoro tenía programada, antes de esta crisis, la emisión neta de deuda por valor de 32.500 millones</w:t>
        </w:r>
      </w:hyperlink>
      <w:r w:rsidRPr="00552C6D">
        <w:t>, mientras que en </w:t>
      </w:r>
      <w:r w:rsidRPr="00552C6D">
        <w:rPr>
          <w:rStyle w:val="Textoennegrita"/>
          <w:rFonts w:eastAsiaTheme="majorEastAsia"/>
          <w:b w:val="0"/>
          <w:bdr w:val="none" w:sz="0" w:space="0" w:color="auto" w:frame="1"/>
        </w:rPr>
        <w:t>términos brutos era de 197.000 millones</w:t>
      </w:r>
      <w:r w:rsidRPr="00552C6D">
        <w:t>.</w:t>
      </w:r>
    </w:p>
    <w:p w:rsidR="00B849A0" w:rsidRPr="000B61F9" w:rsidRDefault="00B849A0" w:rsidP="00B849A0">
      <w:pPr>
        <w:pStyle w:val="NormalWeb"/>
        <w:shd w:val="clear" w:color="auto" w:fill="FFFFFF"/>
        <w:spacing w:before="0" w:beforeAutospacing="0" w:after="0" w:afterAutospacing="0"/>
        <w:jc w:val="both"/>
        <w:textAlignment w:val="baseline"/>
      </w:pPr>
    </w:p>
    <w:p w:rsidR="00B849A0" w:rsidRDefault="00B849A0" w:rsidP="00B849A0">
      <w:pPr>
        <w:pStyle w:val="NormalWeb"/>
        <w:shd w:val="clear" w:color="auto" w:fill="FFFFFF"/>
        <w:spacing w:before="0" w:beforeAutospacing="0" w:after="0" w:afterAutospacing="0"/>
        <w:jc w:val="both"/>
        <w:textAlignment w:val="baseline"/>
        <w:rPr>
          <w:u w:val="single"/>
        </w:rPr>
      </w:pPr>
      <w:r w:rsidRPr="005D5229">
        <w:rPr>
          <w:color w:val="FF0000"/>
          <w:u w:val="single"/>
        </w:rPr>
        <w:t>Deutsche Bank ahonda en España al analizar la vulnerabilidad de las diferentes economías por la deuda externa que arrastra la economía</w:t>
      </w:r>
      <w:r w:rsidRPr="000B61F9">
        <w:t xml:space="preserve">. </w:t>
      </w:r>
      <w:r w:rsidRPr="005D5229">
        <w:rPr>
          <w:u w:val="single"/>
        </w:rPr>
        <w:t>Este pecado procede de la década de la burbuja inmobiliaria, y aunque se ha relajado en los últimos años con los récords en las exportaciones, sigue siendo peligroso. La economía española </w:t>
      </w:r>
      <w:r w:rsidRPr="005D5229">
        <w:rPr>
          <w:rStyle w:val="Textoennegrita"/>
          <w:rFonts w:eastAsiaTheme="majorEastAsia"/>
          <w:b w:val="0"/>
          <w:bdr w:val="none" w:sz="0" w:space="0" w:color="auto" w:frame="1"/>
        </w:rPr>
        <w:t>acabó 2019 con una posición neta internacional deudora en un 74% del PIB, al sobrepasar los 921.708 millones</w:t>
      </w:r>
      <w:r w:rsidRPr="005D5229">
        <w:rPr>
          <w:u w:val="single"/>
        </w:rPr>
        <w:t>.</w:t>
      </w:r>
    </w:p>
    <w:p w:rsidR="00B849A0" w:rsidRPr="005D5229" w:rsidRDefault="00B849A0" w:rsidP="00B849A0">
      <w:pPr>
        <w:pStyle w:val="NormalWeb"/>
        <w:shd w:val="clear" w:color="auto" w:fill="FFFFFF"/>
        <w:spacing w:before="0" w:beforeAutospacing="0" w:after="0" w:afterAutospacing="0"/>
        <w:jc w:val="both"/>
        <w:textAlignment w:val="baseline"/>
        <w:rPr>
          <w:u w:val="single"/>
        </w:rPr>
      </w:pPr>
    </w:p>
    <w:p w:rsidR="00B849A0" w:rsidRPr="000B61F9" w:rsidRDefault="00B849A0" w:rsidP="00B849A0">
      <w:pPr>
        <w:shd w:val="clear" w:color="auto" w:fill="FFFFFF"/>
        <w:spacing w:line="240" w:lineRule="auto"/>
        <w:jc w:val="both"/>
        <w:textAlignment w:val="baseline"/>
        <w:rPr>
          <w:rFonts w:ascii="Times New Roman" w:hAnsi="Times New Roman" w:cs="Times New Roman"/>
          <w:sz w:val="24"/>
          <w:szCs w:val="24"/>
        </w:rPr>
      </w:pPr>
      <w:r w:rsidRPr="000B61F9">
        <w:rPr>
          <w:rFonts w:ascii="Times New Roman" w:hAnsi="Times New Roman" w:cs="Times New Roman"/>
          <w:noProof/>
          <w:sz w:val="24"/>
          <w:szCs w:val="24"/>
          <w:lang w:eastAsia="es-ES"/>
        </w:rPr>
        <w:lastRenderedPageBreak/>
        <w:drawing>
          <wp:inline distT="0" distB="0" distL="0" distR="0" wp14:anchorId="564A2CC3" wp14:editId="76A4271A">
            <wp:extent cx="5741893" cy="2649071"/>
            <wp:effectExtent l="0" t="0" r="0" b="0"/>
            <wp:docPr id="45" name="Imagen 45" descr="A la izquierda, balanza por cuenta corriente; a la derecha, posición internacional neta sin inversión directa. (Fuente: Deutsche B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la izquierda, balanza por cuenta corriente; a la derecha, posición internacional neta sin inversión directa. (Fuente: Deutsche Bank)"/>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40400" cy="2648382"/>
                    </a:xfrm>
                    <a:prstGeom prst="rect">
                      <a:avLst/>
                    </a:prstGeom>
                    <a:noFill/>
                    <a:ln>
                      <a:noFill/>
                    </a:ln>
                  </pic:spPr>
                </pic:pic>
              </a:graphicData>
            </a:graphic>
          </wp:inline>
        </w:drawing>
      </w:r>
      <w:r w:rsidRPr="000B61F9">
        <w:rPr>
          <w:rFonts w:ascii="Times New Roman" w:hAnsi="Times New Roman" w:cs="Times New Roman"/>
          <w:sz w:val="24"/>
          <w:szCs w:val="24"/>
        </w:rPr>
        <w:t>A la izquierda, balanza por cuenta corriente; a la derecha, posición internacional neta sin inversión directa. (Fuente: Deutsche Bank)</w:t>
      </w:r>
    </w:p>
    <w:p w:rsidR="00B849A0" w:rsidRPr="005D5229" w:rsidRDefault="00B849A0" w:rsidP="00B849A0">
      <w:pPr>
        <w:pStyle w:val="NormalWeb"/>
        <w:shd w:val="clear" w:color="auto" w:fill="FFFFFF"/>
        <w:spacing w:before="0" w:beforeAutospacing="0" w:after="0" w:afterAutospacing="0"/>
        <w:jc w:val="both"/>
        <w:textAlignment w:val="baseline"/>
        <w:rPr>
          <w:u w:val="single"/>
        </w:rPr>
      </w:pPr>
      <w:r w:rsidRPr="005D5229">
        <w:rPr>
          <w:u w:val="single"/>
        </w:rPr>
        <w:t>Este saldo deudor extrema la dependencia de la inversión exterior para la economía española, lo que es un desafío añadido cuando hay turbulencias</w:t>
      </w:r>
      <w:r w:rsidRPr="001A588A">
        <w:t xml:space="preserve"> y </w:t>
      </w:r>
      <w:r w:rsidRPr="005D5229">
        <w:rPr>
          <w:rStyle w:val="Textoennegrita"/>
          <w:rFonts w:eastAsiaTheme="majorEastAsia"/>
          <w:b w:val="0"/>
          <w:bdr w:val="none" w:sz="0" w:space="0" w:color="auto" w:frame="1"/>
        </w:rPr>
        <w:t>suelen reducirse los flujos internacionales por la desconfianza de los inversores</w:t>
      </w:r>
      <w:r w:rsidRPr="001A588A">
        <w:t xml:space="preserve">. </w:t>
      </w:r>
      <w:r w:rsidRPr="005D5229">
        <w:rPr>
          <w:u w:val="single"/>
        </w:rPr>
        <w:t>La dependencia es tanto de inversión directa como financiera, como demuestra el gráfico recogido por el banco alemán.</w:t>
      </w:r>
    </w:p>
    <w:p w:rsidR="00B849A0" w:rsidRDefault="00B849A0" w:rsidP="00B849A0">
      <w:pPr>
        <w:spacing w:line="240" w:lineRule="auto"/>
        <w:jc w:val="both"/>
        <w:rPr>
          <w:rFonts w:ascii="Times New Roman" w:hAnsi="Times New Roman" w:cs="Times New Roman"/>
          <w:sz w:val="24"/>
          <w:szCs w:val="24"/>
        </w:rPr>
      </w:pPr>
    </w:p>
    <w:p w:rsidR="00B849A0" w:rsidRPr="005D5229" w:rsidRDefault="00B849A0" w:rsidP="00B849A0">
      <w:pPr>
        <w:spacing w:line="240" w:lineRule="auto"/>
        <w:jc w:val="both"/>
        <w:rPr>
          <w:rFonts w:ascii="Times New Roman" w:hAnsi="Times New Roman" w:cs="Times New Roman"/>
          <w:sz w:val="24"/>
          <w:szCs w:val="24"/>
          <w:u w:val="single"/>
        </w:rPr>
      </w:pPr>
      <w:r w:rsidRPr="005D5229">
        <w:rPr>
          <w:rFonts w:ascii="Times New Roman" w:hAnsi="Times New Roman" w:cs="Times New Roman"/>
          <w:sz w:val="24"/>
          <w:szCs w:val="24"/>
          <w:u w:val="single"/>
        </w:rPr>
        <w:t xml:space="preserve"> “Italia parece ser el eslabón débil por su ratio de deuda sobre PIB. Esto podría no ser del todo correcto. Italia tiene un importante contrapeso estructural: una posición subyacente positiva del activo externo neto. Por lo tanto, si el deterioro de la dinámica de la deuda crea estrés en el mercado, dependerá del comportamiento de los inversores nacionales”, recuerda Deutsche Bank</w:t>
      </w:r>
      <w:r w:rsidRPr="000B61F9">
        <w:rPr>
          <w:rFonts w:ascii="Times New Roman" w:hAnsi="Times New Roman" w:cs="Times New Roman"/>
          <w:sz w:val="24"/>
          <w:szCs w:val="24"/>
        </w:rPr>
        <w:t xml:space="preserve">. “La clave del comportamiento de los inversores nacionales será la percepción de cohesión europea, y esto debe fortalecerse rápidamente. </w:t>
      </w:r>
      <w:r w:rsidRPr="005D5229">
        <w:rPr>
          <w:rFonts w:ascii="Times New Roman" w:hAnsi="Times New Roman" w:cs="Times New Roman"/>
          <w:sz w:val="24"/>
          <w:szCs w:val="24"/>
          <w:u w:val="single"/>
        </w:rPr>
        <w:t>España, por otro lado, tiene una posición negativa subyacente del activo externo neto</w:t>
      </w:r>
      <w:r w:rsidRPr="001A588A">
        <w:rPr>
          <w:rFonts w:ascii="Times New Roman" w:hAnsi="Times New Roman" w:cs="Times New Roman"/>
          <w:sz w:val="24"/>
          <w:szCs w:val="24"/>
        </w:rPr>
        <w:t>. </w:t>
      </w:r>
      <w:r w:rsidRPr="005D5229">
        <w:rPr>
          <w:rStyle w:val="Textoennegrita"/>
          <w:rFonts w:ascii="Times New Roman" w:hAnsi="Times New Roman" w:cs="Times New Roman"/>
          <w:b w:val="0"/>
          <w:sz w:val="24"/>
          <w:szCs w:val="24"/>
          <w:bdr w:val="none" w:sz="0" w:space="0" w:color="auto" w:frame="1"/>
        </w:rPr>
        <w:t>Esto es una vulnerabilidad. Significa que España es naturalmente más dependiente de los inversores extranjeros</w:t>
      </w:r>
      <w:r w:rsidRPr="001A588A">
        <w:rPr>
          <w:rFonts w:ascii="Times New Roman" w:hAnsi="Times New Roman" w:cs="Times New Roman"/>
          <w:sz w:val="24"/>
          <w:szCs w:val="24"/>
        </w:rPr>
        <w:t xml:space="preserve">”, </w:t>
      </w:r>
      <w:r w:rsidRPr="005D5229">
        <w:rPr>
          <w:rFonts w:ascii="Times New Roman" w:hAnsi="Times New Roman" w:cs="Times New Roman"/>
          <w:sz w:val="24"/>
          <w:szCs w:val="24"/>
          <w:u w:val="single"/>
        </w:rPr>
        <w:t>añade el banco.</w:t>
      </w:r>
    </w:p>
    <w:p w:rsidR="00B849A0" w:rsidRDefault="00B849A0" w:rsidP="00B849A0">
      <w:pPr>
        <w:pStyle w:val="NormalWeb"/>
        <w:shd w:val="clear" w:color="auto" w:fill="FFFFFF"/>
        <w:spacing w:before="0" w:beforeAutospacing="0" w:after="0" w:afterAutospacing="0"/>
        <w:jc w:val="both"/>
        <w:textAlignment w:val="baseline"/>
      </w:pPr>
      <w:r w:rsidRPr="000B61F9">
        <w:t>Otro punto clave es evitar que esta crisis por el frenazo de la actividad se convierta en financiera. Los gobiernos han lanzado paquetes de avales para que fluya el crédito y los supervisores han suavizado las exigencias de capital y de provisiones. Deutsche Bank Research recuerda que los niveles de capital del sector financiero europeo han mejorado, pero que España, nuevamente, está a la cola.</w:t>
      </w:r>
    </w:p>
    <w:p w:rsidR="00B849A0" w:rsidRPr="000B61F9" w:rsidRDefault="00B849A0" w:rsidP="00B849A0">
      <w:pPr>
        <w:pStyle w:val="NormalWeb"/>
        <w:shd w:val="clear" w:color="auto" w:fill="FFFFFF"/>
        <w:spacing w:before="0" w:beforeAutospacing="0" w:after="0" w:afterAutospacing="0"/>
        <w:jc w:val="both"/>
        <w:textAlignment w:val="baseline"/>
      </w:pPr>
    </w:p>
    <w:p w:rsidR="00B849A0" w:rsidRPr="00552C6D" w:rsidRDefault="00B849A0" w:rsidP="00B849A0">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552C6D">
        <w:rPr>
          <w:rFonts w:ascii="Times New Roman" w:hAnsi="Times New Roman" w:cs="Times New Roman"/>
          <w:b w:val="0"/>
          <w:i w:val="0"/>
          <w:color w:val="auto"/>
          <w:sz w:val="24"/>
          <w:szCs w:val="24"/>
        </w:rPr>
        <w:t>El mercado laboral más golpeado</w:t>
      </w:r>
    </w:p>
    <w:p w:rsidR="00B849A0" w:rsidRDefault="00B849A0" w:rsidP="00B849A0">
      <w:pPr>
        <w:pStyle w:val="NormalWeb"/>
        <w:shd w:val="clear" w:color="auto" w:fill="FFFFFF"/>
        <w:spacing w:before="0" w:beforeAutospacing="0" w:after="0" w:afterAutospacing="0"/>
        <w:jc w:val="both"/>
        <w:textAlignment w:val="baseline"/>
        <w:rPr>
          <w:b/>
          <w:color w:val="FF0000"/>
          <w:u w:val="single"/>
        </w:rPr>
      </w:pPr>
    </w:p>
    <w:p w:rsidR="00B849A0" w:rsidRPr="001A588A" w:rsidRDefault="00B849A0" w:rsidP="00B849A0">
      <w:pPr>
        <w:pStyle w:val="NormalWeb"/>
        <w:shd w:val="clear" w:color="auto" w:fill="FFFFFF"/>
        <w:spacing w:before="0" w:beforeAutospacing="0" w:after="0" w:afterAutospacing="0"/>
        <w:jc w:val="both"/>
        <w:textAlignment w:val="baseline"/>
        <w:rPr>
          <w:b/>
          <w:color w:val="FF0000"/>
          <w:u w:val="single"/>
        </w:rPr>
      </w:pPr>
      <w:r w:rsidRPr="001A588A">
        <w:rPr>
          <w:b/>
          <w:color w:val="FF0000"/>
          <w:u w:val="single"/>
        </w:rPr>
        <w:t>España se llevará la peor parte, en términos de golpe económico, de esta crisis. Al menos, según la estimación del banco germano. </w:t>
      </w:r>
      <w:r w:rsidRPr="001A588A">
        <w:rPr>
          <w:rStyle w:val="Textoennegrita"/>
          <w:rFonts w:eastAsiaTheme="majorEastAsia"/>
          <w:color w:val="FF0000"/>
          <w:u w:val="single"/>
          <w:bdr w:val="none" w:sz="0" w:space="0" w:color="auto" w:frame="1"/>
        </w:rPr>
        <w:t>El mercado laboral español sería el más vulnerable por dos razones</w:t>
      </w:r>
      <w:r w:rsidRPr="001A588A">
        <w:rPr>
          <w:color w:val="FF0000"/>
          <w:u w:val="single"/>
        </w:rPr>
        <w:t xml:space="preserve">. </w:t>
      </w:r>
      <w:r w:rsidRPr="001A588A">
        <w:rPr>
          <w:b/>
          <w:color w:val="FF0000"/>
          <w:u w:val="single"/>
        </w:rPr>
        <w:t>La primera es por tener la </w:t>
      </w:r>
      <w:r w:rsidRPr="001A588A">
        <w:rPr>
          <w:rStyle w:val="Textoennegrita"/>
          <w:rFonts w:eastAsiaTheme="majorEastAsia"/>
          <w:color w:val="FF0000"/>
          <w:u w:val="single"/>
          <w:bdr w:val="none" w:sz="0" w:space="0" w:color="auto" w:frame="1"/>
        </w:rPr>
        <w:t>temporalidad </w:t>
      </w:r>
      <w:r w:rsidRPr="001A588A">
        <w:rPr>
          <w:b/>
          <w:color w:val="FF0000"/>
          <w:u w:val="single"/>
        </w:rPr>
        <w:t>más alta a lo largo de la eurozona, con niveles superiores al 20%, mientras que en las otras grandes economías europeas (Alemania, Francia, Italia y Reino Unido) no se llega al 15%.</w:t>
      </w:r>
    </w:p>
    <w:p w:rsidR="00B849A0" w:rsidRPr="005D5229" w:rsidRDefault="00B849A0" w:rsidP="00B849A0">
      <w:pPr>
        <w:pStyle w:val="NormalWeb"/>
        <w:shd w:val="clear" w:color="auto" w:fill="FFFFFF"/>
        <w:spacing w:before="0" w:beforeAutospacing="0" w:after="0" w:afterAutospacing="0"/>
        <w:jc w:val="both"/>
        <w:textAlignment w:val="baseline"/>
        <w:rPr>
          <w:b/>
          <w:color w:val="FF0000"/>
          <w:u w:val="single"/>
        </w:rPr>
      </w:pPr>
    </w:p>
    <w:p w:rsidR="00B849A0" w:rsidRPr="001A588A" w:rsidRDefault="00B849A0" w:rsidP="00B849A0">
      <w:pPr>
        <w:pStyle w:val="NormalWeb"/>
        <w:shd w:val="clear" w:color="auto" w:fill="FFFFFF"/>
        <w:spacing w:before="0" w:beforeAutospacing="0" w:after="0" w:afterAutospacing="0"/>
        <w:jc w:val="both"/>
        <w:textAlignment w:val="baseline"/>
        <w:rPr>
          <w:color w:val="FF0000"/>
          <w:u w:val="single"/>
        </w:rPr>
      </w:pPr>
      <w:r w:rsidRPr="001A588A">
        <w:rPr>
          <w:color w:val="FF0000"/>
          <w:u w:val="single"/>
        </w:rPr>
        <w:t>Además, los economistas germanos estiman que la </w:t>
      </w:r>
      <w:r w:rsidRPr="001A588A">
        <w:rPr>
          <w:rStyle w:val="Textoennegrita"/>
          <w:rFonts w:eastAsiaTheme="majorEastAsia"/>
          <w:b w:val="0"/>
          <w:color w:val="FF0000"/>
          <w:u w:val="single"/>
          <w:bdr w:val="none" w:sz="0" w:space="0" w:color="auto" w:frame="1"/>
        </w:rPr>
        <w:t>exposición a servicios afectados directamente por la crisis del Covid-19 </w:t>
      </w:r>
      <w:r w:rsidRPr="001A588A">
        <w:rPr>
          <w:color w:val="FF0000"/>
          <w:u w:val="single"/>
        </w:rPr>
        <w:t xml:space="preserve">es mayor en España, en un porcentaje superior al 35%, y que de hecho ha aumentado desde 2008. En Italia, el mercado laboral se acercaría a </w:t>
      </w:r>
      <w:r w:rsidRPr="001A588A">
        <w:rPr>
          <w:color w:val="FF0000"/>
          <w:u w:val="single"/>
        </w:rPr>
        <w:lastRenderedPageBreak/>
        <w:t>ese 35%, y en las otras grandes economías europeas la ratio es inferior al 30%. Según Deutsche, los sectores más afectados son la distribución, el transporte, la restauración, el entretenimiento y las empleadas del hogar.</w:t>
      </w:r>
    </w:p>
    <w:p w:rsidR="00B849A0" w:rsidRPr="005D5229" w:rsidRDefault="00B849A0" w:rsidP="00B849A0">
      <w:pPr>
        <w:pStyle w:val="NormalWeb"/>
        <w:shd w:val="clear" w:color="auto" w:fill="FFFFFF"/>
        <w:spacing w:before="0" w:beforeAutospacing="0" w:after="0" w:afterAutospacing="0"/>
        <w:jc w:val="both"/>
        <w:textAlignment w:val="baseline"/>
        <w:rPr>
          <w:color w:val="FF0000"/>
          <w:u w:val="single"/>
        </w:rPr>
      </w:pPr>
    </w:p>
    <w:p w:rsidR="00B849A0" w:rsidRPr="00EB6C53" w:rsidRDefault="00B849A0" w:rsidP="00B849A0">
      <w:pPr>
        <w:spacing w:line="240" w:lineRule="auto"/>
        <w:jc w:val="both"/>
        <w:rPr>
          <w:rFonts w:ascii="Times New Roman" w:hAnsi="Times New Roman" w:cs="Times New Roman"/>
          <w:b/>
          <w:color w:val="FF0000"/>
          <w:sz w:val="24"/>
          <w:szCs w:val="24"/>
          <w:u w:val="single"/>
        </w:rPr>
      </w:pPr>
      <w:r w:rsidRPr="00EB6C53">
        <w:rPr>
          <w:rFonts w:ascii="Times New Roman" w:hAnsi="Times New Roman" w:cs="Times New Roman"/>
          <w:b/>
          <w:color w:val="FF0000"/>
          <w:sz w:val="24"/>
          <w:szCs w:val="24"/>
          <w:u w:val="single"/>
        </w:rPr>
        <w:t>En este contexto, el banco alemán señala que “hay escenarios razonables en los que el paro en la eurozona ascienda desde el 7% hasta la horquilla del 15% al 20%”. “</w:t>
      </w:r>
      <w:r w:rsidRPr="00EB6C53">
        <w:rPr>
          <w:rStyle w:val="Textoennegrita"/>
          <w:rFonts w:ascii="Times New Roman" w:hAnsi="Times New Roman" w:cs="Times New Roman"/>
          <w:b w:val="0"/>
          <w:color w:val="FF0000"/>
          <w:sz w:val="24"/>
          <w:szCs w:val="24"/>
          <w:u w:val="single"/>
          <w:bdr w:val="none" w:sz="0" w:space="0" w:color="auto" w:frame="1"/>
        </w:rPr>
        <w:t>La magnitud de la conmoción económica causada por el virus significa que los picos anteriores de </w:t>
      </w:r>
      <w:hyperlink r:id="rId44" w:tgtFrame="_self" w:history="1">
        <w:r w:rsidRPr="00EB6C53">
          <w:rPr>
            <w:rStyle w:val="Hipervnculo"/>
            <w:rFonts w:ascii="Times New Roman" w:hAnsi="Times New Roman" w:cs="Times New Roman"/>
            <w:color w:val="FF0000"/>
            <w:sz w:val="24"/>
            <w:szCs w:val="24"/>
            <w:bdr w:val="none" w:sz="0" w:space="0" w:color="auto" w:frame="1"/>
          </w:rPr>
          <w:t>tasas de desempleo posteriores a la Segunda Guerra Mundial</w:t>
        </w:r>
      </w:hyperlink>
      <w:r w:rsidRPr="00EB6C53">
        <w:rPr>
          <w:rStyle w:val="Textoennegrita"/>
          <w:rFonts w:ascii="Times New Roman" w:hAnsi="Times New Roman" w:cs="Times New Roman"/>
          <w:b w:val="0"/>
          <w:color w:val="FF0000"/>
          <w:sz w:val="24"/>
          <w:szCs w:val="24"/>
          <w:u w:val="single"/>
          <w:bdr w:val="none" w:sz="0" w:space="0" w:color="auto" w:frame="1"/>
        </w:rPr>
        <w:t> podrían superarse</w:t>
      </w:r>
      <w:r w:rsidRPr="00EB6C53">
        <w:rPr>
          <w:rFonts w:ascii="Times New Roman" w:hAnsi="Times New Roman" w:cs="Times New Roman"/>
          <w:b/>
          <w:color w:val="FF0000"/>
          <w:sz w:val="24"/>
          <w:szCs w:val="24"/>
          <w:u w:val="single"/>
        </w:rPr>
        <w:t> en la mayoría de los países bajo supuestos y modelos estándar”, dice la entidad, que calcula el paro a través de la metodología de Okun, economista que relacionó la producción con el empleo.</w:t>
      </w:r>
    </w:p>
    <w:p w:rsidR="00B849A0" w:rsidRDefault="00B849A0" w:rsidP="00B849A0">
      <w:pPr>
        <w:pStyle w:val="NormalWeb"/>
        <w:shd w:val="clear" w:color="auto" w:fill="FFFFFF"/>
        <w:spacing w:before="0" w:beforeAutospacing="0" w:after="0" w:afterAutospacing="0"/>
        <w:jc w:val="both"/>
        <w:textAlignment w:val="baseline"/>
      </w:pPr>
      <w:r w:rsidRPr="00EB6C53">
        <w:rPr>
          <w:color w:val="FF0000"/>
          <w:u w:val="single"/>
        </w:rPr>
        <w:t>Y España estaría, nuevamente, en la parte alta. De hecho, </w:t>
      </w:r>
      <w:r w:rsidRPr="00EB6C53">
        <w:rPr>
          <w:rStyle w:val="Textoennegrita"/>
          <w:rFonts w:eastAsiaTheme="majorEastAsia"/>
          <w:b w:val="0"/>
          <w:color w:val="FF0000"/>
          <w:u w:val="single"/>
          <w:bdr w:val="none" w:sz="0" w:space="0" w:color="auto" w:frame="1"/>
        </w:rPr>
        <w:t>el escenario base contempla que el paro se repliegue en 2021 al 9,5% en el conjunto de la eurozona, mientras que en España se mantendría cerca del 20%</w:t>
      </w:r>
      <w:r w:rsidRPr="00EB6C53">
        <w:rPr>
          <w:color w:val="FF0000"/>
          <w:u w:val="single"/>
        </w:rPr>
        <w:t>.</w:t>
      </w:r>
      <w:r w:rsidRPr="00EB6C53">
        <w:rPr>
          <w:u w:val="single"/>
        </w:rPr>
        <w:t xml:space="preserve"> </w:t>
      </w:r>
      <w:r w:rsidRPr="00EB6C53">
        <w:rPr>
          <w:b/>
          <w:color w:val="FF0000"/>
          <w:u w:val="single"/>
        </w:rPr>
        <w:t>Estamos en un momento de incertidumbre radical</w:t>
      </w:r>
      <w:r w:rsidRPr="000B61F9">
        <w:t>, término que suele usar el exgobernador del Banco de Inglaterra Mervyn King, lo que hace más débiles de lo habitual las predicciones. Pero esta supondría que 18 meses después de esta crisis, la economía española tendría millón y medio de parados más que al terminar 2019.</w:t>
      </w:r>
    </w:p>
    <w:p w:rsidR="00B849A0" w:rsidRDefault="00B849A0" w:rsidP="00B849A0">
      <w:pPr>
        <w:pStyle w:val="NormalWeb"/>
        <w:shd w:val="clear" w:color="auto" w:fill="FFFFFF"/>
        <w:spacing w:before="0" w:beforeAutospacing="0" w:after="0" w:afterAutospacing="0"/>
        <w:jc w:val="both"/>
        <w:textAlignment w:val="baseline"/>
      </w:pPr>
    </w:p>
    <w:p w:rsidR="00B849A0" w:rsidRPr="005D5229" w:rsidRDefault="00B849A0" w:rsidP="00B849A0">
      <w:pPr>
        <w:pStyle w:val="NormalWeb"/>
        <w:shd w:val="clear" w:color="auto" w:fill="FFFFFF"/>
        <w:spacing w:before="0" w:beforeAutospacing="0" w:after="0" w:afterAutospacing="0"/>
        <w:jc w:val="both"/>
        <w:textAlignment w:val="baseline"/>
        <w:rPr>
          <w:u w:val="single"/>
        </w:rPr>
      </w:pPr>
      <w:r w:rsidRPr="00552C6D">
        <w:rPr>
          <w:u w:val="single"/>
        </w:rPr>
        <w:t>Para los expertos germanos, la clave para España dependerá de la acción europea y del éxito de los </w:t>
      </w:r>
      <w:hyperlink r:id="rId45" w:tgtFrame="_self" w:history="1">
        <w:r w:rsidRPr="00552C6D">
          <w:rPr>
            <w:rStyle w:val="Hipervnculo"/>
            <w:rFonts w:eastAsiaTheme="majorEastAsia"/>
            <w:color w:val="auto"/>
          </w:rPr>
          <w:t>expedientes de regulación temporal de empleo (ERTE)</w:t>
        </w:r>
      </w:hyperlink>
      <w:r w:rsidRPr="00552C6D">
        <w:rPr>
          <w:u w:val="single"/>
        </w:rPr>
        <w:t> para evitar un aumento exagerado del paro tras las restricciones del estado de alarma</w:t>
      </w:r>
      <w:r w:rsidRPr="000B61F9">
        <w:t xml:space="preserve">. </w:t>
      </w:r>
      <w:r w:rsidRPr="00EB6C53">
        <w:rPr>
          <w:color w:val="FF0000"/>
          <w:u w:val="single"/>
        </w:rPr>
        <w:t>En el mejor de los casos, </w:t>
      </w:r>
      <w:r w:rsidRPr="00EB6C53">
        <w:rPr>
          <w:rStyle w:val="Textoennegrita"/>
          <w:rFonts w:eastAsiaTheme="majorEastAsia"/>
          <w:b w:val="0"/>
          <w:color w:val="FF0000"/>
          <w:u w:val="single"/>
          <w:bdr w:val="none" w:sz="0" w:space="0" w:color="auto" w:frame="1"/>
        </w:rPr>
        <w:t>Deutsche apunta a un 18% de tasa de desempleo</w:t>
      </w:r>
      <w:r w:rsidRPr="00EB6C53">
        <w:rPr>
          <w:color w:val="FF0000"/>
          <w:u w:val="single"/>
        </w:rPr>
        <w:t> (13,7% en el cuarto trimestre de 2019).</w:t>
      </w:r>
      <w:r w:rsidRPr="000B61F9">
        <w:t xml:space="preserve"> </w:t>
      </w:r>
      <w:r w:rsidRPr="005D5229">
        <w:rPr>
          <w:u w:val="single"/>
        </w:rPr>
        <w:t>El banco recuerda que España crea y destruye empleo más rápido que otros países, y que en contracción la elasticidad llega a ser de 1 (un punto porcentual de aumento del desempleo por cada punto que cae el PIB).</w:t>
      </w:r>
    </w:p>
    <w:p w:rsidR="00B849A0" w:rsidRDefault="00B849A0" w:rsidP="00B849A0">
      <w:pPr>
        <w:pStyle w:val="NormalWeb"/>
        <w:shd w:val="clear" w:color="auto" w:fill="FFFFFF"/>
        <w:spacing w:before="0" w:beforeAutospacing="0" w:after="0" w:afterAutospacing="0"/>
        <w:jc w:val="both"/>
        <w:textAlignment w:val="baseline"/>
      </w:pPr>
    </w:p>
    <w:p w:rsidR="00B849A0" w:rsidRPr="000B61F9" w:rsidRDefault="00B849A0" w:rsidP="00B849A0">
      <w:pPr>
        <w:pStyle w:val="NormalWeb"/>
        <w:shd w:val="clear" w:color="auto" w:fill="FFFFFF"/>
        <w:spacing w:before="0" w:beforeAutospacing="0" w:after="0" w:afterAutospacing="0"/>
        <w:jc w:val="both"/>
        <w:textAlignment w:val="baseline"/>
      </w:pPr>
    </w:p>
    <w:p w:rsidR="00B849A0" w:rsidRPr="000B61F9" w:rsidRDefault="00B849A0" w:rsidP="00B849A0">
      <w:pPr>
        <w:shd w:val="clear" w:color="auto" w:fill="FFFFFF"/>
        <w:spacing w:line="240" w:lineRule="auto"/>
        <w:jc w:val="both"/>
        <w:textAlignment w:val="baseline"/>
        <w:rPr>
          <w:rFonts w:ascii="Times New Roman" w:hAnsi="Times New Roman" w:cs="Times New Roman"/>
          <w:sz w:val="24"/>
          <w:szCs w:val="24"/>
        </w:rPr>
      </w:pPr>
      <w:r w:rsidRPr="000B61F9">
        <w:rPr>
          <w:rFonts w:ascii="Times New Roman" w:hAnsi="Times New Roman" w:cs="Times New Roman"/>
          <w:noProof/>
          <w:sz w:val="24"/>
          <w:szCs w:val="24"/>
          <w:lang w:eastAsia="es-ES"/>
        </w:rPr>
        <w:drawing>
          <wp:inline distT="0" distB="0" distL="0" distR="0" wp14:anchorId="166DCD29" wp14:editId="0D644A1B">
            <wp:extent cx="5726196" cy="2454088"/>
            <wp:effectExtent l="0" t="0" r="8255" b="3810"/>
            <wp:docPr id="47" name="Imagen 47" descr="Escenarios de paro previstos por Deutsche Bank para Esp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scenarios de paro previstos por Deutsche Bank para España."/>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27700" cy="2454733"/>
                    </a:xfrm>
                    <a:prstGeom prst="rect">
                      <a:avLst/>
                    </a:prstGeom>
                    <a:noFill/>
                    <a:ln>
                      <a:noFill/>
                    </a:ln>
                  </pic:spPr>
                </pic:pic>
              </a:graphicData>
            </a:graphic>
          </wp:inline>
        </w:drawing>
      </w:r>
      <w:r w:rsidRPr="000B61F9">
        <w:rPr>
          <w:rFonts w:ascii="Times New Roman" w:hAnsi="Times New Roman" w:cs="Times New Roman"/>
          <w:sz w:val="24"/>
          <w:szCs w:val="24"/>
        </w:rPr>
        <w:t>Escenarios de paro previstos por Deutsche Bank para España.</w:t>
      </w:r>
    </w:p>
    <w:p w:rsidR="00B849A0" w:rsidRPr="00EB6C53" w:rsidRDefault="00B849A0" w:rsidP="00B849A0">
      <w:pPr>
        <w:pStyle w:val="NormalWeb"/>
        <w:shd w:val="clear" w:color="auto" w:fill="FFFFFF"/>
        <w:spacing w:before="0" w:beforeAutospacing="0" w:after="0" w:afterAutospacing="0"/>
        <w:jc w:val="both"/>
        <w:textAlignment w:val="baseline"/>
        <w:rPr>
          <w:b/>
          <w:color w:val="FF0000"/>
          <w:u w:val="single"/>
        </w:rPr>
      </w:pPr>
      <w:r w:rsidRPr="001A588A">
        <w:rPr>
          <w:color w:val="FF0000"/>
          <w:u w:val="single"/>
        </w:rPr>
        <w:t xml:space="preserve"> “</w:t>
      </w:r>
      <w:r w:rsidRPr="00EB6C53">
        <w:rPr>
          <w:rStyle w:val="Textoennegrita"/>
          <w:rFonts w:eastAsiaTheme="majorEastAsia"/>
          <w:b w:val="0"/>
          <w:color w:val="FF0000"/>
          <w:u w:val="single"/>
          <w:bdr w:val="none" w:sz="0" w:space="0" w:color="auto" w:frame="1"/>
        </w:rPr>
        <w:t>Si la implementación (de los ERTE) se viera restringida, el paro alcanzaría picos vistos en la crisis de deuda (el máximo fue del 27%) y permanecería alrededor del 20% durante muchos trimestres</w:t>
      </w:r>
      <w:r w:rsidRPr="00EB6C53">
        <w:rPr>
          <w:b/>
          <w:color w:val="FF0000"/>
          <w:u w:val="single"/>
        </w:rPr>
        <w:t>. Sin este esquema, el paro ya habría aumentado por encima del 30%”, advierte el informe, que cree que sin los ERTE “España alcanzaría niveles social y políticamente insostenibles de desempleo”.</w:t>
      </w:r>
    </w:p>
    <w:p w:rsidR="00B849A0" w:rsidRPr="005D5229" w:rsidRDefault="00B849A0" w:rsidP="00B849A0">
      <w:pPr>
        <w:pStyle w:val="NormalWeb"/>
        <w:shd w:val="clear" w:color="auto" w:fill="FFFFFF"/>
        <w:spacing w:before="0" w:beforeAutospacing="0" w:after="0" w:afterAutospacing="0"/>
        <w:jc w:val="both"/>
        <w:textAlignment w:val="baseline"/>
        <w:rPr>
          <w:b/>
          <w:color w:val="FF0000"/>
          <w:u w:val="single"/>
        </w:rPr>
      </w:pPr>
    </w:p>
    <w:p w:rsidR="00B849A0" w:rsidRPr="00552C6D" w:rsidRDefault="00B849A0" w:rsidP="00B849A0">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552C6D">
        <w:rPr>
          <w:rFonts w:ascii="Times New Roman" w:hAnsi="Times New Roman" w:cs="Times New Roman"/>
          <w:b w:val="0"/>
          <w:i w:val="0"/>
          <w:color w:val="auto"/>
          <w:sz w:val="24"/>
          <w:szCs w:val="24"/>
        </w:rPr>
        <w:lastRenderedPageBreak/>
        <w:t>¿Riesgo de ruptura del euro?</w:t>
      </w:r>
    </w:p>
    <w:p w:rsidR="00B849A0" w:rsidRDefault="00B849A0" w:rsidP="00B849A0">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rPr>
      </w:pPr>
    </w:p>
    <w:p w:rsidR="00B849A0" w:rsidRPr="005D5229" w:rsidRDefault="00B849A0" w:rsidP="00B849A0">
      <w:pPr>
        <w:pStyle w:val="NormalWeb"/>
        <w:shd w:val="clear" w:color="auto" w:fill="FFFFFF"/>
        <w:spacing w:before="0" w:beforeAutospacing="0" w:after="0" w:afterAutospacing="0"/>
        <w:jc w:val="both"/>
        <w:textAlignment w:val="baseline"/>
        <w:rPr>
          <w:color w:val="FF0000"/>
          <w:u w:val="single"/>
        </w:rPr>
      </w:pPr>
      <w:r w:rsidRPr="005D5229">
        <w:rPr>
          <w:color w:val="FF0000"/>
          <w:u w:val="single"/>
        </w:rPr>
        <w:t>Deutsche Bank cree que hay riesgo de que aumenten las asimetrías en la zona euro. Dicho de otra manera, </w:t>
      </w:r>
      <w:r w:rsidRPr="005D5229">
        <w:rPr>
          <w:rStyle w:val="Textoennegrita"/>
          <w:rFonts w:eastAsiaTheme="majorEastAsia"/>
          <w:b w:val="0"/>
          <w:color w:val="FF0000"/>
          <w:bdr w:val="none" w:sz="0" w:space="0" w:color="auto" w:frame="1"/>
        </w:rPr>
        <w:t>que el sur </w:t>
      </w:r>
      <w:r>
        <w:rPr>
          <w:color w:val="FF0000"/>
        </w:rPr>
        <w:t>-</w:t>
      </w:r>
      <w:r w:rsidRPr="005D5229">
        <w:rPr>
          <w:rStyle w:val="Textoennegrita"/>
          <w:rFonts w:eastAsiaTheme="majorEastAsia"/>
          <w:b w:val="0"/>
          <w:color w:val="FF0000"/>
          <w:bdr w:val="none" w:sz="0" w:space="0" w:color="auto" w:frame="1"/>
        </w:rPr>
        <w:t>incluyendo España</w:t>
      </w:r>
      <w:r>
        <w:rPr>
          <w:color w:val="FF0000"/>
        </w:rPr>
        <w:t>-</w:t>
      </w:r>
      <w:r w:rsidRPr="005D5229">
        <w:rPr>
          <w:rStyle w:val="Textoennegrita"/>
          <w:rFonts w:eastAsiaTheme="majorEastAsia"/>
          <w:b w:val="0"/>
          <w:color w:val="FF0000"/>
          <w:bdr w:val="none" w:sz="0" w:space="0" w:color="auto" w:frame="1"/>
        </w:rPr>
        <w:t> sufra mucho más esta crisis</w:t>
      </w:r>
      <w:r w:rsidRPr="005D5229">
        <w:rPr>
          <w:color w:val="FF0000"/>
          <w:u w:val="single"/>
        </w:rPr>
        <w:t> que el norte. Más allá de si es justo o no, es ineficiente, como demostró la crisis de deuda que supuso una nueva recesión en Europa en 2011 y 2012. “La crisis del virus una vez más arrojará una sombra oscura sobre la estabilidad y la sostenibilidad europeas. Esperamos que los países europeos llegarán a fines de 2021 con una divergencia sin precedentes en su desempeño económico, en crecimiento y en desempleo”, explican los economistas del equipo de análisis.</w:t>
      </w:r>
    </w:p>
    <w:p w:rsidR="00B849A0" w:rsidRDefault="00B849A0" w:rsidP="00B849A0">
      <w:pPr>
        <w:pStyle w:val="NormalWeb"/>
        <w:shd w:val="clear" w:color="auto" w:fill="FFFFFF"/>
        <w:spacing w:before="0" w:beforeAutospacing="0" w:after="0" w:afterAutospacing="0"/>
        <w:jc w:val="both"/>
        <w:textAlignment w:val="baseline"/>
      </w:pPr>
    </w:p>
    <w:p w:rsidR="00B849A0" w:rsidRPr="00EB6C53" w:rsidRDefault="00B849A0" w:rsidP="00B849A0">
      <w:pPr>
        <w:pStyle w:val="NormalWeb"/>
        <w:shd w:val="clear" w:color="auto" w:fill="FFFFFF"/>
        <w:spacing w:before="0" w:beforeAutospacing="0" w:after="0" w:afterAutospacing="0"/>
        <w:jc w:val="both"/>
        <w:textAlignment w:val="baseline"/>
        <w:rPr>
          <w:b/>
          <w:color w:val="FF0000"/>
          <w:u w:val="single"/>
        </w:rPr>
      </w:pPr>
      <w:r w:rsidRPr="00EB6C53">
        <w:rPr>
          <w:b/>
          <w:color w:val="FF0000"/>
          <w:u w:val="single"/>
        </w:rPr>
        <w:t>“Nos preocupa que esa divergencia renovada pueda volver a plantear dudas sobre el equilibrio norte-sur y la sostenibilidad de los acuerdos actuales”, prosigue Deutsche Bank Research, que recuerda la </w:t>
      </w:r>
      <w:r w:rsidRPr="00EB6C53">
        <w:rPr>
          <w:rStyle w:val="Textoennegrita"/>
          <w:rFonts w:eastAsiaTheme="majorEastAsia"/>
          <w:b w:val="0"/>
          <w:color w:val="FF0000"/>
          <w:u w:val="single"/>
          <w:bdr w:val="none" w:sz="0" w:space="0" w:color="auto" w:frame="1"/>
        </w:rPr>
        <w:t>diferencia del esfuerzo fiscal que tendrán que asumir los países, y “no todos pueden sostenerlo”</w:t>
      </w:r>
      <w:r w:rsidRPr="00EB6C53">
        <w:rPr>
          <w:b/>
          <w:color w:val="FF0000"/>
          <w:u w:val="single"/>
        </w:rPr>
        <w:t>.</w:t>
      </w:r>
    </w:p>
    <w:p w:rsidR="00B849A0" w:rsidRPr="000B61F9" w:rsidRDefault="00B849A0" w:rsidP="00B849A0">
      <w:pPr>
        <w:pStyle w:val="NormalWeb"/>
        <w:shd w:val="clear" w:color="auto" w:fill="FFFFFF"/>
        <w:spacing w:before="0" w:beforeAutospacing="0" w:after="0" w:afterAutospacing="0"/>
        <w:jc w:val="both"/>
        <w:textAlignment w:val="baseline"/>
      </w:pPr>
    </w:p>
    <w:p w:rsidR="00B849A0" w:rsidRPr="000B61F9" w:rsidRDefault="00B849A0" w:rsidP="00B849A0">
      <w:pPr>
        <w:pStyle w:val="NormalWeb"/>
        <w:shd w:val="clear" w:color="auto" w:fill="FFFFFF"/>
        <w:spacing w:before="0" w:beforeAutospacing="0" w:after="0" w:afterAutospacing="0"/>
        <w:jc w:val="both"/>
        <w:textAlignment w:val="baseline"/>
      </w:pPr>
      <w:r w:rsidRPr="00552C6D">
        <w:t>La entidad, que arrastra problemas de rentabilidad y eficiencia desde la crisis y ha sido siempre crítica con la política de </w:t>
      </w:r>
      <w:hyperlink r:id="rId47" w:tgtFrame="_self" w:history="1">
        <w:r w:rsidRPr="003B038D">
          <w:rPr>
            <w:rStyle w:val="Hipervnculo"/>
            <w:rFonts w:eastAsiaTheme="majorEastAsia"/>
            <w:color w:val="auto"/>
            <w:u w:val="none"/>
            <w:bdr w:val="none" w:sz="0" w:space="0" w:color="auto" w:frame="1"/>
          </w:rPr>
          <w:t>Mario Draghi</w:t>
        </w:r>
      </w:hyperlink>
      <w:r w:rsidRPr="00552C6D">
        <w:t>, prevé dos recortes adicionales de 10 puntos básicos en 2020 de la tasa de facilidad de depósito (está en el -0,5%), que penaliza el exceso de liquidez de los bancos para incentivar el crédito, en caso de que se prolongue esta crisis. Deutsche recuerda que </w:t>
      </w:r>
      <w:hyperlink r:id="rId48" w:tgtFrame="_self" w:history="1">
        <w:r w:rsidRPr="00552C6D">
          <w:rPr>
            <w:rStyle w:val="Hipervnculo"/>
            <w:rFonts w:eastAsiaTheme="majorEastAsia"/>
            <w:color w:val="auto"/>
          </w:rPr>
          <w:t>el BCE trató de convencer al mercado de que hay margen para bajar tipos</w:t>
        </w:r>
      </w:hyperlink>
      <w:r>
        <w:t>, al no haber alcanzado la “reversal ratio”</w:t>
      </w:r>
      <w:r w:rsidRPr="00552C6D">
        <w:t xml:space="preserve"> (nivel a partir del que sería perjudicial bajar </w:t>
      </w:r>
      <w:r w:rsidRPr="000B61F9">
        <w:t>más). Pero el economista jefe, Phillip Lane, justificó días después de la reunión q</w:t>
      </w:r>
      <w:r>
        <w:t>ue no era conveniente tocar el “precio del dinero”</w:t>
      </w:r>
      <w:r w:rsidRPr="000B61F9">
        <w:t>. “Este argumento debería cambiar en caso de una pandemia prolongada”, dicen los economistas.</w:t>
      </w:r>
    </w:p>
    <w:p w:rsidR="00B849A0" w:rsidRDefault="00B849A0" w:rsidP="00B849A0">
      <w:pPr>
        <w:pStyle w:val="NormalWeb"/>
        <w:shd w:val="clear" w:color="auto" w:fill="FFFFFF"/>
        <w:spacing w:before="0" w:beforeAutospacing="0" w:after="0" w:afterAutospacing="0"/>
        <w:jc w:val="both"/>
        <w:textAlignment w:val="baseline"/>
        <w:rPr>
          <w:rFonts w:eastAsiaTheme="minorEastAsia"/>
        </w:rPr>
      </w:pPr>
    </w:p>
    <w:p w:rsidR="00B849A0" w:rsidRPr="008C2879" w:rsidRDefault="00B849A0" w:rsidP="00B849A0">
      <w:pPr>
        <w:pStyle w:val="NormalWeb"/>
        <w:shd w:val="clear" w:color="auto" w:fill="FFFFFF"/>
        <w:spacing w:before="0" w:beforeAutospacing="0" w:after="0" w:afterAutospacing="0"/>
        <w:jc w:val="both"/>
        <w:textAlignment w:val="baseline"/>
        <w:rPr>
          <w:color w:val="FF0000"/>
          <w:u w:val="single"/>
        </w:rPr>
      </w:pPr>
      <w:r w:rsidRPr="008C2879">
        <w:rPr>
          <w:color w:val="FF0000"/>
          <w:u w:val="single"/>
        </w:rPr>
        <w:t>Deutsche Bank menciona los </w:t>
      </w:r>
      <w:r w:rsidRPr="008C2879">
        <w:rPr>
          <w:rStyle w:val="Textoennegrita"/>
          <w:rFonts w:eastAsiaTheme="majorEastAsia"/>
          <w:b w:val="0"/>
          <w:color w:val="FF0000"/>
          <w:bdr w:val="none" w:sz="0" w:space="0" w:color="auto" w:frame="1"/>
        </w:rPr>
        <w:t>coronabonos</w:t>
      </w:r>
      <w:r w:rsidRPr="008C2879">
        <w:rPr>
          <w:color w:val="FF0000"/>
          <w:u w:val="single"/>
        </w:rPr>
        <w:t>, sobre los que </w:t>
      </w:r>
      <w:hyperlink r:id="rId49" w:tgtFrame="_self" w:history="1">
        <w:r w:rsidRPr="008C2879">
          <w:rPr>
            <w:rStyle w:val="Hipervnculo"/>
            <w:rFonts w:eastAsiaTheme="majorEastAsia"/>
            <w:color w:val="FF0000"/>
          </w:rPr>
          <w:t>no hay acuerdo en el Eurogrupo</w:t>
        </w:r>
      </w:hyperlink>
      <w:r w:rsidRPr="008C2879">
        <w:rPr>
          <w:color w:val="FF0000"/>
          <w:u w:val="single"/>
        </w:rPr>
        <w:t>. Aunque no se posiciona explícitamente, sí muestra comprensión con la medida y, en todo caso, pide una acción europea coordinada. Las prioridades, relata el banco, deben ser un esquema para la financiación parcial de los subsidios por desempleo y un programa de inversión para financiar la recuperación de la economía. Porque la asimetría y las dificultades fiscales que podría provocar esta pandemia “amenazan con convertir una crisis socioe</w:t>
      </w:r>
      <w:r>
        <w:rPr>
          <w:color w:val="FF0000"/>
          <w:u w:val="single"/>
        </w:rPr>
        <w:t>conómica en una crisis política”. “</w:t>
      </w:r>
      <w:r w:rsidRPr="008C2879">
        <w:rPr>
          <w:color w:val="FF0000"/>
          <w:u w:val="single"/>
        </w:rPr>
        <w:t>La solidaridad europea está siendo cuestionada. Queda por ver si la crisis es el destino”, sentencia.</w:t>
      </w:r>
    </w:p>
    <w:p w:rsidR="004D4534" w:rsidRDefault="004D4534"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D4367A">
        <w:rPr>
          <w:rFonts w:ascii="Times New Roman" w:eastAsia="Times New Roman" w:hAnsi="Times New Roman" w:cs="Times New Roman"/>
          <w:sz w:val="24"/>
          <w:szCs w:val="24"/>
          <w:u w:val="single"/>
        </w:rPr>
        <w:t>Covid-19: La primera gran crisis económica sin manual de instrucciones</w:t>
      </w:r>
      <w:r>
        <w:rPr>
          <w:rFonts w:ascii="Times New Roman" w:eastAsia="Times New Roman" w:hAnsi="Times New Roman" w:cs="Times New Roman"/>
          <w:sz w:val="24"/>
          <w:szCs w:val="24"/>
        </w:rPr>
        <w:t xml:space="preserve"> (Cinco Días - </w:t>
      </w:r>
      <w:r w:rsidRPr="00D4367A">
        <w:rPr>
          <w:rFonts w:ascii="Times New Roman" w:eastAsia="Times New Roman" w:hAnsi="Times New Roman" w:cs="Times New Roman"/>
          <w:b/>
          <w:sz w:val="24"/>
          <w:szCs w:val="24"/>
        </w:rPr>
        <w:t>12/4/20</w:t>
      </w:r>
      <w:r>
        <w:rPr>
          <w:rFonts w:ascii="Times New Roman" w:eastAsia="Times New Roman" w:hAnsi="Times New Roman" w:cs="Times New Roman"/>
          <w:sz w:val="24"/>
          <w:szCs w:val="24"/>
        </w:rPr>
        <w:t>)</w:t>
      </w:r>
    </w:p>
    <w:p w:rsidR="00B849A0"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La incertidumbre de la evolución de la pandemia y lo novedoso de la paralización económica hacen más difícil manejar esta recesión que en 2008. Las diferencias con Lehman son notables.</w:t>
      </w:r>
    </w:p>
    <w:p w:rsidR="00B849A0"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Luis Aparicio)</w:t>
      </w:r>
    </w:p>
    <w:p w:rsidR="00B849A0"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Al</w:t>
      </w:r>
      <w:r w:rsidRPr="00D4367A">
        <w:rPr>
          <w:rFonts w:ascii="Times New Roman" w:eastAsia="Times New Roman" w:hAnsi="Times New Roman" w:cs="Times New Roman"/>
          <w:sz w:val="24"/>
          <w:szCs w:val="24"/>
        </w:rPr>
        <w:t xml:space="preserve">fa y omega, principio y final. La crisis provocada por el Covid-19 tiene un origen muy distinto a la que explotó en 2008 con la quiebra de Lehman Brothers pero su final es una gran incertidumbre porque el mundo moderno no se había enfrentado nunca a una situación similar. En principio, la caída de la economía que ya está provocando el Covid-19 debería tener su fin cuando vuelva la actividad en una recuperación casi de resorte, en V, como dicen muchos analistas. Una situación muy diferente a la crisis de 2008, que necesitaba de años y </w:t>
      </w:r>
      <w:r w:rsidRPr="00D4367A">
        <w:rPr>
          <w:rFonts w:ascii="Times New Roman" w:eastAsia="Times New Roman" w:hAnsi="Times New Roman" w:cs="Times New Roman"/>
          <w:sz w:val="24"/>
          <w:szCs w:val="24"/>
        </w:rPr>
        <w:lastRenderedPageBreak/>
        <w:t>años para absorber la burbuja de la deuda de las familias y las empresas, los productos financieros tóxicos y el gigantesco exceso de los precios inmobiliarios.</w:t>
      </w: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Tras conocerse esta semana unos datos preocupantes del PIB de Francia y Alemania, las previsiones para España apuntan que en este 2020 la riqueza anual podría llegar a caer hasta un 10%. En la crisis de 2008 se conocieron cuatro años con ejercicios negativos (2009, -3,8%; 2011, -0,8%: 2012, -3% y 2013, -1,4%) con un deterioro del PIB repartido en el tiempo. Juan José Fernández-Figares, director de análisis de Link Securities apunta que “en la crisis estructurales como la del 2008 la recuperación es muy lenta, ya que tanto los estados como las empresas y muchos particulares, que presentaban elevados niveles de deuda, han de pasar por un largo periodo de reestructuración económica y financiera para superarla”.</w:t>
      </w: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Covid-19: La primera gran crisis económica sin manual de instrucciones</w:t>
      </w:r>
    </w:p>
    <w:p w:rsidR="00B849A0"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Pr>
          <w:noProof/>
          <w:lang w:eastAsia="es-ES"/>
        </w:rPr>
        <w:drawing>
          <wp:inline distT="0" distB="0" distL="0" distR="0" wp14:anchorId="4B03F5AC" wp14:editId="71F4B686">
            <wp:extent cx="5731510" cy="3762861"/>
            <wp:effectExtent l="0" t="0" r="2540" b="9525"/>
            <wp:docPr id="54" name="Imagen 54" descr="https://d500.epimg.net/descargables/2020/04/09/4b26a8d141165c5be470e58cde8897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500.epimg.net/descargables/2020/04/09/4b26a8d141165c5be470e58cde8897e7.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31510" cy="3762861"/>
                    </a:xfrm>
                    <a:prstGeom prst="rect">
                      <a:avLst/>
                    </a:prstGeom>
                    <a:noFill/>
                    <a:ln>
                      <a:noFill/>
                    </a:ln>
                  </pic:spPr>
                </pic:pic>
              </a:graphicData>
            </a:graphic>
          </wp:inline>
        </w:drawing>
      </w: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Sin embargo, en la actual, el banco estadounidense Goldman Sachs prevé que el PIB mundial se recuperará un 6% en 2021 y hasta un 11% en 2022. Un auténtico brinco en el cambio de tendencia tras un 2020 catastrófico de paralización económica. Pero no todos los expertos comparten ese optimismo de la recuperación en V. El Covid-19 ha traído una siniestra originalidad a la historia de las crisis mundiales.</w:t>
      </w: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“Es una situación desafiante mucho más compleja que el colapso del mercado inmobiliario y los mercados financieros en 2008 y 2001. Por lo tanto, encontrar una solución también es mucho más una incertidumbre hoy que en crisis anteriores”, opinan en Unigestión. Desde el gigante de la gestión Pimco muestran sus temores por lo novedoso de la situación. En un recientísimo informe explican que no hay un libro de instrucciones para la recesión mundial que se está desarrollando actualmente. Esta vez es muy diferente porque la causa subyacente de la recesión es un shock verdaderamente exógeno que se originó desde fuera de la esfera económica y financiera.</w:t>
      </w: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lastRenderedPageBreak/>
        <w:t>“Estamos viendo la primera recesión por decreto del gobierno: un cierre necesario, temporal y parcial de la economía para prevenir una crisis humanitaria aún mayor”, indican desde Pimco. Otra de las diferencias entre el Covid-19 y la crisis de 2008 es la de los sectores afectados. El Covid-19 paraliza el conjunto de la actividad económica, haciendo especial daño al mundo de los viajes y el turismo, mientras que la anterior crisis afectaba principalmente a la banca, que entonces lideraba por su peso los índices de las principales bolsas mundiales, y al sector inmobiliario.</w:t>
      </w: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Desde Goldman Sachs indican que ahora los bancos solo representan el 18% de las Bolsas y que algunos sectores muy afectados como los viajes, ocio o educación no están bien representados en los mercados de acciones. “Ahora, el sector de la salud es el doble del tamaño de los bancos y la tecnología es más grande que el sector petrolero”, explican. También desde Unigestion ven un alcance mucho mayor de esta nueva crisis. “Con China, primero tuvimos un shock de producción, pero con la propagación d</w:t>
      </w:r>
      <w:r>
        <w:rPr>
          <w:rFonts w:ascii="Times New Roman" w:eastAsia="Times New Roman" w:hAnsi="Times New Roman" w:cs="Times New Roman"/>
          <w:sz w:val="24"/>
          <w:szCs w:val="24"/>
        </w:rPr>
        <w:t>el virus a la Eurozona y los EE</w:t>
      </w:r>
      <w:r w:rsidRPr="00D4367A">
        <w:rPr>
          <w:rFonts w:ascii="Times New Roman" w:eastAsia="Times New Roman" w:hAnsi="Times New Roman" w:cs="Times New Roman"/>
          <w:sz w:val="24"/>
          <w:szCs w:val="24"/>
        </w:rPr>
        <w:t xml:space="preserve">UU, este shock de producción ahora se complementa con un choque de demanda. En 2008, la conmoción se centró </w:t>
      </w:r>
      <w:r>
        <w:rPr>
          <w:rFonts w:ascii="Times New Roman" w:eastAsia="Times New Roman" w:hAnsi="Times New Roman" w:cs="Times New Roman"/>
          <w:sz w:val="24"/>
          <w:szCs w:val="24"/>
        </w:rPr>
        <w:t>en el sector inmobiliario de EE</w:t>
      </w:r>
      <w:r w:rsidRPr="00D4367A">
        <w:rPr>
          <w:rFonts w:ascii="Times New Roman" w:eastAsia="Times New Roman" w:hAnsi="Times New Roman" w:cs="Times New Roman"/>
          <w:sz w:val="24"/>
          <w:szCs w:val="24"/>
        </w:rPr>
        <w:t>UU, extendiéndose al mundo financiero. Hoy, el alcance del daño es más amplio”.</w:t>
      </w: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Evitar la depresión</w:t>
      </w: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Las reacciones de los Gobiernos, los organismos internacionales y los bancos centrales también serán decisivas para salir de la encrucijada a la que nos ha llevado el Covid-19. La reacción de dotar de liquidez al mercado con los compromisos de compra de deuda ha sido rápida y coordinada. Como siempre, la Eurozona “se enfrenta a desafíos de coordinación adicionales”, como indican desde Pimco, que hace todo</w:t>
      </w:r>
      <w:r>
        <w:rPr>
          <w:rFonts w:ascii="Times New Roman" w:eastAsia="Times New Roman" w:hAnsi="Times New Roman" w:cs="Times New Roman"/>
          <w:sz w:val="24"/>
          <w:szCs w:val="24"/>
        </w:rPr>
        <w:t xml:space="preserve"> mucho más complicado que en EE</w:t>
      </w:r>
      <w:r w:rsidRPr="00D4367A">
        <w:rPr>
          <w:rFonts w:ascii="Times New Roman" w:eastAsia="Times New Roman" w:hAnsi="Times New Roman" w:cs="Times New Roman"/>
          <w:sz w:val="24"/>
          <w:szCs w:val="24"/>
        </w:rPr>
        <w:t>UU. El apoyo fiscal incluye garantías a gran escala para préstamos bancarios a empresas y el retraso de los plazos de pago de impuestos para autónomos y corporaciones. Muchos gobiernos también brindan apoyo a los ingresos para hogares y empresas a través de una serie de transferencias a particula</w:t>
      </w:r>
      <w:r>
        <w:rPr>
          <w:rFonts w:ascii="Times New Roman" w:eastAsia="Times New Roman" w:hAnsi="Times New Roman" w:cs="Times New Roman"/>
          <w:sz w:val="24"/>
          <w:szCs w:val="24"/>
        </w:rPr>
        <w:t>res y subsidios para empresas.</w:t>
      </w:r>
      <w:r>
        <w:rPr>
          <w:rFonts w:ascii="Times New Roman" w:eastAsia="Times New Roman" w:hAnsi="Times New Roman" w:cs="Times New Roman"/>
          <w:sz w:val="24"/>
          <w:szCs w:val="24"/>
        </w:rPr>
        <w:cr/>
      </w: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“En muchos países, la respuesta fiscal ya supera la de la pasada crisis, y es probable que se anuncien medidas adicionales en los próximos meses. Con ello muy probablemente se ayudará a prevenir una depresión económica”, explican los expertos de Pimco. Si bien es inevitable una recesión profunda dado el cierre temporal obligatorio de las principales partes de la economía mundial y que muchas de las transferencias y préstamos recientemente anunciados solo llegarán después de algún retraso, la gran respuesta fiscal muy probablemente ayudará a prevenir una depresión.</w:t>
      </w: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Pero desde Unigestión no lo tienen tan claro ya que con la abultada deuda pública en el mundo, los mercados se mostrarán reacios a asumir más. Además, la capacidad de sorpresa de los bancos centrales ya no es la misma que en 2008 “por lo que el medicamento debe ser más fuerte que en el pasado para tener éxito”. No descartan que se puedan producir subidas de tipos como consecuencia del aumento de la deuda pública para afrontar la crisis. Y todo ello condicionado también a la marcha de la evolución de la pandemia.</w:t>
      </w: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Si después del verano se produce una segunda ola de contagios con nuevos paros en la economía, sería muy dañino para las compañías cíclicas que consigan sobrevivir a la esta primera oleada. La gestión de esta crisis por parte de los gobiernos será decisiva, según indica Juan José Fernández-Figares. “Lo que hagan los Gobiernos en los próximos meses va a determinar cuándo y cómo se sale de esta crisis”, sentencia.</w:t>
      </w:r>
    </w:p>
    <w:p w:rsidR="00B849A0"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lastRenderedPageBreak/>
        <w:t>La Bolsa volverá a caer</w:t>
      </w: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Como apuntan desde Bank of America, el mercado se está centrando ahora en los recuentos de contagios del Covid-19 y no reacciona a los datos económicos más débiles. “Los rendimientos de Estados Unidos podrían ver un nuevo mínimo como resultado de otro movimiento de reducción de riesgo”, añade el banco. Para el conjunto de analistas, los mercados de acciones tienen todavía que caer mucho más y el rebote vivido en las últimas semanas se esfumará.</w:t>
      </w: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En Goldman Sachs lo explican muy bien. El beneficio por acción cayó un 48% desde 2007 hasta 2009 en Estados Unidos. Para esta crisis, la expectativa de recorte del beneficio es del 45%. Los mercados han bajado en torno al 25-30% desde sus máximos y aún no reflejan la rebaja del beneficio por acción que prevé el banco estadounidense. “Esperamos caídas del 33% en Estados Unidos y del 45% en Europa. Además, muchas de las métricas de valoración no parecen mínimos de crisis. Por ejemplo, el PER (número de veces que el precio contiene el beneficio por acción) se sitúa en 12 veces, mientras que en la pasada crisis de 2008 este ratio bajó a 8 veces”.</w:t>
      </w:r>
    </w:p>
    <w:p w:rsidR="00B849A0" w:rsidRPr="00D4367A"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p>
    <w:p w:rsidR="00B849A0" w:rsidRPr="001B1D5B" w:rsidRDefault="00B849A0" w:rsidP="00B849A0">
      <w:pPr>
        <w:shd w:val="clear" w:color="auto" w:fill="FFFFFF"/>
        <w:spacing w:after="0" w:line="240" w:lineRule="auto"/>
        <w:jc w:val="both"/>
        <w:textAlignment w:val="baseline"/>
        <w:rPr>
          <w:rFonts w:ascii="Times New Roman" w:eastAsia="Times New Roman" w:hAnsi="Times New Roman" w:cs="Times New Roman"/>
          <w:sz w:val="24"/>
          <w:szCs w:val="24"/>
        </w:rPr>
      </w:pPr>
      <w:r w:rsidRPr="00D4367A">
        <w:rPr>
          <w:rFonts w:ascii="Times New Roman" w:eastAsia="Times New Roman" w:hAnsi="Times New Roman" w:cs="Times New Roman"/>
          <w:sz w:val="24"/>
          <w:szCs w:val="24"/>
        </w:rPr>
        <w:t>El Ibex 35 de la Bolsa española perdió el 39,43% en 2008 para rebotar un 29% en 2009 y volver a caer en 2010, 2011 y 2012. En teoría si la crisis actual tiene una duración más corta, el castigo no se extendería muchos más ejercicios, pero para los analistas, la caída actual es insuficiente. Desde Unigestion creen que deben darse tres premisas para que los mercados vuelvan a subir y que ahora mismo no existen. “Una mejora significativa en términos de la situación de salud, una combinación de estímulos de política fiscal y monetaria, y una nueva caída en la renta variable, en línea con el alcance de la actual contracción económica esperada”, concluyen. Y desde Finizens, que gestiona carteras pasivas, redundan en la idea: “No está claro que los mercados hayan tocado fondo en esta crisis bursátil causada por el Covid-19”.</w:t>
      </w:r>
    </w:p>
    <w:p w:rsidR="00B849A0" w:rsidRDefault="00B849A0" w:rsidP="00B849A0">
      <w:pPr>
        <w:pStyle w:val="NormalWeb"/>
        <w:spacing w:after="0"/>
        <w:jc w:val="both"/>
        <w:textAlignment w:val="baseline"/>
      </w:pPr>
      <w:r>
        <w:rPr>
          <w:noProof/>
        </w:rPr>
        <w:drawing>
          <wp:inline distT="0" distB="0" distL="0" distR="0" wp14:anchorId="1B8C7BBE" wp14:editId="7773D8CC">
            <wp:extent cx="5733917" cy="3650877"/>
            <wp:effectExtent l="0" t="0" r="635" b="6985"/>
            <wp:docPr id="55" name="Imagen 55" descr="España cumple un mes bajo el estado de alarma retirando restricci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paña cumple un mes bajo el estado de alarma retirando restricciones"/>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1510" cy="3649344"/>
                    </a:xfrm>
                    <a:prstGeom prst="rect">
                      <a:avLst/>
                    </a:prstGeom>
                    <a:noFill/>
                    <a:ln>
                      <a:noFill/>
                    </a:ln>
                  </pic:spPr>
                </pic:pic>
              </a:graphicData>
            </a:graphic>
          </wp:inline>
        </w:drawing>
      </w:r>
    </w:p>
    <w:p w:rsidR="00B849A0" w:rsidRDefault="00B849A0" w:rsidP="00B849A0">
      <w:pPr>
        <w:pStyle w:val="NormalWeb"/>
        <w:spacing w:after="0"/>
        <w:jc w:val="both"/>
        <w:textAlignment w:val="baseline"/>
      </w:pPr>
      <w:r>
        <w:rPr>
          <w:noProof/>
        </w:rPr>
        <w:lastRenderedPageBreak/>
        <w:drawing>
          <wp:inline distT="0" distB="0" distL="0" distR="0" wp14:anchorId="6B728075" wp14:editId="22B6FD8B">
            <wp:extent cx="5734604" cy="3207124"/>
            <wp:effectExtent l="0" t="0" r="0" b="0"/>
            <wp:docPr id="56" name="Imagen 56" descr="https://cincodias.elpais.com/cincodias/imagenes/2020/04/13/companias/1586788802_866927_1586804477_portada_gran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incodias.elpais.com/cincodias/imagenes/2020/04/13/companias/1586788802_866927_1586804477_portada_grande.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3205394"/>
                    </a:xfrm>
                    <a:prstGeom prst="rect">
                      <a:avLst/>
                    </a:prstGeom>
                    <a:noFill/>
                    <a:ln>
                      <a:noFill/>
                    </a:ln>
                  </pic:spPr>
                </pic:pic>
              </a:graphicData>
            </a:graphic>
          </wp:inline>
        </w:drawing>
      </w:r>
    </w:p>
    <w:p w:rsidR="00B849A0" w:rsidRDefault="00B849A0" w:rsidP="00B849A0">
      <w:pPr>
        <w:pStyle w:val="NormalWeb"/>
        <w:spacing w:after="0"/>
        <w:jc w:val="both"/>
        <w:textAlignment w:val="baseline"/>
      </w:pPr>
      <w:r>
        <w:t xml:space="preserve">(Fuente: Cinco Días - </w:t>
      </w:r>
      <w:r w:rsidRPr="00A34C2E">
        <w:rPr>
          <w:b/>
        </w:rPr>
        <w:t>14/4/20</w:t>
      </w:r>
      <w:r>
        <w:t>)</w:t>
      </w:r>
    </w:p>
    <w:p w:rsidR="00B849A0" w:rsidRDefault="00B849A0" w:rsidP="00B849A0">
      <w:pPr>
        <w:pStyle w:val="NormalWeb"/>
        <w:spacing w:after="0"/>
        <w:jc w:val="both"/>
        <w:textAlignment w:val="baseline"/>
      </w:pPr>
      <w:r>
        <w:t xml:space="preserve">- </w:t>
      </w:r>
      <w:r w:rsidRPr="00592B14">
        <w:rPr>
          <w:u w:val="single"/>
        </w:rPr>
        <w:t>Anatomía del colapso del coronavirus</w:t>
      </w:r>
      <w:r>
        <w:t xml:space="preserve"> (Project Syndicate - </w:t>
      </w:r>
      <w:r w:rsidRPr="00592B14">
        <w:rPr>
          <w:b/>
        </w:rPr>
        <w:t>13/4/20</w:t>
      </w:r>
      <w:r>
        <w:t>)</w:t>
      </w:r>
    </w:p>
    <w:p w:rsidR="00B849A0" w:rsidRPr="00EC0B9B" w:rsidRDefault="00B849A0" w:rsidP="00B849A0">
      <w:pPr>
        <w:pStyle w:val="NormalWeb"/>
        <w:spacing w:after="0"/>
        <w:jc w:val="both"/>
        <w:textAlignment w:val="baseline"/>
        <w:rPr>
          <w:u w:val="single"/>
        </w:rPr>
      </w:pPr>
      <w:r>
        <w:t xml:space="preserve">Ítaca.- </w:t>
      </w:r>
      <w:r w:rsidRPr="00EC0B9B">
        <w:rPr>
          <w:u w:val="single"/>
        </w:rPr>
        <w:t>La economía mundial está al borde de su peor crisis desde la Segunda Guerra Mundial. Como deja en claro el recientemente renovado índice Brookings-FT TIGER (que rastrea los índices para la recuperación económica global), la actividad económica, los mercados financieros y la confianza del sector privado se están desmoronando. Y si la cooperación internacional se mantiene en su nivel actual, por delante nos espera un colapso mucho más severo.</w:t>
      </w:r>
    </w:p>
    <w:p w:rsidR="00B849A0" w:rsidRDefault="00B849A0" w:rsidP="00B849A0">
      <w:pPr>
        <w:pStyle w:val="NormalWeb"/>
        <w:spacing w:after="0"/>
        <w:jc w:val="both"/>
        <w:textAlignment w:val="baseline"/>
      </w:pPr>
      <w:r w:rsidRPr="00EC0B9B">
        <w:rPr>
          <w:u w:val="single"/>
        </w:rPr>
        <w:t>Sin duda, la actual caída extraordinariamente marcada podría resultar relativamente breve y la actividad económica podría regresar a los niveles previos una vez que la curva de contagio del COVID-19 se aplane. Pero hay buenos motivos para preocuparse de que la economía mundial vaya camino a una recesión profunda y prolongada.</w:t>
      </w:r>
      <w:r>
        <w:t xml:space="preserve"> Mucho dependerá de la trayectoria de la pandemia y de si las respuestas de los responsables de las políticas son suficientes para contener el daño mientras se reconstruye la confianza de los consumidores y de las empresas.</w:t>
      </w:r>
    </w:p>
    <w:p w:rsidR="00B849A0" w:rsidRPr="00EC0B9B" w:rsidRDefault="00B849A0" w:rsidP="00B849A0">
      <w:pPr>
        <w:pStyle w:val="NormalWeb"/>
        <w:spacing w:after="0"/>
        <w:jc w:val="both"/>
        <w:textAlignment w:val="baseline"/>
        <w:rPr>
          <w:b/>
          <w:color w:val="FF0000"/>
          <w:u w:val="single"/>
        </w:rPr>
      </w:pPr>
      <w:r w:rsidRPr="00EC0B9B">
        <w:rPr>
          <w:b/>
          <w:color w:val="FF0000"/>
          <w:u w:val="single"/>
        </w:rPr>
        <w:t>Pero una recuperación rápida parece sumamente improbable. La demanda se ha devastado, hubo alteraciones enormes en las cadenas de suministro industriales y una crisis financiera ya está en curso. A diferencia de la crisis de 2008-09, que se originó en escaseces de liquidez en los mercados financieros, la crisis del COVID-19 implica cuestiones de solvencia fundamentales para las empresas y las industrias mucho más allá del sector financiero.</w:t>
      </w:r>
    </w:p>
    <w:p w:rsidR="00B849A0" w:rsidRPr="00EC0B9B" w:rsidRDefault="00B849A0" w:rsidP="00B849A0">
      <w:pPr>
        <w:pStyle w:val="NormalWeb"/>
        <w:spacing w:after="0"/>
        <w:jc w:val="both"/>
        <w:textAlignment w:val="baseline"/>
        <w:rPr>
          <w:color w:val="FF0000"/>
          <w:u w:val="single"/>
        </w:rPr>
      </w:pPr>
      <w:r w:rsidRPr="00EC0B9B">
        <w:rPr>
          <w:color w:val="FF0000"/>
          <w:u w:val="single"/>
        </w:rPr>
        <w:t xml:space="preserve">Asimismo, la crisis actual es simultánea y universal. Durante la crisis de 2008 e inmediatamente después, algunos mercados emergentes, sobre todo China y la India, siguieron registrando un fuerte crecimiento, y lograron arrastrar al resto del mundo. Pero esta vez, ninguna economía es inmune y ningún país podrá liderar una recuperación impulsada por las exportaciones. El colapso de hoy ha aumentado los riesgos deflacionarios y </w:t>
      </w:r>
      <w:r w:rsidRPr="00EC0B9B">
        <w:rPr>
          <w:color w:val="FF0000"/>
          <w:u w:val="single"/>
        </w:rPr>
        <w:lastRenderedPageBreak/>
        <w:t>financieros en las economías avanzadas y les ha asestado un golpe importante a los exportadores de materias primas. Encima de todo, los precios del petróleo se derrumban mucho más de lo que deberían porque Arabia Saudita y Rusia están inundando los mercados.</w:t>
      </w:r>
    </w:p>
    <w:p w:rsidR="00B849A0" w:rsidRPr="00EC0B9B" w:rsidRDefault="00B849A0" w:rsidP="00B849A0">
      <w:pPr>
        <w:pStyle w:val="NormalWeb"/>
        <w:spacing w:after="0"/>
        <w:jc w:val="both"/>
        <w:textAlignment w:val="baseline"/>
        <w:rPr>
          <w:u w:val="single"/>
        </w:rPr>
      </w:pPr>
      <w:r w:rsidRPr="00EC0B9B">
        <w:rPr>
          <w:color w:val="FF0000"/>
          <w:u w:val="single"/>
        </w:rPr>
        <w:t>La economía estadounidense está prácticamente paralizada. La mayor parte del sector de servicios está cerrado, la actividad industrial está alterada y el mercado laboral al rojo vivo está dando lugar a una ola de desempleo en un lapso de pocas semanas</w:t>
      </w:r>
      <w:r>
        <w:t xml:space="preserve">. Estados Unidos ha respondido con medidas de estímulo fiscal y monetario extraordinarias, que ayudarán a mitigar las consecuencias inmediatas de la crisis. Pero </w:t>
      </w:r>
      <w:r w:rsidRPr="00EC0B9B">
        <w:rPr>
          <w:u w:val="single"/>
        </w:rPr>
        <w:t>hará falta un mayor estímulo selectivo para aliviar el daño a más largo plazo, y en especial para proteger a los hogares y a las pequeñas empresas económicamente vulnerables.</w:t>
      </w:r>
    </w:p>
    <w:p w:rsidR="00B849A0" w:rsidRPr="00EC0B9B" w:rsidRDefault="00B849A0" w:rsidP="00B849A0">
      <w:pPr>
        <w:pStyle w:val="NormalWeb"/>
        <w:spacing w:after="0"/>
        <w:jc w:val="both"/>
        <w:textAlignment w:val="baseline"/>
        <w:rPr>
          <w:color w:val="FF0000"/>
          <w:u w:val="single"/>
        </w:rPr>
      </w:pPr>
      <w:r w:rsidRPr="00EC0B9B">
        <w:rPr>
          <w:color w:val="FF0000"/>
          <w:u w:val="single"/>
        </w:rPr>
        <w:t>En cuanto a Europa y Japón, que estaban experimentando una presión económica inclusive antes de la pandemia, probablemente sufran caídas sustanciales en la producción y alzas del desempleo. Las redes de seguridad social robustas (comparadas con Estados Unidos) mitigarán el impacto de la crisis en los económicamente más vulnerables, pero el camino a la recuperación será largo y difícil.</w:t>
      </w:r>
    </w:p>
    <w:p w:rsidR="00B849A0" w:rsidRPr="00EC0B9B" w:rsidRDefault="00B849A0" w:rsidP="00B849A0">
      <w:pPr>
        <w:pStyle w:val="NormalWeb"/>
        <w:spacing w:after="0"/>
        <w:jc w:val="both"/>
        <w:textAlignment w:val="baseline"/>
        <w:rPr>
          <w:color w:val="FF0000"/>
          <w:u w:val="single"/>
        </w:rPr>
      </w:pPr>
      <w:r>
        <w:t xml:space="preserve">Por su parte, la economía de China parece estar poniéndose en marcha nuevamente, a pesar de las respuestas limitadas del gobierno en materia de política monetaria y fiscal hasta la fecha. La producción industrial, las ventas minoristas y la inversión en activos fijos se contrajeron marcadamente en enero y febrero, pero la contracción parece haber tocado fondo. </w:t>
      </w:r>
      <w:r w:rsidRPr="00EC0B9B">
        <w:rPr>
          <w:color w:val="FF0000"/>
          <w:u w:val="single"/>
        </w:rPr>
        <w:t>En algunos aspectos, la economía planificada de China está mejor posicionada que las economías de mercado para soportar estos shocks importantes, porque el estado puede ordenar los recursos nacionales más allá de los límites de las herramientas macroeconómicas convencionales y ofrecer respaldo directo a las empresas y a los bancos. Pero la economía de China tampoco está fuera de peligro. Con el desempleo en alza, la demanda doméstica y externa probablemente sigan siendo débiles, y una segunda ola de infecciones planteará una amenaza persistente.</w:t>
      </w:r>
    </w:p>
    <w:p w:rsidR="00B849A0" w:rsidRPr="00EC0B9B" w:rsidRDefault="00B849A0" w:rsidP="00B849A0">
      <w:pPr>
        <w:pStyle w:val="NormalWeb"/>
        <w:spacing w:after="0"/>
        <w:jc w:val="both"/>
        <w:textAlignment w:val="baseline"/>
        <w:rPr>
          <w:color w:val="FF0000"/>
          <w:u w:val="single"/>
        </w:rPr>
      </w:pPr>
      <w:r w:rsidRPr="00EC0B9B">
        <w:rPr>
          <w:color w:val="FF0000"/>
          <w:u w:val="single"/>
        </w:rPr>
        <w:t>Otras economías emergentes van camino a un período particularmente sombrío. Muchas tienen sistemas de atención médica decrépitos, centros urbanos congestionados y altos niveles de pobreza, lo que deja poco espacio de maniobra entre controlar la pandemia y evitar un desastre económico. Para colmo de males, algunos de estos países deben lidiar con reversiones de los flujos de capital, depreciación de las monedas y un derrumbe de la demanda de exportaciones. Otros enfrentan cargas de deuda formidables que se están tornando más difíciles de financiar.</w:t>
      </w:r>
    </w:p>
    <w:p w:rsidR="00B849A0" w:rsidRDefault="00B849A0" w:rsidP="00B849A0">
      <w:pPr>
        <w:pStyle w:val="NormalWeb"/>
        <w:spacing w:after="0"/>
        <w:jc w:val="both"/>
        <w:textAlignment w:val="baseline"/>
      </w:pPr>
      <w:r>
        <w:t>El gobierno de la India, que ya lidiaba con una fuerte desaceleración del crecimiento, ha puesto al país en cuarentena, pero seguirá enfrentando una crisis sanitaria y económica dual. La negación de la pandemia del gobierno brasileño puede sustentar la actividad económica en el corto plazo, pero los mercados financieros y la moneda del país ya han tambaleado, lo que refleja la posibilidad de un eventual cierre.</w:t>
      </w:r>
    </w:p>
    <w:p w:rsidR="00B849A0" w:rsidRPr="00EC0B9B" w:rsidRDefault="00B849A0" w:rsidP="00B849A0">
      <w:pPr>
        <w:pStyle w:val="NormalWeb"/>
        <w:spacing w:after="0"/>
        <w:jc w:val="both"/>
        <w:textAlignment w:val="baseline"/>
        <w:rPr>
          <w:b/>
          <w:color w:val="FF0000"/>
          <w:u w:val="single"/>
        </w:rPr>
      </w:pPr>
      <w:r w:rsidRPr="00EC0B9B">
        <w:rPr>
          <w:b/>
          <w:color w:val="FF0000"/>
          <w:u w:val="single"/>
        </w:rPr>
        <w:t>Dicho esto, la masacre económica y financiera provocada por el coronavirus podría dejar cicatrices profundas y duraderas en la economía global.</w:t>
      </w:r>
    </w:p>
    <w:p w:rsidR="00B849A0" w:rsidRDefault="00B849A0" w:rsidP="00B849A0">
      <w:pPr>
        <w:pStyle w:val="NormalWeb"/>
        <w:spacing w:after="0"/>
        <w:jc w:val="both"/>
        <w:textAlignment w:val="baseline"/>
      </w:pPr>
      <w:r w:rsidRPr="00EC0B9B">
        <w:rPr>
          <w:color w:val="FF0000"/>
          <w:u w:val="single"/>
        </w:rPr>
        <w:t>Los bancos centrales, por lo menos, están redoblando sus esfuerzos frente al desafío</w:t>
      </w:r>
      <w:r>
        <w:t xml:space="preserve">. La Reserva Federal de Estados Unidos ha tomado medidas extraordinarias para impulsar a los mercados financieros a través de compras de activos, y para brindar liquidez en dólares a </w:t>
      </w:r>
      <w:r>
        <w:lastRenderedPageBreak/>
        <w:t>muchos bancos centrales extranjeros. El Banco Central Europeo, de la misma manera, ha anunciado grandes compras de bonos gubernamentales y corporativos y otros activos, a la vez que afirma que “no hay límites para nuestro compromiso con el euro”. El Banco de Inglaterra va a financiar el gasto del gobierno de manera directa. Inclusive bancos centrales de los mercados emergentes, como el Banco de la Reserva de la India, están considerando un alivio cuantitativo, que evitará que los mercados financieros se congelen.</w:t>
      </w:r>
    </w:p>
    <w:p w:rsidR="00B849A0" w:rsidRPr="00EC0B9B" w:rsidRDefault="00B849A0" w:rsidP="00B849A0">
      <w:pPr>
        <w:pStyle w:val="NormalWeb"/>
        <w:spacing w:after="0"/>
        <w:jc w:val="both"/>
        <w:textAlignment w:val="baseline"/>
        <w:rPr>
          <w:color w:val="FF0000"/>
          <w:u w:val="single"/>
        </w:rPr>
      </w:pPr>
      <w:r w:rsidRPr="00EC0B9B">
        <w:rPr>
          <w:color w:val="FF0000"/>
          <w:u w:val="single"/>
        </w:rPr>
        <w:t>Pero los bancos centrales no pueden compensar la caída de la demanda de los consumidores o estimular la inversión por sí solos</w:t>
      </w:r>
      <w:r w:rsidRPr="00E3686F">
        <w:rPr>
          <w:color w:val="FF0000"/>
        </w:rPr>
        <w:t>.</w:t>
      </w:r>
      <w:r>
        <w:t xml:space="preserve"> </w:t>
      </w:r>
      <w:r w:rsidRPr="00EC0B9B">
        <w:rPr>
          <w:color w:val="FF0000"/>
          <w:u w:val="single"/>
        </w:rPr>
        <w:t>Considerando que las herramientas de política monetaria convencionales y no convencionales ya se han estirado al máximo, los responsables de las políticas fiscales tendrán que hacer un esfuerzo aún mayor</w:t>
      </w:r>
      <w:r>
        <w:t xml:space="preserve">. Las medidas fiscales bien dirigidas pueden amortiguar el golpe a los consumidores y las empresas -especialmente las pequeñas y medianas empresas, que normalmente tienen colchones financieros mínimos-, ayudando así a sustentar el empleo y la demanda. </w:t>
      </w:r>
      <w:r w:rsidRPr="00EC0B9B">
        <w:rPr>
          <w:color w:val="FF0000"/>
          <w:u w:val="single"/>
        </w:rPr>
        <w:t>En estos tiempos de desesperación, este tipo de medidas deberían ser abrazadas por todos los gobiernos que actualmente se benefician de costos de endeudamiento bajos, aún si tienen altos niveles de deuda pública.</w:t>
      </w:r>
    </w:p>
    <w:p w:rsidR="00B849A0" w:rsidRDefault="00B849A0" w:rsidP="00B849A0">
      <w:pPr>
        <w:pStyle w:val="NormalWeb"/>
        <w:spacing w:after="0"/>
        <w:jc w:val="both"/>
        <w:textAlignment w:val="baseline"/>
      </w:pPr>
      <w:r w:rsidRPr="00EC0B9B">
        <w:rPr>
          <w:color w:val="FF0000"/>
          <w:u w:val="single"/>
        </w:rPr>
        <w:t>Asimismo, los países de bajos y medianos ingresos con sistemas sanitarios inadecuados necesitarán una ayuda sustancial de la comunidad internacional, que potencialmente incluya un alivio de la deuda significativo</w:t>
      </w:r>
      <w:r>
        <w:t>. Desafortunadamente, la incapacidad del mundo hasta ahora para forjar un frente común da pruebas de la erosión de la cooperación internacional, lo que afecta aún más la confianza de las empresas y de los consumidores.</w:t>
      </w:r>
    </w:p>
    <w:p w:rsidR="00B849A0" w:rsidRPr="00EC0B9B" w:rsidRDefault="00B849A0" w:rsidP="00B849A0">
      <w:pPr>
        <w:pStyle w:val="NormalWeb"/>
        <w:spacing w:after="0"/>
        <w:jc w:val="both"/>
        <w:textAlignment w:val="baseline"/>
        <w:rPr>
          <w:u w:val="single"/>
        </w:rPr>
      </w:pPr>
      <w:r w:rsidRPr="00EC0B9B">
        <w:rPr>
          <w:u w:val="single"/>
        </w:rPr>
        <w:t>Eso debe cambiar. El mundo necesita con urgencia un intercambio de información honesto y transparente por parte de los líderes nacionales, junto con medidas agresivas para contener la pandemia, un amplio estímulo para mitigar las consecuencias económicas y una estrategia muy bien calibrada para restablecer la actividad económica tan pronto como sea seguro hacerlo.</w:t>
      </w:r>
    </w:p>
    <w:p w:rsidR="00B849A0" w:rsidRPr="009C115C" w:rsidRDefault="00B849A0" w:rsidP="00B849A0">
      <w:pPr>
        <w:pStyle w:val="NormalWeb"/>
        <w:spacing w:after="0"/>
        <w:jc w:val="both"/>
        <w:textAlignment w:val="baseline"/>
      </w:pPr>
      <w:r>
        <w:rPr>
          <w:lang w:val="en-US"/>
        </w:rPr>
        <w:t>(</w:t>
      </w:r>
      <w:r w:rsidRPr="00592B14">
        <w:rPr>
          <w:lang w:val="en-US"/>
        </w:rPr>
        <w:t>Eswar Prasad is Professor of Trade Policy at the Dyson School of Applied Economics and Management, Cornell University, and a senior fellow at the Brookings Institution. He is the author of Gaining Curr</w:t>
      </w:r>
      <w:r>
        <w:rPr>
          <w:lang w:val="en-US"/>
        </w:rPr>
        <w:t xml:space="preserve">ency: The Rise of the Renminbi. </w:t>
      </w:r>
      <w:r w:rsidRPr="009C115C">
        <w:t>Ethan Wu is a student at Cornell University)</w:t>
      </w:r>
    </w:p>
    <w:p w:rsidR="00B849A0" w:rsidRDefault="00B849A0" w:rsidP="00B849A0">
      <w:pPr>
        <w:pStyle w:val="NormalWeb"/>
        <w:spacing w:after="0"/>
        <w:jc w:val="both"/>
        <w:textAlignment w:val="baseline"/>
      </w:pPr>
      <w:r>
        <w:t xml:space="preserve">- </w:t>
      </w:r>
      <w:r w:rsidRPr="00D414A0">
        <w:rPr>
          <w:u w:val="single"/>
        </w:rPr>
        <w:t>El déficit público se disparará en España al 9,5% este año y el 6,7% en 2021</w:t>
      </w:r>
      <w:r>
        <w:t xml:space="preserve"> (Cinco Días - </w:t>
      </w:r>
      <w:r w:rsidRPr="00D414A0">
        <w:rPr>
          <w:b/>
        </w:rPr>
        <w:t>15/4/20</w:t>
      </w:r>
      <w:r>
        <w:t>)</w:t>
      </w:r>
    </w:p>
    <w:p w:rsidR="00B849A0" w:rsidRDefault="00B849A0" w:rsidP="00B849A0">
      <w:pPr>
        <w:pStyle w:val="NormalWeb"/>
        <w:spacing w:after="0"/>
        <w:jc w:val="both"/>
        <w:textAlignment w:val="baseline"/>
      </w:pPr>
      <w:r>
        <w:t>La deuda pública alcanzará su máximo en más de un siglo, muy por encima del 100%</w:t>
      </w:r>
    </w:p>
    <w:p w:rsidR="00B849A0" w:rsidRPr="000F0497" w:rsidRDefault="00B849A0" w:rsidP="00B849A0">
      <w:pPr>
        <w:pStyle w:val="NormalWeb"/>
        <w:spacing w:after="0"/>
        <w:jc w:val="both"/>
        <w:textAlignment w:val="baseline"/>
      </w:pPr>
      <w:r w:rsidRPr="000F0497">
        <w:t>(Por Junade Portillo)</w:t>
      </w:r>
    </w:p>
    <w:p w:rsidR="00B849A0" w:rsidRPr="00D414A0" w:rsidRDefault="00B849A0" w:rsidP="00B849A0">
      <w:pPr>
        <w:pStyle w:val="NormalWeb"/>
        <w:spacing w:after="0"/>
        <w:jc w:val="both"/>
        <w:textAlignment w:val="baseline"/>
      </w:pPr>
      <w:r w:rsidRPr="00D414A0">
        <w:t>La economía española sufrirá una debacle histórica este año como consecuencia de la pandemia del Covid-19, con un desplome del 8% del PIB en un solo ejercicio al que le seguirá una recuperación parcial en 2021, con un repunte del 4,3%, según las previsiones avanzadas ayer por el Fondo Monetario Internacional (FMI) en su informe Perspectivas de la Economía Mundial (WEO, por sus siglas en inglés).</w:t>
      </w:r>
    </w:p>
    <w:p w:rsidR="00B849A0" w:rsidRPr="00D414A0" w:rsidRDefault="00B849A0" w:rsidP="00B849A0">
      <w:pPr>
        <w:pStyle w:val="NormalWeb"/>
        <w:spacing w:after="0"/>
        <w:jc w:val="both"/>
        <w:textAlignment w:val="baseline"/>
      </w:pPr>
    </w:p>
    <w:p w:rsidR="00B849A0" w:rsidRPr="007730D8" w:rsidRDefault="00B849A0" w:rsidP="00B849A0">
      <w:pPr>
        <w:pStyle w:val="NormalWeb"/>
        <w:spacing w:after="0"/>
        <w:jc w:val="both"/>
        <w:textAlignment w:val="baseline"/>
        <w:rPr>
          <w:lang w:val="en-US"/>
        </w:rPr>
      </w:pPr>
      <w:r>
        <w:rPr>
          <w:noProof/>
        </w:rPr>
        <w:lastRenderedPageBreak/>
        <w:drawing>
          <wp:inline distT="0" distB="0" distL="0" distR="0" wp14:anchorId="3D2D13DB" wp14:editId="055F90AE">
            <wp:extent cx="5731510" cy="4000360"/>
            <wp:effectExtent l="0" t="0" r="2540" b="635"/>
            <wp:docPr id="57" name="Imagen 57" descr="Défic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éfici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31510" cy="4000360"/>
                    </a:xfrm>
                    <a:prstGeom prst="rect">
                      <a:avLst/>
                    </a:prstGeom>
                    <a:noFill/>
                    <a:ln>
                      <a:noFill/>
                    </a:ln>
                  </pic:spPr>
                </pic:pic>
              </a:graphicData>
            </a:graphic>
          </wp:inline>
        </w:drawing>
      </w:r>
    </w:p>
    <w:p w:rsidR="00B849A0" w:rsidRDefault="00B849A0" w:rsidP="00B849A0">
      <w:pPr>
        <w:pStyle w:val="NormalWeb"/>
        <w:spacing w:after="0"/>
        <w:jc w:val="both"/>
        <w:textAlignment w:val="baseline"/>
      </w:pPr>
      <w:r w:rsidRPr="00D414A0">
        <w:t>Pero la secuela en las cuentas públicas del país amenaza con ser aún más grave, legando un desequilibrio presupuestario crónico que será difícil de revertir según las previsiones publicadas este martes por el FMI en las últi</w:t>
      </w:r>
      <w:r>
        <w:t>mas páginas del citado informe.</w:t>
      </w:r>
    </w:p>
    <w:p w:rsidR="00B849A0" w:rsidRDefault="00B849A0" w:rsidP="00B849A0">
      <w:pPr>
        <w:pStyle w:val="NormalWeb"/>
        <w:spacing w:after="0"/>
        <w:jc w:val="both"/>
        <w:textAlignment w:val="baseline"/>
      </w:pPr>
      <w:r w:rsidRPr="00D414A0">
        <w:t>El déficit público se disparará en España al 9,5% este año y el 6,7% en 20</w:t>
      </w:r>
      <w:r>
        <w:t>21</w:t>
      </w:r>
    </w:p>
    <w:p w:rsidR="00B849A0" w:rsidRPr="00D414A0" w:rsidRDefault="00B849A0" w:rsidP="00B849A0">
      <w:pPr>
        <w:pStyle w:val="NormalWeb"/>
        <w:spacing w:after="0"/>
        <w:jc w:val="both"/>
        <w:textAlignment w:val="baseline"/>
      </w:pPr>
      <w:r>
        <w:rPr>
          <w:noProof/>
        </w:rPr>
        <w:drawing>
          <wp:inline distT="0" distB="0" distL="0" distR="0" wp14:anchorId="6E8E848F" wp14:editId="6C804274">
            <wp:extent cx="5735171" cy="2548218"/>
            <wp:effectExtent l="0" t="0" r="0" b="5080"/>
            <wp:docPr id="58" name="Imagen 58" descr="https://d500.epimg.net/descargables/2020/04/14/3f899dd85fb71f7dfb7f2b536dc82f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500.epimg.net/descargables/2020/04/14/3f899dd85fb71f7dfb7f2b536dc82f00.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31510" cy="2546591"/>
                    </a:xfrm>
                    <a:prstGeom prst="rect">
                      <a:avLst/>
                    </a:prstGeom>
                    <a:noFill/>
                    <a:ln>
                      <a:noFill/>
                    </a:ln>
                  </pic:spPr>
                </pic:pic>
              </a:graphicData>
            </a:graphic>
          </wp:inline>
        </w:drawing>
      </w:r>
    </w:p>
    <w:p w:rsidR="00B849A0" w:rsidRPr="00D414A0" w:rsidRDefault="00B849A0" w:rsidP="00B849A0">
      <w:pPr>
        <w:pStyle w:val="NormalWeb"/>
        <w:spacing w:after="0"/>
        <w:jc w:val="both"/>
        <w:textAlignment w:val="baseline"/>
      </w:pPr>
      <w:r w:rsidRPr="00D414A0">
        <w:t xml:space="preserve">En concreto, el FMI estima que el déficit público de España pasará del 2,6% del PIB en que cerró 2019 a multiplicarse casi por cuatro, hasta el 9,5%, este año, según las previsiones publicadas este martes en el WEO. Un incremento de unos 80.000 millones de euros en términos del PIB actual, que solo se rebajaría al 6,7% en 2021 (lo que supondría un recorte de </w:t>
      </w:r>
      <w:r w:rsidRPr="00D414A0">
        <w:lastRenderedPageBreak/>
        <w:t>más de 30.000 millones a lomos del rebote de la economía), siempre según el citado informe, publicad</w:t>
      </w:r>
      <w:r>
        <w:t>o este martes por el organismo.</w:t>
      </w:r>
    </w:p>
    <w:p w:rsidR="00B849A0" w:rsidRPr="00D414A0" w:rsidRDefault="00B849A0" w:rsidP="00B849A0">
      <w:pPr>
        <w:pStyle w:val="NormalWeb"/>
        <w:spacing w:after="0"/>
        <w:jc w:val="both"/>
        <w:textAlignment w:val="baseline"/>
      </w:pPr>
      <w:r w:rsidRPr="00D414A0">
        <w:t>Aunque la Unión Europea ha activado la llamada cláusula general de escape del Pacto de Estabilidad para liberar a los socios de su obligación de reducir el agujero fiscal, con el tiempo se impondrá de nuevo la búsqueda del equilibrio presupuestario.</w:t>
      </w:r>
    </w:p>
    <w:p w:rsidR="00B849A0" w:rsidRPr="00D414A0" w:rsidRDefault="00B849A0" w:rsidP="00B849A0">
      <w:pPr>
        <w:pStyle w:val="NormalWeb"/>
        <w:spacing w:after="0"/>
        <w:jc w:val="both"/>
        <w:textAlignment w:val="baseline"/>
      </w:pPr>
      <w:r w:rsidRPr="00D414A0">
        <w:t>Hasta la fecha, superar un agujero del 3% suponía someterse al llamado procedimiento de déficit excesivo, que España abandonó en 2019 tras 10 años de excesos por la crisis anterior. Recuperar esos niveles conllevaría cuantiosos recortes y/</w:t>
      </w:r>
      <w:r>
        <w:t>o fuertes subidas de impuestos.</w:t>
      </w:r>
    </w:p>
    <w:p w:rsidR="00B849A0" w:rsidRPr="00D414A0" w:rsidRDefault="00B849A0" w:rsidP="00B849A0">
      <w:pPr>
        <w:pStyle w:val="NormalWeb"/>
        <w:spacing w:after="0"/>
        <w:jc w:val="both"/>
        <w:textAlignment w:val="baseline"/>
      </w:pPr>
      <w:r w:rsidRPr="00D414A0">
        <w:t>“El déficit que se va a alcanzar está muy cercano a los peores momentos de la crisis anterior y la recuperación que el FMI espera para el año que viene no es suficiente para una corrección significativa, con lo cual, volver a la senda del 3% va a ser complicado para España”, dice María Jesús Fernández, economista senior de la fundación de las cajas de ahorro (Funcas), quien cree que “lo más negativo de las previsiones del FMI, más que la caída del PIB este año, es la moderada recuperación del año que viene”. “Incluso en un escenario de rebote más intenso, la huella que va a quedar es la de un endeudamiento público muy elevado, del 110% del PIB”, dice. El máximo en más de un sig</w:t>
      </w:r>
      <w:r>
        <w:t>lo, tras caer al 95,5% en 2019.</w:t>
      </w:r>
    </w:p>
    <w:p w:rsidR="00B849A0" w:rsidRPr="00D414A0" w:rsidRDefault="00B849A0" w:rsidP="00B849A0">
      <w:pPr>
        <w:pStyle w:val="NormalWeb"/>
        <w:spacing w:after="0"/>
        <w:jc w:val="both"/>
        <w:textAlignment w:val="baseline"/>
      </w:pPr>
      <w:r w:rsidRPr="00D414A0">
        <w:t xml:space="preserve">Una estimación con la que coincide Rafael Doménech, responsable de análisis económico de BBVA Research, quien recuerda que el agujero fiscal y la deuda crecerán tanto por el impacto presupuestario de atender la emergencia sanitaria, social y económica, como por la fuerte reducción del PIB, medida de </w:t>
      </w:r>
      <w:r>
        <w:t>referencia de estas magnitudes.</w:t>
      </w:r>
    </w:p>
    <w:p w:rsidR="00B849A0" w:rsidRPr="00D414A0" w:rsidRDefault="00B849A0" w:rsidP="00B849A0">
      <w:pPr>
        <w:pStyle w:val="NormalWeb"/>
        <w:spacing w:after="0"/>
        <w:jc w:val="both"/>
        <w:textAlignment w:val="baseline"/>
      </w:pPr>
      <w:r w:rsidRPr="00D414A0">
        <w:t>Por ahora, el Gobierno ha movilizado ya 128.000 millones de euros públicos, si bien 100.000 corresponden a avales del ICO que solo desembolsará si las empresas financiadas con esta cobertura impagan a la banca.</w:t>
      </w:r>
    </w:p>
    <w:p w:rsidR="00B849A0" w:rsidRDefault="00B849A0" w:rsidP="00B849A0">
      <w:pPr>
        <w:pStyle w:val="NormalWeb"/>
        <w:spacing w:after="0"/>
        <w:jc w:val="both"/>
        <w:textAlignment w:val="baseline"/>
      </w:pPr>
      <w:r w:rsidRPr="00D414A0">
        <w:t>Con todo, el problema es global. El FMI también prevé que el agujero fiscal del resto de grandes países de la UE supere el 5%, como en el caso de Alemania (5,5%), Francia (9,2%), o Italia</w:t>
      </w:r>
      <w:r>
        <w:t xml:space="preserve"> (8,3%) y que en países como EE</w:t>
      </w:r>
      <w:r w:rsidRPr="00D414A0">
        <w:t>UU llegue al 15,4%.</w:t>
      </w:r>
    </w:p>
    <w:p w:rsidR="00B849A0" w:rsidRPr="009E1A0D" w:rsidRDefault="00B849A0" w:rsidP="00B849A0">
      <w:pPr>
        <w:pStyle w:val="NormalWeb"/>
        <w:spacing w:after="0"/>
        <w:jc w:val="both"/>
        <w:textAlignment w:val="baseline"/>
      </w:pPr>
      <w:r w:rsidRPr="009E1A0D">
        <w:rPr>
          <w:b/>
        </w:rPr>
        <w:t>Nota</w:t>
      </w:r>
      <w:r w:rsidRPr="009E1A0D">
        <w:t>: El impacto supone más que duplicar el último gran derrumbe anual del PIB, el 3,8% que se dejó en 2009 tras la quiebra de Lehman Brothers y el estallido de la burbuja inmobiliaria. “Equivale prácticamente a la caída del PIB que tuvo lugar a lo largo de toda la Gran Recesión, de 2008 a 2013, que fue del 8,6%”, subraya María Jesús Fernández, economista sénior de la fundación de las cajas de ahorro, Funcas, que destaca que en esta ocasión el golpe se concentra en un solo ejercicio.</w:t>
      </w:r>
    </w:p>
    <w:p w:rsidR="00B849A0" w:rsidRPr="009E1A0D" w:rsidRDefault="00B849A0" w:rsidP="00B849A0">
      <w:pPr>
        <w:pStyle w:val="NormalWeb"/>
        <w:spacing w:after="0"/>
        <w:jc w:val="both"/>
        <w:textAlignment w:val="baseline"/>
      </w:pPr>
      <w:r w:rsidRPr="009E1A0D">
        <w:t>El efecto de la pandemia ha sido tal que, en apenas tres meses, el FMI ha pasado de prever una ligera ralentización de la economía española, desde el 2% que avanzó en 2019 al 1,6% que esperaba que aumentara este año en sus previsiones de enero, a una auténtica debacle.</w:t>
      </w:r>
    </w:p>
    <w:p w:rsidR="00B849A0" w:rsidRPr="009E1A0D" w:rsidRDefault="00B849A0" w:rsidP="00B849A0">
      <w:pPr>
        <w:pStyle w:val="NormalWeb"/>
        <w:spacing w:after="0"/>
        <w:jc w:val="both"/>
        <w:textAlignment w:val="baseline"/>
      </w:pPr>
      <w:r w:rsidRPr="009E1A0D">
        <w:t>“No es una sorpresa”, expone Rafael Doménech, responsable de análisis económico de BBVA Research, que estima que cada semana de confinamiento supone una pérdida de actividad de entre el 30% al 40% y de seis a ocho décimas de PIB. “Aunque el FMI no lo diga explícitamente, está considerando unas ocho semanas de confinamiento”, ilustra, más las “secuelas duraderas” que luego queden sobre “el consumo, el turismo o los viajes”, entre otros de los sectores más afectados.</w:t>
      </w:r>
    </w:p>
    <w:p w:rsidR="00B849A0" w:rsidRPr="00D414A0" w:rsidRDefault="00B849A0" w:rsidP="00B849A0">
      <w:pPr>
        <w:pStyle w:val="NormalWeb"/>
        <w:spacing w:after="0"/>
        <w:jc w:val="both"/>
        <w:textAlignment w:val="baseline"/>
      </w:pPr>
      <w:r>
        <w:lastRenderedPageBreak/>
        <w:t xml:space="preserve">- </w:t>
      </w:r>
      <w:r w:rsidRPr="00D414A0">
        <w:rPr>
          <w:u w:val="single"/>
        </w:rPr>
        <w:t>El FMI avisa de tres escenarios en los que la crisis será aún mucho peor</w:t>
      </w:r>
      <w:r>
        <w:t xml:space="preserve"> (Cinco Días - </w:t>
      </w:r>
      <w:r w:rsidRPr="00D414A0">
        <w:rPr>
          <w:b/>
        </w:rPr>
        <w:t>15/4/20</w:t>
      </w:r>
      <w:r>
        <w:t>)</w:t>
      </w:r>
    </w:p>
    <w:p w:rsidR="00B849A0" w:rsidRDefault="00B849A0" w:rsidP="00B849A0">
      <w:pPr>
        <w:pStyle w:val="NormalWeb"/>
        <w:spacing w:after="0"/>
        <w:jc w:val="both"/>
        <w:textAlignment w:val="baseline"/>
      </w:pPr>
      <w:r w:rsidRPr="00D414A0">
        <w:t>Un retraso en contener la pandemia o un nuevo brote tendrían efectos demoledores</w:t>
      </w:r>
    </w:p>
    <w:p w:rsidR="00B849A0" w:rsidRDefault="00B849A0" w:rsidP="00B849A0">
      <w:pPr>
        <w:pStyle w:val="NormalWeb"/>
        <w:spacing w:after="0"/>
        <w:jc w:val="both"/>
        <w:textAlignment w:val="baseline"/>
      </w:pPr>
      <w:r>
        <w:t>Una caída del PIB del 8% en España y la crisis global más profunda desde la Gran Depresión de hace un siglo. Parece una hecatombe económica. Y, sin embargo, ese es más bien el escenario optimista que dibuja el Fondo Monetario Internacional. El organismo avisa de que contempla tres escenarios alternativos en que la crisis económica sería aún mucho más grave, con efectos demoledores.</w:t>
      </w:r>
    </w:p>
    <w:p w:rsidR="00B849A0" w:rsidRDefault="00B849A0" w:rsidP="00B849A0">
      <w:pPr>
        <w:pStyle w:val="NormalWeb"/>
        <w:spacing w:after="0"/>
        <w:jc w:val="both"/>
        <w:textAlignment w:val="baseline"/>
      </w:pPr>
      <w:r>
        <w:t>Esos escenarios son tres. El primero, un retraso en contener la pandemia. El segundo, un rebrote en 2021. Y el tercero, ambas cosas, el retraso y el rebrote.</w:t>
      </w:r>
    </w:p>
    <w:p w:rsidR="00B849A0" w:rsidRDefault="00B849A0" w:rsidP="00B849A0">
      <w:pPr>
        <w:pStyle w:val="NormalWeb"/>
        <w:spacing w:after="0"/>
        <w:jc w:val="both"/>
        <w:textAlignment w:val="baseline"/>
      </w:pPr>
      <w:r>
        <w:t>Los tres escenarios alternativos con respecto al escenario base, que es la línea del 0. En azul, retraso en la contención. En rojo, recaída en 2021. En amarillo, ambos factores.</w:t>
      </w:r>
    </w:p>
    <w:p w:rsidR="00B849A0" w:rsidRDefault="00B849A0" w:rsidP="00B849A0">
      <w:pPr>
        <w:pStyle w:val="NormalWeb"/>
        <w:spacing w:after="0"/>
        <w:jc w:val="both"/>
        <w:textAlignment w:val="baseline"/>
      </w:pPr>
      <w:r>
        <w:t xml:space="preserve">                       </w:t>
      </w:r>
      <w:r>
        <w:rPr>
          <w:noProof/>
        </w:rPr>
        <w:drawing>
          <wp:inline distT="0" distB="0" distL="0" distR="0" wp14:anchorId="3C5C64B2" wp14:editId="3F8FC214">
            <wp:extent cx="3429000" cy="2825750"/>
            <wp:effectExtent l="0" t="0" r="0" b="0"/>
            <wp:docPr id="59" name="Imagen 59" descr="Los tres escenarios alternativos con respecto al escenario base, que es la línea del 0. En azul, retraso en la contención. En rojo, recaída en 2021. En amarillo, ambos fact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s tres escenarios alternativos con respecto al escenario base, que es la línea del 0. En azul, retraso en la contención. En rojo, recaída en 2021. En amarillo, ambos factores."/>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29000" cy="2825750"/>
                    </a:xfrm>
                    <a:prstGeom prst="rect">
                      <a:avLst/>
                    </a:prstGeom>
                    <a:noFill/>
                    <a:ln>
                      <a:noFill/>
                    </a:ln>
                  </pic:spPr>
                </pic:pic>
              </a:graphicData>
            </a:graphic>
          </wp:inline>
        </w:drawing>
      </w:r>
    </w:p>
    <w:p w:rsidR="00B849A0" w:rsidRDefault="00B849A0" w:rsidP="00B849A0">
      <w:pPr>
        <w:pStyle w:val="NormalWeb"/>
        <w:spacing w:after="0"/>
        <w:jc w:val="both"/>
        <w:textAlignment w:val="baseline"/>
      </w:pPr>
      <w:r>
        <w:t>En su escenario central, el FMI prevé que la pandemia se apague en la segunda mitad de 2020 y que las medidas de contención se vayan retirando gradualmente. Ese escenario contempla que los confinamientos se concentren en el segundo trimestre, con una gradual recuperación o desescalada.</w:t>
      </w:r>
    </w:p>
    <w:p w:rsidR="00B849A0" w:rsidRDefault="00B849A0" w:rsidP="00B849A0">
      <w:pPr>
        <w:pStyle w:val="NormalWeb"/>
        <w:spacing w:after="0"/>
        <w:jc w:val="both"/>
        <w:textAlignment w:val="baseline"/>
      </w:pPr>
      <w:r>
        <w:t>Sin embargo, si la contención de la pandemia durase un 50% más de lo previsto por el FMI en su escenario base, el impacto sobre la economía global sería de 3 puntos adicionales. La caída de la actividad mundial no sería del 3% este año, sino del 6% y el rebote en 2021 también sería menor. Ese escenario implicaría un aumento de las primas de riesgo y un endurecimiento de las condiciones financieras.</w:t>
      </w:r>
    </w:p>
    <w:p w:rsidR="00B849A0" w:rsidRDefault="00B849A0" w:rsidP="00B849A0">
      <w:pPr>
        <w:pStyle w:val="NormalWeb"/>
        <w:spacing w:after="0"/>
        <w:jc w:val="both"/>
        <w:textAlignment w:val="baseline"/>
      </w:pPr>
      <w:r>
        <w:t>En el segundo escenario alternativo, la pandemia sí se contiene este año dentro del calendario previsto, pero hay un rebrote en 2021. Este año la caída prevista no variaría, pero en 2021 el efecto sería muy dañino. La recaída costaría unos 5 puntos adicionales de PIB en 2021 y otros 3 en 2022, de modo que el rebote de la economía el año próximo perdería casi toda su fuerza.</w:t>
      </w:r>
    </w:p>
    <w:p w:rsidR="00B849A0" w:rsidRDefault="00B849A0" w:rsidP="00B849A0">
      <w:pPr>
        <w:pStyle w:val="NormalWeb"/>
        <w:spacing w:after="0"/>
        <w:jc w:val="both"/>
        <w:textAlignment w:val="baseline"/>
      </w:pPr>
      <w:r>
        <w:lastRenderedPageBreak/>
        <w:t>El peor escenario alternativo es el tercero, que combina los dos anteriores: un retraso en la contención del actual brote en 2020 y una recaída en 2021. En ese supuesto, el PIB caería este año el doble de lo previsto (en torno al 6%) y el año que viene empeoraría otros 8 puntos con respecto al escenario base. De 2022 a 2024 se perderían en torno a otros 10-12 puntos de PIB en total en comparación con el escenario base.</w:t>
      </w:r>
    </w:p>
    <w:p w:rsidR="00B849A0" w:rsidRDefault="00B849A0" w:rsidP="00B849A0">
      <w:pPr>
        <w:pStyle w:val="NormalWeb"/>
        <w:spacing w:after="0"/>
        <w:jc w:val="both"/>
        <w:textAlignment w:val="baseline"/>
      </w:pPr>
      <w:r>
        <w:t>En los tres escenarios, pero sobre todo en el tercero, habría fuertes aumentos del gasto público, el déficit y la deuda. Y todo podría complicarse por el aumento de las primas de riesgo o por la falta de estímulos ante el riesgo de que las primas de riesgo suban.</w:t>
      </w:r>
    </w:p>
    <w:p w:rsidR="00B849A0" w:rsidRDefault="00B849A0" w:rsidP="00B849A0">
      <w:pPr>
        <w:pStyle w:val="NormalWeb"/>
        <w:spacing w:after="0"/>
        <w:jc w:val="both"/>
        <w:textAlignment w:val="baseline"/>
      </w:pPr>
      <w:r>
        <w:t>Queda un consuelo: también hay un escenario optimista. Si se consiguiese una vacuna o una terapia efectiva antes de lo esperado, se podrían eliminar las medidas de distanciamiento social y la recuperación sería más rápida.</w:t>
      </w:r>
    </w:p>
    <w:p w:rsidR="00B849A0" w:rsidRDefault="00B849A0" w:rsidP="00B849A0">
      <w:pPr>
        <w:pStyle w:val="NormalWeb"/>
        <w:spacing w:after="0"/>
        <w:jc w:val="both"/>
        <w:textAlignment w:val="baseline"/>
      </w:pPr>
      <w:r>
        <w:t xml:space="preserve">- </w:t>
      </w:r>
      <w:r w:rsidRPr="00B222DD">
        <w:rPr>
          <w:u w:val="single"/>
        </w:rPr>
        <w:t>El Fondo calcula que el Gran Confinamiento provocará la mayor crisis desde la Gran Depresión</w:t>
      </w:r>
      <w:r>
        <w:t xml:space="preserve"> (Cinco Días - </w:t>
      </w:r>
      <w:r w:rsidRPr="00B222DD">
        <w:rPr>
          <w:b/>
        </w:rPr>
        <w:t>15/4/20</w:t>
      </w:r>
      <w:r>
        <w:t>)</w:t>
      </w:r>
    </w:p>
    <w:p w:rsidR="00B849A0" w:rsidRDefault="00B849A0" w:rsidP="00B849A0">
      <w:pPr>
        <w:pStyle w:val="NormalWeb"/>
        <w:spacing w:after="0"/>
        <w:jc w:val="both"/>
        <w:textAlignment w:val="baseline"/>
      </w:pPr>
      <w:r>
        <w:t>La caída del PIB global será del 3%, mucho mayor que en 2009, con casi todo el mundo en recesión</w:t>
      </w:r>
    </w:p>
    <w:p w:rsidR="00B849A0" w:rsidRDefault="00B849A0" w:rsidP="00B849A0">
      <w:pPr>
        <w:pStyle w:val="NormalWeb"/>
        <w:spacing w:after="0"/>
        <w:jc w:val="both"/>
        <w:textAlignment w:val="baseline"/>
      </w:pPr>
      <w:r>
        <w:rPr>
          <w:noProof/>
        </w:rPr>
        <w:drawing>
          <wp:inline distT="0" distB="0" distL="0" distR="0" wp14:anchorId="068D54F3" wp14:editId="7700B4EF">
            <wp:extent cx="5731510" cy="3120998"/>
            <wp:effectExtent l="0" t="0" r="2540" b="3810"/>
            <wp:docPr id="60" name="Imagen 60" descr="https://d500.epimg.net/descargables/2020/04/14/ff01e199920c7fac77e235f22a51a4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d500.epimg.net/descargables/2020/04/14/ff01e199920c7fac77e235f22a51a460.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31510" cy="3120998"/>
                    </a:xfrm>
                    <a:prstGeom prst="rect">
                      <a:avLst/>
                    </a:prstGeom>
                    <a:noFill/>
                    <a:ln>
                      <a:noFill/>
                    </a:ln>
                  </pic:spPr>
                </pic:pic>
              </a:graphicData>
            </a:graphic>
          </wp:inline>
        </w:drawing>
      </w:r>
    </w:p>
    <w:p w:rsidR="00B849A0" w:rsidRPr="00B222DD" w:rsidRDefault="00B849A0" w:rsidP="00B849A0">
      <w:pPr>
        <w:pStyle w:val="NormalWeb"/>
        <w:spacing w:after="0"/>
        <w:jc w:val="both"/>
        <w:textAlignment w:val="baseline"/>
        <w:rPr>
          <w:b/>
          <w:color w:val="FF0000"/>
          <w:u w:val="single"/>
        </w:rPr>
      </w:pPr>
      <w:r>
        <w:rPr>
          <w:color w:val="FF0000"/>
          <w:u w:val="single"/>
        </w:rPr>
        <w:t>“</w:t>
      </w:r>
      <w:r w:rsidRPr="00B222DD">
        <w:rPr>
          <w:color w:val="FF0000"/>
          <w:u w:val="single"/>
        </w:rPr>
        <w:t>Proteger vidas humanas y facilitar que los sistemas de salud hagan frente a la pandemia generada por el Covid-19 ha exigido aislamientos y cierres de actividad y negocios generalizados por todo el mundo para frenar la propagación del virus. Y eso ha hecho que la crisis sanitaria esté teniendo un grave</w:t>
      </w:r>
      <w:r>
        <w:rPr>
          <w:color w:val="FF0000"/>
          <w:u w:val="single"/>
        </w:rPr>
        <w:t xml:space="preserve"> impacto en la economía mundial”</w:t>
      </w:r>
      <w:r w:rsidRPr="00B222DD">
        <w:rPr>
          <w:color w:val="FF0000"/>
          <w:u w:val="single"/>
        </w:rPr>
        <w:t>.</w:t>
      </w:r>
      <w:r w:rsidRPr="00B222DD">
        <w:rPr>
          <w:color w:val="FF0000"/>
        </w:rPr>
        <w:t xml:space="preserve"> </w:t>
      </w:r>
      <w:r w:rsidRPr="00B222DD">
        <w:rPr>
          <w:b/>
          <w:color w:val="FF0000"/>
          <w:u w:val="single"/>
        </w:rPr>
        <w:t>Así arranca el último informe de Perspectivas económicas mundiales (WEO en sus siglas en inglés) del Fondo Monetario Internacional (FMI) hecho hoy público con un título que evidencia la situación que atraviesa el planeta: El Gran confinamiento.</w:t>
      </w:r>
    </w:p>
    <w:p w:rsidR="00B849A0" w:rsidRDefault="00B849A0" w:rsidP="00B849A0">
      <w:pPr>
        <w:pStyle w:val="NormalWeb"/>
        <w:spacing w:after="0"/>
        <w:jc w:val="both"/>
        <w:textAlignment w:val="baseline"/>
      </w:pPr>
      <w:r>
        <w:t xml:space="preserve">¿Pero cuánta riqueza se va a llevar por delante este cerrojazo en todo el mundo? El primer cálculo del FMI es que, “como resultado de la pandemia, se prevé que la economía mundial se contraiga bruscamente un -3% en 2020”, indica este informe. Esta brusca caída será la </w:t>
      </w:r>
      <w:r>
        <w:lastRenderedPageBreak/>
        <w:t>mayor que experimente el mundo desde la Segunda Guerra Mundial (1939-1945) y la mayor crisis de carácter económico desde la Gran Depresión que arrancó en 1929. La intensidad de la crisis será mucho mayor que en el recorte de la economía mundial que se produjo en 2009, por la crisis financiera desatada en 2008 con la quiebra Lehman Brothers. Entonces, según el FMI, el PIB global cayó un 0,1%, aunque el Banco Mundial cifra el retroceso en el 1,7%.</w:t>
      </w:r>
    </w:p>
    <w:p w:rsidR="00B849A0" w:rsidRDefault="00B849A0" w:rsidP="00B849A0">
      <w:pPr>
        <w:pStyle w:val="NormalWeb"/>
        <w:spacing w:after="0"/>
        <w:jc w:val="both"/>
        <w:textAlignment w:val="baseline"/>
      </w:pPr>
      <w:r>
        <w:t>Además esta caída del 3% del PIB mundial en 2020 supondrá seis puntos porcentuales menos de lo que el FMI preveía que iba a crecer la economía global este año (un 3%). Y los daños, aunque generalizados, no serán ni mucho menos homogéneos. Las economías avanzadas de Europa y Norteamérica se llevarán la peor parte con caídas de los PIB nacionales superiores al 6% en todos los casos este año. Italia liderará el desplome mundial, con un recorte de su riqueza nacional del -9,1%, seguido de España (-8%), Francia (-7,2%), Alemania (-7%), Reino Unido (-6,5%), Canadá (-6,2%) y Estados Unidos (-5,9%).</w:t>
      </w:r>
    </w:p>
    <w:p w:rsidR="00B849A0" w:rsidRDefault="00B849A0" w:rsidP="00B849A0">
      <w:pPr>
        <w:pStyle w:val="NormalWeb"/>
        <w:spacing w:after="0"/>
        <w:jc w:val="both"/>
        <w:textAlignment w:val="baseline"/>
      </w:pPr>
      <w:r>
        <w:t>Mientras, las principales economías emergentes, fundamentalmente las asiáticas, se verán menos dañadas, con una caída media del PIB de su área del -1% en 2020. De hecho, la riqueza de China e India se anotará crecimientos positivos del 1,2% y 1,9%, respectivamente en este ejercicio, según las estimaciones del FMI.</w:t>
      </w:r>
    </w:p>
    <w:p w:rsidR="00B849A0" w:rsidRDefault="00B849A0" w:rsidP="00B849A0">
      <w:pPr>
        <w:pStyle w:val="NormalWeb"/>
        <w:spacing w:after="0"/>
        <w:jc w:val="both"/>
        <w:textAlignment w:val="baseline"/>
      </w:pPr>
      <w:r>
        <w:t>Si bien, todos estos cálculos se han elaborado sobre la hipótesis de que la pandemia se “desvanecerá” en la segunda mitad de 2020, la vuelta a la actividad se hará entonces de forma gradual y, por tanto, prevén que haya un efecto rebote que lleve a la economía mundial a crecer un 5,8% en 2021, a medida que la actividad se vaya normalizando en todo el planeta y siempre “con la ayuda de medidas políticas”, reclama este organismo a los Estados.</w:t>
      </w:r>
    </w:p>
    <w:p w:rsidR="00B849A0" w:rsidRDefault="00B849A0" w:rsidP="00B849A0">
      <w:pPr>
        <w:pStyle w:val="NormalWeb"/>
        <w:spacing w:after="0"/>
        <w:jc w:val="both"/>
        <w:textAlignment w:val="baseline"/>
      </w:pPr>
      <w:r>
        <w:t>En cualquier caso, la economista jefe del FMI, Gita Gopinath, asegura que la recuperación en 2021 será solo “parcial” porque el organismo proyecta que el nivel de actividad económica siga por debajo del esperado para el próximo ejercicio antes de la llegada del virus. Es más, ha cifrado la pérdida acumulada del PIB mundial en 2020 y 2021 en 9 billones de dólares, una cantidad mayor que la que representan las economías de Alemania y Japón juntas.</w:t>
      </w:r>
    </w:p>
    <w:p w:rsidR="00B849A0" w:rsidRDefault="00B849A0" w:rsidP="00B849A0">
      <w:pPr>
        <w:pStyle w:val="NormalWeb"/>
        <w:spacing w:after="0"/>
        <w:jc w:val="both"/>
        <w:textAlignment w:val="baseline"/>
      </w:pPr>
      <w:r>
        <w:t>Pero dicho esto, esta mejora de las expectativas queda inmediatamente ensombrecida cuando los expertos del FMI aseguran que existe “una extrema incertidumbre en torno a estas previsiones de crecimiento”, ya que las consecuencias económicas de la pandemia “dependen de factores que interactúan de manera difícil de predecir”.</w:t>
      </w:r>
    </w:p>
    <w:p w:rsidR="00B849A0" w:rsidRDefault="00B849A0" w:rsidP="00B849A0">
      <w:pPr>
        <w:pStyle w:val="NormalWeb"/>
        <w:spacing w:after="0"/>
        <w:jc w:val="both"/>
        <w:textAlignment w:val="baseline"/>
      </w:pPr>
      <w:r>
        <w:t>Concretamente, los autores del informe se refieren a factores como la evolución de la propia pandemia, a la intensidad y la eficacia de los esfuerzos de contención, el desarrollo de curas o vacunas, el alcance de las interrupciones de la actividad, los cambios en los patrones de gasto de los ciudadanos, sus cambios de comportamiento (como evitar centros comerciales o el uso de medios de transporte colectivos), el impacto en general en la confianza y la volatilidad de los precios de los productos básicos. Y a todo esto añaden lo que denominan “las repercusiones del dramático endurecimiento de las condiciones del mercado financiero mundial”.</w:t>
      </w:r>
    </w:p>
    <w:p w:rsidR="00B849A0" w:rsidRDefault="00B849A0" w:rsidP="00B849A0">
      <w:pPr>
        <w:pStyle w:val="NormalWeb"/>
        <w:spacing w:after="0"/>
        <w:jc w:val="both"/>
        <w:textAlignment w:val="baseline"/>
      </w:pPr>
    </w:p>
    <w:p w:rsidR="00B849A0" w:rsidRDefault="00B849A0" w:rsidP="00B849A0">
      <w:pPr>
        <w:pStyle w:val="NormalWeb"/>
        <w:spacing w:after="0"/>
        <w:jc w:val="both"/>
        <w:textAlignment w:val="baseline"/>
      </w:pPr>
    </w:p>
    <w:p w:rsidR="00B849A0" w:rsidRDefault="00B849A0" w:rsidP="00B849A0">
      <w:pPr>
        <w:pStyle w:val="NormalWeb"/>
        <w:spacing w:after="0"/>
        <w:jc w:val="both"/>
        <w:textAlignment w:val="baseline"/>
      </w:pPr>
      <w:r>
        <w:lastRenderedPageBreak/>
        <w:t xml:space="preserve">             </w:t>
      </w:r>
      <w:r>
        <w:rPr>
          <w:noProof/>
        </w:rPr>
        <w:drawing>
          <wp:inline distT="0" distB="0" distL="0" distR="0" wp14:anchorId="24C8C5D9" wp14:editId="455AD539">
            <wp:extent cx="4679577" cy="8774206"/>
            <wp:effectExtent l="0" t="0" r="6985" b="8255"/>
            <wp:docPr id="61" name="Imagen 61" descr="El Fondo calcula que el Gran Confinamiento provocará la mayor crisis desde la Gran Depres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l Fondo calcula que el Gran Confinamiento provocará la mayor crisis desde la Gran Depresión"/>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83063" cy="8780742"/>
                    </a:xfrm>
                    <a:prstGeom prst="rect">
                      <a:avLst/>
                    </a:prstGeom>
                    <a:noFill/>
                    <a:ln>
                      <a:noFill/>
                    </a:ln>
                  </pic:spPr>
                </pic:pic>
              </a:graphicData>
            </a:graphic>
          </wp:inline>
        </w:drawing>
      </w:r>
    </w:p>
    <w:p w:rsidR="00B849A0" w:rsidRPr="009E1A0D" w:rsidRDefault="00B849A0" w:rsidP="00B849A0">
      <w:pPr>
        <w:pStyle w:val="NormalWeb"/>
        <w:spacing w:after="0"/>
        <w:jc w:val="both"/>
        <w:textAlignment w:val="baseline"/>
      </w:pPr>
      <w:r w:rsidRPr="009E1A0D">
        <w:rPr>
          <w:b/>
        </w:rPr>
        <w:lastRenderedPageBreak/>
        <w:t>Nota:</w:t>
      </w:r>
      <w:r w:rsidRPr="009E1A0D">
        <w:t xml:space="preserve"> Ni un Plan Marshall ni nada parecido. El virus va a dejar todas las economías maltrechas durante mucho tiempo. También aquellas que en los últimos años han tirado de la actividad, y que tenderán a mirar hacia dentro para restañar heridas. También por razones de política interna. La amenaza populista es tan real que nadie está dispuesto a jugar con fuego.</w:t>
      </w:r>
    </w:p>
    <w:p w:rsidR="00B849A0" w:rsidRPr="009E1A0D" w:rsidRDefault="00B849A0" w:rsidP="00B849A0">
      <w:pPr>
        <w:pStyle w:val="NormalWeb"/>
        <w:spacing w:after="0"/>
        <w:jc w:val="both"/>
        <w:textAlignment w:val="baseline"/>
      </w:pPr>
      <w:r w:rsidRPr="009E1A0D">
        <w:t>La consecuencia es obvia. Ni EEUU está en condiciones de salvar Europa, como sucedió en 1945, entre otros motivos, porque ya no necesita al viejo continente p</w:t>
      </w:r>
      <w:r>
        <w:t>ara frenar a la URSS, ni China -</w:t>
      </w:r>
      <w:r w:rsidRPr="009E1A0D">
        <w:t>con una tasa de crecimiento raquíti</w:t>
      </w:r>
      <w:r>
        <w:t>co este año equivalente al 1,2%-</w:t>
      </w:r>
      <w:r w:rsidRPr="009E1A0D">
        <w:t xml:space="preserve"> volverá a ser la misma. El turismo chino, de alto poder adquisitivo y que compra coches europeos, tardará en volver al mundo. Se imponen las restricciones y la propia China deberá atender las demandas de una clase media creciente que desde finales de los años setenta ha visto que todo era crecimiento y prosperidad.</w:t>
      </w:r>
    </w:p>
    <w:p w:rsidR="00B849A0" w:rsidRPr="009E1A0D" w:rsidRDefault="00B849A0" w:rsidP="00B849A0">
      <w:pPr>
        <w:pStyle w:val="NormalWeb"/>
        <w:spacing w:after="0"/>
        <w:jc w:val="both"/>
        <w:textAlignment w:val="baseline"/>
      </w:pPr>
      <w:r w:rsidRPr="009E1A0D">
        <w:t>La economía global, efectivamente, está ahora más sincronizada que nunca, pero en esta ocasión no está en condiciones de compartir la fase robusta del ciclo, sino la más sombría. Algo que ni siquiera había sucedido durante la Gran Recesión, cuando las economías anglosajonas, más flexibles, salieron de la crisis mucho antes que la mayor parte de los países europeos.</w:t>
      </w:r>
    </w:p>
    <w:p w:rsidR="00B849A0" w:rsidRPr="009E1A0D" w:rsidRDefault="00B849A0" w:rsidP="00B849A0">
      <w:pPr>
        <w:pStyle w:val="NormalWeb"/>
        <w:spacing w:after="0"/>
        <w:jc w:val="both"/>
        <w:textAlignment w:val="baseline"/>
      </w:pPr>
      <w:r w:rsidRPr="009E1A0D">
        <w:t>Toca, por lo tanto, mirar hacia dentro. Como aseguró este martes Gita Gopinath, la economista jefa del FMI, Europa sufrirá más porque es más vulnerable al comercio exterior, y eso significa que hay que volver a mirar hacia la demanda interna y sus tres componentes: consumo privado, público e inversiones. Ahí estará la clave de la recuperación. En la medida en que España sea capaz de regenerar su maltrecho sector industrial, las probabilidades de salir del agujero serán mayores. La industria, de hecho, es la única salvación a medio plazo para la España despoblada, aunque se trate de bienes de tecnología media o baja. Los nuevos mercados están dentro. No solo fuera.</w:t>
      </w:r>
    </w:p>
    <w:p w:rsidR="00B849A0" w:rsidRPr="00127D44" w:rsidRDefault="00B849A0" w:rsidP="00B849A0">
      <w:pPr>
        <w:pStyle w:val="NormalWeb"/>
        <w:spacing w:after="0"/>
        <w:jc w:val="both"/>
        <w:textAlignment w:val="baseline"/>
        <w:rPr>
          <w:color w:val="FF0000"/>
        </w:rPr>
      </w:pPr>
      <w:r>
        <w:t xml:space="preserve">- </w:t>
      </w:r>
      <w:r w:rsidRPr="000F2777">
        <w:rPr>
          <w:u w:val="single"/>
        </w:rPr>
        <w:t>El coronavirus amenaza a 59 millones de empleos en Europa, según McKinsey</w:t>
      </w:r>
      <w:r>
        <w:t xml:space="preserve"> (Expansión - </w:t>
      </w:r>
      <w:r w:rsidRPr="000F2777">
        <w:rPr>
          <w:b/>
        </w:rPr>
        <w:t>20/4/20</w:t>
      </w:r>
      <w:r>
        <w:t xml:space="preserve">)          </w:t>
      </w:r>
    </w:p>
    <w:p w:rsidR="00B849A0" w:rsidRPr="00E95E02" w:rsidRDefault="00B849A0" w:rsidP="00B849A0">
      <w:pPr>
        <w:pStyle w:val="NormalWeb"/>
        <w:spacing w:after="0"/>
        <w:jc w:val="both"/>
        <w:textAlignment w:val="baseline"/>
        <w:rPr>
          <w:color w:val="FF0000"/>
          <w:u w:val="single"/>
        </w:rPr>
      </w:pPr>
      <w:r w:rsidRPr="00E95E02">
        <w:rPr>
          <w:color w:val="FF0000"/>
          <w:u w:val="single"/>
        </w:rPr>
        <w:t>El mercado laboral europeo sufrirá un fuerte shock por la crisis del coronavirus. Así lo estima la consultora McKinsey en un informe en el que advierte de que la pandemia amenaza con llevarse por delante 59 millones de empleos en Europa, así como la reducción de salarios y horas de trabajo.</w:t>
      </w:r>
    </w:p>
    <w:p w:rsidR="00B849A0" w:rsidRPr="002A587D" w:rsidRDefault="00B849A0" w:rsidP="00B849A0">
      <w:pPr>
        <w:pStyle w:val="NormalWeb"/>
        <w:spacing w:after="0"/>
        <w:jc w:val="both"/>
        <w:textAlignment w:val="baseline"/>
        <w:rPr>
          <w:color w:val="FF0000"/>
          <w:u w:val="single"/>
        </w:rPr>
      </w:pPr>
      <w:r w:rsidRPr="00E95E02">
        <w:rPr>
          <w:color w:val="FF0000"/>
          <w:u w:val="single"/>
        </w:rPr>
        <w:t xml:space="preserve">Además, el informe estima que la tasa de paro de la Unión Europea podría dispararse hasta casi duplicarse por el impacto económico del coronavirus. En el peor escenario que maneja, la consultora ve la tasa de paro en el 11,2%, con una recuperación de los </w:t>
      </w:r>
      <w:r>
        <w:rPr>
          <w:color w:val="FF0000"/>
          <w:u w:val="single"/>
        </w:rPr>
        <w:t xml:space="preserve">niveles de 2019 en el año 2024. </w:t>
      </w:r>
      <w:r w:rsidRPr="00E95E02">
        <w:rPr>
          <w:u w:val="single"/>
        </w:rPr>
        <w:t>No obstante, el escenario más probable que pronostica la firma es que la tasa de paro europea escalará hasta el 7,6% este año, para regresar a niveles pre-crisis del 6,3% a finales del año que viene.</w:t>
      </w:r>
    </w:p>
    <w:p w:rsidR="00B849A0" w:rsidRDefault="00B849A0" w:rsidP="00B849A0">
      <w:pPr>
        <w:pStyle w:val="NormalWeb"/>
        <w:spacing w:after="0"/>
        <w:jc w:val="both"/>
        <w:textAlignment w:val="baseline"/>
      </w:pPr>
      <w:r>
        <w:t>“Europa debe evitar la subida significante del desempleo que se produjo durante la crisis financiera de 2008-2009 cuando la tasa de paro creció un 28% en la Unión Europea”, ha señalado McKinsey que ha alertado de que “la pérdida de empleos podría ser muy dolorosa desde una perspectiva económica”, señala McKinsey.</w:t>
      </w:r>
    </w:p>
    <w:p w:rsidR="00B849A0" w:rsidRPr="00E95E02" w:rsidRDefault="00B849A0" w:rsidP="00B849A0">
      <w:pPr>
        <w:pStyle w:val="NormalWeb"/>
        <w:spacing w:after="0"/>
        <w:jc w:val="both"/>
        <w:textAlignment w:val="baseline"/>
        <w:rPr>
          <w:color w:val="FF0000"/>
          <w:u w:val="single"/>
        </w:rPr>
      </w:pPr>
      <w:r w:rsidRPr="00E95E02">
        <w:rPr>
          <w:color w:val="FF0000"/>
          <w:u w:val="single"/>
        </w:rPr>
        <w:t>La firma prevé que el 50% de todos los trabajos que están en riesgo en Europa se concentran en servicio al cliente y ventas, servicios de alimentos y la construcción.</w:t>
      </w:r>
      <w:r>
        <w:rPr>
          <w:color w:val="FF0000"/>
          <w:u w:val="single"/>
        </w:rPr>
        <w:t xml:space="preserve"> </w:t>
      </w:r>
      <w:r w:rsidRPr="00E95E02">
        <w:rPr>
          <w:color w:val="FF0000"/>
          <w:u w:val="single"/>
        </w:rPr>
        <w:t xml:space="preserve">Por categorías, la </w:t>
      </w:r>
      <w:r w:rsidRPr="00E95E02">
        <w:rPr>
          <w:color w:val="FF0000"/>
          <w:u w:val="single"/>
        </w:rPr>
        <w:lastRenderedPageBreak/>
        <w:t>consultora señala que el sector hotelero y de la alimentación aparece como el más amenazado por la fuerte escalada del desempleo. McKinsey calcula que el 74% del empleo en estos sectores de la actividad económica está en riesgo, lo que equivale a unos 8,4 millo</w:t>
      </w:r>
      <w:r>
        <w:rPr>
          <w:color w:val="FF0000"/>
          <w:u w:val="single"/>
        </w:rPr>
        <w:t xml:space="preserve">nes de empleo en toda la Unión. </w:t>
      </w:r>
      <w:r w:rsidRPr="00E95E02">
        <w:rPr>
          <w:color w:val="FF0000"/>
          <w:u w:val="single"/>
        </w:rPr>
        <w:t>A su vez, la firma agrega también que el 50% de los empleos en el sector del entretenimiento y las artes también se ven amenazados por la pandemia. Por el contrario, el sector TI y comunicaciones aparece como el menos amenazado con un 8% del empleo en riesgo.</w:t>
      </w:r>
    </w:p>
    <w:p w:rsidR="00B849A0" w:rsidRDefault="00B849A0" w:rsidP="00B849A0">
      <w:pPr>
        <w:pStyle w:val="NormalWeb"/>
        <w:spacing w:after="0"/>
        <w:jc w:val="both"/>
        <w:textAlignment w:val="baseline"/>
      </w:pPr>
      <w:r>
        <w:t>La Comisión Europea presentó a comienzos de abril un nuevo programa para movilizar unos 100.000 millones de euros para ayudar al empleo. El objetivo del plan de Bruselas es subvencionar las reducciones de jornada para que las empresas puedan sobrevivir sin realizar despidos masivos.</w:t>
      </w:r>
    </w:p>
    <w:p w:rsidR="00B849A0" w:rsidRDefault="00B849A0" w:rsidP="00B849A0">
      <w:pPr>
        <w:pStyle w:val="NormalWeb"/>
        <w:spacing w:after="0"/>
        <w:jc w:val="both"/>
        <w:textAlignment w:val="baseline"/>
      </w:pPr>
      <w:r>
        <w:t>El Banco de España calcula que la tasa de paro en nuestro país se disparara este año entre el 18,3% y el 21,7% este año por el parón de la economía provocado por el coronavirus.</w:t>
      </w:r>
    </w:p>
    <w:p w:rsidR="00B849A0" w:rsidRPr="00724BDC" w:rsidRDefault="00B849A0" w:rsidP="00B849A0">
      <w:pPr>
        <w:pStyle w:val="NormalWeb"/>
        <w:spacing w:after="360"/>
        <w:jc w:val="both"/>
        <w:rPr>
          <w:color w:val="000000"/>
        </w:rPr>
      </w:pPr>
      <w:r>
        <w:rPr>
          <w:color w:val="000000"/>
        </w:rPr>
        <w:t xml:space="preserve">- </w:t>
      </w:r>
      <w:r>
        <w:rPr>
          <w:color w:val="000000"/>
          <w:u w:val="single"/>
        </w:rPr>
        <w:t>La “Mayor Depresión”</w:t>
      </w:r>
      <w:r w:rsidRPr="00724BDC">
        <w:rPr>
          <w:color w:val="000000"/>
          <w:u w:val="single"/>
        </w:rPr>
        <w:t xml:space="preserve"> que viene con la década de 2020</w:t>
      </w:r>
      <w:r>
        <w:rPr>
          <w:color w:val="000000"/>
        </w:rPr>
        <w:t xml:space="preserve"> (Project Syndicate - </w:t>
      </w:r>
      <w:r w:rsidRPr="00724BDC">
        <w:rPr>
          <w:b/>
          <w:color w:val="000000"/>
        </w:rPr>
        <w:t>28/4/20</w:t>
      </w:r>
      <w:r>
        <w:rPr>
          <w:color w:val="000000"/>
        </w:rPr>
        <w:t>)</w:t>
      </w:r>
    </w:p>
    <w:p w:rsidR="00B849A0" w:rsidRPr="00DF5DFD" w:rsidRDefault="00B849A0" w:rsidP="00B849A0">
      <w:pPr>
        <w:pStyle w:val="NormalWeb"/>
        <w:spacing w:after="360"/>
        <w:jc w:val="both"/>
        <w:rPr>
          <w:color w:val="FF0000"/>
          <w:u w:val="single"/>
        </w:rPr>
      </w:pPr>
      <w:r>
        <w:rPr>
          <w:color w:val="000000"/>
        </w:rPr>
        <w:t>Nueva York.-</w:t>
      </w:r>
      <w:r w:rsidRPr="00724BDC">
        <w:rPr>
          <w:color w:val="000000"/>
        </w:rPr>
        <w:t xml:space="preserve"> </w:t>
      </w:r>
      <w:r w:rsidRPr="00DF5DFD">
        <w:rPr>
          <w:color w:val="FF0000"/>
          <w:u w:val="single"/>
        </w:rPr>
        <w:t>Después de la crisis financiera de 2007</w:t>
      </w:r>
      <w:r w:rsidRPr="00DF5DFD">
        <w:rPr>
          <w:rFonts w:ascii="Cambria Math" w:hAnsi="Cambria Math" w:cs="Cambria Math"/>
          <w:color w:val="FF0000"/>
          <w:u w:val="single"/>
        </w:rPr>
        <w:t>‑</w:t>
      </w:r>
      <w:r w:rsidRPr="00DF5DFD">
        <w:rPr>
          <w:color w:val="FF0000"/>
          <w:u w:val="single"/>
        </w:rPr>
        <w:t>09, pol</w:t>
      </w:r>
      <w:r w:rsidRPr="00DF5DFD">
        <w:rPr>
          <w:rFonts w:ascii="Calibri" w:hAnsi="Calibri" w:cs="Calibri"/>
          <w:color w:val="FF0000"/>
          <w:u w:val="single"/>
        </w:rPr>
        <w:t>í</w:t>
      </w:r>
      <w:r w:rsidRPr="00DF5DFD">
        <w:rPr>
          <w:color w:val="FF0000"/>
          <w:u w:val="single"/>
        </w:rPr>
        <w:t>ticas desacertadas agravaron desequilibrios y riesgos muy extendidos en la economía global. Así pues, en vez de encarar los problemas estructurales revelados por el derrumbe financiero y la posterior recesión, los gobiernos en general los patearon para adelante; esto creó grandes riesgos a la baja que hicieron inevitable el surgimiento de otra crisis. Y ahora que se produjo, los riesgos se agravan cada vez más. Por desgracia, incluso si el resultado de la “Mayor Recesión” de este año fuera una deslucida recuperación en forma de U, diez ominosas y peligrosas tendencias indican que en algún momento de esta década habrá una “Mayor Depresión” en forma de L.</w:t>
      </w:r>
    </w:p>
    <w:p w:rsidR="00B849A0" w:rsidRPr="00724BDC" w:rsidRDefault="00B849A0" w:rsidP="00B849A0">
      <w:pPr>
        <w:pStyle w:val="NormalWeb"/>
        <w:spacing w:after="360"/>
        <w:jc w:val="both"/>
        <w:rPr>
          <w:color w:val="000000"/>
        </w:rPr>
      </w:pPr>
      <w:r w:rsidRPr="00DF5DFD">
        <w:rPr>
          <w:color w:val="FF0000"/>
          <w:u w:val="single"/>
        </w:rPr>
        <w:t>La primera tendencia tiene que ver con el déficit y sus riesgos derivados: la deuda y el default</w:t>
      </w:r>
      <w:r w:rsidRPr="00724BDC">
        <w:rPr>
          <w:color w:val="000000"/>
        </w:rPr>
        <w:t>. La respuesta oficial a la crisis de la COVID</w:t>
      </w:r>
      <w:r w:rsidRPr="00724BDC">
        <w:rPr>
          <w:rFonts w:ascii="Cambria Math" w:hAnsi="Cambria Math" w:cs="Cambria Math"/>
          <w:color w:val="000000"/>
        </w:rPr>
        <w:t>‑</w:t>
      </w:r>
      <w:r w:rsidRPr="00724BDC">
        <w:rPr>
          <w:color w:val="000000"/>
        </w:rPr>
        <w:t>19 implica un aumento enorme del d</w:t>
      </w:r>
      <w:r w:rsidRPr="00724BDC">
        <w:rPr>
          <w:rFonts w:ascii="Calibri" w:hAnsi="Calibri" w:cs="Calibri"/>
          <w:color w:val="000000"/>
        </w:rPr>
        <w:t>é</w:t>
      </w:r>
      <w:r w:rsidRPr="00724BDC">
        <w:rPr>
          <w:color w:val="000000"/>
        </w:rPr>
        <w:t>ficit fiscal, del orden del 10% del PIB o más, en un momento en que los niveles de deuda pública en muchos países ya eran</w:t>
      </w:r>
      <w:r>
        <w:rPr>
          <w:color w:val="000000"/>
        </w:rPr>
        <w:t xml:space="preserve"> altos e incluso insostenibles.</w:t>
      </w:r>
    </w:p>
    <w:p w:rsidR="00B849A0" w:rsidRPr="00724BDC" w:rsidRDefault="00B849A0" w:rsidP="00B849A0">
      <w:pPr>
        <w:pStyle w:val="NormalWeb"/>
        <w:spacing w:after="360"/>
        <w:jc w:val="both"/>
        <w:rPr>
          <w:color w:val="000000"/>
        </w:rPr>
      </w:pPr>
      <w:r w:rsidRPr="00724BDC">
        <w:rPr>
          <w:color w:val="000000"/>
        </w:rPr>
        <w:t>Para peor, la pérdida de ingresos de muchos hogares y empresas implica que los niveles de deuda del sector privado también se volverán insostenibles, lo que puede llevar a una catarata de impagos y quiebras. Sumado al aumento de los niveles de deuda pública, esto es garantía casi segura de una recuperación más anémica que la que siguió a la Gran Recesión d</w:t>
      </w:r>
      <w:r>
        <w:rPr>
          <w:color w:val="000000"/>
        </w:rPr>
        <w:t>e hace una década.</w:t>
      </w:r>
    </w:p>
    <w:p w:rsidR="00B849A0" w:rsidRPr="00724BDC" w:rsidRDefault="00B849A0" w:rsidP="00B849A0">
      <w:pPr>
        <w:pStyle w:val="NormalWeb"/>
        <w:spacing w:after="360"/>
        <w:jc w:val="both"/>
        <w:rPr>
          <w:color w:val="000000"/>
        </w:rPr>
      </w:pPr>
      <w:r w:rsidRPr="00DF5DFD">
        <w:rPr>
          <w:color w:val="FF0000"/>
          <w:u w:val="single"/>
        </w:rPr>
        <w:t>Un segundo factor es la bomba de tiempo demográfica en las economías avanzadas</w:t>
      </w:r>
      <w:r w:rsidRPr="00724BDC">
        <w:rPr>
          <w:color w:val="000000"/>
        </w:rPr>
        <w:t>. La crisis de la COVID</w:t>
      </w:r>
      <w:r w:rsidRPr="00724BDC">
        <w:rPr>
          <w:rFonts w:ascii="Cambria Math" w:hAnsi="Cambria Math" w:cs="Cambria Math"/>
          <w:color w:val="000000"/>
        </w:rPr>
        <w:t>‑</w:t>
      </w:r>
      <w:r w:rsidRPr="00724BDC">
        <w:rPr>
          <w:color w:val="000000"/>
        </w:rPr>
        <w:t>19 muestra que es necesario asignar mucho m</w:t>
      </w:r>
      <w:r w:rsidRPr="00724BDC">
        <w:rPr>
          <w:rFonts w:ascii="Calibri" w:hAnsi="Calibri" w:cs="Calibri"/>
          <w:color w:val="000000"/>
        </w:rPr>
        <w:t>á</w:t>
      </w:r>
      <w:r w:rsidRPr="00724BDC">
        <w:rPr>
          <w:color w:val="000000"/>
        </w:rPr>
        <w:t>s gasto p</w:t>
      </w:r>
      <w:r w:rsidRPr="00724BDC">
        <w:rPr>
          <w:rFonts w:ascii="Calibri" w:hAnsi="Calibri" w:cs="Calibri"/>
          <w:color w:val="000000"/>
        </w:rPr>
        <w:t>ú</w:t>
      </w:r>
      <w:r w:rsidRPr="00724BDC">
        <w:rPr>
          <w:color w:val="000000"/>
        </w:rPr>
        <w:t>blico a los sistemas sanitarios, y que la atenci</w:t>
      </w:r>
      <w:r w:rsidRPr="00724BDC">
        <w:rPr>
          <w:rFonts w:ascii="Calibri" w:hAnsi="Calibri" w:cs="Calibri"/>
          <w:color w:val="000000"/>
        </w:rPr>
        <w:t>ó</w:t>
      </w:r>
      <w:r w:rsidRPr="00724BDC">
        <w:rPr>
          <w:color w:val="000000"/>
        </w:rPr>
        <w:t>n m</w:t>
      </w:r>
      <w:r w:rsidRPr="00724BDC">
        <w:rPr>
          <w:rFonts w:ascii="Calibri" w:hAnsi="Calibri" w:cs="Calibri"/>
          <w:color w:val="000000"/>
        </w:rPr>
        <w:t>é</w:t>
      </w:r>
      <w:r w:rsidRPr="00724BDC">
        <w:rPr>
          <w:color w:val="000000"/>
        </w:rPr>
        <w:t>dica universal y otros bienes públicos relevantes son necesidades, no lujos. Sin embargo, por el envejecimiento poblacional de la mayoría de los países desarrollados, la financiación futura de esos desembolsos aumentará todavía más las deudas implícitas de los sistemas de salud y seguridad socia</w:t>
      </w:r>
      <w:r>
        <w:rPr>
          <w:color w:val="000000"/>
        </w:rPr>
        <w:t>l, que ya están desfinanciados.</w:t>
      </w:r>
    </w:p>
    <w:p w:rsidR="00B849A0" w:rsidRPr="00724BDC" w:rsidRDefault="00B849A0" w:rsidP="00B849A0">
      <w:pPr>
        <w:pStyle w:val="NormalWeb"/>
        <w:spacing w:after="360"/>
        <w:jc w:val="both"/>
        <w:rPr>
          <w:color w:val="000000"/>
        </w:rPr>
      </w:pPr>
      <w:r w:rsidRPr="00B22656">
        <w:rPr>
          <w:color w:val="FF0000"/>
          <w:u w:val="single"/>
        </w:rPr>
        <w:t>El tercer elemento es el riesgo creciente de deflación</w:t>
      </w:r>
      <w:r w:rsidRPr="00724BDC">
        <w:rPr>
          <w:color w:val="000000"/>
        </w:rPr>
        <w:t xml:space="preserve">. Además de causar una recesión profunda, la crisis también está creando un inmenso excedente en los mercados de bienes (máquinas y capacidad productiva no utilizados) y mano de obra (desempleo a gran escala), además de impulsar un derrumbe de precios de materias primas como el petróleo y los </w:t>
      </w:r>
      <w:r w:rsidRPr="00724BDC">
        <w:rPr>
          <w:color w:val="000000"/>
        </w:rPr>
        <w:lastRenderedPageBreak/>
        <w:t>metales industriales. Eso hace probable una deflación de deudas, lo que au</w:t>
      </w:r>
      <w:r>
        <w:rPr>
          <w:color w:val="000000"/>
        </w:rPr>
        <w:t>menta el riesgo de insolvencia.</w:t>
      </w:r>
    </w:p>
    <w:p w:rsidR="00B849A0" w:rsidRPr="00724BDC" w:rsidRDefault="00B849A0" w:rsidP="00B849A0">
      <w:pPr>
        <w:pStyle w:val="NormalWeb"/>
        <w:spacing w:after="360"/>
        <w:jc w:val="both"/>
        <w:rPr>
          <w:color w:val="000000"/>
        </w:rPr>
      </w:pPr>
      <w:r w:rsidRPr="00B22656">
        <w:rPr>
          <w:color w:val="FF0000"/>
          <w:u w:val="single"/>
        </w:rPr>
        <w:t>Un cuarto factor (relacionado) será la pérdida de valor de la moneda</w:t>
      </w:r>
      <w:r w:rsidRPr="00724BDC">
        <w:rPr>
          <w:color w:val="000000"/>
        </w:rPr>
        <w:t>. Los intentos de los bancos centrales de combatir la deflación y anticiparse al riesgo de una suba de tipos de interés (como resultado de la inmensa acumulación de deudas) llevarán a políticas monetarias todavía más heterodoxas y extensivas. En lo inmediato, para evitar la depresión y la deflación, los gobiernos deberán apelar al déficit fiscal monetizado. Pero con el tiempo, los shocks negativos permanentes del lado de la oferta</w:t>
      </w:r>
      <w:r>
        <w:rPr>
          <w:color w:val="000000"/>
        </w:rPr>
        <w:t>,</w:t>
      </w:r>
      <w:r w:rsidRPr="00724BDC">
        <w:rPr>
          <w:color w:val="000000"/>
        </w:rPr>
        <w:t xml:space="preserve"> resultantes de la desglobalización acelerada y del renovado proteccionismo harán casi inevitable la estanflación.</w:t>
      </w:r>
    </w:p>
    <w:p w:rsidR="00B849A0" w:rsidRPr="00724BDC" w:rsidRDefault="00B849A0" w:rsidP="00B849A0">
      <w:pPr>
        <w:pStyle w:val="NormalWeb"/>
        <w:spacing w:after="360"/>
        <w:jc w:val="both"/>
        <w:rPr>
          <w:color w:val="000000"/>
        </w:rPr>
      </w:pPr>
      <w:r w:rsidRPr="00B22656">
        <w:rPr>
          <w:color w:val="FF0000"/>
          <w:u w:val="single"/>
        </w:rPr>
        <w:t>Una quinta cuestión es la disrupción digital de la economía en general</w:t>
      </w:r>
      <w:r w:rsidRPr="00724BDC">
        <w:rPr>
          <w:color w:val="000000"/>
        </w:rPr>
        <w:t xml:space="preserve">. Con millones de personas que perderán el empleo o trabajarán y ganarán menos, las disparidades de ingresos y riqueza de la economía del siglo XXI se profundizarán. Para protegerse de futuras perturbaciones en las cadenas de suministro, las empresas en las economías avanzadas repatriarán producción de regiones de bajo costo a mercados locales más costosos. Pero en vez de favorecer a los trabajadores locales, esta tendencia acelerará la automatización, lo que generará presiones bajistas sobre los salarios y dará más sustento al populismo, </w:t>
      </w:r>
      <w:r>
        <w:rPr>
          <w:color w:val="000000"/>
        </w:rPr>
        <w:t>el nacionalismo y la xenofobia.</w:t>
      </w:r>
    </w:p>
    <w:p w:rsidR="00B849A0" w:rsidRPr="00724BDC" w:rsidRDefault="00B849A0" w:rsidP="00B849A0">
      <w:pPr>
        <w:pStyle w:val="NormalWeb"/>
        <w:spacing w:after="360"/>
        <w:jc w:val="both"/>
        <w:rPr>
          <w:color w:val="000000"/>
        </w:rPr>
      </w:pPr>
      <w:r w:rsidRPr="00B22656">
        <w:rPr>
          <w:color w:val="FF0000"/>
          <w:u w:val="single"/>
        </w:rPr>
        <w:t>Esto nos lleva al sexto factor importante: la desglobalización</w:t>
      </w:r>
      <w:r w:rsidRPr="00724BDC">
        <w:rPr>
          <w:color w:val="000000"/>
        </w:rPr>
        <w:t>. La pandemia está acelerando tendencias ya muy avanzadas hacia la balcanización y la fragmentación. El desacople entre Estados Unidos y China se acentuará, y la mayoría de los países responderán con políticas todavía más proteccionistas para blindar a empresas y trabajadores locales contra disrupciones internacionales. El mundo posterior a la pandemia se caracterizará por restricciones más estrictas al movimiento de bienes, servicios, capital, mano de obra, tecnología, datos e información. Ya está sucediendo en los sectores farmacéutico, de equipamiento médico y de los alimentos, donde en respuesta a la crisis los gobiernos han comenzado a imponer restricciones a las exportaciones y</w:t>
      </w:r>
      <w:r>
        <w:rPr>
          <w:color w:val="000000"/>
        </w:rPr>
        <w:t xml:space="preserve"> otras medidas proteccionistas.</w:t>
      </w:r>
    </w:p>
    <w:p w:rsidR="00B849A0" w:rsidRPr="00724BDC" w:rsidRDefault="00B849A0" w:rsidP="00B849A0">
      <w:pPr>
        <w:pStyle w:val="NormalWeb"/>
        <w:spacing w:after="360"/>
        <w:jc w:val="both"/>
        <w:rPr>
          <w:color w:val="000000"/>
        </w:rPr>
      </w:pPr>
      <w:r w:rsidRPr="00724BDC">
        <w:rPr>
          <w:color w:val="000000"/>
        </w:rPr>
        <w:t>La avanzada antidemocrática reforzará esta tendencia. Los líderes populistas suelen sacar provecho de la debilidad económica, el desempleo a gran escala y el aumento de la desigualdad. En condiciones de mayor incertidumbre económica, habrá un fuerte impulso a echar la culpa de la crisis a los extranjeros. Los trabajadores industriales y grandes franjas de la clase media se volverán más permeables a la retórica populista, en particular en lo referido a restringir</w:t>
      </w:r>
      <w:r>
        <w:rPr>
          <w:color w:val="000000"/>
        </w:rPr>
        <w:t xml:space="preserve"> las migraciones y el comercio.</w:t>
      </w:r>
    </w:p>
    <w:p w:rsidR="00B849A0" w:rsidRPr="00724BDC" w:rsidRDefault="00B849A0" w:rsidP="00B849A0">
      <w:pPr>
        <w:pStyle w:val="NormalWeb"/>
        <w:spacing w:after="360"/>
        <w:jc w:val="both"/>
        <w:rPr>
          <w:color w:val="000000"/>
        </w:rPr>
      </w:pPr>
      <w:r w:rsidRPr="00B22656">
        <w:rPr>
          <w:color w:val="FF0000"/>
          <w:u w:val="single"/>
        </w:rPr>
        <w:t>Esto nos trae a un octavo factor: el enfrentamiento geoestratégico entre Estados Unidos y China</w:t>
      </w:r>
      <w:r w:rsidRPr="00724BDC">
        <w:rPr>
          <w:color w:val="000000"/>
        </w:rPr>
        <w:t>. Con el gobierno de Trump empeñado en culpar a China por la pandemia, el régimen del presidente chino Xi Jinping insistirá en afirmar que Estados Unidos conspira para impedir el ascenso pacífico de China. El desacople sinoestadounidense en comercio, tecnología, inversiones, datos y acuerd</w:t>
      </w:r>
      <w:r>
        <w:rPr>
          <w:color w:val="000000"/>
        </w:rPr>
        <w:t>os monetarios se intensificará.</w:t>
      </w:r>
    </w:p>
    <w:p w:rsidR="00B849A0" w:rsidRPr="00724BDC" w:rsidRDefault="00B849A0" w:rsidP="00B849A0">
      <w:pPr>
        <w:pStyle w:val="NormalWeb"/>
        <w:spacing w:after="360"/>
        <w:jc w:val="both"/>
        <w:rPr>
          <w:color w:val="000000"/>
        </w:rPr>
      </w:pPr>
      <w:r w:rsidRPr="00724BDC">
        <w:rPr>
          <w:color w:val="000000"/>
        </w:rPr>
        <w:t>Para peor, esta ruptura diplomática creará condiciones para una nueva guerra fría entre Estados Unidos y sus rivales, no sólo China, sino también Rusia, Irán y Corea del Norte. Con la cercanía de una elección presidencial en Estados Unidos, sobran motivos para esperar un incremento de acciones ciberbélicas clandestinas, que pueden llevar incluso a conflictos militares convencionales. Y como la tecnología es el arma clave en la lucha por el control de las industrias del futuro y en el combate a la pandemia, el sector privado estadounidense quedará cada vez más ligado al complejo in</w:t>
      </w:r>
      <w:r>
        <w:rPr>
          <w:color w:val="000000"/>
        </w:rPr>
        <w:t>dustrial/de seguridad nacional.</w:t>
      </w:r>
    </w:p>
    <w:p w:rsidR="00B849A0" w:rsidRPr="00724BDC" w:rsidRDefault="00B849A0" w:rsidP="00B849A0">
      <w:pPr>
        <w:pStyle w:val="NormalWeb"/>
        <w:spacing w:after="360"/>
        <w:jc w:val="both"/>
        <w:rPr>
          <w:color w:val="000000"/>
        </w:rPr>
      </w:pPr>
      <w:r w:rsidRPr="00B22656">
        <w:rPr>
          <w:color w:val="FF0000"/>
          <w:u w:val="single"/>
        </w:rPr>
        <w:lastRenderedPageBreak/>
        <w:t>Un último riesgo que no es posible pasar por alto es la disrupción medioambiental, que como muestra la crisis de la COVID</w:t>
      </w:r>
      <w:r w:rsidRPr="00B22656">
        <w:rPr>
          <w:rFonts w:ascii="Cambria Math" w:hAnsi="Cambria Math" w:cs="Cambria Math"/>
          <w:color w:val="FF0000"/>
          <w:u w:val="single"/>
        </w:rPr>
        <w:t>‑</w:t>
      </w:r>
      <w:r w:rsidRPr="00B22656">
        <w:rPr>
          <w:color w:val="FF0000"/>
          <w:u w:val="single"/>
        </w:rPr>
        <w:t>19, puede causar mucho m</w:t>
      </w:r>
      <w:r w:rsidRPr="00B22656">
        <w:rPr>
          <w:rFonts w:ascii="Calibri" w:hAnsi="Calibri" w:cs="Calibri"/>
          <w:color w:val="FF0000"/>
          <w:u w:val="single"/>
        </w:rPr>
        <w:t>á</w:t>
      </w:r>
      <w:r w:rsidRPr="00B22656">
        <w:rPr>
          <w:color w:val="FF0000"/>
          <w:u w:val="single"/>
        </w:rPr>
        <w:t>s da</w:t>
      </w:r>
      <w:r w:rsidRPr="00B22656">
        <w:rPr>
          <w:rFonts w:ascii="Calibri" w:hAnsi="Calibri" w:cs="Calibri"/>
          <w:color w:val="FF0000"/>
          <w:u w:val="single"/>
        </w:rPr>
        <w:t>ñ</w:t>
      </w:r>
      <w:r w:rsidRPr="00B22656">
        <w:rPr>
          <w:color w:val="FF0000"/>
          <w:u w:val="single"/>
        </w:rPr>
        <w:t>o econ</w:t>
      </w:r>
      <w:r w:rsidRPr="00B22656">
        <w:rPr>
          <w:rFonts w:ascii="Calibri" w:hAnsi="Calibri" w:cs="Calibri"/>
          <w:color w:val="FF0000"/>
          <w:u w:val="single"/>
        </w:rPr>
        <w:t>ó</w:t>
      </w:r>
      <w:r w:rsidRPr="00B22656">
        <w:rPr>
          <w:color w:val="FF0000"/>
          <w:u w:val="single"/>
        </w:rPr>
        <w:t>mico que una crisis financiera</w:t>
      </w:r>
      <w:r w:rsidRPr="00724BDC">
        <w:rPr>
          <w:color w:val="000000"/>
        </w:rPr>
        <w:t xml:space="preserve">. Las sucesivas epidemias (el VIH desde los ochenta, el SARS en 2003, el H1N1 en 2009, el MERS en 2011, el </w:t>
      </w:r>
      <w:r w:rsidRPr="00724BDC">
        <w:rPr>
          <w:rFonts w:ascii="Calibri" w:hAnsi="Calibri" w:cs="Calibri"/>
          <w:color w:val="000000"/>
        </w:rPr>
        <w:t>é</w:t>
      </w:r>
      <w:r w:rsidRPr="00724BDC">
        <w:rPr>
          <w:color w:val="000000"/>
        </w:rPr>
        <w:t>bola en 2014</w:t>
      </w:r>
      <w:r w:rsidRPr="00724BDC">
        <w:rPr>
          <w:rFonts w:ascii="Cambria Math" w:hAnsi="Cambria Math" w:cs="Cambria Math"/>
          <w:color w:val="000000"/>
        </w:rPr>
        <w:t>‑</w:t>
      </w:r>
      <w:r w:rsidRPr="00724BDC">
        <w:rPr>
          <w:color w:val="000000"/>
        </w:rPr>
        <w:t>16) son, como el cambio clim</w:t>
      </w:r>
      <w:r w:rsidRPr="00724BDC">
        <w:rPr>
          <w:rFonts w:ascii="Calibri" w:hAnsi="Calibri" w:cs="Calibri"/>
          <w:color w:val="000000"/>
        </w:rPr>
        <w:t>á</w:t>
      </w:r>
      <w:r w:rsidRPr="00724BDC">
        <w:rPr>
          <w:color w:val="000000"/>
        </w:rPr>
        <w:t>tico, desastres creados básicamente por la acción humana, derivados de malas condiciones sanitarias, el abuso de los sistemas naturales y la creciente interconectividad de un mundo globalizado. En los años venideros, las pandemias y los numerosos síntomas mórbidos del cambio climático se volverán más frecuentes, graves y costosos.</w:t>
      </w:r>
    </w:p>
    <w:p w:rsidR="00B849A0" w:rsidRPr="00B22656" w:rsidRDefault="00B849A0" w:rsidP="00B849A0">
      <w:pPr>
        <w:pStyle w:val="NormalWeb"/>
        <w:spacing w:after="360"/>
        <w:jc w:val="both"/>
        <w:rPr>
          <w:color w:val="FF0000"/>
          <w:u w:val="single"/>
        </w:rPr>
      </w:pPr>
      <w:r w:rsidRPr="00B22656">
        <w:rPr>
          <w:color w:val="FF0000"/>
          <w:u w:val="single"/>
        </w:rPr>
        <w:t>Estos diez riesgos, que ya eran grandes antes de la COVID</w:t>
      </w:r>
      <w:r w:rsidRPr="00B22656">
        <w:rPr>
          <w:rFonts w:ascii="Cambria Math" w:hAnsi="Cambria Math" w:cs="Cambria Math"/>
          <w:color w:val="FF0000"/>
          <w:u w:val="single"/>
        </w:rPr>
        <w:t>‑</w:t>
      </w:r>
      <w:r w:rsidRPr="00B22656">
        <w:rPr>
          <w:color w:val="FF0000"/>
          <w:u w:val="single"/>
        </w:rPr>
        <w:t>19, ahora amenazan con impulsar una tormenta perfecta capaz de hundir a toda la econom</w:t>
      </w:r>
      <w:r w:rsidRPr="00B22656">
        <w:rPr>
          <w:rFonts w:ascii="Calibri" w:hAnsi="Calibri" w:cs="Calibri"/>
          <w:color w:val="FF0000"/>
          <w:u w:val="single"/>
        </w:rPr>
        <w:t>í</w:t>
      </w:r>
      <w:r w:rsidRPr="00B22656">
        <w:rPr>
          <w:color w:val="FF0000"/>
          <w:u w:val="single"/>
        </w:rPr>
        <w:t>a mundial en una d</w:t>
      </w:r>
      <w:r w:rsidRPr="00B22656">
        <w:rPr>
          <w:rFonts w:ascii="Calibri" w:hAnsi="Calibri" w:cs="Calibri"/>
          <w:color w:val="FF0000"/>
          <w:u w:val="single"/>
        </w:rPr>
        <w:t>é</w:t>
      </w:r>
      <w:r w:rsidRPr="00B22656">
        <w:rPr>
          <w:color w:val="FF0000"/>
          <w:u w:val="single"/>
        </w:rPr>
        <w:t>cada de desesperaci</w:t>
      </w:r>
      <w:r w:rsidRPr="00B22656">
        <w:rPr>
          <w:rFonts w:ascii="Calibri" w:hAnsi="Calibri" w:cs="Calibri"/>
          <w:color w:val="FF0000"/>
          <w:u w:val="single"/>
        </w:rPr>
        <w:t>ó</w:t>
      </w:r>
      <w:r w:rsidRPr="00B22656">
        <w:rPr>
          <w:color w:val="FF0000"/>
          <w:u w:val="single"/>
        </w:rPr>
        <w:t>n. Tal vez cuando lleguen los años treinta, la tecnología y un liderazgo político más competente puedan reducir, resolver o minimizar muchos de estos problemas y producir un orden internacional más inclusivo, cooperativo y estable. Pero el final feliz depende de hallar un modo de sobrevivir a la inminente Mayor Depresión.</w:t>
      </w:r>
    </w:p>
    <w:p w:rsidR="00B849A0" w:rsidRPr="00775512" w:rsidRDefault="00B849A0" w:rsidP="00B849A0">
      <w:pPr>
        <w:pStyle w:val="NormalWeb"/>
        <w:spacing w:before="0" w:beforeAutospacing="0" w:after="360" w:afterAutospacing="0"/>
        <w:jc w:val="both"/>
        <w:rPr>
          <w:color w:val="000000"/>
          <w:lang w:val="en-US"/>
        </w:rPr>
      </w:pPr>
      <w:r>
        <w:rPr>
          <w:color w:val="000000"/>
          <w:lang w:val="en-US"/>
        </w:rPr>
        <w:t>(</w:t>
      </w:r>
      <w:r w:rsidRPr="00724BDC">
        <w:rPr>
          <w:color w:val="000000"/>
          <w:lang w:val="en-US"/>
        </w:rPr>
        <w:t>Nouriel Roubini, Professor of Economics at New York University's Stern School of Business and Chairman of Roubini Macro Associates, was Senior Economist for International Affairs in the White House’s Council of Economic Advisers during the Clinton Administration. He has worked for the International Monetary Fund, the US Feder</w:t>
      </w:r>
      <w:r>
        <w:rPr>
          <w:color w:val="000000"/>
          <w:lang w:val="en-US"/>
        </w:rPr>
        <w:t>al Reserve, and the World Bank</w:t>
      </w:r>
      <w:r w:rsidRPr="00775512">
        <w:rPr>
          <w:color w:val="000000"/>
          <w:lang w:val="en-US"/>
        </w:rPr>
        <w:t>)</w:t>
      </w:r>
    </w:p>
    <w:p w:rsidR="00B849A0" w:rsidRPr="00B22656" w:rsidRDefault="00B849A0" w:rsidP="00B849A0">
      <w:pPr>
        <w:pStyle w:val="NormalWeb"/>
        <w:spacing w:before="0" w:beforeAutospacing="0" w:after="360" w:afterAutospacing="0"/>
        <w:jc w:val="both"/>
        <w:rPr>
          <w:color w:val="000000"/>
        </w:rPr>
      </w:pPr>
      <w:r w:rsidRPr="007233D7">
        <w:rPr>
          <w:b/>
        </w:rPr>
        <w:t>La “ta</w:t>
      </w:r>
      <w:r>
        <w:rPr>
          <w:b/>
        </w:rPr>
        <w:t xml:space="preserve">nguedia” del petróleo: </w:t>
      </w:r>
      <w:r w:rsidRPr="007233D7">
        <w:rPr>
          <w:b/>
        </w:rPr>
        <w:t>éramos pocos,</w:t>
      </w:r>
      <w:r>
        <w:rPr>
          <w:b/>
        </w:rPr>
        <w:t xml:space="preserve"> y</w:t>
      </w:r>
      <w:r w:rsidRPr="007233D7">
        <w:rPr>
          <w:b/>
        </w:rPr>
        <w:t xml:space="preserve"> parió la abuela </w:t>
      </w:r>
    </w:p>
    <w:p w:rsidR="00B849A0" w:rsidRPr="003B31F4" w:rsidRDefault="00B849A0" w:rsidP="00B849A0">
      <w:pPr>
        <w:pStyle w:val="NormalWeb"/>
        <w:spacing w:after="0"/>
        <w:jc w:val="both"/>
        <w:textAlignment w:val="baseline"/>
        <w:rPr>
          <w:lang w:val="en-US"/>
        </w:rPr>
      </w:pPr>
      <w:r>
        <w:rPr>
          <w:lang w:val="en-US"/>
        </w:rPr>
        <w:t xml:space="preserve">- </w:t>
      </w:r>
      <w:r w:rsidRPr="003B31F4">
        <w:rPr>
          <w:u w:val="single"/>
          <w:lang w:val="en-US"/>
        </w:rPr>
        <w:t>Oil Takes Historic Dive Below Zero as Demand Collapses</w:t>
      </w:r>
      <w:r>
        <w:rPr>
          <w:lang w:val="en-US"/>
        </w:rPr>
        <w:t xml:space="preserve"> (WSJ - </w:t>
      </w:r>
      <w:r w:rsidRPr="003B31F4">
        <w:rPr>
          <w:b/>
          <w:lang w:val="en-US"/>
        </w:rPr>
        <w:t>20/4/20</w:t>
      </w:r>
      <w:r>
        <w:rPr>
          <w:lang w:val="en-US"/>
        </w:rPr>
        <w:t>)</w:t>
      </w:r>
    </w:p>
    <w:p w:rsidR="00B849A0" w:rsidRDefault="00B849A0" w:rsidP="00B849A0">
      <w:pPr>
        <w:pStyle w:val="NormalWeb"/>
        <w:spacing w:after="0"/>
        <w:jc w:val="both"/>
        <w:textAlignment w:val="baseline"/>
        <w:rPr>
          <w:lang w:val="en-US"/>
        </w:rPr>
      </w:pPr>
      <w:r w:rsidRPr="003B31F4">
        <w:rPr>
          <w:lang w:val="en-US"/>
        </w:rPr>
        <w:t>The price of a barrel of West Texas Intermediate crude to be delivered in May ended at negative $</w:t>
      </w:r>
      <w:r>
        <w:rPr>
          <w:lang w:val="en-US"/>
        </w:rPr>
        <w:t xml:space="preserve"> </w:t>
      </w:r>
      <w:r w:rsidRPr="003B31F4">
        <w:rPr>
          <w:lang w:val="en-US"/>
        </w:rPr>
        <w:t>37.63, a chaotic demonstration of the dwindling capacity to store all the oil that the world’s stalled economy would otherwise be using.</w:t>
      </w:r>
    </w:p>
    <w:p w:rsidR="00B849A0" w:rsidRPr="003823DA" w:rsidRDefault="00B849A0" w:rsidP="00B849A0">
      <w:pPr>
        <w:pStyle w:val="NormalWeb"/>
        <w:spacing w:after="0"/>
        <w:jc w:val="both"/>
        <w:textAlignment w:val="baseline"/>
      </w:pPr>
      <w:r>
        <w:t xml:space="preserve">- </w:t>
      </w:r>
      <w:r w:rsidRPr="003823DA">
        <w:rPr>
          <w:u w:val="single"/>
        </w:rPr>
        <w:t>Caída del precio del petróleo: 3 razones por las que el precio del crudo estadounidense WTI se vendió a precio negativo y cómo afecta a América Latina</w:t>
      </w:r>
      <w:r>
        <w:t xml:space="preserve"> (BBCMundo - </w:t>
      </w:r>
      <w:r w:rsidRPr="003823DA">
        <w:rPr>
          <w:b/>
        </w:rPr>
        <w:t>20/4/20</w:t>
      </w:r>
      <w:r>
        <w:t>)</w:t>
      </w:r>
    </w:p>
    <w:p w:rsidR="00B849A0" w:rsidRPr="003823DA" w:rsidRDefault="00B849A0" w:rsidP="00B849A0">
      <w:pPr>
        <w:pStyle w:val="NormalWeb"/>
        <w:spacing w:after="0"/>
        <w:jc w:val="both"/>
        <w:textAlignment w:val="baseline"/>
      </w:pPr>
      <w:r>
        <w:t>(Por Ángel Bermúdez</w:t>
      </w:r>
      <w:r w:rsidRPr="003823DA">
        <w:t>)</w:t>
      </w:r>
    </w:p>
    <w:p w:rsidR="00B849A0" w:rsidRDefault="00B849A0" w:rsidP="00B849A0">
      <w:pPr>
        <w:pStyle w:val="NormalWeb"/>
        <w:spacing w:after="0"/>
        <w:jc w:val="both"/>
        <w:textAlignment w:val="baseline"/>
      </w:pPr>
      <w:r>
        <w:t>No lo quieren ni regalado. El precio futuro del petróleo estadounidense West Texas Intermediate (WTI) para entrega en mayo sufrió este lunes una caída tan estrepitosa que pasó de cotizarse a US$ 18 por barril al inicio del día a un precio negativo de US$ -35,22 al cierre de la jornada.</w:t>
      </w:r>
    </w:p>
    <w:p w:rsidR="00B849A0" w:rsidRDefault="00B849A0" w:rsidP="00B849A0">
      <w:pPr>
        <w:pStyle w:val="NormalWeb"/>
        <w:spacing w:after="0"/>
        <w:jc w:val="both"/>
        <w:textAlignment w:val="baseline"/>
      </w:pPr>
      <w:r>
        <w:t>Por primera vez en la historia este crudo estadounidense de referencia para los mercados se cotizó a un valor negativo, generando gran conmoción en el mercado energético. El desplome refleja las dificultades que ha estado experimentando el negocio petrolero mundial debido al exceso de producción y al frenazo de la demanda como consecuencia de la pandemia de coronavirus.</w:t>
      </w:r>
    </w:p>
    <w:p w:rsidR="00B849A0" w:rsidRDefault="00B849A0" w:rsidP="00B849A0">
      <w:pPr>
        <w:pStyle w:val="NormalWeb"/>
        <w:spacing w:after="0"/>
        <w:jc w:val="both"/>
        <w:textAlignment w:val="baseline"/>
      </w:pPr>
      <w:r>
        <w:t xml:space="preserve">La sacudida en Estados Unidos también afectó el precio del crudo Brent, de referencia en Europa y en el resto del mundo, cuyo valor a futuro para entrega en junio disminuyó este lunes un 8,90% hasta los US$ 25,58. </w:t>
      </w:r>
      <w:r w:rsidRPr="003823DA">
        <w:t xml:space="preserve">Además de las condiciones adversas del negocio </w:t>
      </w:r>
      <w:r w:rsidRPr="003823DA">
        <w:lastRenderedPageBreak/>
        <w:t>petrolero mundial, la caída del WTI registrada este lunes tiene fuerte relación con algunos aspectos concretos de los mercados a futuro de crudo en Estados Unidos.</w:t>
      </w:r>
    </w:p>
    <w:p w:rsidR="00B849A0" w:rsidRDefault="00B849A0" w:rsidP="00B849A0">
      <w:pPr>
        <w:pStyle w:val="NormalWeb"/>
        <w:spacing w:after="0"/>
        <w:jc w:val="both"/>
        <w:textAlignment w:val="baseline"/>
      </w:pPr>
      <w:r>
        <w:t>BBC Mundo te explica cuáles son los principales factores que incidieron en este desplome:</w:t>
      </w:r>
    </w:p>
    <w:p w:rsidR="00B849A0" w:rsidRDefault="00B849A0" w:rsidP="00B849A0">
      <w:pPr>
        <w:pStyle w:val="NormalWeb"/>
        <w:spacing w:after="0"/>
        <w:jc w:val="both"/>
        <w:textAlignment w:val="baseline"/>
      </w:pPr>
      <w:r>
        <w:t>1. Backwardation</w:t>
      </w:r>
    </w:p>
    <w:p w:rsidR="00B849A0" w:rsidRDefault="00B849A0" w:rsidP="00B849A0">
      <w:pPr>
        <w:pStyle w:val="NormalWeb"/>
        <w:spacing w:after="0"/>
        <w:jc w:val="both"/>
        <w:textAlignment w:val="baseline"/>
      </w:pPr>
      <w:r>
        <w:t xml:space="preserve">Uno de los elementos que jugó un papel más destacado en lo ocurrido con el WTI este lunes tiene que ver con que este martes culmina en Estados Unidos el plazo para el cierre de los contratos de petróleo para entrega en mayo. Eso quiere decir que, para entonces, quien tenga vigente un contrato de este tipo tendrá que honrarlo y hacerse cargo del crudo que le entregarán el próximo mes. Sin embargo, este lunes los compradores parecían desesperados por deshacerse de esos contratos y entregárselo a alguien que quisiera tomar posesión física de esos barriles. </w:t>
      </w:r>
    </w:p>
    <w:p w:rsidR="00B849A0" w:rsidRDefault="00B849A0" w:rsidP="00B849A0">
      <w:pPr>
        <w:pStyle w:val="NormalWeb"/>
        <w:spacing w:after="0"/>
        <w:jc w:val="both"/>
        <w:textAlignment w:val="baseline"/>
      </w:pPr>
      <w:r>
        <w:t>“Ellos no tienen dónde vender ese petróleo y, ante la caída de los precios, el costo de almacenarlo terminaría siendo más alto que el propio precio del petróleo, por lo que están dispuestos a pagar para que no les entreguen ese crudo”, señala el economista petrolero José Toro Hardy, quien fue miembro de la junta directiva de la estatal venezolana PDVSA. El experto explica que en estos momentos los compradores creen que se vive una situación conocida como “Backwardation”, lo que quiere decir que los precios en el futuro inmediato van a ser más bajos que los actuales lo que elimina todo incentivo para comprar ahora.</w:t>
      </w:r>
    </w:p>
    <w:p w:rsidR="00B849A0" w:rsidRDefault="00B849A0" w:rsidP="00B849A0">
      <w:pPr>
        <w:pStyle w:val="NormalWeb"/>
        <w:spacing w:after="0"/>
        <w:jc w:val="both"/>
        <w:textAlignment w:val="baseline"/>
      </w:pPr>
      <w:r>
        <w:t>2. Los depósitos en Cushing</w:t>
      </w:r>
    </w:p>
    <w:p w:rsidR="00B849A0" w:rsidRDefault="00B849A0" w:rsidP="00B849A0">
      <w:pPr>
        <w:pStyle w:val="NormalWeb"/>
        <w:spacing w:after="0"/>
        <w:jc w:val="both"/>
        <w:textAlignment w:val="baseline"/>
      </w:pPr>
      <w:r>
        <w:t>El segundo elemento que incidió en el desplome del WTI tiene que ver con que la capacidad física de almacenamiento de crudo en Estados Unidos está bastante reducida debido a la acumulación de inventarios. Quienes negocian con petróleo en Estados Unidos suelen guardar el crudo que adquieren en depósitos ubicados en la localidad de Cushing (Oklahoma) para sacarlo luego a la venta cuando surgen en los mercados a futuro precios más altos. Sin embargo, la capacidad de almacenamiento allí parece estar llegando a su tope a gran velocidad. Citando un informe de la consultora Genscape, analistas petroleros indicaron que los inventarios en Cushing crecieron 9% en la semana que culminó el pasado 17 de abril.</w:t>
      </w:r>
    </w:p>
    <w:p w:rsidR="00B849A0" w:rsidRDefault="00B849A0" w:rsidP="00B849A0">
      <w:pPr>
        <w:pStyle w:val="NormalWeb"/>
        <w:spacing w:after="0"/>
        <w:jc w:val="both"/>
        <w:textAlignment w:val="baseline"/>
      </w:pPr>
      <w:r>
        <w:t>“La capacidad de almacenamiento está demasiado limitada como para que los especuladores quieran comprar esos contratos y las refinerías están procesando poco porque en la mayor parte de los estados (de Estados Unidos) se mantienen las órdenes de confinamiento”, señaló Phil Flynn, analista de Price Futures Group, a la agencia Reuters. Así, mientras más llenos están los tanques y menos perspectivas hay de un aumento de precios, conservar los contratos de futuro para WTI significaba para muchos compradores sumar pérdidas y dolores de cabeza.</w:t>
      </w:r>
    </w:p>
    <w:p w:rsidR="00B849A0" w:rsidRDefault="00B849A0" w:rsidP="00B849A0">
      <w:pPr>
        <w:pStyle w:val="NormalWeb"/>
        <w:spacing w:after="0"/>
        <w:jc w:val="both"/>
        <w:textAlignment w:val="baseline"/>
      </w:pPr>
      <w:r>
        <w:t>3. Un mercado saturado y sin demanda</w:t>
      </w:r>
    </w:p>
    <w:p w:rsidR="00B849A0" w:rsidRDefault="00B849A0" w:rsidP="00B849A0">
      <w:pPr>
        <w:pStyle w:val="NormalWeb"/>
        <w:spacing w:after="0"/>
        <w:jc w:val="both"/>
        <w:textAlignment w:val="baseline"/>
      </w:pPr>
      <w:r>
        <w:t>La acumulación de inventarios y la caída de los precios del crudo son, a su vez, consecuencia de la deriva que en los últimos meses ha tomado el mercado petrolero mundial golpeado por el doble efecto de un exceso de producción y de un frenazo de la demanda. Desde inicios del año, los precios del petróleo venían descendiendo como consecuencia de un exceso de producción y de la caída de la demanda en China, que tuvo que ralentizar su actividad económica para hacer frente a la crisis del coronavirus.</w:t>
      </w:r>
    </w:p>
    <w:p w:rsidR="00B849A0" w:rsidRDefault="00B849A0" w:rsidP="00B849A0">
      <w:pPr>
        <w:pStyle w:val="NormalWeb"/>
        <w:spacing w:after="0"/>
        <w:jc w:val="both"/>
        <w:textAlignment w:val="baseline"/>
      </w:pPr>
      <w:r>
        <w:lastRenderedPageBreak/>
        <w:t>Esta situación se agravó en marzo, cuando Rusia se negó a acceder a una propuesta de Arabia Saudita en el marco del grupo conocido como OPEP+ (conformado por los países de la OPEP más otros productores no miembros) para reducir la producción en 1,5 millones de barriles al día para intentar apuntalar los precios. La guerra de precios entre Arabia Saudita y Rusia que hundió el valor del petróleo y las bolsas en medio de la crisis por el coronavirus Tras el fracaso de esas negociaciones, Riad inició una guerra de precios contra Moscú y anunció un aumento de su producción, iniciando una guerra de precios. Luego de una mediación del gobierno de Donald Trump, el 12 de abril los países de OPEP+ acordaron reducir en 10% la producción mundial de crudo a partir del 1 de mayo. Este recorte enorme -estimado en unos 9,6 millones de barriles diarios- corre el riesgo de llegar tarde y de ser insuficiente para la situación actual del mercado, según muchos analistas, pues es claramente menor que la caída de la demanda que se ha producido en torno a 30%.</w:t>
      </w:r>
    </w:p>
    <w:p w:rsidR="00B849A0" w:rsidRDefault="00B849A0" w:rsidP="00B849A0">
      <w:pPr>
        <w:pStyle w:val="NormalWeb"/>
        <w:spacing w:after="0"/>
        <w:jc w:val="both"/>
        <w:textAlignment w:val="baseline"/>
      </w:pPr>
      <w:r>
        <w:t>“En este momento, prácticamente todo el planeta está en cuarentena. No hay consumo de gasolina en los autos, en los aviones, en los buques. La caída de la demanda ha sido tan brusca que se presentan distorsiones muy fuertes”, señala Toro Hardy, al apuntar que tras los confinamientos en China, la epidemia de coronavirus llevó también a la paralización de Europa y Estados Unidos, grandes consumidores de petróleo. El experto considera que progresivamente oferta y demanda de crudo se irán encontrando pero advierte que no se puede predecir cuándo ocurrirá dependerá de la evolución del coronavirus. Destaca que, por lo pronto, los precios de futuro del WTI -que sirve de referencia para todo el crudo estadounidense- para junio se ubican en terreno positivo (este lunes cerraron en torno a US$ 20,43), por la esperanza de los mercados en que para entonces ya se haya iniciado la reactivación de la economía. Toro Hardy advierte, sin embargo, que la situación actual golpeará muy duro a los productores y sacará del mercado a aquellos que son más ineficientes o cuyos costos de producción son muy elevados…</w:t>
      </w:r>
    </w:p>
    <w:p w:rsidR="00B849A0" w:rsidRDefault="00B849A0" w:rsidP="00B849A0">
      <w:pPr>
        <w:pStyle w:val="NormalWeb"/>
        <w:spacing w:after="0"/>
        <w:jc w:val="both"/>
        <w:textAlignment w:val="baseline"/>
      </w:pPr>
      <w:r>
        <w:t xml:space="preserve">- </w:t>
      </w:r>
      <w:r>
        <w:rPr>
          <w:u w:val="single"/>
        </w:rPr>
        <w:t>Cuánto durará el “supercontango”</w:t>
      </w:r>
      <w:r w:rsidRPr="000F2777">
        <w:rPr>
          <w:u w:val="single"/>
        </w:rPr>
        <w:t xml:space="preserve"> en el petróleo</w:t>
      </w:r>
      <w:r>
        <w:t xml:space="preserve"> (Expansión - </w:t>
      </w:r>
      <w:r w:rsidRPr="000F2777">
        <w:rPr>
          <w:b/>
        </w:rPr>
        <w:t>21/4/20</w:t>
      </w:r>
      <w:r>
        <w:t>)</w:t>
      </w:r>
    </w:p>
    <w:p w:rsidR="00B849A0" w:rsidRDefault="00B849A0" w:rsidP="00B849A0">
      <w:pPr>
        <w:pStyle w:val="NormalWeb"/>
        <w:spacing w:after="0"/>
        <w:jc w:val="both"/>
        <w:textAlignment w:val="baseline"/>
      </w:pPr>
      <w:r>
        <w:t>Más allá del desequilibrio entre oferta y demanda, el mercado del petróleo afronta otro desequilibrio que agrava el colapso al más corto plazo. El contango, la situación en la que el precio al contado es inferior al precio a futuro, se dispara a cifras récord que multiplican más de 100 veces el nivel habitual. Las diferencias a un mes vista alcanzaron ayer los 58 dólares.</w:t>
      </w:r>
    </w:p>
    <w:p w:rsidR="00B849A0" w:rsidRDefault="00B849A0" w:rsidP="00B849A0">
      <w:pPr>
        <w:pStyle w:val="NormalWeb"/>
        <w:spacing w:after="0"/>
        <w:jc w:val="both"/>
        <w:textAlignment w:val="baseline"/>
      </w:pPr>
      <w:r>
        <w:t>Los analistas lo venían advirtiendo durante las últimas semanas: el descuento histórico con el que cotiza el petróleo en EEUU respecto a los contratos a futuro supone un estímulo añadido para el almacenamiento de crudo, justo cuando el mayor riesgo que afronta en la actualidad el mercado es que los almacenes se vean desbordados por el excedente récord de crudo. El mercado del petróleo no había vivido una caída tan abrupta de la demanda, y de ahí el “agujero” del que advierten algunos analistas. En otras crisis el descenso de la demanda es más progresivo. En esta ocasión, debido a las medidas de confinamiento, la magnitud del desplome es muy superior.</w:t>
      </w:r>
    </w:p>
    <w:p w:rsidR="00B849A0" w:rsidRDefault="00B849A0" w:rsidP="00B849A0">
      <w:pPr>
        <w:pStyle w:val="NormalWeb"/>
        <w:spacing w:after="0"/>
        <w:jc w:val="both"/>
        <w:textAlignment w:val="baseline"/>
      </w:pPr>
      <w:r>
        <w:t>Como señalan desde Rabobank, “si la demanda baja un 30% y la OPEP reduce el suministro un 10%, todavía existe una gran diferencia”. El recorte histórico de la denominada OPEP+ (los países de la OPEP más aliados como Rusia) pierde todo efecto cuando el desplome de la demanda es muy superior, como apuntaban los analistas de Julius Baer.</w:t>
      </w:r>
    </w:p>
    <w:p w:rsidR="00B849A0" w:rsidRDefault="00B849A0" w:rsidP="00B849A0">
      <w:pPr>
        <w:pStyle w:val="NormalWeb"/>
        <w:spacing w:after="0"/>
        <w:jc w:val="both"/>
        <w:textAlignment w:val="baseline"/>
      </w:pPr>
      <w:r>
        <w:t xml:space="preserve">El contexto es el ideal para desencadenar un “supercontango”, como lo califican desde Citigroup. La dificultad para encontrar compradores de petróleo en un mes en el que la </w:t>
      </w:r>
      <w:r>
        <w:lastRenderedPageBreak/>
        <w:t>demanda podría desplomarse un 30% provoca precios de saldo para intentar dar salida a la producción. Los recortes en el bombeo acordados por la OPEP+, además, no entrarán en vigor hasta mayo, y podrían no tocar suelo hasta junio.</w:t>
      </w:r>
    </w:p>
    <w:p w:rsidR="00B849A0" w:rsidRDefault="00B849A0" w:rsidP="00B849A0">
      <w:pPr>
        <w:pStyle w:val="NormalWeb"/>
        <w:spacing w:after="0"/>
        <w:jc w:val="both"/>
        <w:textAlignment w:val="baseline"/>
      </w:pPr>
      <w:r>
        <w:t>El desplome adicional en el precio de los contratos de mayo del barril tipo West Texas se han agravado a medida que se ha acercado la fecha de hoy, en la que expira su vigencia. Según ING, los inversores han deshecho posiciones de manera acelerada para “pasarse” al contrato de junio.</w:t>
      </w:r>
    </w:p>
    <w:p w:rsidR="00B849A0" w:rsidRDefault="00B849A0" w:rsidP="00B849A0">
      <w:pPr>
        <w:pStyle w:val="NormalWeb"/>
        <w:spacing w:after="0"/>
        <w:jc w:val="both"/>
        <w:textAlignment w:val="baseline"/>
      </w:pPr>
      <w:r>
        <w:t>La curva del “supercontango”</w:t>
      </w:r>
    </w:p>
    <w:p w:rsidR="00B849A0" w:rsidRDefault="00B849A0" w:rsidP="00B849A0">
      <w:pPr>
        <w:pStyle w:val="NormalWeb"/>
        <w:spacing w:after="0"/>
        <w:jc w:val="both"/>
        <w:textAlignment w:val="baseline"/>
      </w:pPr>
      <w:r>
        <w:t>Cuando la demanda sufre un desplome histórico y el contrato de mayo del West Texas se ha derrumbado en un crash histórico a precios negativos, hasta los -37 dólares al cierre de ayer, el diferencial respeto al precio del contrato de junio (21 dólares al cierre de ayer) se dispara a 58 dólares. Con esta diferencia el aliciente para no vender y esperar precios más atractivos es evidente. El diferencial actual supone multiplicar por más de 100 el margen de 0,40-0,50 dólares predominante entre contratos a un mes vista en mercados “normales”, sin el desequilibrio actual provocado por el derrumbe de la demanda a causa de la paralización de las economías por el coronavirus.</w:t>
      </w:r>
    </w:p>
    <w:p w:rsidR="00B849A0" w:rsidRDefault="00B849A0" w:rsidP="00B849A0">
      <w:pPr>
        <w:pStyle w:val="NormalWeb"/>
        <w:spacing w:after="0"/>
        <w:jc w:val="both"/>
        <w:textAlignment w:val="baseline"/>
      </w:pPr>
      <w:r>
        <w:t>Este “supercontango”, como señalan desde Citigroup, no se limita ni mucho menos al más corto plazo. El diferencial de precios entre el contrato de mayo, que expira hoy, y el de julio se amplía a 64 dólares. La cuantía se eleva a 66 dólares respecto al contrato de agosto, y se dispara al borde de los 70 dólares frente al contrato de diciembre. Esta curva tan pronunciada de precios, sin precedentes, va acorde con el diferencial extremo en los retornos esperados si la venta se materializara en meses venideros.</w:t>
      </w:r>
    </w:p>
    <w:p w:rsidR="00B849A0" w:rsidRDefault="00B849A0" w:rsidP="00B849A0">
      <w:pPr>
        <w:pStyle w:val="NormalWeb"/>
        <w:spacing w:after="0"/>
        <w:jc w:val="both"/>
        <w:textAlignment w:val="baseline"/>
      </w:pPr>
      <w:r>
        <w:t>De acuerdo con los analistas de Citigroup, la curva de precios podría no aplanarse hasta el tercer trimestre del año, y tomando como referencia lo sucedido en 1998-2000 y en la crisis de 2008, apuntan que serían necesarios otros 3-6 meses para que el mercado diera un vuelco y el “supercontango” dejara paso a un “superbackwardation”, la situación en la que el precio al contado es superior al de los precios a futuro.</w:t>
      </w:r>
    </w:p>
    <w:p w:rsidR="00B849A0" w:rsidRDefault="00B849A0" w:rsidP="00B849A0">
      <w:pPr>
        <w:pStyle w:val="NormalWeb"/>
        <w:spacing w:after="0"/>
        <w:jc w:val="both"/>
        <w:textAlignment w:val="baseline"/>
      </w:pPr>
      <w:r>
        <w:t>Detrás de este vuelco estaría el giro esperado en las cifras de inventarios de crudo. Citi prevé un aumento récord de las reservas en el segundo trimestre, debido al derrumbe de la demanda. Pero también vaticina un descenso récord de los inventarios en el tercer trimestre del año al reflejar tanto la reactivación de la demanda como la materialización de los recortes previstos en la producción. Los acordados por la denominada OPEP+ entrarán en vigor a partir del 1 de mayo. La magnitud del desequilibrio del mercado en el segundo trimestre, con las alertas centradas en la capacidad de almacenamiento del excedente previsto, daría paso a un periodo de seis trimestres consecutivos de caída en los stocks, según las estimaciones barajadas por Citigroup. A la espera de la confirmación de estas previsiones, los niveles actuales de contango añaden más presión al mercado del petróleo en su peor mes de la historia, según lo reconoció la OPEP. Queda por ver si esta situación extrema acaba corroborando las predicciones más extremas surgidas hace un mes, y que auguraban una eventual caída del petróleo a cero dólares.</w:t>
      </w:r>
    </w:p>
    <w:p w:rsidR="00B849A0" w:rsidRDefault="00B849A0" w:rsidP="00B849A0">
      <w:pPr>
        <w:spacing w:line="240" w:lineRule="auto"/>
        <w:jc w:val="both"/>
        <w:rPr>
          <w:rFonts w:ascii="Times New Roman" w:hAnsi="Times New Roman" w:cs="Times New Roman"/>
          <w:b/>
          <w:sz w:val="24"/>
          <w:szCs w:val="24"/>
        </w:rPr>
      </w:pPr>
      <w:r>
        <w:rPr>
          <w:rFonts w:ascii="Times New Roman" w:hAnsi="Times New Roman" w:cs="Times New Roman"/>
          <w:b/>
          <w:sz w:val="24"/>
          <w:szCs w:val="24"/>
        </w:rPr>
        <w:t>Para hacerla corta (la verdad de la milanesa): con la crisis del Covid 19, nos vamos todos a la mierda (económicamente hablando), pero lo peor, es que la mierda no va a alcanzar para todos (socialmente hablando). O sea.</w:t>
      </w:r>
    </w:p>
    <w:p w:rsidR="00736E56" w:rsidRDefault="00736E56" w:rsidP="00B849A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Hasta aquí, lo publicado en el </w:t>
      </w:r>
      <w:r w:rsidR="00951729">
        <w:rPr>
          <w:rFonts w:ascii="Times New Roman" w:hAnsi="Times New Roman" w:cs="Times New Roman"/>
          <w:b/>
          <w:sz w:val="24"/>
          <w:szCs w:val="24"/>
        </w:rPr>
        <w:t>Paper anterior, ahora agrego nueva</w:t>
      </w:r>
      <w:r>
        <w:rPr>
          <w:rFonts w:ascii="Times New Roman" w:hAnsi="Times New Roman" w:cs="Times New Roman"/>
          <w:b/>
          <w:sz w:val="24"/>
          <w:szCs w:val="24"/>
        </w:rPr>
        <w:t xml:space="preserve"> información:</w:t>
      </w:r>
    </w:p>
    <w:p w:rsidR="008B1366" w:rsidRPr="002C51B5" w:rsidRDefault="008B1366" w:rsidP="008B136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C51B5">
        <w:rPr>
          <w:rFonts w:ascii="Times New Roman" w:hAnsi="Times New Roman" w:cs="Times New Roman"/>
          <w:sz w:val="24"/>
          <w:szCs w:val="24"/>
          <w:u w:val="single"/>
        </w:rPr>
        <w:t>Estados Unidos debe prepararse para una epidemia de quiebras</w:t>
      </w:r>
      <w:r>
        <w:rPr>
          <w:rFonts w:ascii="Times New Roman" w:hAnsi="Times New Roman" w:cs="Times New Roman"/>
          <w:sz w:val="24"/>
          <w:szCs w:val="24"/>
        </w:rPr>
        <w:t xml:space="preserve"> (Project Syndicate - </w:t>
      </w:r>
      <w:r w:rsidRPr="002C51B5">
        <w:rPr>
          <w:rFonts w:ascii="Times New Roman" w:hAnsi="Times New Roman" w:cs="Times New Roman"/>
          <w:b/>
          <w:sz w:val="24"/>
          <w:szCs w:val="24"/>
        </w:rPr>
        <w:t>5/5/20</w:t>
      </w:r>
      <w:r>
        <w:rPr>
          <w:rFonts w:ascii="Times New Roman" w:hAnsi="Times New Roman" w:cs="Times New Roman"/>
          <w:sz w:val="24"/>
          <w:szCs w:val="24"/>
        </w:rPr>
        <w:t>)</w:t>
      </w:r>
    </w:p>
    <w:p w:rsidR="008B1366" w:rsidRPr="00E200F7" w:rsidRDefault="008B1366" w:rsidP="008B1366">
      <w:pPr>
        <w:spacing w:line="240" w:lineRule="auto"/>
        <w:jc w:val="both"/>
        <w:rPr>
          <w:rFonts w:ascii="Times New Roman" w:hAnsi="Times New Roman" w:cs="Times New Roman"/>
          <w:color w:val="FF0000"/>
          <w:sz w:val="24"/>
          <w:szCs w:val="24"/>
          <w:u w:val="single"/>
        </w:rPr>
      </w:pPr>
      <w:r w:rsidRPr="002C51B5">
        <w:rPr>
          <w:rFonts w:ascii="Times New Roman" w:hAnsi="Times New Roman" w:cs="Times New Roman"/>
          <w:sz w:val="24"/>
          <w:szCs w:val="24"/>
        </w:rPr>
        <w:t>P</w:t>
      </w:r>
      <w:r w:rsidR="00951729">
        <w:rPr>
          <w:rFonts w:ascii="Times New Roman" w:hAnsi="Times New Roman" w:cs="Times New Roman"/>
          <w:sz w:val="24"/>
          <w:szCs w:val="24"/>
        </w:rPr>
        <w:t xml:space="preserve">rovo/Cambridge.- </w:t>
      </w:r>
      <w:r w:rsidRPr="00E200F7">
        <w:rPr>
          <w:rFonts w:ascii="Times New Roman" w:hAnsi="Times New Roman" w:cs="Times New Roman"/>
          <w:color w:val="FF0000"/>
          <w:sz w:val="24"/>
          <w:szCs w:val="24"/>
          <w:u w:val="single"/>
        </w:rPr>
        <w:t>Hace poco, Neiman Marcus y J. C. Penney, dos grandes cadenas minoristas estadounidenses, incumplieron el pago de intereses de sus deudas</w:t>
      </w:r>
      <w:r w:rsidRPr="002C51B5">
        <w:rPr>
          <w:rFonts w:ascii="Times New Roman" w:hAnsi="Times New Roman" w:cs="Times New Roman"/>
          <w:sz w:val="24"/>
          <w:szCs w:val="24"/>
        </w:rPr>
        <w:t xml:space="preserve">. </w:t>
      </w:r>
      <w:r w:rsidRPr="00E200F7">
        <w:rPr>
          <w:rFonts w:ascii="Times New Roman" w:hAnsi="Times New Roman" w:cs="Times New Roman"/>
          <w:sz w:val="24"/>
          <w:szCs w:val="24"/>
          <w:u w:val="single"/>
        </w:rPr>
        <w:t>Es de prever que una de las dos empresas o ambas iniciarán en breve el procedimiento concursal; será un preanuncio de una ola de quiebras en Estados Unidos por la pandemia de COVID‑19</w:t>
      </w:r>
      <w:r w:rsidRPr="002C51B5">
        <w:rPr>
          <w:rFonts w:ascii="Times New Roman" w:hAnsi="Times New Roman" w:cs="Times New Roman"/>
          <w:sz w:val="24"/>
          <w:szCs w:val="24"/>
        </w:rPr>
        <w:t xml:space="preserve">. Y como </w:t>
      </w:r>
      <w:r w:rsidRPr="00E200F7">
        <w:rPr>
          <w:rFonts w:ascii="Times New Roman" w:hAnsi="Times New Roman" w:cs="Times New Roman"/>
          <w:color w:val="FF0000"/>
          <w:sz w:val="24"/>
          <w:szCs w:val="24"/>
          <w:u w:val="single"/>
        </w:rPr>
        <w:t>la mayoría de los hogares estadounidenses hoy carecen de efectivo para pagar tres meses de gastos, también se declararán en bancarrota muchas familias y personas.</w:t>
      </w:r>
    </w:p>
    <w:p w:rsidR="008B1366" w:rsidRPr="00E200F7" w:rsidRDefault="008B1366" w:rsidP="008B1366">
      <w:pPr>
        <w:spacing w:line="240" w:lineRule="auto"/>
        <w:jc w:val="both"/>
        <w:rPr>
          <w:rFonts w:ascii="Times New Roman" w:hAnsi="Times New Roman" w:cs="Times New Roman"/>
          <w:color w:val="FF0000"/>
          <w:sz w:val="24"/>
          <w:szCs w:val="24"/>
          <w:u w:val="single"/>
        </w:rPr>
      </w:pPr>
      <w:r w:rsidRPr="00E200F7">
        <w:rPr>
          <w:rFonts w:ascii="Times New Roman" w:hAnsi="Times New Roman" w:cs="Times New Roman"/>
          <w:color w:val="FF0000"/>
          <w:sz w:val="24"/>
          <w:szCs w:val="24"/>
          <w:u w:val="single"/>
        </w:rPr>
        <w:t>Puede que antes de que pase mucho tiempo, Estados Unidos enfrente una tríada de millones de consumidores insolventes, miles de quiebras de pequeñas empresas y numerosas bancarrotas de grandes empresas que cotizan en bolsa, con industrias enteras quebrando al unísono.</w:t>
      </w:r>
    </w:p>
    <w:p w:rsidR="008B1366" w:rsidRPr="00E200F7" w:rsidRDefault="008B1366" w:rsidP="008B1366">
      <w:pPr>
        <w:spacing w:line="240" w:lineRule="auto"/>
        <w:jc w:val="both"/>
        <w:rPr>
          <w:rFonts w:ascii="Times New Roman" w:hAnsi="Times New Roman" w:cs="Times New Roman"/>
          <w:sz w:val="24"/>
          <w:szCs w:val="24"/>
          <w:u w:val="single"/>
        </w:rPr>
      </w:pPr>
      <w:r w:rsidRPr="002C51B5">
        <w:rPr>
          <w:rFonts w:ascii="Times New Roman" w:hAnsi="Times New Roman" w:cs="Times New Roman"/>
          <w:sz w:val="24"/>
          <w:szCs w:val="24"/>
        </w:rPr>
        <w:t xml:space="preserve">La historia de los Estados Unidos muestra que los procedimientos de quiebra alcanzan un máximo algunos meses después de un gran aumento del desempleo. Y hoy </w:t>
      </w:r>
      <w:r w:rsidRPr="00E200F7">
        <w:rPr>
          <w:rFonts w:ascii="Times New Roman" w:hAnsi="Times New Roman" w:cs="Times New Roman"/>
          <w:sz w:val="24"/>
          <w:szCs w:val="24"/>
          <w:u w:val="single"/>
        </w:rPr>
        <w:t>el desempleo en Estados Unidos está creciendo a un ritmo inédito; en las últimas seis semanas se presentaron más de 30 millones de pedidos de ayuda por desempleo. Si la pauta histórica se mantiene en los meses venideros, puede que el sistema judicial estadounidense experimente la mayor ola de bancarrotas de su historia.</w:t>
      </w:r>
    </w:p>
    <w:p w:rsidR="008B1366" w:rsidRPr="002C51B5" w:rsidRDefault="008B1366" w:rsidP="008B1366">
      <w:pPr>
        <w:spacing w:line="240" w:lineRule="auto"/>
        <w:jc w:val="both"/>
        <w:rPr>
          <w:rFonts w:ascii="Times New Roman" w:hAnsi="Times New Roman" w:cs="Times New Roman"/>
          <w:sz w:val="24"/>
          <w:szCs w:val="24"/>
        </w:rPr>
      </w:pPr>
      <w:r>
        <w:rPr>
          <w:noProof/>
          <w:lang w:eastAsia="es-ES"/>
        </w:rPr>
        <w:drawing>
          <wp:inline distT="0" distB="0" distL="0" distR="0" wp14:anchorId="350CDDF2" wp14:editId="49AB55F8">
            <wp:extent cx="5731276" cy="3449170"/>
            <wp:effectExtent l="0" t="0" r="3175" b="0"/>
            <wp:docPr id="4" name="Imagen 4" descr="https://webapi.project-syndicate.org/library/2b93e7699c606c1f7cfffb85ae79215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ebapi.project-syndicate.org/library/2b93e7699c606c1f7cfffb85ae79215e.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31510" cy="3449311"/>
                    </a:xfrm>
                    <a:prstGeom prst="rect">
                      <a:avLst/>
                    </a:prstGeom>
                    <a:noFill/>
                    <a:ln>
                      <a:noFill/>
                    </a:ln>
                  </pic:spPr>
                </pic:pic>
              </a:graphicData>
            </a:graphic>
          </wp:inline>
        </w:drawing>
      </w:r>
    </w:p>
    <w:p w:rsidR="008B1366" w:rsidRPr="002C51B5" w:rsidRDefault="008B1366" w:rsidP="008B1366">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En tiempos normales, los procedimientos de quiebra son bastante ágiles y eficaces, en particular en lo referido a la reestructuración de grandes empresas que cotizan en bolsa. Pero no sucederá lo mismo (y la economía resultará perjudicada) si se produce una sobrecarga del sistema y las empresas quedan atasc</w:t>
      </w:r>
      <w:r>
        <w:rPr>
          <w:rFonts w:ascii="Times New Roman" w:hAnsi="Times New Roman" w:cs="Times New Roman"/>
          <w:sz w:val="24"/>
          <w:szCs w:val="24"/>
        </w:rPr>
        <w:t>adas en procedimientos legales.</w:t>
      </w:r>
    </w:p>
    <w:p w:rsidR="008B1366" w:rsidRPr="002C51B5" w:rsidRDefault="008B1366" w:rsidP="008B1366">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 xml:space="preserve">Si hubiera una ola de quiebras como la que ocurrió después de la crisis financiera de 2008‑10, calculamos entonces, sobre la base del tiempo que lleva cada caso, que los jueces concursales estadounidenses tendrán que trabajar alrededor de 50 horas por semana para seguir el ritmo. </w:t>
      </w:r>
      <w:r w:rsidRPr="00E200F7">
        <w:rPr>
          <w:rFonts w:ascii="Times New Roman" w:hAnsi="Times New Roman" w:cs="Times New Roman"/>
          <w:color w:val="FF0000"/>
          <w:sz w:val="24"/>
          <w:szCs w:val="24"/>
          <w:u w:val="single"/>
        </w:rPr>
        <w:lastRenderedPageBreak/>
        <w:t>En la práctica, puesto que la economía ya está experimentando una contracción más marcada que durante el derrumbe financiero de 2008, es posible que la ola de quiebras duplique a la de 2010. Incluso si se declarara en bancarrota un minúsculo 0,9% de los 30 millones de nuevos desempleados, habría más casos que en el pico de 2010</w:t>
      </w:r>
      <w:r w:rsidRPr="002C51B5">
        <w:rPr>
          <w:rFonts w:ascii="Times New Roman" w:hAnsi="Times New Roman" w:cs="Times New Roman"/>
          <w:sz w:val="24"/>
          <w:szCs w:val="24"/>
        </w:rPr>
        <w:t>. No podemos esperar que los jueces concursales trabajen 100 horas por semana. Tendrán que abreviar y priorizar algunos casos descuidando otros.</w:t>
      </w:r>
    </w:p>
    <w:p w:rsidR="008B1366" w:rsidRPr="008B1366" w:rsidRDefault="008B1366" w:rsidP="008B1366">
      <w:pPr>
        <w:spacing w:line="240" w:lineRule="auto"/>
        <w:jc w:val="both"/>
        <w:rPr>
          <w:rFonts w:ascii="Times New Roman" w:hAnsi="Times New Roman" w:cs="Times New Roman"/>
          <w:sz w:val="24"/>
          <w:szCs w:val="24"/>
          <w:u w:val="single"/>
        </w:rPr>
      </w:pPr>
      <w:r w:rsidRPr="00E200F7">
        <w:rPr>
          <w:rFonts w:ascii="Times New Roman" w:hAnsi="Times New Roman" w:cs="Times New Roman"/>
          <w:sz w:val="24"/>
          <w:szCs w:val="24"/>
          <w:u w:val="single"/>
        </w:rPr>
        <w:t>En lo inmediato, algunas quiebras en Estados Unidos se evitarán gracias al apoyo estatal conforme a la Ley de Ayuda, Alivio y Seguridad Económica ante el Coronavirus (CARES). Pero muchas empresas seguirán teniendo problemas para cumplir sus obligaciones con acreedores, empleados y proveedores. Y luego seguirán siendo incapaces de pagar sus deudas, lo mismo que Neiman Marcus, J. C. Penney y buena parte de la industria petrolera. En la crisis de 2008‑10 un aumento sustancial de la ayuda económica del gobierno no lo</w:t>
      </w:r>
      <w:r>
        <w:rPr>
          <w:rFonts w:ascii="Times New Roman" w:hAnsi="Times New Roman" w:cs="Times New Roman"/>
          <w:sz w:val="24"/>
          <w:szCs w:val="24"/>
          <w:u w:val="single"/>
        </w:rPr>
        <w:t>gró evitar una ola de quiebras.</w:t>
      </w:r>
    </w:p>
    <w:p w:rsidR="008B1366" w:rsidRPr="00E200F7" w:rsidRDefault="008B1366" w:rsidP="008B1366">
      <w:pPr>
        <w:spacing w:line="240" w:lineRule="auto"/>
        <w:jc w:val="both"/>
        <w:rPr>
          <w:rFonts w:ascii="Times New Roman" w:hAnsi="Times New Roman" w:cs="Times New Roman"/>
          <w:color w:val="FF0000"/>
          <w:sz w:val="24"/>
          <w:szCs w:val="24"/>
          <w:u w:val="single"/>
        </w:rPr>
      </w:pPr>
      <w:r w:rsidRPr="00E200F7">
        <w:rPr>
          <w:rFonts w:ascii="Times New Roman" w:hAnsi="Times New Roman" w:cs="Times New Roman"/>
          <w:color w:val="FF0000"/>
          <w:sz w:val="24"/>
          <w:szCs w:val="24"/>
          <w:u w:val="single"/>
        </w:rPr>
        <w:t>Contra lo que muchos piensan, la quiebra no es el final, sobre todo para las empresas con un modelo de negocios subyacente viable que cotizan en bolsa. Mientras la empresa pueda hacer dinero, la quiebra no es sinónimo de cierre y liquidación. Si hay recursos adecuados, los jueces concursales son muy capaces de reestructurar las empresas para hacerlas viables y competitivas. Por ejemplo, en las últimas décadas, la mayoría de las aerolíneas estadounidenses quebraron, se reestructuraron, y salieron de ello en buen estado. Además, la quiebra permite a los dueños de pequeñas empresas (por ejemplo, restoranes) que fracasan dejar las deudas atrás y empezar de nuevo. De modo que mantener un funcionamiento eficaz del sistema concursal es importante para el buen estado de la economía estadounidense.</w:t>
      </w:r>
    </w:p>
    <w:p w:rsidR="008B1366" w:rsidRPr="002C51B5" w:rsidRDefault="008B1366" w:rsidP="008B1366">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La saturación de los tribunales concursales tendrá un efecto de retroalimentación negativo sobre la economía. Para empezar, se necesitan procedimientos especiales para que las empresas quebradas paguen a los proveedores cruciales y, a veces, a los empleados. Si los tribunales se retrasan, estos pagos se demorarán, y los efectos se extenderán a lo larg</w:t>
      </w:r>
      <w:r>
        <w:rPr>
          <w:rFonts w:ascii="Times New Roman" w:hAnsi="Times New Roman" w:cs="Times New Roman"/>
          <w:sz w:val="24"/>
          <w:szCs w:val="24"/>
        </w:rPr>
        <w:t>o de las cadenas de suministro.</w:t>
      </w:r>
    </w:p>
    <w:p w:rsidR="008B1366" w:rsidRPr="002C51B5" w:rsidRDefault="008B1366" w:rsidP="008B1366">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Además, en los procedimientos de quiebra hay algunas decisiones que se deben tomar casi de inmediato, para que las empresas puedan reunir y conservar dinero suficiente para sobrevivir al próximo pago de sueldos. Uno de los autores publicó hace poco un estudio donde muestra que cuando los tribunales concursales se saturan, la resolución de los casos lleva más tiempo, demasiadas empresas pequeñas terminan liquidadas, y los acreedores recuperan una parte</w:t>
      </w:r>
      <w:r>
        <w:rPr>
          <w:rFonts w:ascii="Times New Roman" w:hAnsi="Times New Roman" w:cs="Times New Roman"/>
          <w:sz w:val="24"/>
          <w:szCs w:val="24"/>
        </w:rPr>
        <w:t xml:space="preserve"> menor de lo que se les adeuda.</w:t>
      </w:r>
    </w:p>
    <w:p w:rsidR="008B1366" w:rsidRPr="002C51B5" w:rsidRDefault="008B1366" w:rsidP="008B1366">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Para colmo, las empresas que estén al borde de la bancarrota en unos pocos meses estarán demasiado endeudadas para funcionar en forma efectiva. En esas condiciones, es común que las empresas no quieran o no puedan encarar proyectos comerciales por ventajosos que sean, lo que reducirá todavía más sus niveles de contratación e inversión. Ahora esas empresas sobreendeudadas pueden declararse en quiebra y reestructurarse rápidamente; pero de aquí a seis meses eso no será posible si los t</w:t>
      </w:r>
      <w:r>
        <w:rPr>
          <w:rFonts w:ascii="Times New Roman" w:hAnsi="Times New Roman" w:cs="Times New Roman"/>
          <w:sz w:val="24"/>
          <w:szCs w:val="24"/>
        </w:rPr>
        <w:t>ribunales estuvieran saturados.</w:t>
      </w:r>
    </w:p>
    <w:p w:rsidR="008B1366" w:rsidRPr="002C51B5" w:rsidRDefault="008B1366" w:rsidP="008B1366">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Encima, el 65% de los jueces concursales estadounidenses tienen más de 60 años. Como el coronavirus les dará motivos para teletrabajar, prescindirán de las reuniones «a puertas cerradas» donde es común que se llegue a un acuer</w:t>
      </w:r>
      <w:r>
        <w:rPr>
          <w:rFonts w:ascii="Times New Roman" w:hAnsi="Times New Roman" w:cs="Times New Roman"/>
          <w:sz w:val="24"/>
          <w:szCs w:val="24"/>
        </w:rPr>
        <w:t>do entre deudores y acreedores.</w:t>
      </w:r>
    </w:p>
    <w:p w:rsidR="008B1366" w:rsidRPr="002C51B5" w:rsidRDefault="008B1366" w:rsidP="008B1366">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Es un panorama sombrío, pero si la pauta histórica se mantiene y los pedidos de quiebra alcanzan un máximo varios meses después del inicio de una recesión, todavía hay una ventana para la acción. Si esta vez el pico de quiebras llega a</w:t>
      </w:r>
      <w:r>
        <w:rPr>
          <w:rFonts w:ascii="Times New Roman" w:hAnsi="Times New Roman" w:cs="Times New Roman"/>
          <w:sz w:val="24"/>
          <w:szCs w:val="24"/>
        </w:rPr>
        <w:t>ntes, no hay tiempo que perder.</w:t>
      </w:r>
    </w:p>
    <w:p w:rsidR="008B1366" w:rsidRPr="002C51B5" w:rsidRDefault="008B1366" w:rsidP="008B1366">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lastRenderedPageBreak/>
        <w:t>El Congreso de los Estados Unidos debe duplicar la cantidad de jueces concursales y su correspondiente personal auxiliar. En particular, los legisladores deben crear nuevos juzgados temporales, reasignar otros jueces federales y trasladar jueces concursales de tribunales menos atareados a otros lugares do</w:t>
      </w:r>
      <w:r>
        <w:rPr>
          <w:rFonts w:ascii="Times New Roman" w:hAnsi="Times New Roman" w:cs="Times New Roman"/>
          <w:sz w:val="24"/>
          <w:szCs w:val="24"/>
        </w:rPr>
        <w:t>nde se los necesite más.</w:t>
      </w:r>
    </w:p>
    <w:p w:rsidR="008B1366" w:rsidRPr="002C51B5" w:rsidRDefault="008B1366" w:rsidP="008B1366">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Son medidas poco costosas y muy rendidoras. Aunque la naturaleza cada vez más partidista de las nominaciones judiciales puede provocar algunas vacilaciones en el Congreso, la designación de jueces concursales es competencia de los tribunales de apelación federales, no del presidente, y no depende de la aprobación del Senado. El partidismo no debe impedir una ampliación de la capacidad</w:t>
      </w:r>
      <w:r>
        <w:rPr>
          <w:rFonts w:ascii="Times New Roman" w:hAnsi="Times New Roman" w:cs="Times New Roman"/>
          <w:sz w:val="24"/>
          <w:szCs w:val="24"/>
        </w:rPr>
        <w:t xml:space="preserve"> de los tribunales concursales.</w:t>
      </w:r>
    </w:p>
    <w:p w:rsidR="008B1366" w:rsidRPr="002C51B5" w:rsidRDefault="008B1366" w:rsidP="008B1366">
      <w:pPr>
        <w:spacing w:line="240" w:lineRule="auto"/>
        <w:jc w:val="both"/>
        <w:rPr>
          <w:rFonts w:ascii="Times New Roman" w:hAnsi="Times New Roman" w:cs="Times New Roman"/>
          <w:sz w:val="24"/>
          <w:szCs w:val="24"/>
        </w:rPr>
      </w:pPr>
      <w:r w:rsidRPr="002C51B5">
        <w:rPr>
          <w:rFonts w:ascii="Times New Roman" w:hAnsi="Times New Roman" w:cs="Times New Roman"/>
          <w:sz w:val="24"/>
          <w:szCs w:val="24"/>
        </w:rPr>
        <w:t>Tenemos que reforzar esa capacidad ahora, así como quisiéramos haber incrementado la capacidad del sistema sanitario para enfrentar la COVID‑19 hace meses. Aunque la mejor solución para la amenaza de una sobrecarga de bancarrotas es que la crisis sanitaria termine lo antes posible y haya una recuperación económica rápida, no podemos depender de eso. Todavía tenemos tiempo de ventaja para asegurar el equivalente empresarial de los kits de testeo y respiradores que faltan: no repitamos el error de desaprovecharlo.</w:t>
      </w:r>
    </w:p>
    <w:p w:rsidR="008B1366" w:rsidRDefault="008B1366" w:rsidP="008B136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2C51B5">
        <w:rPr>
          <w:rFonts w:ascii="Times New Roman" w:hAnsi="Times New Roman" w:cs="Times New Roman"/>
          <w:sz w:val="24"/>
          <w:szCs w:val="24"/>
          <w:lang w:val="en-US"/>
        </w:rPr>
        <w:t>Ben Iverson is a profess</w:t>
      </w:r>
      <w:r>
        <w:rPr>
          <w:rFonts w:ascii="Times New Roman" w:hAnsi="Times New Roman" w:cs="Times New Roman"/>
          <w:sz w:val="24"/>
          <w:szCs w:val="24"/>
          <w:lang w:val="en-US"/>
        </w:rPr>
        <w:t xml:space="preserve">or at Brigham Young University. </w:t>
      </w:r>
      <w:r w:rsidRPr="002C51B5">
        <w:rPr>
          <w:rFonts w:ascii="Times New Roman" w:hAnsi="Times New Roman" w:cs="Times New Roman"/>
          <w:sz w:val="24"/>
          <w:szCs w:val="24"/>
          <w:lang w:val="en-US"/>
        </w:rPr>
        <w:t>Mark Roe is a professor at Harvard Law School. He is the author of studies of the impact of politics on corporate organization and corporate governance in the Uni</w:t>
      </w:r>
      <w:r>
        <w:rPr>
          <w:rFonts w:ascii="Times New Roman" w:hAnsi="Times New Roman" w:cs="Times New Roman"/>
          <w:sz w:val="24"/>
          <w:szCs w:val="24"/>
          <w:lang w:val="en-US"/>
        </w:rPr>
        <w:t>ted States and around the world)</w:t>
      </w:r>
    </w:p>
    <w:p w:rsidR="00736E56" w:rsidRDefault="00736E56" w:rsidP="008B1366">
      <w:pPr>
        <w:spacing w:line="240" w:lineRule="auto"/>
        <w:jc w:val="both"/>
        <w:rPr>
          <w:rFonts w:ascii="Times New Roman" w:hAnsi="Times New Roman" w:cs="Times New Roman"/>
          <w:sz w:val="24"/>
          <w:szCs w:val="24"/>
          <w:lang w:val="en-US"/>
        </w:rPr>
      </w:pPr>
    </w:p>
    <w:p w:rsidR="00344F06" w:rsidRDefault="00344F06" w:rsidP="008B1366">
      <w:pPr>
        <w:spacing w:line="240" w:lineRule="auto"/>
        <w:jc w:val="both"/>
        <w:rPr>
          <w:rFonts w:ascii="Times New Roman" w:hAnsi="Times New Roman" w:cs="Times New Roman"/>
          <w:sz w:val="24"/>
          <w:szCs w:val="24"/>
          <w:lang w:val="en-US"/>
        </w:rPr>
      </w:pPr>
      <w:r w:rsidRPr="00B7099E">
        <w:rPr>
          <w:rFonts w:ascii="Times New Roman" w:hAnsi="Times New Roman" w:cs="Times New Roman"/>
          <w:noProof/>
          <w:color w:val="FF0000"/>
          <w:sz w:val="24"/>
          <w:szCs w:val="24"/>
          <w:lang w:eastAsia="es-ES"/>
        </w:rPr>
        <w:drawing>
          <wp:inline distT="0" distB="0" distL="0" distR="0" wp14:anchorId="79B2CB16" wp14:editId="5B25F790">
            <wp:extent cx="5731510" cy="4028440"/>
            <wp:effectExtent l="0" t="0" r="254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4028440"/>
                    </a:xfrm>
                    <a:prstGeom prst="rect">
                      <a:avLst/>
                    </a:prstGeom>
                  </pic:spPr>
                </pic:pic>
              </a:graphicData>
            </a:graphic>
          </wp:inline>
        </w:drawing>
      </w:r>
    </w:p>
    <w:p w:rsidR="008B1366" w:rsidRPr="00344F06" w:rsidRDefault="00344F06" w:rsidP="00AC602C">
      <w:pPr>
        <w:spacing w:line="240" w:lineRule="auto"/>
        <w:jc w:val="both"/>
        <w:rPr>
          <w:rFonts w:ascii="Times New Roman" w:hAnsi="Times New Roman" w:cs="Times New Roman"/>
          <w:sz w:val="24"/>
          <w:szCs w:val="24"/>
          <w:lang w:val="en-US"/>
        </w:rPr>
      </w:pPr>
      <w:r w:rsidRPr="00B7099E">
        <w:rPr>
          <w:rFonts w:ascii="Times New Roman" w:hAnsi="Times New Roman" w:cs="Times New Roman"/>
          <w:sz w:val="24"/>
          <w:szCs w:val="24"/>
          <w:lang w:val="en-US"/>
        </w:rPr>
        <w:t xml:space="preserve">(Fuente: The Wall Street Journal </w:t>
      </w:r>
      <w:r>
        <w:rPr>
          <w:rFonts w:ascii="Times New Roman" w:hAnsi="Times New Roman" w:cs="Times New Roman"/>
          <w:sz w:val="24"/>
          <w:szCs w:val="24"/>
          <w:lang w:val="en-US"/>
        </w:rPr>
        <w:t>-</w:t>
      </w:r>
      <w:r w:rsidRPr="00B7099E">
        <w:rPr>
          <w:rFonts w:ascii="Times New Roman" w:hAnsi="Times New Roman" w:cs="Times New Roman"/>
          <w:sz w:val="24"/>
          <w:szCs w:val="24"/>
          <w:lang w:val="en-US"/>
        </w:rPr>
        <w:t xml:space="preserve"> </w:t>
      </w:r>
      <w:r w:rsidRPr="00B7099E">
        <w:rPr>
          <w:rFonts w:ascii="Times New Roman" w:hAnsi="Times New Roman" w:cs="Times New Roman"/>
          <w:b/>
          <w:sz w:val="24"/>
          <w:szCs w:val="24"/>
          <w:lang w:val="en-US"/>
        </w:rPr>
        <w:t>9/5/20</w:t>
      </w:r>
      <w:r>
        <w:rPr>
          <w:rFonts w:ascii="Times New Roman" w:hAnsi="Times New Roman" w:cs="Times New Roman"/>
          <w:sz w:val="24"/>
          <w:szCs w:val="24"/>
          <w:lang w:val="en-US"/>
        </w:rPr>
        <w:t>)</w:t>
      </w:r>
    </w:p>
    <w:p w:rsidR="00344F06" w:rsidRPr="008B1366" w:rsidRDefault="008B1366" w:rsidP="008B1366">
      <w:pPr>
        <w:spacing w:line="240" w:lineRule="auto"/>
        <w:jc w:val="both"/>
        <w:rPr>
          <w:rFonts w:ascii="Times New Roman" w:hAnsi="Times New Roman" w:cs="Times New Roman"/>
          <w:b/>
          <w:sz w:val="24"/>
          <w:szCs w:val="24"/>
        </w:rPr>
      </w:pPr>
      <w:r>
        <w:rPr>
          <w:noProof/>
          <w:lang w:eastAsia="es-ES"/>
        </w:rPr>
        <w:lastRenderedPageBreak/>
        <w:drawing>
          <wp:inline distT="0" distB="0" distL="0" distR="0" wp14:anchorId="25A31EB4" wp14:editId="7DDDAC0A">
            <wp:extent cx="5731510" cy="5731510"/>
            <wp:effectExtent l="0" t="0" r="2540" b="2540"/>
            <wp:docPr id="2" name="Imagen 2" descr="https://s03.s3c.es/imag/_v0/770x770/3/6/0/070520-europ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770/3/6/0/070520-europa.gif"/>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1510" cy="5731510"/>
                    </a:xfrm>
                    <a:prstGeom prst="rect">
                      <a:avLst/>
                    </a:prstGeom>
                    <a:noFill/>
                    <a:ln>
                      <a:noFill/>
                    </a:ln>
                  </pic:spPr>
                </pic:pic>
              </a:graphicData>
            </a:graphic>
          </wp:inline>
        </w:drawing>
      </w:r>
      <w:r w:rsidR="00344F06">
        <w:rPr>
          <w:rFonts w:ascii="Times New Roman" w:hAnsi="Times New Roman" w:cs="Times New Roman"/>
          <w:sz w:val="24"/>
          <w:szCs w:val="24"/>
        </w:rPr>
        <w:t>(</w:t>
      </w:r>
      <w:r>
        <w:rPr>
          <w:rFonts w:ascii="Times New Roman" w:hAnsi="Times New Roman" w:cs="Times New Roman"/>
          <w:sz w:val="24"/>
          <w:szCs w:val="24"/>
        </w:rPr>
        <w:t xml:space="preserve">Fuente: El Economista - </w:t>
      </w:r>
      <w:r w:rsidRPr="001E2439">
        <w:rPr>
          <w:rFonts w:ascii="Times New Roman" w:hAnsi="Times New Roman" w:cs="Times New Roman"/>
          <w:b/>
          <w:sz w:val="24"/>
          <w:szCs w:val="24"/>
        </w:rPr>
        <w:t>5/5/20</w:t>
      </w:r>
      <w:r w:rsidR="00344F06">
        <w:rPr>
          <w:rFonts w:ascii="Times New Roman" w:hAnsi="Times New Roman" w:cs="Times New Roman"/>
          <w:b/>
          <w:sz w:val="24"/>
          <w:szCs w:val="24"/>
        </w:rPr>
        <w:t>)</w:t>
      </w:r>
    </w:p>
    <w:p w:rsidR="00344F06" w:rsidRPr="00B9473F" w:rsidRDefault="00344F06" w:rsidP="00344F0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 </w:t>
      </w:r>
      <w:r w:rsidRPr="00B9473F">
        <w:rPr>
          <w:rFonts w:ascii="Times New Roman" w:hAnsi="Times New Roman" w:cs="Times New Roman"/>
          <w:sz w:val="24"/>
          <w:szCs w:val="24"/>
          <w:u w:val="single"/>
        </w:rPr>
        <w:t>Covid-19 vs. Gran Depresión: ¿cuál será peor?</w:t>
      </w:r>
      <w:r>
        <w:rPr>
          <w:rFonts w:ascii="Times New Roman" w:hAnsi="Times New Roman" w:cs="Times New Roman"/>
          <w:sz w:val="24"/>
          <w:szCs w:val="24"/>
        </w:rPr>
        <w:t xml:space="preserve"> </w:t>
      </w:r>
      <w:r w:rsidRPr="00B9473F">
        <w:rPr>
          <w:rFonts w:ascii="Times New Roman" w:hAnsi="Times New Roman" w:cs="Times New Roman"/>
          <w:sz w:val="24"/>
          <w:szCs w:val="24"/>
          <w:lang w:val="en-US"/>
        </w:rPr>
        <w:t xml:space="preserve">(The Wall Street Journal </w:t>
      </w:r>
      <w:r>
        <w:rPr>
          <w:rFonts w:ascii="Times New Roman" w:hAnsi="Times New Roman" w:cs="Times New Roman"/>
          <w:sz w:val="24"/>
          <w:szCs w:val="24"/>
          <w:lang w:val="en-US"/>
        </w:rPr>
        <w:t>-</w:t>
      </w:r>
      <w:r w:rsidRPr="00B9473F">
        <w:rPr>
          <w:rFonts w:ascii="Times New Roman" w:hAnsi="Times New Roman" w:cs="Times New Roman"/>
          <w:sz w:val="24"/>
          <w:szCs w:val="24"/>
          <w:lang w:val="en-US"/>
        </w:rPr>
        <w:t xml:space="preserve"> El C</w:t>
      </w:r>
      <w:r>
        <w:rPr>
          <w:rFonts w:ascii="Times New Roman" w:hAnsi="Times New Roman" w:cs="Times New Roman"/>
          <w:sz w:val="24"/>
          <w:szCs w:val="24"/>
          <w:lang w:val="en-US"/>
        </w:rPr>
        <w:t xml:space="preserve">onfidencial - </w:t>
      </w:r>
      <w:r>
        <w:rPr>
          <w:rFonts w:ascii="Times New Roman" w:hAnsi="Times New Roman" w:cs="Times New Roman"/>
          <w:b/>
          <w:sz w:val="24"/>
          <w:szCs w:val="24"/>
          <w:lang w:val="en-US"/>
        </w:rPr>
        <w:t>12</w:t>
      </w:r>
      <w:r w:rsidRPr="00B9473F">
        <w:rPr>
          <w:rFonts w:ascii="Times New Roman" w:hAnsi="Times New Roman" w:cs="Times New Roman"/>
          <w:b/>
          <w:sz w:val="24"/>
          <w:szCs w:val="24"/>
          <w:lang w:val="en-US"/>
        </w:rPr>
        <w:t>/5/20</w:t>
      </w:r>
      <w:r>
        <w:rPr>
          <w:rFonts w:ascii="Times New Roman" w:hAnsi="Times New Roman" w:cs="Times New Roman"/>
          <w:sz w:val="24"/>
          <w:szCs w:val="24"/>
          <w:lang w:val="en-US"/>
        </w:rPr>
        <w:t>)</w:t>
      </w:r>
    </w:p>
    <w:p w:rsidR="00344F06" w:rsidRPr="00D644FE" w:rsidRDefault="00344F06" w:rsidP="00344F06">
      <w:pPr>
        <w:spacing w:line="240" w:lineRule="auto"/>
        <w:jc w:val="both"/>
        <w:rPr>
          <w:rFonts w:ascii="Times New Roman" w:hAnsi="Times New Roman" w:cs="Times New Roman"/>
          <w:color w:val="FF0000"/>
          <w:sz w:val="24"/>
          <w:szCs w:val="24"/>
        </w:rPr>
      </w:pPr>
      <w:r w:rsidRPr="00D644FE">
        <w:rPr>
          <w:rFonts w:ascii="Times New Roman" w:hAnsi="Times New Roman" w:cs="Times New Roman"/>
          <w:color w:val="FF0000"/>
          <w:sz w:val="24"/>
          <w:szCs w:val="24"/>
        </w:rPr>
        <w:t>La crisis actual es comparable en escala a la que vivió la economía durante los años treinta, pero probablemente no será tan dañina ni tan duradera. Al menos, eso es lo que esperan los expertos</w:t>
      </w:r>
    </w:p>
    <w:p w:rsidR="00344F06" w:rsidRPr="00D644FE" w:rsidRDefault="00344F06" w:rsidP="00344F06">
      <w:pPr>
        <w:spacing w:line="240" w:lineRule="auto"/>
        <w:jc w:val="both"/>
        <w:rPr>
          <w:rFonts w:ascii="Times New Roman" w:hAnsi="Times New Roman" w:cs="Times New Roman"/>
          <w:sz w:val="24"/>
          <w:szCs w:val="24"/>
          <w:u w:val="single"/>
        </w:rPr>
      </w:pPr>
      <w:r w:rsidRPr="00D644FE">
        <w:rPr>
          <w:rFonts w:ascii="Times New Roman" w:hAnsi="Times New Roman" w:cs="Times New Roman"/>
          <w:sz w:val="24"/>
          <w:szCs w:val="24"/>
          <w:u w:val="single"/>
        </w:rPr>
        <w:t>Cada día nuevas noticias inciden en que el coronavirus está provocando la peor crisis económica desde la Gran Depresión.</w:t>
      </w:r>
    </w:p>
    <w:p w:rsidR="00344F06" w:rsidRPr="00D644FE" w:rsidRDefault="00344F06" w:rsidP="00344F06">
      <w:pPr>
        <w:spacing w:line="240" w:lineRule="auto"/>
        <w:jc w:val="both"/>
        <w:rPr>
          <w:rFonts w:ascii="Times New Roman" w:hAnsi="Times New Roman" w:cs="Times New Roman"/>
          <w:sz w:val="24"/>
          <w:szCs w:val="24"/>
          <w:u w:val="single"/>
        </w:rPr>
      </w:pPr>
      <w:r w:rsidRPr="00D644FE">
        <w:rPr>
          <w:rFonts w:ascii="Times New Roman" w:hAnsi="Times New Roman" w:cs="Times New Roman"/>
          <w:sz w:val="24"/>
          <w:szCs w:val="24"/>
          <w:u w:val="single"/>
        </w:rPr>
        <w:t>Probablemente es cierto. Pero, para muchos, la comparación asusta más que describe.</w:t>
      </w:r>
      <w:r w:rsidRPr="00B9473F">
        <w:rPr>
          <w:rFonts w:ascii="Times New Roman" w:hAnsi="Times New Roman" w:cs="Times New Roman"/>
          <w:sz w:val="24"/>
          <w:szCs w:val="24"/>
        </w:rPr>
        <w:t xml:space="preserve"> Los economistas consideran que hay una gran diferencia entre la peor recesión desde la Gran Depresión y un contexto tan malo como el de la Gran Depresión. </w:t>
      </w:r>
      <w:r w:rsidR="00951729">
        <w:rPr>
          <w:rFonts w:ascii="Times New Roman" w:hAnsi="Times New Roman" w:cs="Times New Roman"/>
          <w:color w:val="FF0000"/>
          <w:sz w:val="24"/>
          <w:szCs w:val="24"/>
          <w:u w:val="single"/>
        </w:rPr>
        <w:t>“</w:t>
      </w:r>
      <w:r w:rsidRPr="00D644FE">
        <w:rPr>
          <w:rFonts w:ascii="Times New Roman" w:hAnsi="Times New Roman" w:cs="Times New Roman"/>
          <w:color w:val="FF0000"/>
          <w:sz w:val="24"/>
          <w:szCs w:val="24"/>
          <w:u w:val="single"/>
        </w:rPr>
        <w:t>No veo que las comparaciones entre el momento actual y la Gra</w:t>
      </w:r>
      <w:r w:rsidR="00951729">
        <w:rPr>
          <w:rFonts w:ascii="Times New Roman" w:hAnsi="Times New Roman" w:cs="Times New Roman"/>
          <w:color w:val="FF0000"/>
          <w:sz w:val="24"/>
          <w:szCs w:val="24"/>
          <w:u w:val="single"/>
        </w:rPr>
        <w:t>n Depresión sean de mucha ayuda”</w:t>
      </w:r>
      <w:r w:rsidRPr="00D644FE">
        <w:rPr>
          <w:rFonts w:ascii="Times New Roman" w:hAnsi="Times New Roman" w:cs="Times New Roman"/>
          <w:color w:val="FF0000"/>
          <w:sz w:val="24"/>
          <w:szCs w:val="24"/>
          <w:u w:val="single"/>
        </w:rPr>
        <w:t>, explica Ben Bernanke, expresidente de la Reserva Federal, que ha estudiado los años treinta</w:t>
      </w:r>
      <w:r w:rsidRPr="00B9473F">
        <w:rPr>
          <w:rFonts w:ascii="Times New Roman" w:hAnsi="Times New Roman" w:cs="Times New Roman"/>
          <w:sz w:val="24"/>
          <w:szCs w:val="24"/>
        </w:rPr>
        <w:t xml:space="preserve">. </w:t>
      </w:r>
      <w:r w:rsidR="00951729">
        <w:rPr>
          <w:rFonts w:ascii="Times New Roman" w:hAnsi="Times New Roman" w:cs="Times New Roman"/>
          <w:color w:val="FF0000"/>
          <w:sz w:val="24"/>
          <w:szCs w:val="24"/>
          <w:u w:val="single"/>
        </w:rPr>
        <w:t>“</w:t>
      </w:r>
      <w:r w:rsidRPr="00D644FE">
        <w:rPr>
          <w:rFonts w:ascii="Times New Roman" w:hAnsi="Times New Roman" w:cs="Times New Roman"/>
          <w:color w:val="FF0000"/>
          <w:sz w:val="24"/>
          <w:szCs w:val="24"/>
          <w:u w:val="single"/>
        </w:rPr>
        <w:t xml:space="preserve">La duración prevista es mucho menor </w:t>
      </w:r>
      <w:r w:rsidR="00951729">
        <w:rPr>
          <w:rFonts w:ascii="Times New Roman" w:hAnsi="Times New Roman" w:cs="Times New Roman"/>
          <w:color w:val="FF0000"/>
          <w:sz w:val="24"/>
          <w:szCs w:val="24"/>
          <w:u w:val="single"/>
        </w:rPr>
        <w:t>y las causas son muy diferentes”</w:t>
      </w:r>
      <w:r w:rsidRPr="00D644FE">
        <w:rPr>
          <w:rFonts w:ascii="Times New Roman" w:hAnsi="Times New Roman" w:cs="Times New Roman"/>
          <w:color w:val="FF0000"/>
          <w:sz w:val="24"/>
          <w:szCs w:val="24"/>
          <w:u w:val="single"/>
        </w:rPr>
        <w:t>, dice</w:t>
      </w:r>
      <w:r w:rsidRPr="00B9473F">
        <w:rPr>
          <w:rFonts w:ascii="Times New Roman" w:hAnsi="Times New Roman" w:cs="Times New Roman"/>
          <w:sz w:val="24"/>
          <w:szCs w:val="24"/>
        </w:rPr>
        <w:t xml:space="preserve">. El rumbo de la </w:t>
      </w:r>
      <w:r w:rsidRPr="00B9473F">
        <w:rPr>
          <w:rFonts w:ascii="Times New Roman" w:hAnsi="Times New Roman" w:cs="Times New Roman"/>
          <w:sz w:val="24"/>
          <w:szCs w:val="24"/>
        </w:rPr>
        <w:lastRenderedPageBreak/>
        <w:t xml:space="preserve">pandemia y de la economía sigue siendo desconocido. Cómo de rápido se pueda contener la crisis sanitaria, cómo de grande es la colaboración ciudadana y cuáles son las políticas para estimular la recuperación siguen siendo misterios. </w:t>
      </w:r>
      <w:r w:rsidRPr="00D644FE">
        <w:rPr>
          <w:rFonts w:ascii="Times New Roman" w:hAnsi="Times New Roman" w:cs="Times New Roman"/>
          <w:sz w:val="24"/>
          <w:szCs w:val="24"/>
          <w:u w:val="single"/>
        </w:rPr>
        <w:t>Incluso en estas condiciones, muchos economistas consideran que es difícil de imaginar un escenario similar al de la Gran Depresión tanto en duración como en severidad.</w:t>
      </w:r>
    </w:p>
    <w:p w:rsidR="00344F06" w:rsidRPr="00D644FE" w:rsidRDefault="00951729" w:rsidP="00344F06">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344F06" w:rsidRPr="00D644FE">
        <w:rPr>
          <w:rFonts w:ascii="Times New Roman" w:hAnsi="Times New Roman" w:cs="Times New Roman"/>
          <w:color w:val="FF0000"/>
          <w:sz w:val="24"/>
          <w:szCs w:val="24"/>
          <w:u w:val="single"/>
        </w:rPr>
        <w:t>La crisis del sistema financiero fue la causa principal tanto de la Gran Depresión como de la recesión de 2007-2009. Hoy, los bancos son más fuer</w:t>
      </w:r>
      <w:r>
        <w:rPr>
          <w:rFonts w:ascii="Times New Roman" w:hAnsi="Times New Roman" w:cs="Times New Roman"/>
          <w:color w:val="FF0000"/>
          <w:sz w:val="24"/>
          <w:szCs w:val="24"/>
          <w:u w:val="single"/>
        </w:rPr>
        <w:t>tes y están mejor capitalizados”</w:t>
      </w:r>
      <w:r w:rsidR="00344F06" w:rsidRPr="00D644FE">
        <w:rPr>
          <w:rFonts w:ascii="Times New Roman" w:hAnsi="Times New Roman" w:cs="Times New Roman"/>
          <w:color w:val="FF0000"/>
          <w:sz w:val="24"/>
          <w:szCs w:val="24"/>
          <w:u w:val="single"/>
        </w:rPr>
        <w:t>, dice Bernanke</w:t>
      </w:r>
      <w:r w:rsidR="00344F06" w:rsidRPr="00B9473F">
        <w:rPr>
          <w:rFonts w:ascii="Times New Roman" w:hAnsi="Times New Roman" w:cs="Times New Roman"/>
          <w:sz w:val="24"/>
          <w:szCs w:val="24"/>
        </w:rPr>
        <w:t xml:space="preserve">. </w:t>
      </w:r>
      <w:r w:rsidR="00344F06" w:rsidRPr="00D644FE">
        <w:rPr>
          <w:rFonts w:ascii="Times New Roman" w:hAnsi="Times New Roman" w:cs="Times New Roman"/>
          <w:color w:val="FF0000"/>
          <w:sz w:val="24"/>
          <w:szCs w:val="24"/>
          <w:u w:val="single"/>
        </w:rPr>
        <w:t>Según las estimaciones de expertos, la crisis actual es más comparable en escala y duración a la de principios de los ochenta y los dos mil</w:t>
      </w:r>
      <w:r w:rsidR="00344F06" w:rsidRPr="00B9473F">
        <w:rPr>
          <w:rFonts w:ascii="Times New Roman" w:hAnsi="Times New Roman" w:cs="Times New Roman"/>
          <w:sz w:val="24"/>
          <w:szCs w:val="24"/>
        </w:rPr>
        <w:t xml:space="preserve">. Las similitudes con la Gran Depresión son más complejas, porque muchos de los datos que ahora manejamos ni existían en 1930. Pero ciertas métricas sí están disponibles, como el volumen de comercio de los miembros de la Liga de Naciones, las del sector industrial que recogía la Fed o los datos de empleo de la Works Progress Administration estadounidense. </w:t>
      </w:r>
      <w:r w:rsidR="00344F06" w:rsidRPr="00D644FE">
        <w:rPr>
          <w:rFonts w:ascii="Times New Roman" w:hAnsi="Times New Roman" w:cs="Times New Roman"/>
          <w:color w:val="FF0000"/>
          <w:sz w:val="24"/>
          <w:szCs w:val="24"/>
          <w:u w:val="single"/>
        </w:rPr>
        <w:t>En los años treinta, la producción industrial se desplomó a la mitad. Poco a poco fue recuperándose durante cuatro años, para volver a caer con fuerza en 1937-1938. Por comparar, la producción retrocedió un 15% entre 2007 y 2009 y un 10% a principios de los ochenta.</w:t>
      </w:r>
    </w:p>
    <w:p w:rsidR="00344F06" w:rsidRPr="00734EDD" w:rsidRDefault="00344F06" w:rsidP="00344F06">
      <w:pPr>
        <w:spacing w:line="240" w:lineRule="auto"/>
        <w:jc w:val="both"/>
        <w:rPr>
          <w:rFonts w:ascii="Times New Roman" w:hAnsi="Times New Roman" w:cs="Times New Roman"/>
          <w:color w:val="FF0000"/>
          <w:sz w:val="24"/>
          <w:szCs w:val="24"/>
          <w:u w:val="single"/>
        </w:rPr>
      </w:pPr>
      <w:r w:rsidRPr="00D644FE">
        <w:rPr>
          <w:rFonts w:ascii="Times New Roman" w:hAnsi="Times New Roman" w:cs="Times New Roman"/>
          <w:color w:val="FF0000"/>
          <w:sz w:val="24"/>
          <w:szCs w:val="24"/>
          <w:u w:val="single"/>
        </w:rPr>
        <w:t>Cuando comenzó la pandemia, la producción industrial ya estaba ralentizándose por culpa de las tensiones comerciales. Muchas fábricas han tenido que cerrar y la demanda de los consumidores se ha hundido, pero hay algunas que ya están retomando la actividad.</w:t>
      </w:r>
      <w:r w:rsidRPr="00D644FE">
        <w:rPr>
          <w:rFonts w:ascii="Times New Roman" w:hAnsi="Times New Roman" w:cs="Times New Roman"/>
          <w:color w:val="FF0000"/>
          <w:sz w:val="24"/>
          <w:szCs w:val="24"/>
        </w:rPr>
        <w:t xml:space="preserve"> </w:t>
      </w:r>
      <w:r w:rsidRPr="00B9473F">
        <w:rPr>
          <w:rFonts w:ascii="Times New Roman" w:hAnsi="Times New Roman" w:cs="Times New Roman"/>
          <w:sz w:val="24"/>
          <w:szCs w:val="24"/>
        </w:rPr>
        <w:t xml:space="preserve">Fabricantes de coches como General Motors o Ford, por ejemplo, han pivotado su actividad para hacer ventiladores. Las compañías de productos sanitarios no dan abasto. </w:t>
      </w:r>
      <w:r w:rsidRPr="00734EDD">
        <w:rPr>
          <w:rFonts w:ascii="Times New Roman" w:hAnsi="Times New Roman" w:cs="Times New Roman"/>
          <w:color w:val="FF0000"/>
          <w:sz w:val="24"/>
          <w:szCs w:val="24"/>
          <w:u w:val="single"/>
        </w:rPr>
        <w:t>Entre 1929 y 1933, la economía retrocedió durante 43 meses consecutivos. El desempleo escaló hasta rozar el 25% antes de descender poco a poco para estabilizarse por encima del 10% durante una década</w:t>
      </w:r>
      <w:r w:rsidRPr="00B9473F">
        <w:rPr>
          <w:rFonts w:ascii="Times New Roman" w:hAnsi="Times New Roman" w:cs="Times New Roman"/>
          <w:sz w:val="24"/>
          <w:szCs w:val="24"/>
        </w:rPr>
        <w:t xml:space="preserve">. </w:t>
      </w:r>
      <w:r w:rsidRPr="00734EDD">
        <w:rPr>
          <w:rFonts w:ascii="Times New Roman" w:hAnsi="Times New Roman" w:cs="Times New Roman"/>
          <w:color w:val="FF0000"/>
          <w:sz w:val="24"/>
          <w:szCs w:val="24"/>
          <w:u w:val="single"/>
        </w:rPr>
        <w:t>Por contra, a principios de los ochenta y entre 2007 y 2009, la contracción fue de 16 y 18 meses respectivamente. Esta vez, muchos economistas creen que el rebote podría empezar este año o a comienzos del próximo si logramos contener el virus. Aunque el desempleo en EEUU ya ha tocado el 14,7% en abril, y es muy probable que siga subiendo, el golpe se ha suavizado gracias a los programas y a los subsidios.</w:t>
      </w:r>
    </w:p>
    <w:p w:rsidR="00344F06" w:rsidRPr="00734EDD" w:rsidRDefault="00951729" w:rsidP="00344F06">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344F06" w:rsidRPr="00734EDD">
        <w:rPr>
          <w:rFonts w:ascii="Times New Roman" w:hAnsi="Times New Roman" w:cs="Times New Roman"/>
          <w:color w:val="FF0000"/>
          <w:sz w:val="24"/>
          <w:szCs w:val="24"/>
          <w:u w:val="single"/>
        </w:rPr>
        <w:t xml:space="preserve">Hay mucha gente sufriendo y la economía no se va a recuperar en uno o dos trimestres. Pero si conseguimos un razonable control sobre el virus, la economía verá una revitalización sustancial y esta crisis debería ser mucho </w:t>
      </w:r>
      <w:r>
        <w:rPr>
          <w:rFonts w:ascii="Times New Roman" w:hAnsi="Times New Roman" w:cs="Times New Roman"/>
          <w:color w:val="FF0000"/>
          <w:sz w:val="24"/>
          <w:szCs w:val="24"/>
          <w:u w:val="single"/>
        </w:rPr>
        <w:t>más corta que la Gran Depresión”</w:t>
      </w:r>
      <w:r w:rsidR="00344F06" w:rsidRPr="00734EDD">
        <w:rPr>
          <w:rFonts w:ascii="Times New Roman" w:hAnsi="Times New Roman" w:cs="Times New Roman"/>
          <w:color w:val="FF0000"/>
          <w:sz w:val="24"/>
          <w:szCs w:val="24"/>
          <w:u w:val="single"/>
        </w:rPr>
        <w:t>, dice Bernanke.</w:t>
      </w:r>
      <w:r w:rsidR="00344F06" w:rsidRPr="00734EDD">
        <w:rPr>
          <w:rFonts w:ascii="Times New Roman" w:hAnsi="Times New Roman" w:cs="Times New Roman"/>
          <w:color w:val="FF0000"/>
          <w:sz w:val="24"/>
          <w:szCs w:val="24"/>
        </w:rPr>
        <w:t xml:space="preserve"> </w:t>
      </w:r>
      <w:r w:rsidR="00344F06" w:rsidRPr="00734EDD">
        <w:rPr>
          <w:rFonts w:ascii="Times New Roman" w:hAnsi="Times New Roman" w:cs="Times New Roman"/>
          <w:color w:val="FF0000"/>
          <w:sz w:val="24"/>
          <w:szCs w:val="24"/>
          <w:u w:val="single"/>
        </w:rPr>
        <w:t>El segundo trimestre de 2020 será probablemente el peor de la historia para muchas economías. La media de las estimaciones d</w:t>
      </w:r>
      <w:r>
        <w:rPr>
          <w:rFonts w:ascii="Times New Roman" w:hAnsi="Times New Roman" w:cs="Times New Roman"/>
          <w:color w:val="FF0000"/>
          <w:sz w:val="24"/>
          <w:szCs w:val="24"/>
          <w:u w:val="single"/>
        </w:rPr>
        <w:t>e los expertos consultados por “The Wall Street Journal”</w:t>
      </w:r>
      <w:r w:rsidR="00344F06" w:rsidRPr="00734EDD">
        <w:rPr>
          <w:rFonts w:ascii="Times New Roman" w:hAnsi="Times New Roman" w:cs="Times New Roman"/>
          <w:color w:val="FF0000"/>
          <w:sz w:val="24"/>
          <w:szCs w:val="24"/>
          <w:u w:val="single"/>
        </w:rPr>
        <w:t xml:space="preserve"> sitúa el desplome en el 25%, y algunos apuntan al 50%. Pero los datos anualizados pueden ser engañosos. Asumen que el ritmo de un trimestre se mantendrá durante todo el año. Si el 10% de la economía hiberna durante tres meses, entonces la cifra anual se situará en el 40%.</w:t>
      </w:r>
    </w:p>
    <w:p w:rsidR="00344F06" w:rsidRPr="00734EDD" w:rsidRDefault="00951729" w:rsidP="00344F06">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344F06" w:rsidRPr="00734EDD">
        <w:rPr>
          <w:rFonts w:ascii="Times New Roman" w:hAnsi="Times New Roman" w:cs="Times New Roman"/>
          <w:color w:val="FF0000"/>
          <w:sz w:val="24"/>
          <w:szCs w:val="24"/>
          <w:u w:val="single"/>
        </w:rPr>
        <w:t>Hemos sufrido una inmediata reducción de la actividad muy abrupta y muy profunda, provocada por el confinamiento. Y precisamente por ser tan abrupt</w:t>
      </w:r>
      <w:r>
        <w:rPr>
          <w:rFonts w:ascii="Times New Roman" w:hAnsi="Times New Roman" w:cs="Times New Roman"/>
          <w:color w:val="FF0000"/>
          <w:sz w:val="24"/>
          <w:szCs w:val="24"/>
          <w:u w:val="single"/>
        </w:rPr>
        <w:t>a, los números son astronómicos”</w:t>
      </w:r>
      <w:r w:rsidR="00344F06" w:rsidRPr="00734EDD">
        <w:rPr>
          <w:rFonts w:ascii="Times New Roman" w:hAnsi="Times New Roman" w:cs="Times New Roman"/>
          <w:color w:val="FF0000"/>
          <w:sz w:val="24"/>
          <w:szCs w:val="24"/>
          <w:u w:val="single"/>
        </w:rPr>
        <w:t>, explica Douglas Irwin, profesor en la Universidad de Dartmouth y experto en política comercial durante la Gran Depresión</w:t>
      </w:r>
      <w:r>
        <w:rPr>
          <w:rFonts w:ascii="Times New Roman" w:hAnsi="Times New Roman" w:cs="Times New Roman"/>
          <w:color w:val="FF0000"/>
          <w:sz w:val="24"/>
          <w:szCs w:val="24"/>
          <w:u w:val="single"/>
        </w:rPr>
        <w:t>. Además, considera que “</w:t>
      </w:r>
      <w:r w:rsidR="00344F06" w:rsidRPr="00734EDD">
        <w:rPr>
          <w:rFonts w:ascii="Times New Roman" w:hAnsi="Times New Roman" w:cs="Times New Roman"/>
          <w:color w:val="FF0000"/>
          <w:sz w:val="24"/>
          <w:szCs w:val="24"/>
          <w:u w:val="single"/>
        </w:rPr>
        <w:t>la forma en que el mundo se sumió en la Gran Depresión fue provocada por una caída lenta y continuada. Fue un estran</w:t>
      </w:r>
      <w:r>
        <w:rPr>
          <w:rFonts w:ascii="Times New Roman" w:hAnsi="Times New Roman" w:cs="Times New Roman"/>
          <w:color w:val="FF0000"/>
          <w:sz w:val="24"/>
          <w:szCs w:val="24"/>
          <w:u w:val="single"/>
        </w:rPr>
        <w:t>gulamiento lento de la economía”</w:t>
      </w:r>
      <w:r w:rsidR="00344F06" w:rsidRPr="00734EDD">
        <w:rPr>
          <w:rFonts w:ascii="Times New Roman" w:hAnsi="Times New Roman" w:cs="Times New Roman"/>
          <w:color w:val="FF0000"/>
          <w:sz w:val="24"/>
          <w:szCs w:val="24"/>
          <w:u w:val="single"/>
        </w:rPr>
        <w:t>.</w:t>
      </w:r>
    </w:p>
    <w:p w:rsidR="00344F06" w:rsidRPr="00734EDD" w:rsidRDefault="00344F06" w:rsidP="00344F06">
      <w:pPr>
        <w:spacing w:line="240" w:lineRule="auto"/>
        <w:jc w:val="both"/>
        <w:rPr>
          <w:rFonts w:ascii="Times New Roman" w:hAnsi="Times New Roman" w:cs="Times New Roman"/>
          <w:color w:val="FF0000"/>
          <w:sz w:val="24"/>
          <w:szCs w:val="24"/>
          <w:u w:val="single"/>
        </w:rPr>
      </w:pPr>
      <w:r w:rsidRPr="00734EDD">
        <w:rPr>
          <w:rFonts w:ascii="Times New Roman" w:hAnsi="Times New Roman" w:cs="Times New Roman"/>
          <w:color w:val="FF0000"/>
          <w:sz w:val="24"/>
          <w:szCs w:val="24"/>
          <w:u w:val="single"/>
        </w:rPr>
        <w:t xml:space="preserve">Como pasó entonces, el colapso actual es global. Pero la escala es mucho más pequeña, según explicó Gita Gopinath, economista jefa del FMI, en su comparecencia del mes pasado. La entidad estima que la economía mundial se hundió un 10% durante la Gran Depresión, frente </w:t>
      </w:r>
      <w:r w:rsidRPr="00734EDD">
        <w:rPr>
          <w:rFonts w:ascii="Times New Roman" w:hAnsi="Times New Roman" w:cs="Times New Roman"/>
          <w:color w:val="FF0000"/>
          <w:sz w:val="24"/>
          <w:szCs w:val="24"/>
          <w:u w:val="single"/>
        </w:rPr>
        <w:lastRenderedPageBreak/>
        <w:t>a una previsión del 3% para este año y una vuelta al crecimiento el próximo. Las economías más desarrolladas se desplomaron un 16% en la Depresión, frente al 6% pronosticado para 2020. Una serie de gruesos errores regulatorios provocaron que la Gran Depresión fuera más larga y más severa. Los bancos centrales se arrojaron en brazos del patrón oro, que ya no existe. El resultado fue una profunda deflación, lo que elevó el valor de las deudas y redujo los salarios.</w:t>
      </w:r>
    </w:p>
    <w:p w:rsidR="00344F06" w:rsidRPr="00734EDD" w:rsidRDefault="00344F06" w:rsidP="00344F06">
      <w:pPr>
        <w:spacing w:line="240" w:lineRule="auto"/>
        <w:jc w:val="both"/>
        <w:rPr>
          <w:rFonts w:ascii="Times New Roman" w:hAnsi="Times New Roman" w:cs="Times New Roman"/>
          <w:color w:val="FF0000"/>
          <w:sz w:val="24"/>
          <w:szCs w:val="24"/>
          <w:u w:val="single"/>
        </w:rPr>
      </w:pPr>
      <w:r w:rsidRPr="00734EDD">
        <w:rPr>
          <w:rFonts w:ascii="Times New Roman" w:hAnsi="Times New Roman" w:cs="Times New Roman"/>
          <w:color w:val="FF0000"/>
          <w:sz w:val="24"/>
          <w:szCs w:val="24"/>
          <w:u w:val="single"/>
        </w:rPr>
        <w:t>Los gobiernos también recortaron el gasto como reacción a una reducción en los ingresos. Según las economías se deterioraban, los países levantaron barreras comerciales en un esfuerzo por proteger las industrias domésticas. El resultado fue una contracción global de la demanda, lo que hizo más profunda la depresión.</w:t>
      </w:r>
    </w:p>
    <w:p w:rsidR="00344F06" w:rsidRDefault="00344F06" w:rsidP="00344F06">
      <w:pPr>
        <w:spacing w:line="240" w:lineRule="auto"/>
        <w:jc w:val="both"/>
        <w:rPr>
          <w:rFonts w:ascii="Times New Roman" w:hAnsi="Times New Roman" w:cs="Times New Roman"/>
          <w:color w:val="FF0000"/>
          <w:sz w:val="24"/>
          <w:szCs w:val="24"/>
          <w:u w:val="single"/>
        </w:rPr>
      </w:pPr>
      <w:r w:rsidRPr="00734EDD">
        <w:rPr>
          <w:rFonts w:ascii="Times New Roman" w:hAnsi="Times New Roman" w:cs="Times New Roman"/>
          <w:color w:val="FF0000"/>
          <w:sz w:val="24"/>
          <w:szCs w:val="24"/>
          <w:u w:val="single"/>
        </w:rPr>
        <w:t>Esta vez, los bancos centrales de todo el mundo recortaron rápidamente los tipos de interés y desplegaron programas para facilitar el crédito a los mercados. Los Gobiernos aprobaron medidas de gasto masivas, incluyendo los dos billones de la Fed para mantener a flote las empresas y proteger los empleos. Y no ha habido ninguna barrera comercial en respuesta a la pandemia. "No voy a decir que todo lo que han hecho los reguladores esté bien, pero hemos entendido que cualquier retraso en la toma de decisiones empeora el rumbo de la economía", afirma Catherine Mann, economista jefa de Citigroup.</w:t>
      </w:r>
    </w:p>
    <w:p w:rsidR="004D4534" w:rsidRDefault="004D4534" w:rsidP="00344F06">
      <w:pPr>
        <w:spacing w:line="240" w:lineRule="auto"/>
        <w:jc w:val="both"/>
        <w:rPr>
          <w:rFonts w:ascii="Times New Roman" w:hAnsi="Times New Roman" w:cs="Times New Roman"/>
          <w:color w:val="FF0000"/>
          <w:sz w:val="24"/>
          <w:szCs w:val="24"/>
          <w:u w:val="single"/>
        </w:rPr>
      </w:pPr>
    </w:p>
    <w:p w:rsidR="004D4534" w:rsidRPr="00734EDD" w:rsidRDefault="004D4534" w:rsidP="004D4534">
      <w:pPr>
        <w:spacing w:line="240" w:lineRule="auto"/>
        <w:jc w:val="both"/>
        <w:rPr>
          <w:rFonts w:ascii="Times New Roman" w:hAnsi="Times New Roman" w:cs="Times New Roman"/>
          <w:color w:val="FF0000"/>
          <w:sz w:val="24"/>
          <w:szCs w:val="24"/>
          <w:u w:val="single"/>
        </w:rPr>
      </w:pPr>
      <w:r w:rsidRPr="001738B3">
        <w:rPr>
          <w:rFonts w:ascii="Times New Roman" w:eastAsia="Times New Roman" w:hAnsi="Times New Roman" w:cs="Times New Roman"/>
          <w:noProof/>
          <w:sz w:val="24"/>
          <w:szCs w:val="24"/>
          <w:lang w:eastAsia="es-ES"/>
        </w:rPr>
        <w:drawing>
          <wp:inline distT="0" distB="0" distL="0" distR="0" wp14:anchorId="65D74685" wp14:editId="0EB9376F">
            <wp:extent cx="5688105" cy="4061011"/>
            <wp:effectExtent l="0" t="0" r="8255" b="0"/>
            <wp:docPr id="191" name="Imagen 191" descr="https://webapi.project-syndicate.org/library/94a69353e398f9c9974eb9fee41a19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ebapi.project-syndicate.org/library/94a69353e398f9c9974eb9fee41a193e.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87960" cy="4060908"/>
                    </a:xfrm>
                    <a:prstGeom prst="rect">
                      <a:avLst/>
                    </a:prstGeom>
                    <a:noFill/>
                    <a:ln>
                      <a:noFill/>
                    </a:ln>
                  </pic:spPr>
                </pic:pic>
              </a:graphicData>
            </a:graphic>
          </wp:inline>
        </w:drawing>
      </w:r>
    </w:p>
    <w:p w:rsidR="004D4534" w:rsidRDefault="004D4534" w:rsidP="004D4534">
      <w:pPr>
        <w:spacing w:line="240" w:lineRule="auto"/>
        <w:jc w:val="both"/>
        <w:rPr>
          <w:rFonts w:ascii="Times New Roman" w:hAnsi="Times New Roman" w:cs="Times New Roman"/>
          <w:b/>
          <w:sz w:val="24"/>
          <w:szCs w:val="24"/>
        </w:rPr>
      </w:pPr>
    </w:p>
    <w:p w:rsidR="004D4534" w:rsidRDefault="004D4534" w:rsidP="004D4534">
      <w:pPr>
        <w:spacing w:line="240" w:lineRule="auto"/>
        <w:jc w:val="both"/>
        <w:rPr>
          <w:rFonts w:ascii="Times New Roman" w:hAnsi="Times New Roman" w:cs="Times New Roman"/>
          <w:b/>
          <w:sz w:val="24"/>
          <w:szCs w:val="24"/>
        </w:rPr>
      </w:pPr>
      <w:r w:rsidRPr="001738B3">
        <w:rPr>
          <w:rFonts w:ascii="Times New Roman" w:eastAsia="Times New Roman" w:hAnsi="Times New Roman" w:cs="Times New Roman"/>
          <w:noProof/>
          <w:sz w:val="24"/>
          <w:szCs w:val="24"/>
          <w:lang w:eastAsia="es-ES"/>
        </w:rPr>
        <w:lastRenderedPageBreak/>
        <w:drawing>
          <wp:inline distT="0" distB="0" distL="0" distR="0" wp14:anchorId="72904C00" wp14:editId="24C0A26C">
            <wp:extent cx="5694829" cy="3039035"/>
            <wp:effectExtent l="0" t="0" r="1270" b="9525"/>
            <wp:docPr id="256" name="Imagen 256" descr="https://webapi.project-syndicate.org/library/472405dd25ea739a47fc16dc9ca41d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ebapi.project-syndicate.org/library/472405dd25ea739a47fc16dc9ca41dd0.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94635" cy="3038931"/>
                    </a:xfrm>
                    <a:prstGeom prst="rect">
                      <a:avLst/>
                    </a:prstGeom>
                    <a:noFill/>
                    <a:ln>
                      <a:noFill/>
                    </a:ln>
                  </pic:spPr>
                </pic:pic>
              </a:graphicData>
            </a:graphic>
          </wp:inline>
        </w:drawing>
      </w:r>
    </w:p>
    <w:p w:rsidR="004D4534" w:rsidRPr="00032C2A" w:rsidRDefault="004D4534" w:rsidP="004D4534">
      <w:pPr>
        <w:shd w:val="clear" w:color="auto" w:fill="FCFCFC"/>
        <w:spacing w:before="100" w:beforeAutospacing="1" w:after="100" w:afterAutospacing="1" w:line="240" w:lineRule="auto"/>
        <w:jc w:val="both"/>
        <w:outlineLvl w:val="0"/>
        <w:rPr>
          <w:rFonts w:ascii="Times New Roman" w:eastAsia="Times New Roman" w:hAnsi="Times New Roman" w:cs="Times New Roman"/>
          <w:spacing w:val="8"/>
          <w:kern w:val="36"/>
          <w:sz w:val="24"/>
          <w:szCs w:val="24"/>
        </w:rPr>
      </w:pPr>
      <w:r w:rsidRPr="00032C2A">
        <w:rPr>
          <w:rFonts w:ascii="Times New Roman" w:eastAsia="Times New Roman" w:hAnsi="Times New Roman" w:cs="Times New Roman"/>
          <w:spacing w:val="8"/>
          <w:kern w:val="36"/>
          <w:sz w:val="24"/>
          <w:szCs w:val="24"/>
        </w:rPr>
        <w:t xml:space="preserve">(Fuente: Project Syndicate - </w:t>
      </w:r>
      <w:r w:rsidRPr="00032C2A">
        <w:rPr>
          <w:rFonts w:ascii="Times New Roman" w:eastAsia="Times New Roman" w:hAnsi="Times New Roman" w:cs="Times New Roman"/>
          <w:b/>
          <w:spacing w:val="8"/>
          <w:kern w:val="36"/>
          <w:sz w:val="24"/>
          <w:szCs w:val="24"/>
        </w:rPr>
        <w:t>15/5/20</w:t>
      </w:r>
      <w:r w:rsidRPr="00032C2A">
        <w:rPr>
          <w:rFonts w:ascii="Times New Roman" w:eastAsia="Times New Roman" w:hAnsi="Times New Roman" w:cs="Times New Roman"/>
          <w:spacing w:val="8"/>
          <w:kern w:val="36"/>
          <w:sz w:val="24"/>
          <w:szCs w:val="24"/>
        </w:rPr>
        <w:t>)</w:t>
      </w:r>
    </w:p>
    <w:p w:rsidR="009B368E" w:rsidRDefault="009B368E" w:rsidP="009B368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71C41">
        <w:rPr>
          <w:rFonts w:ascii="Times New Roman" w:hAnsi="Times New Roman" w:cs="Times New Roman"/>
          <w:sz w:val="24"/>
          <w:szCs w:val="24"/>
          <w:u w:val="single"/>
        </w:rPr>
        <w:t>La economía europea perdería hasta un 22,7% de su valor si se frena o desmantela la UE por el coronavirus</w:t>
      </w:r>
      <w:r>
        <w:rPr>
          <w:rFonts w:ascii="Times New Roman" w:hAnsi="Times New Roman" w:cs="Times New Roman"/>
          <w:sz w:val="24"/>
          <w:szCs w:val="24"/>
        </w:rPr>
        <w:t xml:space="preserve"> (Expansión - </w:t>
      </w:r>
      <w:r w:rsidRPr="00B71C41">
        <w:rPr>
          <w:rFonts w:ascii="Times New Roman" w:hAnsi="Times New Roman" w:cs="Times New Roman"/>
          <w:b/>
          <w:sz w:val="24"/>
          <w:szCs w:val="24"/>
        </w:rPr>
        <w:t>16/5/20</w:t>
      </w:r>
      <w:r>
        <w:rPr>
          <w:rFonts w:ascii="Times New Roman" w:hAnsi="Times New Roman" w:cs="Times New Roman"/>
          <w:sz w:val="24"/>
          <w:szCs w:val="24"/>
        </w:rPr>
        <w:t>)</w:t>
      </w:r>
    </w:p>
    <w:p w:rsidR="009B368E" w:rsidRPr="00B71C41" w:rsidRDefault="009B368E" w:rsidP="009B368E">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El Parlamento Europeo apuesta por una m</w:t>
      </w:r>
      <w:r w:rsidR="00951729">
        <w:rPr>
          <w:rFonts w:ascii="Times New Roman" w:hAnsi="Times New Roman" w:cs="Times New Roman"/>
          <w:sz w:val="24"/>
          <w:szCs w:val="24"/>
        </w:rPr>
        <w:t>ayor integración para fomentar “</w:t>
      </w:r>
      <w:r w:rsidRPr="00B71C41">
        <w:rPr>
          <w:rFonts w:ascii="Times New Roman" w:hAnsi="Times New Roman" w:cs="Times New Roman"/>
          <w:sz w:val="24"/>
          <w:szCs w:val="24"/>
        </w:rPr>
        <w:t>una recuperación más rápida, más sostenib</w:t>
      </w:r>
      <w:r w:rsidR="00951729">
        <w:rPr>
          <w:rFonts w:ascii="Times New Roman" w:hAnsi="Times New Roman" w:cs="Times New Roman"/>
          <w:sz w:val="24"/>
          <w:szCs w:val="24"/>
        </w:rPr>
        <w:t>le y verdaderamente inclusiva”</w:t>
      </w:r>
      <w:r>
        <w:rPr>
          <w:rFonts w:ascii="Times New Roman" w:hAnsi="Times New Roman" w:cs="Times New Roman"/>
          <w:sz w:val="24"/>
          <w:szCs w:val="24"/>
        </w:rPr>
        <w:t>.</w:t>
      </w:r>
    </w:p>
    <w:p w:rsidR="009B368E" w:rsidRPr="00352BAC" w:rsidRDefault="009B368E" w:rsidP="009B368E">
      <w:pPr>
        <w:spacing w:line="240" w:lineRule="auto"/>
        <w:jc w:val="both"/>
        <w:rPr>
          <w:rFonts w:ascii="Times New Roman" w:hAnsi="Times New Roman" w:cs="Times New Roman"/>
          <w:b/>
          <w:color w:val="FF0000"/>
          <w:sz w:val="24"/>
          <w:szCs w:val="24"/>
          <w:u w:val="single"/>
        </w:rPr>
      </w:pPr>
      <w:r w:rsidRPr="00352BAC">
        <w:rPr>
          <w:rFonts w:ascii="Times New Roman" w:hAnsi="Times New Roman" w:cs="Times New Roman"/>
          <w:b/>
          <w:color w:val="FF0000"/>
          <w:sz w:val="24"/>
          <w:szCs w:val="24"/>
          <w:u w:val="single"/>
        </w:rPr>
        <w:t>El valor conjunto de la economía de la Unión Europea (UE) podría reducirse hasta entre un 17% y un 22,7% en el caso de que se desmantelara el mercado único y no se avanza en los distintos programas y acciones comunes que podría desarrollar la UE en los próximos años como consecuencia de la crisis del Covid-19, según recoge un informe elaborado por el Parlamento Europeo</w:t>
      </w:r>
    </w:p>
    <w:p w:rsidR="009B368E" w:rsidRPr="00B71C41" w:rsidRDefault="00951729" w:rsidP="009B368E">
      <w:pPr>
        <w:spacing w:line="240" w:lineRule="auto"/>
        <w:jc w:val="both"/>
        <w:rPr>
          <w:rFonts w:ascii="Times New Roman" w:hAnsi="Times New Roman" w:cs="Times New Roman"/>
          <w:sz w:val="24"/>
          <w:szCs w:val="24"/>
        </w:rPr>
      </w:pPr>
      <w:r>
        <w:rPr>
          <w:rFonts w:ascii="Times New Roman" w:hAnsi="Times New Roman" w:cs="Times New Roman"/>
          <w:sz w:val="24"/>
          <w:szCs w:val="24"/>
        </w:rPr>
        <w:t>En el informe “</w:t>
      </w:r>
      <w:r w:rsidR="009B368E" w:rsidRPr="00B71C41">
        <w:rPr>
          <w:rFonts w:ascii="Times New Roman" w:hAnsi="Times New Roman" w:cs="Times New Roman"/>
          <w:sz w:val="24"/>
          <w:szCs w:val="24"/>
        </w:rPr>
        <w:t>Coronavirus</w:t>
      </w:r>
      <w:r>
        <w:rPr>
          <w:rFonts w:ascii="Times New Roman" w:hAnsi="Times New Roman" w:cs="Times New Roman"/>
          <w:sz w:val="24"/>
          <w:szCs w:val="24"/>
        </w:rPr>
        <w:t xml:space="preserve"> and the cost of non-Europe”</w:t>
      </w:r>
      <w:r w:rsidR="009B368E" w:rsidRPr="00B71C41">
        <w:rPr>
          <w:rFonts w:ascii="Times New Roman" w:hAnsi="Times New Roman" w:cs="Times New Roman"/>
          <w:sz w:val="24"/>
          <w:szCs w:val="24"/>
        </w:rPr>
        <w:t xml:space="preserve">, el Parlamento Europeo analiza los beneficios económicos que ha producido la Unión Europea y qué efectos negativos tendría, de cara a la futura recuperación económica post-Covid-19, si se parara o revertiera el </w:t>
      </w:r>
      <w:r w:rsidR="009B368E">
        <w:rPr>
          <w:rFonts w:ascii="Times New Roman" w:hAnsi="Times New Roman" w:cs="Times New Roman"/>
          <w:sz w:val="24"/>
          <w:szCs w:val="24"/>
        </w:rPr>
        <w:t xml:space="preserve">proceso de integración europeo.                                                                                                     </w:t>
      </w:r>
    </w:p>
    <w:p w:rsidR="009B368E" w:rsidRPr="00352BAC" w:rsidRDefault="009B368E" w:rsidP="009B368E">
      <w:pPr>
        <w:spacing w:line="240" w:lineRule="auto"/>
        <w:jc w:val="both"/>
        <w:rPr>
          <w:rFonts w:ascii="Times New Roman" w:hAnsi="Times New Roman" w:cs="Times New Roman"/>
          <w:sz w:val="24"/>
          <w:szCs w:val="24"/>
          <w:u w:val="single"/>
        </w:rPr>
      </w:pPr>
      <w:r w:rsidRPr="00352BAC">
        <w:rPr>
          <w:rFonts w:ascii="Times New Roman" w:hAnsi="Times New Roman" w:cs="Times New Roman"/>
          <w:sz w:val="24"/>
          <w:szCs w:val="24"/>
          <w:u w:val="single"/>
        </w:rPr>
        <w:t>El informe señala que es difícil dar una estimación clara de lo que implicaría exactamente el desmantelamiento de la UE, ya que los efectos dependerían de qué, cómo, cuándo y en qué medida se desarmarían las distintas partes del proyecto europeo.</w:t>
      </w:r>
    </w:p>
    <w:p w:rsidR="009B368E" w:rsidRPr="00352BAC" w:rsidRDefault="009B368E" w:rsidP="009B368E">
      <w:pPr>
        <w:spacing w:line="240" w:lineRule="auto"/>
        <w:jc w:val="both"/>
        <w:rPr>
          <w:rFonts w:ascii="Times New Roman" w:hAnsi="Times New Roman" w:cs="Times New Roman"/>
          <w:color w:val="FF0000"/>
          <w:sz w:val="24"/>
          <w:szCs w:val="24"/>
          <w:u w:val="single"/>
        </w:rPr>
      </w:pPr>
      <w:r w:rsidRPr="00352BAC">
        <w:rPr>
          <w:rFonts w:ascii="Times New Roman" w:hAnsi="Times New Roman" w:cs="Times New Roman"/>
          <w:color w:val="FF0000"/>
          <w:sz w:val="24"/>
          <w:szCs w:val="24"/>
          <w:u w:val="single"/>
        </w:rPr>
        <w:t>Sin embargo, detalla que las estimaciones más prudentes sugieren que desmantelar el mercado único europeo costaría a la economía de la región entre 480.000 millones y 1,38 billones de euros al año, lo que representa entre el 3% y el 8,7% del PIB conjunto de todos los países.</w:t>
      </w:r>
    </w:p>
    <w:p w:rsidR="009B368E" w:rsidRPr="00352BAC" w:rsidRDefault="009B368E" w:rsidP="009B368E">
      <w:pPr>
        <w:spacing w:line="240" w:lineRule="auto"/>
        <w:jc w:val="both"/>
        <w:rPr>
          <w:rFonts w:ascii="Times New Roman" w:hAnsi="Times New Roman" w:cs="Times New Roman"/>
          <w:color w:val="FF0000"/>
          <w:sz w:val="24"/>
          <w:szCs w:val="24"/>
          <w:u w:val="single"/>
        </w:rPr>
      </w:pPr>
      <w:r w:rsidRPr="00352BAC">
        <w:rPr>
          <w:rFonts w:ascii="Times New Roman" w:hAnsi="Times New Roman" w:cs="Times New Roman"/>
          <w:color w:val="FF0000"/>
          <w:sz w:val="24"/>
          <w:szCs w:val="24"/>
          <w:u w:val="single"/>
        </w:rPr>
        <w:t>Asimismo, añade que el coste potencial que tendría que no se adoptaran políticas comunes en 50 campos distintos identificados en el estudio sería de alrededor de 2,2 billones de euros, lo que equivale al 14% del PIB de la Unión Europea de 2017.</w:t>
      </w:r>
    </w:p>
    <w:p w:rsidR="009B368E" w:rsidRPr="009B368E" w:rsidRDefault="00951729" w:rsidP="009B368E">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lastRenderedPageBreak/>
        <w:t>“</w:t>
      </w:r>
      <w:r w:rsidR="009B368E" w:rsidRPr="00352BAC">
        <w:rPr>
          <w:rFonts w:ascii="Times New Roman" w:hAnsi="Times New Roman" w:cs="Times New Roman"/>
          <w:b/>
          <w:color w:val="FF0000"/>
          <w:sz w:val="24"/>
          <w:szCs w:val="24"/>
          <w:u w:val="single"/>
        </w:rPr>
        <w:t xml:space="preserve">Si ambos problemas se desarrollan al mismo tiempo, la economía de la Unión Europea sería entre un 17% y un 22,7% inferior a lo que podría </w:t>
      </w:r>
      <w:r>
        <w:rPr>
          <w:rFonts w:ascii="Times New Roman" w:hAnsi="Times New Roman" w:cs="Times New Roman"/>
          <w:b/>
          <w:color w:val="FF0000"/>
          <w:sz w:val="24"/>
          <w:szCs w:val="24"/>
          <w:u w:val="single"/>
        </w:rPr>
        <w:t>ser”</w:t>
      </w:r>
      <w:r w:rsidR="009B368E" w:rsidRPr="00352BAC">
        <w:rPr>
          <w:rFonts w:ascii="Times New Roman" w:hAnsi="Times New Roman" w:cs="Times New Roman"/>
          <w:b/>
          <w:color w:val="FF0000"/>
          <w:sz w:val="24"/>
          <w:szCs w:val="24"/>
          <w:u w:val="single"/>
        </w:rPr>
        <w:t>, según el informe del Parlamento, que calcula que esto equivale a ent</w:t>
      </w:r>
      <w:r w:rsidR="009B368E">
        <w:rPr>
          <w:rFonts w:ascii="Times New Roman" w:hAnsi="Times New Roman" w:cs="Times New Roman"/>
          <w:b/>
          <w:color w:val="FF0000"/>
          <w:sz w:val="24"/>
          <w:szCs w:val="24"/>
          <w:u w:val="single"/>
        </w:rPr>
        <w:t>re 2,7 y 3,6 billones de euros.</w:t>
      </w:r>
    </w:p>
    <w:p w:rsidR="009B368E" w:rsidRPr="00352BAC" w:rsidRDefault="009B368E" w:rsidP="009B368E">
      <w:pPr>
        <w:spacing w:line="240" w:lineRule="auto"/>
        <w:jc w:val="both"/>
        <w:rPr>
          <w:rFonts w:ascii="Times New Roman" w:hAnsi="Times New Roman" w:cs="Times New Roman"/>
          <w:b/>
          <w:color w:val="FF0000"/>
          <w:sz w:val="24"/>
          <w:szCs w:val="24"/>
          <w:u w:val="single"/>
        </w:rPr>
      </w:pPr>
      <w:r w:rsidRPr="00352BAC">
        <w:rPr>
          <w:rFonts w:ascii="Times New Roman" w:hAnsi="Times New Roman" w:cs="Times New Roman"/>
          <w:b/>
          <w:color w:val="FF0000"/>
          <w:sz w:val="24"/>
          <w:szCs w:val="24"/>
          <w:u w:val="single"/>
        </w:rPr>
        <w:t>Asimismo, añade a que a esto habría que sumar cualquier tipo de contracción directa que se produzca como consecuencia de la propia crisis del coronavirus, y que según distintos estudios podría rondar los 160.000 millones de euros en 2020 (el 7,5% del PIB).</w:t>
      </w:r>
    </w:p>
    <w:p w:rsidR="009B368E" w:rsidRPr="00B71C41" w:rsidRDefault="009B368E" w:rsidP="009B368E">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Impacto de las políticas comunes</w:t>
      </w:r>
    </w:p>
    <w:p w:rsidR="009B368E" w:rsidRPr="00352BAC" w:rsidRDefault="009B368E" w:rsidP="009B368E">
      <w:pPr>
        <w:spacing w:line="240" w:lineRule="auto"/>
        <w:jc w:val="both"/>
        <w:rPr>
          <w:rFonts w:ascii="Times New Roman" w:hAnsi="Times New Roman" w:cs="Times New Roman"/>
          <w:color w:val="FF0000"/>
          <w:sz w:val="24"/>
          <w:szCs w:val="24"/>
          <w:u w:val="single"/>
        </w:rPr>
      </w:pPr>
      <w:r w:rsidRPr="00352BAC">
        <w:rPr>
          <w:rFonts w:ascii="Times New Roman" w:hAnsi="Times New Roman" w:cs="Times New Roman"/>
          <w:color w:val="FF0000"/>
          <w:sz w:val="24"/>
          <w:szCs w:val="24"/>
          <w:u w:val="single"/>
        </w:rPr>
        <w:t>En el caso de los beneficios económicos que se alcanzarían si se avanzara en políticas comunes en distintos campos, el informe señala que los mayores procederían de nuevas medidas para completar el mercado único (713.000 millones de euros).</w:t>
      </w:r>
    </w:p>
    <w:p w:rsidR="009B368E" w:rsidRPr="00352BAC" w:rsidRDefault="009B368E" w:rsidP="009B368E">
      <w:pPr>
        <w:spacing w:line="240" w:lineRule="auto"/>
        <w:jc w:val="both"/>
        <w:rPr>
          <w:rFonts w:ascii="Times New Roman" w:hAnsi="Times New Roman" w:cs="Times New Roman"/>
          <w:color w:val="FF0000"/>
          <w:sz w:val="24"/>
          <w:szCs w:val="24"/>
          <w:u w:val="single"/>
        </w:rPr>
      </w:pPr>
      <w:r w:rsidRPr="00352BAC">
        <w:rPr>
          <w:rFonts w:ascii="Times New Roman" w:hAnsi="Times New Roman" w:cs="Times New Roman"/>
          <w:color w:val="FF0000"/>
          <w:sz w:val="24"/>
          <w:szCs w:val="24"/>
          <w:u w:val="single"/>
        </w:rPr>
        <w:t>Asimismo, también tendrían un impacto positivo de unos 502.000 millones de euros medidas para hacer frente a los desafíos medioambientales, la eficiencia energética y la integración del mercado energético, así como unas mayores inversiones en investigación, innovación, robótica e Inteligencia Artificial (IA).</w:t>
      </w:r>
    </w:p>
    <w:p w:rsidR="009B368E" w:rsidRPr="00352BAC" w:rsidRDefault="009B368E" w:rsidP="009B368E">
      <w:pPr>
        <w:spacing w:line="240" w:lineRule="auto"/>
        <w:jc w:val="both"/>
        <w:rPr>
          <w:rFonts w:ascii="Times New Roman" w:hAnsi="Times New Roman" w:cs="Times New Roman"/>
          <w:color w:val="FF0000"/>
          <w:sz w:val="24"/>
          <w:szCs w:val="24"/>
          <w:u w:val="single"/>
        </w:rPr>
      </w:pPr>
      <w:r w:rsidRPr="00352BAC">
        <w:rPr>
          <w:rFonts w:ascii="Times New Roman" w:hAnsi="Times New Roman" w:cs="Times New Roman"/>
          <w:color w:val="FF0000"/>
          <w:sz w:val="24"/>
          <w:szCs w:val="24"/>
          <w:u w:val="single"/>
        </w:rPr>
        <w:t>Asimismo, añade que completar la unión económica y monetaria aportaría al conjunto de la UE alrededor de 322.000 millones de euros, reforzar las políticas europeas de justicia y asuntos internos unos 180.000 millones de euros y completar el mercado único digital alrededor de 178.000 millones de euros.</w:t>
      </w:r>
    </w:p>
    <w:p w:rsidR="009B368E" w:rsidRPr="00B71C41" w:rsidRDefault="00951729" w:rsidP="009B368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B368E" w:rsidRPr="00B71C41">
        <w:rPr>
          <w:rFonts w:ascii="Times New Roman" w:hAnsi="Times New Roman" w:cs="Times New Roman"/>
          <w:sz w:val="24"/>
          <w:szCs w:val="24"/>
        </w:rPr>
        <w:t>Si se hubieran adoptado antes estas medidas, habría mejorado la capacidad de la Unión Europea para responder de forma más coherente y efect</w:t>
      </w:r>
      <w:r>
        <w:rPr>
          <w:rFonts w:ascii="Times New Roman" w:hAnsi="Times New Roman" w:cs="Times New Roman"/>
          <w:sz w:val="24"/>
          <w:szCs w:val="24"/>
        </w:rPr>
        <w:t>iva a la crisis del coronavirus”</w:t>
      </w:r>
      <w:r w:rsidR="009B368E">
        <w:rPr>
          <w:rFonts w:ascii="Times New Roman" w:hAnsi="Times New Roman" w:cs="Times New Roman"/>
          <w:sz w:val="24"/>
          <w:szCs w:val="24"/>
        </w:rPr>
        <w:t>, incide el Parlamento Europeo.</w:t>
      </w:r>
    </w:p>
    <w:p w:rsidR="009B368E" w:rsidRPr="00B71C41" w:rsidRDefault="009B368E" w:rsidP="009B368E">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En concreto, apunta que un sistema económico europeo más resistente habría ayudado a proporcionar el nivel adecuado de respuesta fiscal, mientras que un mer</w:t>
      </w:r>
      <w:r w:rsidR="00951729">
        <w:rPr>
          <w:rFonts w:ascii="Times New Roman" w:hAnsi="Times New Roman" w:cs="Times New Roman"/>
          <w:sz w:val="24"/>
          <w:szCs w:val="24"/>
        </w:rPr>
        <w:t>cado único más integrado es un “instrumento clave”</w:t>
      </w:r>
      <w:r w:rsidRPr="00B71C41">
        <w:rPr>
          <w:rFonts w:ascii="Times New Roman" w:hAnsi="Times New Roman" w:cs="Times New Roman"/>
          <w:sz w:val="24"/>
          <w:szCs w:val="24"/>
        </w:rPr>
        <w:t xml:space="preserve"> para garantizar el suministro ininterrumpido de bienes esenciales y la renovación a tiempo de suminis</w:t>
      </w:r>
      <w:r>
        <w:rPr>
          <w:rFonts w:ascii="Times New Roman" w:hAnsi="Times New Roman" w:cs="Times New Roman"/>
          <w:sz w:val="24"/>
          <w:szCs w:val="24"/>
        </w:rPr>
        <w:t>tros médicos y equipos médicos.</w:t>
      </w:r>
    </w:p>
    <w:p w:rsidR="009B368E" w:rsidRPr="00352BAC" w:rsidRDefault="009B368E" w:rsidP="009B368E">
      <w:pPr>
        <w:spacing w:line="240" w:lineRule="auto"/>
        <w:jc w:val="both"/>
        <w:rPr>
          <w:rFonts w:ascii="Times New Roman" w:hAnsi="Times New Roman" w:cs="Times New Roman"/>
          <w:sz w:val="24"/>
          <w:szCs w:val="24"/>
          <w:u w:val="single"/>
        </w:rPr>
      </w:pPr>
      <w:r w:rsidRPr="00B71C41">
        <w:rPr>
          <w:rFonts w:ascii="Times New Roman" w:hAnsi="Times New Roman" w:cs="Times New Roman"/>
          <w:sz w:val="24"/>
          <w:szCs w:val="24"/>
        </w:rPr>
        <w:t xml:space="preserve">En esta línea, </w:t>
      </w:r>
      <w:r w:rsidRPr="00352BAC">
        <w:rPr>
          <w:rFonts w:ascii="Times New Roman" w:hAnsi="Times New Roman" w:cs="Times New Roman"/>
          <w:sz w:val="24"/>
          <w:szCs w:val="24"/>
          <w:u w:val="single"/>
        </w:rPr>
        <w:t>una mayor integración en la economía digital, los mercados de capitales y la unión bancaria, así como en las áreas, social, de empleo, y de salud, habría dado a la UE "herramientas adicionales para enfrentar la crisis actual de manera más efectiva".</w:t>
      </w:r>
    </w:p>
    <w:p w:rsidR="009B368E" w:rsidRPr="00B71C41" w:rsidRDefault="009B368E" w:rsidP="009B368E">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Sin embargo, también añade que, pese a que algunas oportunidades se han perdido por no estar completa la integración, el proyecto europeo ha a</w:t>
      </w:r>
      <w:r w:rsidR="00951729">
        <w:rPr>
          <w:rFonts w:ascii="Times New Roman" w:hAnsi="Times New Roman" w:cs="Times New Roman"/>
          <w:sz w:val="24"/>
          <w:szCs w:val="24"/>
        </w:rPr>
        <w:t>portado a los estados miembros “una gran suma adicional de PIB”, colocándoles en una “</w:t>
      </w:r>
      <w:r w:rsidRPr="00B71C41">
        <w:rPr>
          <w:rFonts w:ascii="Times New Roman" w:hAnsi="Times New Roman" w:cs="Times New Roman"/>
          <w:sz w:val="24"/>
          <w:szCs w:val="24"/>
        </w:rPr>
        <w:t>posición mucho más fuerte para lidiar con la actual crisis en comparación con un escenario en el</w:t>
      </w:r>
      <w:r>
        <w:rPr>
          <w:rFonts w:ascii="Times New Roman" w:hAnsi="Times New Roman" w:cs="Times New Roman"/>
          <w:sz w:val="24"/>
          <w:szCs w:val="24"/>
        </w:rPr>
        <w:t xml:space="preserve"> q</w:t>
      </w:r>
      <w:r w:rsidR="00951729">
        <w:rPr>
          <w:rFonts w:ascii="Times New Roman" w:hAnsi="Times New Roman" w:cs="Times New Roman"/>
          <w:sz w:val="24"/>
          <w:szCs w:val="24"/>
        </w:rPr>
        <w:t>ue nunca hubiera existido la UE”</w:t>
      </w:r>
      <w:r>
        <w:rPr>
          <w:rFonts w:ascii="Times New Roman" w:hAnsi="Times New Roman" w:cs="Times New Roman"/>
          <w:sz w:val="24"/>
          <w:szCs w:val="24"/>
        </w:rPr>
        <w:t>.</w:t>
      </w:r>
    </w:p>
    <w:p w:rsidR="009B368E" w:rsidRPr="00B71C41" w:rsidRDefault="009B368E" w:rsidP="009B368E">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Acción común</w:t>
      </w:r>
    </w:p>
    <w:p w:rsidR="009B368E" w:rsidRPr="00B71C41" w:rsidRDefault="00951729" w:rsidP="009B368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B368E" w:rsidRPr="00B71C41">
        <w:rPr>
          <w:rFonts w:ascii="Times New Roman" w:hAnsi="Times New Roman" w:cs="Times New Roman"/>
          <w:sz w:val="24"/>
          <w:szCs w:val="24"/>
        </w:rPr>
        <w:t>Los resultados de este estudio confirman que cuando está unida, Europa puede ofrecer más y de manera más efectiva y más eficiente, ya que la acción común proporciona un nivel de profundidad estratégica que ningún Estado miembro individual o un grupo aislado de Estados miem</w:t>
      </w:r>
      <w:r>
        <w:rPr>
          <w:rFonts w:ascii="Times New Roman" w:hAnsi="Times New Roman" w:cs="Times New Roman"/>
          <w:sz w:val="24"/>
          <w:szCs w:val="24"/>
        </w:rPr>
        <w:t>bros podría alcanzar”</w:t>
      </w:r>
      <w:r w:rsidR="009B368E">
        <w:rPr>
          <w:rFonts w:ascii="Times New Roman" w:hAnsi="Times New Roman" w:cs="Times New Roman"/>
          <w:sz w:val="24"/>
          <w:szCs w:val="24"/>
        </w:rPr>
        <w:t>, remarca.</w:t>
      </w:r>
    </w:p>
    <w:p w:rsidR="009B368E" w:rsidRPr="00B71C41" w:rsidRDefault="009B368E" w:rsidP="009B368E">
      <w:pPr>
        <w:spacing w:line="240" w:lineRule="auto"/>
        <w:jc w:val="both"/>
        <w:rPr>
          <w:rFonts w:ascii="Times New Roman" w:hAnsi="Times New Roman" w:cs="Times New Roman"/>
          <w:sz w:val="24"/>
          <w:szCs w:val="24"/>
        </w:rPr>
      </w:pPr>
      <w:r w:rsidRPr="00B71C41">
        <w:rPr>
          <w:rFonts w:ascii="Times New Roman" w:hAnsi="Times New Roman" w:cs="Times New Roman"/>
          <w:sz w:val="24"/>
          <w:szCs w:val="24"/>
        </w:rPr>
        <w:t>Por este motivo, el Parlament</w:t>
      </w:r>
      <w:r w:rsidR="00951729">
        <w:rPr>
          <w:rFonts w:ascii="Times New Roman" w:hAnsi="Times New Roman" w:cs="Times New Roman"/>
          <w:sz w:val="24"/>
          <w:szCs w:val="24"/>
        </w:rPr>
        <w:t>o Europeo defiende que haya un “</w:t>
      </w:r>
      <w:r w:rsidRPr="00B71C41">
        <w:rPr>
          <w:rFonts w:ascii="Times New Roman" w:hAnsi="Times New Roman" w:cs="Times New Roman"/>
          <w:sz w:val="24"/>
          <w:szCs w:val="24"/>
        </w:rPr>
        <w:t>movimiento decid</w:t>
      </w:r>
      <w:r w:rsidR="00951729">
        <w:rPr>
          <w:rFonts w:ascii="Times New Roman" w:hAnsi="Times New Roman" w:cs="Times New Roman"/>
          <w:sz w:val="24"/>
          <w:szCs w:val="24"/>
        </w:rPr>
        <w:t>ido”</w:t>
      </w:r>
      <w:r w:rsidRPr="00B71C41">
        <w:rPr>
          <w:rFonts w:ascii="Times New Roman" w:hAnsi="Times New Roman" w:cs="Times New Roman"/>
          <w:sz w:val="24"/>
          <w:szCs w:val="24"/>
        </w:rPr>
        <w:t xml:space="preserve"> hacia una mayor acción de política</w:t>
      </w:r>
      <w:r w:rsidR="00951729">
        <w:rPr>
          <w:rFonts w:ascii="Times New Roman" w:hAnsi="Times New Roman" w:cs="Times New Roman"/>
          <w:sz w:val="24"/>
          <w:szCs w:val="24"/>
        </w:rPr>
        <w:t xml:space="preserve"> común, ya que podría fomentar “</w:t>
      </w:r>
      <w:r w:rsidRPr="00B71C41">
        <w:rPr>
          <w:rFonts w:ascii="Times New Roman" w:hAnsi="Times New Roman" w:cs="Times New Roman"/>
          <w:sz w:val="24"/>
          <w:szCs w:val="24"/>
        </w:rPr>
        <w:t>una recuperación más rápida, más sosten</w:t>
      </w:r>
      <w:r w:rsidR="00951729">
        <w:rPr>
          <w:rFonts w:ascii="Times New Roman" w:hAnsi="Times New Roman" w:cs="Times New Roman"/>
          <w:sz w:val="24"/>
          <w:szCs w:val="24"/>
        </w:rPr>
        <w:t>ible y verdaderamente inclusiva”</w:t>
      </w:r>
      <w:r w:rsidRPr="00B71C41">
        <w:rPr>
          <w:rFonts w:ascii="Times New Roman" w:hAnsi="Times New Roman" w:cs="Times New Roman"/>
          <w:sz w:val="24"/>
          <w:szCs w:val="24"/>
        </w:rPr>
        <w:t>.</w:t>
      </w:r>
    </w:p>
    <w:p w:rsidR="00345DC9" w:rsidRPr="00B71C41" w:rsidRDefault="00951729" w:rsidP="009B368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9B368E" w:rsidRPr="00B71C41">
        <w:rPr>
          <w:rFonts w:ascii="Times New Roman" w:hAnsi="Times New Roman" w:cs="Times New Roman"/>
          <w:sz w:val="24"/>
          <w:szCs w:val="24"/>
        </w:rPr>
        <w:t>Las respuestas de los Estados miembros y las intervenciones económicas deben coordinarse, ya que de lo contrario podrían terminar creando una mayor divergencia a medio plazo, poniendo en riesgo la recuperación, en particular en los E</w:t>
      </w:r>
      <w:r>
        <w:rPr>
          <w:rFonts w:ascii="Times New Roman" w:hAnsi="Times New Roman" w:cs="Times New Roman"/>
          <w:sz w:val="24"/>
          <w:szCs w:val="24"/>
        </w:rPr>
        <w:t>stados miembros más vulnerables”</w:t>
      </w:r>
      <w:r w:rsidR="009B368E" w:rsidRPr="00B71C41">
        <w:rPr>
          <w:rFonts w:ascii="Times New Roman" w:hAnsi="Times New Roman" w:cs="Times New Roman"/>
          <w:sz w:val="24"/>
          <w:szCs w:val="24"/>
        </w:rPr>
        <w:t>, incide.</w:t>
      </w:r>
    </w:p>
    <w:p w:rsidR="00345DC9" w:rsidRPr="00FD25A1" w:rsidRDefault="00345DC9" w:rsidP="00345DC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C48F5">
        <w:rPr>
          <w:rFonts w:ascii="Times New Roman" w:hAnsi="Times New Roman" w:cs="Times New Roman"/>
          <w:sz w:val="24"/>
          <w:szCs w:val="24"/>
          <w:u w:val="single"/>
        </w:rPr>
        <w:t>Los dividendos mundiales caerán un 35% este año si se da el peor de los escenarios</w:t>
      </w:r>
      <w:r>
        <w:rPr>
          <w:rFonts w:ascii="Times New Roman" w:hAnsi="Times New Roman" w:cs="Times New Roman"/>
          <w:sz w:val="24"/>
          <w:szCs w:val="24"/>
        </w:rPr>
        <w:t xml:space="preserve"> (Cinco Días - </w:t>
      </w:r>
      <w:r w:rsidRPr="002C48F5">
        <w:rPr>
          <w:rFonts w:ascii="Times New Roman" w:hAnsi="Times New Roman" w:cs="Times New Roman"/>
          <w:b/>
          <w:sz w:val="24"/>
          <w:szCs w:val="24"/>
        </w:rPr>
        <w:t>17/5/20</w:t>
      </w:r>
      <w:r>
        <w:rPr>
          <w:rFonts w:ascii="Times New Roman" w:hAnsi="Times New Roman" w:cs="Times New Roman"/>
          <w:sz w:val="24"/>
          <w:szCs w:val="24"/>
        </w:rPr>
        <w:t>)</w:t>
      </w:r>
    </w:p>
    <w:p w:rsidR="00345DC9" w:rsidRPr="00FD25A1" w:rsidRDefault="00345DC9" w:rsidP="00345DC9">
      <w:pPr>
        <w:spacing w:line="240" w:lineRule="auto"/>
        <w:jc w:val="both"/>
        <w:rPr>
          <w:rFonts w:ascii="Times New Roman" w:hAnsi="Times New Roman" w:cs="Times New Roman"/>
          <w:sz w:val="24"/>
          <w:szCs w:val="24"/>
        </w:rPr>
      </w:pPr>
      <w:r w:rsidRPr="00FD25A1">
        <w:rPr>
          <w:rFonts w:ascii="Times New Roman" w:hAnsi="Times New Roman" w:cs="Times New Roman"/>
          <w:sz w:val="24"/>
          <w:szCs w:val="24"/>
        </w:rPr>
        <w:t>Janus Henderson cree que Europa se llevará la peor parte frente a Norteamérica y Asia</w:t>
      </w:r>
    </w:p>
    <w:p w:rsidR="00345DC9" w:rsidRDefault="00345DC9" w:rsidP="00345DC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D25A1">
        <w:rPr>
          <w:rFonts w:ascii="Times New Roman" w:hAnsi="Times New Roman" w:cs="Times New Roman"/>
          <w:sz w:val="24"/>
          <w:szCs w:val="24"/>
        </w:rPr>
        <w:t>Virginia Gómez Jiménez</w:t>
      </w:r>
      <w:r>
        <w:rPr>
          <w:rFonts w:ascii="Times New Roman" w:hAnsi="Times New Roman" w:cs="Times New Roman"/>
          <w:sz w:val="24"/>
          <w:szCs w:val="24"/>
        </w:rPr>
        <w:t>)</w:t>
      </w:r>
    </w:p>
    <w:p w:rsidR="00345DC9" w:rsidRDefault="00345DC9" w:rsidP="00345DC9">
      <w:pPr>
        <w:spacing w:line="240" w:lineRule="auto"/>
        <w:jc w:val="both"/>
        <w:rPr>
          <w:rFonts w:ascii="Times New Roman" w:hAnsi="Times New Roman" w:cs="Times New Roman"/>
          <w:sz w:val="24"/>
          <w:szCs w:val="24"/>
        </w:rPr>
      </w:pPr>
      <w:r>
        <w:rPr>
          <w:noProof/>
          <w:lang w:eastAsia="es-ES"/>
        </w:rPr>
        <w:drawing>
          <wp:inline distT="0" distB="0" distL="0" distR="0" wp14:anchorId="4C0065FD" wp14:editId="46556C6F">
            <wp:extent cx="5731510" cy="2853275"/>
            <wp:effectExtent l="0" t="0" r="2540" b="4445"/>
            <wp:docPr id="27" name="Imagen 27" descr="Dividendos anu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videndos anuales"/>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1510" cy="2853275"/>
                    </a:xfrm>
                    <a:prstGeom prst="rect">
                      <a:avLst/>
                    </a:prstGeom>
                    <a:noFill/>
                    <a:ln>
                      <a:noFill/>
                    </a:ln>
                  </pic:spPr>
                </pic:pic>
              </a:graphicData>
            </a:graphic>
          </wp:inline>
        </w:drawing>
      </w:r>
    </w:p>
    <w:p w:rsidR="00345DC9" w:rsidRPr="002C48F5" w:rsidRDefault="00345DC9" w:rsidP="00345DC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Los dividendos repartidos en los tres primeros meses del año a nivel mundial marcaron récord al alcanzar los 275.400 millones de dólares (254.469 millones de euros), lo que supone un aumento del 3,6% de forma general respecto al primer trimestre de 2019, según los últimos datos del Global Dividend Index de Janus Henderson. Los pagos de cupón por tanto no se vieron afectados por la pandemia de la Covid-19 hasta marzo, pero durante el resto del año el impacto será importante.</w:t>
      </w:r>
    </w:p>
    <w:p w:rsidR="00345DC9" w:rsidRPr="002C48F5" w:rsidRDefault="00345DC9" w:rsidP="00345DC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Tanto será así que Janus Henderson ha hecho unas nuevas previsiones para 2020 en las que contempla varios escenarios de cara al ejercicio completo y parte de 2021. En el más optimista, la caída prevista en los pagos mundiales será del 15%, 213.000 millones de dólares (196.812 millones de euros), has</w:t>
      </w:r>
      <w:r>
        <w:rPr>
          <w:rFonts w:ascii="Times New Roman" w:hAnsi="Times New Roman" w:cs="Times New Roman"/>
          <w:sz w:val="24"/>
          <w:szCs w:val="24"/>
        </w:rPr>
        <w:t xml:space="preserve">ta los 1,21 billones de euros. </w:t>
      </w:r>
    </w:p>
    <w:p w:rsidR="00345DC9" w:rsidRPr="002C48F5" w:rsidRDefault="00345DC9" w:rsidP="00345DC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Sin embargo, en el peor escenario, es decir en el que el nivel de endeudamiento de las empresas empeore- algunas de las cuales tienen demasiada deuda para hacer frente a una contracción económica tan repentina e inesperada- la caída de los pagos de dividendos este año sería del 35%, bajando hasta los 933.000 millones de dólares (862.092 millones de euros</w:t>
      </w:r>
      <w:r>
        <w:rPr>
          <w:rFonts w:ascii="Times New Roman" w:hAnsi="Times New Roman" w:cs="Times New Roman"/>
          <w:sz w:val="24"/>
          <w:szCs w:val="24"/>
        </w:rPr>
        <w:t>), prevé Janus Henderson.</w:t>
      </w:r>
    </w:p>
    <w:p w:rsidR="00345DC9" w:rsidRPr="002C48F5" w:rsidRDefault="00345DC9" w:rsidP="00345DC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“La amplitud del intervalo se debe a la rápida evolución de la crisis y la probabilidad de que muchas empresas simplemente reduzcan sus dividendos en lugar de suspenderlos totalmente, ya que buscan conservar su liquidez y reforzar sus balances”, explican en el informe.</w:t>
      </w:r>
    </w:p>
    <w:p w:rsidR="00345DC9" w:rsidRPr="002C48F5" w:rsidRDefault="00345DC9" w:rsidP="00345DC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lastRenderedPageBreak/>
        <w:t>La caída no afectará por igual ni a todos los sectore</w:t>
      </w:r>
      <w:r w:rsidR="00E46610">
        <w:rPr>
          <w:rFonts w:ascii="Times New Roman" w:hAnsi="Times New Roman" w:cs="Times New Roman"/>
          <w:sz w:val="24"/>
          <w:szCs w:val="24"/>
        </w:rPr>
        <w:t>s ni a los países. Janus Henders</w:t>
      </w:r>
      <w:r w:rsidRPr="002C48F5">
        <w:rPr>
          <w:rFonts w:ascii="Times New Roman" w:hAnsi="Times New Roman" w:cs="Times New Roman"/>
          <w:sz w:val="24"/>
          <w:szCs w:val="24"/>
        </w:rPr>
        <w:t>on cree que por diferentes motivos, Norteamérica y Asia serán probablemente las regiones menos afectadas. La primera tiene una diversidad sectorial favorable y citan como ejemplo el gran número de empresas tecnológicas y los esfuerzos de las empresas para preservar su liquidez se centrarán principalmente en la reducción de las recompras de accio</w:t>
      </w:r>
      <w:r>
        <w:rPr>
          <w:rFonts w:ascii="Times New Roman" w:hAnsi="Times New Roman" w:cs="Times New Roman"/>
          <w:sz w:val="24"/>
          <w:szCs w:val="24"/>
        </w:rPr>
        <w:t>nes, más que en los dividendos.</w:t>
      </w:r>
    </w:p>
    <w:p w:rsidR="00345DC9" w:rsidRPr="002C48F5" w:rsidRDefault="00345DC9" w:rsidP="00345DC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Europa y Reino Unido</w:t>
      </w:r>
    </w:p>
    <w:p w:rsidR="00345DC9" w:rsidRPr="002C48F5" w:rsidRDefault="00345DC9" w:rsidP="00345DC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En China y el resto de Asia, las empresas ya han estipulado sus repartos de dividendos en 2020 de acuerdo con los beneficios de 2019, por lo que el impacto probablemente será mayor en 2021. Europa y el Reino Unido serán los peor parados, según Janus Henderson que recuerda que los  reguladores han obligado a los bancos a suspender dividendos y las grandes petroleras, así como otras grandes empresas, y</w:t>
      </w:r>
      <w:r>
        <w:rPr>
          <w:rFonts w:ascii="Times New Roman" w:hAnsi="Times New Roman" w:cs="Times New Roman"/>
          <w:sz w:val="24"/>
          <w:szCs w:val="24"/>
        </w:rPr>
        <w:t>a han recortado sus dividendos.</w:t>
      </w:r>
    </w:p>
    <w:p w:rsidR="00345DC9" w:rsidRPr="002C48F5" w:rsidRDefault="00345DC9" w:rsidP="00345DC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Desde el punto de vista sectorial, bancos, consumo discrecional y algunas industrias y sectores, como el aeroespacial, son los que corren más riesgo. Los sectores del petróleo y minería, finanzas en general y construcción son especialmente débiles, mientras que las compañías tecnológicas y los sectores defensivos, como salud, alimentación y la mayoría del consumo básico (excepto el sector de bebidas, muy dependientes del negocio de bares y restauran</w:t>
      </w:r>
      <w:r>
        <w:rPr>
          <w:rFonts w:ascii="Times New Roman" w:hAnsi="Times New Roman" w:cs="Times New Roman"/>
          <w:sz w:val="24"/>
          <w:szCs w:val="24"/>
        </w:rPr>
        <w:t>tes) son relativamente seguros.</w:t>
      </w:r>
    </w:p>
    <w:p w:rsidR="00345DC9" w:rsidRPr="002C48F5" w:rsidRDefault="00345DC9" w:rsidP="00345DC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Janus Henderson explica que la amplitud del interval</w:t>
      </w:r>
      <w:r w:rsidR="00951729">
        <w:rPr>
          <w:rFonts w:ascii="Times New Roman" w:hAnsi="Times New Roman" w:cs="Times New Roman"/>
          <w:sz w:val="24"/>
          <w:szCs w:val="24"/>
        </w:rPr>
        <w:t>o de las previsiones se debe a “</w:t>
      </w:r>
      <w:r w:rsidRPr="002C48F5">
        <w:rPr>
          <w:rFonts w:ascii="Times New Roman" w:hAnsi="Times New Roman" w:cs="Times New Roman"/>
          <w:sz w:val="24"/>
          <w:szCs w:val="24"/>
        </w:rPr>
        <w:t>la rápida evolución de la crisis y la probabilidad de que muchas empresas simplemente reduzcan sus dividendos en lugar de suspenderlos totalmente, ya que buscan conservar su liq</w:t>
      </w:r>
      <w:r>
        <w:rPr>
          <w:rFonts w:ascii="Times New Roman" w:hAnsi="Times New Roman" w:cs="Times New Roman"/>
          <w:sz w:val="24"/>
          <w:szCs w:val="24"/>
        </w:rPr>
        <w:t>uidez y reforzar sus b</w:t>
      </w:r>
      <w:r w:rsidR="00951729">
        <w:rPr>
          <w:rFonts w:ascii="Times New Roman" w:hAnsi="Times New Roman" w:cs="Times New Roman"/>
          <w:sz w:val="24"/>
          <w:szCs w:val="24"/>
        </w:rPr>
        <w:t>alances”</w:t>
      </w:r>
      <w:r>
        <w:rPr>
          <w:rFonts w:ascii="Times New Roman" w:hAnsi="Times New Roman" w:cs="Times New Roman"/>
          <w:sz w:val="24"/>
          <w:szCs w:val="24"/>
        </w:rPr>
        <w:t>.</w:t>
      </w:r>
    </w:p>
    <w:p w:rsidR="00345DC9" w:rsidRPr="002C48F5" w:rsidRDefault="00345DC9" w:rsidP="00345DC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Además, estos expertos adelantan que, a su juicio, el impacto se prolongará en parte hasta 2021, cuando los pagos de dividendos probablemente serán inferiores a los e</w:t>
      </w:r>
      <w:r w:rsidR="00951729">
        <w:rPr>
          <w:rFonts w:ascii="Times New Roman" w:hAnsi="Times New Roman" w:cs="Times New Roman"/>
          <w:sz w:val="24"/>
          <w:szCs w:val="24"/>
        </w:rPr>
        <w:t>sperados antes de la pandemia. “</w:t>
      </w:r>
      <w:r w:rsidRPr="002C48F5">
        <w:rPr>
          <w:rFonts w:ascii="Times New Roman" w:hAnsi="Times New Roman" w:cs="Times New Roman"/>
          <w:sz w:val="24"/>
          <w:szCs w:val="24"/>
        </w:rPr>
        <w:t>Varios sectores podrían retomar el pago de dividendos en 2021, siempre y cuando el crecimiento de casos alcance su pico, los confinamientos actuales impuestos por los gobiernos finalicen y la economía global empi</w:t>
      </w:r>
      <w:r w:rsidR="00951729">
        <w:rPr>
          <w:rFonts w:ascii="Times New Roman" w:hAnsi="Times New Roman" w:cs="Times New Roman"/>
          <w:sz w:val="24"/>
          <w:szCs w:val="24"/>
        </w:rPr>
        <w:t>ece a funcionar y a recuperarse”</w:t>
      </w:r>
      <w:r w:rsidRPr="002C48F5">
        <w:rPr>
          <w:rFonts w:ascii="Times New Roman" w:hAnsi="Times New Roman" w:cs="Times New Roman"/>
          <w:sz w:val="24"/>
          <w:szCs w:val="24"/>
        </w:rPr>
        <w:t>, explican.</w:t>
      </w:r>
    </w:p>
    <w:p w:rsidR="00345DC9" w:rsidRPr="002C48F5" w:rsidRDefault="00951729" w:rsidP="00345DC9">
      <w:pPr>
        <w:spacing w:line="240" w:lineRule="auto"/>
        <w:jc w:val="both"/>
        <w:rPr>
          <w:rFonts w:ascii="Times New Roman" w:hAnsi="Times New Roman" w:cs="Times New Roman"/>
          <w:sz w:val="24"/>
          <w:szCs w:val="24"/>
        </w:rPr>
      </w:pPr>
      <w:r>
        <w:rPr>
          <w:rFonts w:ascii="Times New Roman" w:hAnsi="Times New Roman" w:cs="Times New Roman"/>
          <w:sz w:val="24"/>
          <w:szCs w:val="24"/>
        </w:rPr>
        <w:t>Pagos por regiones</w:t>
      </w:r>
    </w:p>
    <w:p w:rsidR="00345DC9" w:rsidRDefault="00345DC9" w:rsidP="00345DC9">
      <w:pPr>
        <w:spacing w:line="240" w:lineRule="auto"/>
        <w:jc w:val="both"/>
        <w:rPr>
          <w:rFonts w:ascii="Times New Roman" w:hAnsi="Times New Roman" w:cs="Times New Roman"/>
          <w:sz w:val="24"/>
          <w:szCs w:val="24"/>
        </w:rPr>
      </w:pPr>
      <w:r w:rsidRPr="002C48F5">
        <w:rPr>
          <w:rFonts w:ascii="Times New Roman" w:hAnsi="Times New Roman" w:cs="Times New Roman"/>
          <w:sz w:val="24"/>
          <w:szCs w:val="24"/>
        </w:rPr>
        <w:t>Durante el primer trimestre de 2020, la región de Norteamérica es la que ha r</w:t>
      </w:r>
      <w:r w:rsidR="00E46610">
        <w:rPr>
          <w:rFonts w:ascii="Times New Roman" w:hAnsi="Times New Roman" w:cs="Times New Roman"/>
          <w:sz w:val="24"/>
          <w:szCs w:val="24"/>
        </w:rPr>
        <w:t>epartido m</w:t>
      </w:r>
      <w:r w:rsidR="00E46610" w:rsidRPr="002C48F5">
        <w:rPr>
          <w:rFonts w:ascii="Times New Roman" w:hAnsi="Times New Roman" w:cs="Times New Roman"/>
          <w:sz w:val="24"/>
          <w:szCs w:val="24"/>
        </w:rPr>
        <w:t>ás</w:t>
      </w:r>
      <w:r w:rsidRPr="002C48F5">
        <w:rPr>
          <w:rFonts w:ascii="Times New Roman" w:hAnsi="Times New Roman" w:cs="Times New Roman"/>
          <w:sz w:val="24"/>
          <w:szCs w:val="24"/>
        </w:rPr>
        <w:t xml:space="preserve"> dividendos. Concretame</w:t>
      </w:r>
      <w:r>
        <w:rPr>
          <w:rFonts w:ascii="Times New Roman" w:hAnsi="Times New Roman" w:cs="Times New Roman"/>
          <w:sz w:val="24"/>
          <w:szCs w:val="24"/>
        </w:rPr>
        <w:t>n</w:t>
      </w:r>
      <w:r w:rsidR="00951729">
        <w:rPr>
          <w:rFonts w:ascii="Times New Roman" w:hAnsi="Times New Roman" w:cs="Times New Roman"/>
          <w:sz w:val="24"/>
          <w:szCs w:val="24"/>
        </w:rPr>
        <w:t>te, las cotizadas de EE</w:t>
      </w:r>
      <w:r w:rsidRPr="002C48F5">
        <w:rPr>
          <w:rFonts w:ascii="Times New Roman" w:hAnsi="Times New Roman" w:cs="Times New Roman"/>
          <w:sz w:val="24"/>
          <w:szCs w:val="24"/>
        </w:rPr>
        <w:t>UU y Canadá desembolsaro</w:t>
      </w:r>
      <w:r w:rsidR="00951729">
        <w:rPr>
          <w:rFonts w:ascii="Times New Roman" w:hAnsi="Times New Roman" w:cs="Times New Roman"/>
          <w:sz w:val="24"/>
          <w:szCs w:val="24"/>
        </w:rPr>
        <w:t>n 151.400 millones de dólares (</w:t>
      </w:r>
      <w:r w:rsidRPr="002C48F5">
        <w:rPr>
          <w:rFonts w:ascii="Times New Roman" w:hAnsi="Times New Roman" w:cs="Times New Roman"/>
          <w:sz w:val="24"/>
          <w:szCs w:val="24"/>
        </w:rPr>
        <w:t>139.636 millones de euros), lo que supone una mejora del 13% respecto al mismo período de 2019. El segundo puesto es para Europa que desembolsó 36.000 millones de dólares (33.202 millones de euros) en retribuir al accionista, un 10% menos que en el primer trimestre de 2019. En tercer lugar, se colocan las cotizadas de Reino Unido, que repartieron 18.600 millones de dólares (17.154 millones de euros), un 10,4% menos que un año antes.</w:t>
      </w:r>
    </w:p>
    <w:p w:rsidR="00345DC9" w:rsidRDefault="00345DC9" w:rsidP="00345DC9">
      <w:pPr>
        <w:spacing w:line="240" w:lineRule="auto"/>
        <w:jc w:val="both"/>
        <w:rPr>
          <w:rFonts w:ascii="Times New Roman" w:hAnsi="Times New Roman" w:cs="Times New Roman"/>
          <w:sz w:val="24"/>
          <w:szCs w:val="24"/>
        </w:rPr>
      </w:pPr>
      <w:r w:rsidRPr="00FD25A1">
        <w:rPr>
          <w:rFonts w:ascii="Times New Roman" w:eastAsia="Times New Roman" w:hAnsi="Times New Roman" w:cs="Times New Roman"/>
          <w:noProof/>
          <w:sz w:val="24"/>
          <w:szCs w:val="24"/>
          <w:lang w:eastAsia="es-ES"/>
        </w:rPr>
        <w:lastRenderedPageBreak/>
        <w:drawing>
          <wp:inline distT="0" distB="0" distL="0" distR="0" wp14:anchorId="30D70DC3" wp14:editId="4537BCD8">
            <wp:extent cx="5732906" cy="3294529"/>
            <wp:effectExtent l="0" t="0" r="1270" b="127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3293727"/>
                    </a:xfrm>
                    <a:prstGeom prst="rect">
                      <a:avLst/>
                    </a:prstGeom>
                  </pic:spPr>
                </pic:pic>
              </a:graphicData>
            </a:graphic>
          </wp:inline>
        </w:drawing>
      </w:r>
    </w:p>
    <w:p w:rsidR="00345DC9" w:rsidRDefault="00345DC9" w:rsidP="00AC602C">
      <w:pPr>
        <w:spacing w:line="240" w:lineRule="auto"/>
        <w:jc w:val="both"/>
        <w:rPr>
          <w:rFonts w:ascii="Times New Roman" w:hAnsi="Times New Roman" w:cs="Times New Roman"/>
          <w:b/>
          <w:sz w:val="24"/>
          <w:szCs w:val="24"/>
        </w:rPr>
      </w:pPr>
    </w:p>
    <w:p w:rsidR="00D645EB" w:rsidRDefault="00345DC9" w:rsidP="00646BDA">
      <w:pPr>
        <w:spacing w:line="240" w:lineRule="auto"/>
        <w:jc w:val="both"/>
        <w:rPr>
          <w:rFonts w:ascii="Times New Roman" w:hAnsi="Times New Roman" w:cs="Times New Roman"/>
          <w:b/>
          <w:sz w:val="24"/>
          <w:szCs w:val="24"/>
        </w:rPr>
      </w:pPr>
      <w:r w:rsidRPr="00FD25A1">
        <w:rPr>
          <w:rFonts w:ascii="Times New Roman" w:eastAsia="Times New Roman" w:hAnsi="Times New Roman" w:cs="Times New Roman"/>
          <w:noProof/>
          <w:sz w:val="24"/>
          <w:szCs w:val="24"/>
          <w:lang w:eastAsia="es-ES"/>
        </w:rPr>
        <w:drawing>
          <wp:inline distT="0" distB="0" distL="0" distR="0" wp14:anchorId="3651565F" wp14:editId="696B4FA1">
            <wp:extent cx="5734309" cy="4188759"/>
            <wp:effectExtent l="0" t="0" r="0" b="254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4186715"/>
                    </a:xfrm>
                    <a:prstGeom prst="rect">
                      <a:avLst/>
                    </a:prstGeom>
                  </pic:spPr>
                </pic:pic>
              </a:graphicData>
            </a:graphic>
          </wp:inline>
        </w:drawing>
      </w:r>
    </w:p>
    <w:p w:rsidR="0051622F" w:rsidRPr="001B4A1E" w:rsidRDefault="00345DC9" w:rsidP="00646BDA">
      <w:pPr>
        <w:spacing w:line="240" w:lineRule="auto"/>
        <w:jc w:val="both"/>
        <w:rPr>
          <w:rFonts w:ascii="Times New Roman" w:hAnsi="Times New Roman" w:cs="Times New Roman"/>
          <w:sz w:val="24"/>
          <w:szCs w:val="24"/>
          <w:lang w:val="en-US"/>
        </w:rPr>
      </w:pPr>
      <w:r w:rsidRPr="001B4A1E">
        <w:rPr>
          <w:rFonts w:ascii="Times New Roman" w:hAnsi="Times New Roman" w:cs="Times New Roman"/>
          <w:sz w:val="24"/>
          <w:szCs w:val="24"/>
          <w:lang w:val="en-US"/>
        </w:rPr>
        <w:t xml:space="preserve">(Fuente: BBCMundo - </w:t>
      </w:r>
      <w:r w:rsidRPr="00951729">
        <w:rPr>
          <w:rFonts w:ascii="Times New Roman" w:hAnsi="Times New Roman" w:cs="Times New Roman"/>
          <w:b/>
          <w:sz w:val="24"/>
          <w:szCs w:val="24"/>
          <w:lang w:val="en-US"/>
        </w:rPr>
        <w:t>19/5/20</w:t>
      </w:r>
      <w:r w:rsidRPr="001B4A1E">
        <w:rPr>
          <w:rFonts w:ascii="Times New Roman" w:hAnsi="Times New Roman" w:cs="Times New Roman"/>
          <w:sz w:val="24"/>
          <w:szCs w:val="24"/>
          <w:lang w:val="en-US"/>
        </w:rPr>
        <w:t>)</w:t>
      </w:r>
    </w:p>
    <w:p w:rsidR="004D4534" w:rsidRDefault="004D4534" w:rsidP="00646BDA">
      <w:pPr>
        <w:spacing w:line="240" w:lineRule="auto"/>
        <w:jc w:val="both"/>
        <w:rPr>
          <w:rFonts w:ascii="Times New Roman" w:hAnsi="Times New Roman" w:cs="Times New Roman"/>
          <w:sz w:val="24"/>
          <w:szCs w:val="24"/>
          <w:lang w:val="en-US"/>
        </w:rPr>
      </w:pPr>
    </w:p>
    <w:p w:rsidR="0051622F" w:rsidRPr="0051622F" w:rsidRDefault="0051622F" w:rsidP="00646BD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sidRPr="0051622F">
        <w:rPr>
          <w:rFonts w:ascii="Times New Roman" w:hAnsi="Times New Roman" w:cs="Times New Roman"/>
          <w:sz w:val="24"/>
          <w:szCs w:val="24"/>
          <w:u w:val="single"/>
          <w:lang w:val="en-US"/>
        </w:rPr>
        <w:t>COVID-19 Risks Outlook: A Preliminary Mapping and its Implications</w:t>
      </w:r>
      <w:r>
        <w:rPr>
          <w:rFonts w:ascii="Times New Roman" w:hAnsi="Times New Roman" w:cs="Times New Roman"/>
          <w:sz w:val="24"/>
          <w:szCs w:val="24"/>
          <w:lang w:val="en-US"/>
        </w:rPr>
        <w:t xml:space="preserve"> </w:t>
      </w:r>
      <w:r w:rsidRPr="0051622F">
        <w:rPr>
          <w:rFonts w:ascii="Times New Roman" w:hAnsi="Times New Roman" w:cs="Times New Roman"/>
          <w:sz w:val="24"/>
          <w:szCs w:val="24"/>
          <w:lang w:val="en-US"/>
        </w:rPr>
        <w:t xml:space="preserve">(World Economic Forum </w:t>
      </w:r>
      <w:r>
        <w:rPr>
          <w:rFonts w:ascii="Times New Roman" w:hAnsi="Times New Roman" w:cs="Times New Roman"/>
          <w:sz w:val="24"/>
          <w:szCs w:val="24"/>
          <w:lang w:val="en-US"/>
        </w:rPr>
        <w:t>-</w:t>
      </w:r>
      <w:r w:rsidRPr="0051622F">
        <w:rPr>
          <w:rFonts w:ascii="Times New Roman" w:hAnsi="Times New Roman" w:cs="Times New Roman"/>
          <w:sz w:val="24"/>
          <w:szCs w:val="24"/>
          <w:lang w:val="en-US"/>
        </w:rPr>
        <w:t xml:space="preserve"> </w:t>
      </w:r>
      <w:r w:rsidRPr="0051622F">
        <w:rPr>
          <w:rFonts w:ascii="Times New Roman" w:hAnsi="Times New Roman" w:cs="Times New Roman"/>
          <w:b/>
          <w:sz w:val="24"/>
          <w:szCs w:val="24"/>
          <w:lang w:val="en-US"/>
        </w:rPr>
        <w:t>19/5/20</w:t>
      </w:r>
      <w:r w:rsidRPr="0051622F">
        <w:rPr>
          <w:rFonts w:ascii="Times New Roman" w:hAnsi="Times New Roman" w:cs="Times New Roman"/>
          <w:sz w:val="24"/>
          <w:szCs w:val="24"/>
          <w:lang w:val="en-US"/>
        </w:rPr>
        <w:t>)</w:t>
      </w:r>
    </w:p>
    <w:p w:rsidR="0051622F" w:rsidRDefault="0051622F" w:rsidP="00646BDA">
      <w:pPr>
        <w:spacing w:line="240" w:lineRule="auto"/>
        <w:jc w:val="both"/>
        <w:rPr>
          <w:rFonts w:ascii="Times New Roman" w:hAnsi="Times New Roman" w:cs="Times New Roman"/>
          <w:sz w:val="24"/>
          <w:szCs w:val="24"/>
        </w:rPr>
      </w:pPr>
      <w:r w:rsidRPr="0051622F">
        <w:rPr>
          <w:rFonts w:ascii="Times New Roman" w:hAnsi="Times New Roman" w:cs="Times New Roman"/>
          <w:noProof/>
          <w:sz w:val="24"/>
          <w:szCs w:val="24"/>
          <w:lang w:eastAsia="es-ES"/>
        </w:rPr>
        <w:drawing>
          <wp:inline distT="0" distB="0" distL="0" distR="0" wp14:anchorId="69613FAC" wp14:editId="3F5146B8">
            <wp:extent cx="5728113" cy="2474258"/>
            <wp:effectExtent l="0" t="0" r="6350" b="254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2475725"/>
                    </a:xfrm>
                    <a:prstGeom prst="rect">
                      <a:avLst/>
                    </a:prstGeom>
                  </pic:spPr>
                </pic:pic>
              </a:graphicData>
            </a:graphic>
          </wp:inline>
        </w:drawing>
      </w:r>
    </w:p>
    <w:p w:rsidR="0051622F" w:rsidRDefault="0051622F" w:rsidP="00646BDA">
      <w:pPr>
        <w:spacing w:line="240" w:lineRule="auto"/>
        <w:jc w:val="both"/>
        <w:rPr>
          <w:rFonts w:ascii="Times New Roman" w:hAnsi="Times New Roman" w:cs="Times New Roman"/>
          <w:sz w:val="24"/>
          <w:szCs w:val="24"/>
        </w:rPr>
      </w:pPr>
      <w:r w:rsidRPr="0051622F">
        <w:rPr>
          <w:rFonts w:ascii="Times New Roman" w:hAnsi="Times New Roman" w:cs="Times New Roman"/>
          <w:noProof/>
          <w:sz w:val="24"/>
          <w:szCs w:val="24"/>
          <w:lang w:eastAsia="es-ES"/>
        </w:rPr>
        <w:drawing>
          <wp:inline distT="0" distB="0" distL="0" distR="0" wp14:anchorId="5C280F51" wp14:editId="209D3FC4">
            <wp:extent cx="5732536" cy="2669242"/>
            <wp:effectExtent l="0" t="0" r="1905"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2668764"/>
                    </a:xfrm>
                    <a:prstGeom prst="rect">
                      <a:avLst/>
                    </a:prstGeom>
                  </pic:spPr>
                </pic:pic>
              </a:graphicData>
            </a:graphic>
          </wp:inline>
        </w:drawing>
      </w:r>
    </w:p>
    <w:p w:rsidR="0051622F" w:rsidRDefault="0051622F" w:rsidP="00646BDA">
      <w:pPr>
        <w:spacing w:line="240" w:lineRule="auto"/>
        <w:jc w:val="both"/>
        <w:rPr>
          <w:rFonts w:ascii="Times New Roman" w:hAnsi="Times New Roman" w:cs="Times New Roman"/>
          <w:sz w:val="24"/>
          <w:szCs w:val="24"/>
        </w:rPr>
      </w:pPr>
      <w:r w:rsidRPr="0051622F">
        <w:rPr>
          <w:rFonts w:ascii="Times New Roman" w:hAnsi="Times New Roman" w:cs="Times New Roman"/>
          <w:noProof/>
          <w:sz w:val="24"/>
          <w:szCs w:val="24"/>
          <w:lang w:eastAsia="es-ES"/>
        </w:rPr>
        <w:drawing>
          <wp:inline distT="0" distB="0" distL="0" distR="0" wp14:anchorId="1DED2A8F" wp14:editId="7907EB92">
            <wp:extent cx="5732411" cy="2615453"/>
            <wp:effectExtent l="0" t="0" r="1905"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2615042"/>
                    </a:xfrm>
                    <a:prstGeom prst="rect">
                      <a:avLst/>
                    </a:prstGeom>
                  </pic:spPr>
                </pic:pic>
              </a:graphicData>
            </a:graphic>
          </wp:inline>
        </w:drawing>
      </w:r>
    </w:p>
    <w:p w:rsidR="00E4582B" w:rsidRPr="00E4582B" w:rsidRDefault="00E4582B" w:rsidP="00646BDA">
      <w:pPr>
        <w:spacing w:line="240" w:lineRule="auto"/>
        <w:jc w:val="both"/>
        <w:rPr>
          <w:rFonts w:ascii="Times New Roman" w:hAnsi="Times New Roman" w:cs="Times New Roman"/>
          <w:sz w:val="24"/>
          <w:szCs w:val="24"/>
        </w:rPr>
      </w:pPr>
      <w:r w:rsidRPr="00E4582B">
        <w:rPr>
          <w:rFonts w:ascii="Times New Roman" w:hAnsi="Times New Roman" w:cs="Times New Roman"/>
          <w:noProof/>
          <w:sz w:val="24"/>
          <w:szCs w:val="24"/>
          <w:lang w:eastAsia="es-ES"/>
        </w:rPr>
        <w:lastRenderedPageBreak/>
        <w:drawing>
          <wp:inline distT="0" distB="0" distL="0" distR="0" wp14:anchorId="67F3D59F" wp14:editId="10572F6C">
            <wp:extent cx="2749923" cy="3065929"/>
            <wp:effectExtent l="0" t="0" r="0" b="127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2749923" cy="3065929"/>
                    </a:xfrm>
                    <a:prstGeom prst="rect">
                      <a:avLst/>
                    </a:prstGeom>
                  </pic:spPr>
                </pic:pic>
              </a:graphicData>
            </a:graphic>
          </wp:inline>
        </w:drawing>
      </w:r>
      <w:r w:rsidRPr="00E4582B">
        <w:rPr>
          <w:rFonts w:ascii="Times New Roman" w:hAnsi="Times New Roman" w:cs="Times New Roman"/>
          <w:noProof/>
          <w:sz w:val="24"/>
          <w:szCs w:val="24"/>
          <w:lang w:eastAsia="es-ES"/>
        </w:rPr>
        <w:drawing>
          <wp:inline distT="0" distB="0" distL="0" distR="0" wp14:anchorId="0C8E7E69" wp14:editId="51942B5B">
            <wp:extent cx="2869871" cy="3065929"/>
            <wp:effectExtent l="0" t="0" r="6985" b="127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2871348" cy="3067507"/>
                    </a:xfrm>
                    <a:prstGeom prst="rect">
                      <a:avLst/>
                    </a:prstGeom>
                  </pic:spPr>
                </pic:pic>
              </a:graphicData>
            </a:graphic>
          </wp:inline>
        </w:drawing>
      </w:r>
      <w:r w:rsidRPr="00E4582B">
        <w:rPr>
          <w:noProof/>
          <w:lang w:eastAsia="es-ES"/>
        </w:rPr>
        <w:t xml:space="preserve"> </w:t>
      </w:r>
    </w:p>
    <w:p w:rsidR="00E4582B" w:rsidRDefault="00E4582B" w:rsidP="00646BDA">
      <w:pPr>
        <w:spacing w:line="240" w:lineRule="auto"/>
        <w:jc w:val="both"/>
        <w:rPr>
          <w:rFonts w:ascii="Times New Roman" w:hAnsi="Times New Roman" w:cs="Times New Roman"/>
          <w:sz w:val="24"/>
          <w:szCs w:val="24"/>
        </w:rPr>
      </w:pPr>
      <w:r w:rsidRPr="00E4582B">
        <w:rPr>
          <w:rFonts w:ascii="Times New Roman" w:hAnsi="Times New Roman" w:cs="Times New Roman"/>
          <w:noProof/>
          <w:sz w:val="24"/>
          <w:szCs w:val="24"/>
          <w:lang w:eastAsia="es-ES"/>
        </w:rPr>
        <w:drawing>
          <wp:inline distT="0" distB="0" distL="0" distR="0" wp14:anchorId="5E7A773C" wp14:editId="10E12A50">
            <wp:extent cx="5479676" cy="2568389"/>
            <wp:effectExtent l="0" t="0" r="6985" b="381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477640" cy="2567435"/>
                    </a:xfrm>
                    <a:prstGeom prst="rect">
                      <a:avLst/>
                    </a:prstGeom>
                  </pic:spPr>
                </pic:pic>
              </a:graphicData>
            </a:graphic>
          </wp:inline>
        </w:drawing>
      </w:r>
    </w:p>
    <w:p w:rsidR="00E4582B" w:rsidRDefault="00E4582B" w:rsidP="00646BDA">
      <w:pPr>
        <w:spacing w:line="240" w:lineRule="auto"/>
        <w:jc w:val="both"/>
        <w:rPr>
          <w:rFonts w:ascii="Times New Roman" w:hAnsi="Times New Roman" w:cs="Times New Roman"/>
          <w:sz w:val="24"/>
          <w:szCs w:val="24"/>
        </w:rPr>
      </w:pPr>
      <w:r w:rsidRPr="00E4582B">
        <w:rPr>
          <w:rFonts w:ascii="Times New Roman" w:hAnsi="Times New Roman" w:cs="Times New Roman"/>
          <w:noProof/>
          <w:sz w:val="24"/>
          <w:szCs w:val="24"/>
          <w:lang w:eastAsia="es-ES"/>
        </w:rPr>
        <w:drawing>
          <wp:inline distT="0" distB="0" distL="0" distR="0" wp14:anchorId="5FFB09EF" wp14:editId="218693A0">
            <wp:extent cx="5572961" cy="2884394"/>
            <wp:effectExtent l="0" t="0" r="889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572903" cy="2884364"/>
                    </a:xfrm>
                    <a:prstGeom prst="rect">
                      <a:avLst/>
                    </a:prstGeom>
                  </pic:spPr>
                </pic:pic>
              </a:graphicData>
            </a:graphic>
          </wp:inline>
        </w:drawing>
      </w:r>
    </w:p>
    <w:p w:rsidR="0051622F" w:rsidRPr="0051622F" w:rsidRDefault="0051622F" w:rsidP="0051622F">
      <w:pPr>
        <w:spacing w:line="240" w:lineRule="auto"/>
        <w:jc w:val="both"/>
        <w:rPr>
          <w:rFonts w:ascii="Times New Roman" w:hAnsi="Times New Roman" w:cs="Times New Roman"/>
          <w:b/>
          <w:sz w:val="24"/>
          <w:szCs w:val="24"/>
          <w:lang w:val="en-US"/>
        </w:rPr>
      </w:pPr>
      <w:r w:rsidRPr="0051622F">
        <w:rPr>
          <w:rFonts w:ascii="Times New Roman" w:hAnsi="Times New Roman" w:cs="Times New Roman"/>
          <w:b/>
          <w:sz w:val="24"/>
          <w:szCs w:val="24"/>
          <w:lang w:val="en-US"/>
        </w:rPr>
        <w:lastRenderedPageBreak/>
        <w:t>A pandemic in (some) numbers</w:t>
      </w:r>
    </w:p>
    <w:p w:rsidR="00951729" w:rsidRPr="00951729" w:rsidRDefault="0051622F" w:rsidP="00951729">
      <w:pPr>
        <w:numPr>
          <w:ilvl w:val="0"/>
          <w:numId w:val="9"/>
        </w:numPr>
        <w:spacing w:after="100" w:afterAutospacing="1" w:line="240" w:lineRule="auto"/>
        <w:ind w:left="0"/>
        <w:jc w:val="both"/>
        <w:rPr>
          <w:rFonts w:ascii="Times New Roman" w:hAnsi="Times New Roman" w:cs="Times New Roman"/>
          <w:b/>
          <w:color w:val="0070BE"/>
          <w:sz w:val="24"/>
          <w:szCs w:val="24"/>
          <w:lang w:val="en-US"/>
        </w:rPr>
      </w:pPr>
      <w:r w:rsidRPr="0051622F">
        <w:rPr>
          <w:rFonts w:ascii="Times New Roman" w:hAnsi="Times New Roman" w:cs="Times New Roman"/>
          <w:b/>
          <w:color w:val="0070BE"/>
          <w:sz w:val="24"/>
          <w:szCs w:val="24"/>
          <w:lang w:val="en-US"/>
        </w:rPr>
        <w:t xml:space="preserve">500m    </w:t>
      </w:r>
      <w:r>
        <w:rPr>
          <w:rFonts w:ascii="Times New Roman" w:hAnsi="Times New Roman" w:cs="Times New Roman"/>
          <w:b/>
          <w:color w:val="0070BE"/>
          <w:sz w:val="24"/>
          <w:szCs w:val="24"/>
          <w:lang w:val="en-US"/>
        </w:rPr>
        <w:t xml:space="preserve">  </w:t>
      </w:r>
      <w:r w:rsidRPr="0051622F">
        <w:rPr>
          <w:rFonts w:ascii="Times New Roman" w:hAnsi="Times New Roman" w:cs="Times New Roman"/>
          <w:b/>
          <w:bCs/>
          <w:color w:val="141414"/>
          <w:sz w:val="24"/>
          <w:szCs w:val="24"/>
          <w:lang w:val="en-US"/>
        </w:rPr>
        <w:t>People at risk of falling into poverty</w:t>
      </w:r>
    </w:p>
    <w:p w:rsidR="0051622F" w:rsidRPr="0051622F" w:rsidRDefault="0051622F" w:rsidP="0051622F">
      <w:pPr>
        <w:numPr>
          <w:ilvl w:val="0"/>
          <w:numId w:val="9"/>
        </w:numPr>
        <w:spacing w:after="100" w:afterAutospacing="1" w:line="240" w:lineRule="auto"/>
        <w:ind w:left="0"/>
        <w:jc w:val="both"/>
        <w:rPr>
          <w:rFonts w:ascii="Times New Roman" w:hAnsi="Times New Roman" w:cs="Times New Roman"/>
          <w:b/>
          <w:color w:val="0070BE"/>
          <w:sz w:val="24"/>
          <w:szCs w:val="24"/>
          <w:lang w:val="en-US"/>
        </w:rPr>
      </w:pPr>
      <w:r w:rsidRPr="0051622F">
        <w:rPr>
          <w:rFonts w:ascii="Times New Roman" w:hAnsi="Times New Roman" w:cs="Times New Roman"/>
          <w:b/>
          <w:color w:val="0070BE"/>
          <w:sz w:val="24"/>
          <w:szCs w:val="24"/>
          <w:lang w:val="en-US"/>
        </w:rPr>
        <w:t xml:space="preserve">3%        </w:t>
      </w:r>
      <w:r>
        <w:rPr>
          <w:rFonts w:ascii="Times New Roman" w:hAnsi="Times New Roman" w:cs="Times New Roman"/>
          <w:b/>
          <w:color w:val="0070BE"/>
          <w:sz w:val="24"/>
          <w:szCs w:val="24"/>
          <w:lang w:val="en-US"/>
        </w:rPr>
        <w:t xml:space="preserve"> </w:t>
      </w:r>
      <w:r w:rsidRPr="0051622F">
        <w:rPr>
          <w:rFonts w:ascii="Times New Roman" w:hAnsi="Times New Roman" w:cs="Times New Roman"/>
          <w:b/>
          <w:bCs/>
          <w:color w:val="141414"/>
          <w:sz w:val="24"/>
          <w:szCs w:val="24"/>
          <w:lang w:val="en-US"/>
        </w:rPr>
        <w:t>Expected drop in world output</w:t>
      </w:r>
    </w:p>
    <w:p w:rsidR="0051622F" w:rsidRPr="0051622F" w:rsidRDefault="0051622F" w:rsidP="0051622F">
      <w:pPr>
        <w:numPr>
          <w:ilvl w:val="0"/>
          <w:numId w:val="9"/>
        </w:numPr>
        <w:spacing w:after="100" w:afterAutospacing="1" w:line="240" w:lineRule="auto"/>
        <w:ind w:left="0"/>
        <w:jc w:val="both"/>
        <w:rPr>
          <w:rFonts w:ascii="Times New Roman" w:hAnsi="Times New Roman" w:cs="Times New Roman"/>
          <w:b/>
          <w:color w:val="0070BE"/>
          <w:sz w:val="24"/>
          <w:szCs w:val="24"/>
          <w:lang w:val="en-US"/>
        </w:rPr>
      </w:pPr>
      <w:r w:rsidRPr="0051622F">
        <w:rPr>
          <w:rFonts w:ascii="Times New Roman" w:hAnsi="Times New Roman" w:cs="Times New Roman"/>
          <w:b/>
          <w:color w:val="0070BE"/>
          <w:sz w:val="24"/>
          <w:szCs w:val="24"/>
          <w:lang w:val="en-US"/>
        </w:rPr>
        <w:t xml:space="preserve">13-32% </w:t>
      </w:r>
      <w:r w:rsidRPr="0051622F">
        <w:rPr>
          <w:rFonts w:ascii="Times New Roman" w:hAnsi="Times New Roman" w:cs="Times New Roman"/>
          <w:b/>
          <w:bCs/>
          <w:color w:val="141414"/>
          <w:sz w:val="24"/>
          <w:szCs w:val="24"/>
          <w:lang w:val="en-US"/>
        </w:rPr>
        <w:t>Anticipated fall in global trade</w:t>
      </w:r>
    </w:p>
    <w:p w:rsidR="0051622F" w:rsidRPr="0051622F" w:rsidRDefault="0051622F" w:rsidP="0051622F">
      <w:pPr>
        <w:numPr>
          <w:ilvl w:val="0"/>
          <w:numId w:val="9"/>
        </w:numPr>
        <w:spacing w:after="100" w:afterAutospacing="1" w:line="240" w:lineRule="auto"/>
        <w:ind w:left="0"/>
        <w:jc w:val="both"/>
        <w:rPr>
          <w:rFonts w:ascii="Times New Roman" w:hAnsi="Times New Roman" w:cs="Times New Roman"/>
          <w:b/>
          <w:color w:val="0070BE"/>
          <w:sz w:val="24"/>
          <w:szCs w:val="24"/>
        </w:rPr>
      </w:pPr>
      <w:r w:rsidRPr="0051622F">
        <w:rPr>
          <w:rFonts w:ascii="Times New Roman" w:hAnsi="Times New Roman" w:cs="Times New Roman"/>
          <w:b/>
          <w:color w:val="0070BE"/>
          <w:sz w:val="24"/>
          <w:szCs w:val="24"/>
        </w:rPr>
        <w:t xml:space="preserve">30-40% </w:t>
      </w:r>
      <w:r w:rsidRPr="0051622F">
        <w:rPr>
          <w:rFonts w:ascii="Times New Roman" w:hAnsi="Times New Roman" w:cs="Times New Roman"/>
          <w:b/>
          <w:bCs/>
          <w:color w:val="141414"/>
          <w:sz w:val="24"/>
          <w:szCs w:val="24"/>
        </w:rPr>
        <w:t>Estimated drop in FDI</w:t>
      </w:r>
    </w:p>
    <w:p w:rsidR="0051622F" w:rsidRPr="0051622F" w:rsidRDefault="0051622F" w:rsidP="0051622F">
      <w:pPr>
        <w:numPr>
          <w:ilvl w:val="0"/>
          <w:numId w:val="9"/>
        </w:numPr>
        <w:spacing w:after="100" w:afterAutospacing="1" w:line="240" w:lineRule="auto"/>
        <w:ind w:left="0"/>
        <w:jc w:val="both"/>
        <w:rPr>
          <w:rFonts w:ascii="Times New Roman" w:hAnsi="Times New Roman" w:cs="Times New Roman"/>
          <w:b/>
          <w:color w:val="0070BE"/>
          <w:sz w:val="24"/>
          <w:szCs w:val="24"/>
          <w:lang w:val="en-US"/>
        </w:rPr>
      </w:pPr>
      <w:r w:rsidRPr="0051622F">
        <w:rPr>
          <w:rFonts w:ascii="Times New Roman" w:hAnsi="Times New Roman" w:cs="Times New Roman"/>
          <w:b/>
          <w:color w:val="0070BE"/>
          <w:sz w:val="24"/>
          <w:szCs w:val="24"/>
          <w:lang w:val="en-US"/>
        </w:rPr>
        <w:t xml:space="preserve">80%      </w:t>
      </w:r>
      <w:r w:rsidRPr="0051622F">
        <w:rPr>
          <w:rFonts w:ascii="Times New Roman" w:hAnsi="Times New Roman" w:cs="Times New Roman"/>
          <w:b/>
          <w:bCs/>
          <w:color w:val="141414"/>
          <w:sz w:val="24"/>
          <w:szCs w:val="24"/>
          <w:lang w:val="en-US"/>
        </w:rPr>
        <w:t>Students worldwide (1.6bn) out of school in March 2020</w:t>
      </w:r>
    </w:p>
    <w:p w:rsidR="0051622F" w:rsidRPr="0051622F" w:rsidRDefault="0051622F" w:rsidP="0051622F">
      <w:pPr>
        <w:numPr>
          <w:ilvl w:val="0"/>
          <w:numId w:val="9"/>
        </w:numPr>
        <w:spacing w:after="100" w:afterAutospacing="1" w:line="240" w:lineRule="auto"/>
        <w:ind w:left="0"/>
        <w:jc w:val="both"/>
        <w:rPr>
          <w:rFonts w:ascii="Times New Roman" w:hAnsi="Times New Roman" w:cs="Times New Roman"/>
          <w:b/>
          <w:color w:val="0070BE"/>
          <w:sz w:val="24"/>
          <w:szCs w:val="24"/>
          <w:lang w:val="en-US"/>
        </w:rPr>
      </w:pPr>
      <w:r w:rsidRPr="0051622F">
        <w:rPr>
          <w:rFonts w:ascii="Times New Roman" w:hAnsi="Times New Roman" w:cs="Times New Roman"/>
          <w:b/>
          <w:color w:val="0070BE"/>
          <w:sz w:val="24"/>
          <w:szCs w:val="24"/>
          <w:lang w:val="en-US"/>
        </w:rPr>
        <w:t xml:space="preserve">34%     </w:t>
      </w:r>
      <w:r>
        <w:rPr>
          <w:rFonts w:ascii="Times New Roman" w:hAnsi="Times New Roman" w:cs="Times New Roman"/>
          <w:b/>
          <w:color w:val="0070BE"/>
          <w:sz w:val="24"/>
          <w:szCs w:val="24"/>
          <w:lang w:val="en-US"/>
        </w:rPr>
        <w:t xml:space="preserve"> </w:t>
      </w:r>
      <w:r w:rsidRPr="0051622F">
        <w:rPr>
          <w:rFonts w:ascii="Times New Roman" w:hAnsi="Times New Roman" w:cs="Times New Roman"/>
          <w:b/>
          <w:bCs/>
          <w:color w:val="141414"/>
          <w:sz w:val="24"/>
          <w:szCs w:val="24"/>
          <w:lang w:val="en-US"/>
        </w:rPr>
        <w:t>Adults feeling adverse effects on their mental health during lockdown</w:t>
      </w:r>
    </w:p>
    <w:p w:rsidR="0051622F" w:rsidRPr="0051622F" w:rsidRDefault="0051622F" w:rsidP="00646BDA">
      <w:pPr>
        <w:numPr>
          <w:ilvl w:val="0"/>
          <w:numId w:val="9"/>
        </w:numPr>
        <w:spacing w:after="100" w:afterAutospacing="1" w:line="240" w:lineRule="auto"/>
        <w:ind w:left="0"/>
        <w:jc w:val="both"/>
        <w:rPr>
          <w:rFonts w:ascii="Times New Roman" w:hAnsi="Times New Roman" w:cs="Times New Roman"/>
          <w:color w:val="0070BE"/>
          <w:sz w:val="24"/>
          <w:szCs w:val="24"/>
          <w:lang w:val="en-US"/>
        </w:rPr>
      </w:pPr>
      <w:r w:rsidRPr="0051622F">
        <w:rPr>
          <w:rFonts w:ascii="Times New Roman" w:hAnsi="Times New Roman" w:cs="Times New Roman"/>
          <w:b/>
          <w:color w:val="0070BE"/>
          <w:sz w:val="24"/>
          <w:szCs w:val="24"/>
          <w:lang w:val="en-US"/>
        </w:rPr>
        <w:t>1%</w:t>
      </w:r>
      <w:r w:rsidRPr="0051622F">
        <w:rPr>
          <w:rFonts w:ascii="Times New Roman" w:hAnsi="Times New Roman" w:cs="Times New Roman"/>
          <w:color w:val="0070BE"/>
          <w:sz w:val="24"/>
          <w:szCs w:val="24"/>
          <w:lang w:val="en-US"/>
        </w:rPr>
        <w:t xml:space="preserve"> </w:t>
      </w:r>
      <w:r>
        <w:rPr>
          <w:rFonts w:ascii="Times New Roman" w:hAnsi="Times New Roman" w:cs="Times New Roman"/>
          <w:color w:val="0070BE"/>
          <w:sz w:val="24"/>
          <w:szCs w:val="24"/>
          <w:lang w:val="en-US"/>
        </w:rPr>
        <w:t xml:space="preserve">       </w:t>
      </w:r>
      <w:r w:rsidRPr="0051622F">
        <w:rPr>
          <w:rFonts w:ascii="Times New Roman" w:hAnsi="Times New Roman" w:cs="Times New Roman"/>
          <w:b/>
          <w:bCs/>
          <w:color w:val="141414"/>
          <w:sz w:val="24"/>
          <w:szCs w:val="24"/>
          <w:lang w:val="en-US"/>
        </w:rPr>
        <w:t>Increase in unemployment results in 2% increase in chronic illness</w:t>
      </w:r>
    </w:p>
    <w:p w:rsidR="00736E56" w:rsidRPr="00FB04EB" w:rsidRDefault="00736E56" w:rsidP="00736E5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B04EB">
        <w:rPr>
          <w:rFonts w:ascii="Times New Roman" w:hAnsi="Times New Roman" w:cs="Times New Roman"/>
          <w:sz w:val="24"/>
          <w:szCs w:val="24"/>
          <w:u w:val="single"/>
        </w:rPr>
        <w:t>Las locomotoras del sur se quedan atrás en la recuperación de Europa</w:t>
      </w:r>
      <w:r>
        <w:rPr>
          <w:rFonts w:ascii="Times New Roman" w:hAnsi="Times New Roman" w:cs="Times New Roman"/>
          <w:sz w:val="24"/>
          <w:szCs w:val="24"/>
        </w:rPr>
        <w:t xml:space="preserve"> (El Economista - </w:t>
      </w:r>
      <w:r w:rsidRPr="00FB04EB">
        <w:rPr>
          <w:rFonts w:ascii="Times New Roman" w:hAnsi="Times New Roman" w:cs="Times New Roman"/>
          <w:b/>
          <w:sz w:val="24"/>
          <w:szCs w:val="24"/>
        </w:rPr>
        <w:t>20/5/20</w:t>
      </w:r>
      <w:r>
        <w:rPr>
          <w:rFonts w:ascii="Times New Roman" w:hAnsi="Times New Roman" w:cs="Times New Roman"/>
          <w:sz w:val="24"/>
          <w:szCs w:val="24"/>
        </w:rPr>
        <w:t>)</w:t>
      </w:r>
    </w:p>
    <w:p w:rsidR="00736E56" w:rsidRDefault="00736E56" w:rsidP="00646BDA">
      <w:pPr>
        <w:spacing w:line="240" w:lineRule="auto"/>
        <w:jc w:val="both"/>
        <w:rPr>
          <w:rFonts w:ascii="Times New Roman" w:hAnsi="Times New Roman" w:cs="Times New Roman"/>
          <w:sz w:val="24"/>
          <w:szCs w:val="24"/>
        </w:rPr>
      </w:pPr>
      <w:r>
        <w:rPr>
          <w:noProof/>
          <w:lang w:eastAsia="es-ES"/>
        </w:rPr>
        <w:drawing>
          <wp:inline distT="0" distB="0" distL="0" distR="0" wp14:anchorId="5005890E" wp14:editId="7F67BA2B">
            <wp:extent cx="5735170" cy="3234018"/>
            <wp:effectExtent l="0" t="0" r="0" b="5080"/>
            <wp:docPr id="7" name="Imagen 7" descr="https://s03.s3c.es/imag/_v0/770x450/5/f/f/200520-Tren-EuroStoxx.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450/5/f/f/200520-Tren-EuroStoxx.gif"/>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31510" cy="3231954"/>
                    </a:xfrm>
                    <a:prstGeom prst="rect">
                      <a:avLst/>
                    </a:prstGeom>
                    <a:noFill/>
                    <a:ln>
                      <a:noFill/>
                    </a:ln>
                  </pic:spPr>
                </pic:pic>
              </a:graphicData>
            </a:graphic>
          </wp:inline>
        </w:drawing>
      </w:r>
    </w:p>
    <w:p w:rsidR="00736E56" w:rsidRDefault="00736E56" w:rsidP="00646BDA">
      <w:pPr>
        <w:spacing w:line="240" w:lineRule="auto"/>
        <w:jc w:val="both"/>
        <w:rPr>
          <w:rFonts w:ascii="Times New Roman" w:hAnsi="Times New Roman" w:cs="Times New Roman"/>
          <w:sz w:val="24"/>
          <w:szCs w:val="24"/>
        </w:rPr>
      </w:pPr>
      <w:r>
        <w:rPr>
          <w:noProof/>
          <w:lang w:eastAsia="es-ES"/>
        </w:rPr>
        <w:drawing>
          <wp:inline distT="0" distB="0" distL="0" distR="0" wp14:anchorId="722D614F" wp14:editId="51FB0F41">
            <wp:extent cx="5735169" cy="2770094"/>
            <wp:effectExtent l="0" t="0" r="0" b="0"/>
            <wp:docPr id="23" name="Imagen 23" descr="https://s03.s3c.es/imag/_v0/770x392/3/b/8/oro-euros-prec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392/3/b/8/oro-euros-precio.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1510" cy="2768326"/>
                    </a:xfrm>
                    <a:prstGeom prst="rect">
                      <a:avLst/>
                    </a:prstGeom>
                    <a:noFill/>
                    <a:ln>
                      <a:noFill/>
                    </a:ln>
                  </pic:spPr>
                </pic:pic>
              </a:graphicData>
            </a:graphic>
          </wp:inline>
        </w:drawing>
      </w:r>
    </w:p>
    <w:p w:rsidR="00736E56" w:rsidRDefault="00736E56" w:rsidP="00736E56">
      <w:pPr>
        <w:spacing w:line="240" w:lineRule="auto"/>
        <w:jc w:val="both"/>
        <w:rPr>
          <w:rFonts w:ascii="Times New Roman" w:hAnsi="Times New Roman" w:cs="Times New Roman"/>
          <w:sz w:val="24"/>
          <w:szCs w:val="24"/>
        </w:rPr>
      </w:pPr>
      <w:r w:rsidRPr="00FB04EB">
        <w:rPr>
          <w:rFonts w:ascii="Times New Roman" w:hAnsi="Times New Roman" w:cs="Times New Roman"/>
          <w:sz w:val="24"/>
          <w:szCs w:val="24"/>
        </w:rPr>
        <w:t xml:space="preserve">(Fuente: El Economista - </w:t>
      </w:r>
      <w:r w:rsidRPr="00951729">
        <w:rPr>
          <w:rFonts w:ascii="Times New Roman" w:hAnsi="Times New Roman" w:cs="Times New Roman"/>
          <w:b/>
          <w:sz w:val="24"/>
          <w:szCs w:val="24"/>
        </w:rPr>
        <w:t>20/5/20</w:t>
      </w:r>
      <w:r w:rsidRPr="00FB04EB">
        <w:rPr>
          <w:rFonts w:ascii="Times New Roman" w:hAnsi="Times New Roman" w:cs="Times New Roman"/>
          <w:sz w:val="24"/>
          <w:szCs w:val="24"/>
        </w:rPr>
        <w:t>)</w:t>
      </w:r>
    </w:p>
    <w:p w:rsidR="00612EEA" w:rsidRDefault="00612EEA" w:rsidP="00612E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w:t>
      </w:r>
      <w:r>
        <w:rPr>
          <w:rFonts w:ascii="Times New Roman" w:hAnsi="Times New Roman" w:cs="Times New Roman"/>
          <w:sz w:val="24"/>
          <w:szCs w:val="24"/>
          <w:u w:val="single"/>
          <w:shd w:val="clear" w:color="auto" w:fill="FFFFFF"/>
        </w:rPr>
        <w:t>Qué forma tendrá la salida de la crisis? Las nueve opciones que estudian los líderes</w:t>
      </w:r>
      <w:r>
        <w:rPr>
          <w:rFonts w:ascii="Times New Roman" w:hAnsi="Times New Roman" w:cs="Times New Roman"/>
          <w:sz w:val="24"/>
          <w:szCs w:val="24"/>
          <w:shd w:val="clear" w:color="auto" w:fill="FFFFFF"/>
        </w:rPr>
        <w:t xml:space="preserve"> (El Español - </w:t>
      </w:r>
      <w:r>
        <w:rPr>
          <w:rFonts w:ascii="Times New Roman" w:hAnsi="Times New Roman" w:cs="Times New Roman"/>
          <w:b/>
          <w:sz w:val="24"/>
          <w:szCs w:val="24"/>
          <w:shd w:val="clear" w:color="auto" w:fill="FFFFFF"/>
        </w:rPr>
        <w:t>24/5/20</w:t>
      </w:r>
      <w:r>
        <w:rPr>
          <w:rFonts w:ascii="Times New Roman" w:hAnsi="Times New Roman" w:cs="Times New Roman"/>
          <w:sz w:val="24"/>
          <w:szCs w:val="24"/>
          <w:shd w:val="clear" w:color="auto" w:fill="FFFFFF"/>
        </w:rPr>
        <w:t>)</w:t>
      </w:r>
    </w:p>
    <w:p w:rsidR="00612EEA" w:rsidRDefault="00612EEA" w:rsidP="00612E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u w:val="single"/>
          <w:shd w:val="clear" w:color="auto" w:fill="FFFFFF"/>
        </w:rPr>
        <w:t>Acaba la emergencia sanitaria. El Covid-19 empieza a remitir y comienza la desescalada económica. Llega el momento de hacer balance de daños y de pensar en lo que está por venir. Hacer planes, mirar al futuro y decidir qué medidas hay que adoptar para garantizar la continuidad de la empresa</w:t>
      </w:r>
      <w:r>
        <w:rPr>
          <w:rFonts w:ascii="Times New Roman" w:hAnsi="Times New Roman" w:cs="Times New Roman"/>
          <w:sz w:val="24"/>
          <w:szCs w:val="24"/>
          <w:shd w:val="clear" w:color="auto" w:fill="FFFFFF"/>
        </w:rPr>
        <w:t xml:space="preserve">. Algo para lo que será esencial conocer cómo será la recuperación económica de España, Europa y de las principales regiones económicas.  </w:t>
      </w:r>
    </w:p>
    <w:p w:rsidR="00612EEA" w:rsidRDefault="00612EEA" w:rsidP="00612EEA">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sz w:val="24"/>
          <w:szCs w:val="24"/>
          <w:shd w:val="clear" w:color="auto" w:fill="FFFFFF"/>
        </w:rPr>
        <w:t xml:space="preserve">Este es el ejercicio que están haciendo estos días los consejos de administración de las empresas de todo el mundo. Unas reuniones en las que circula </w:t>
      </w:r>
      <w:r>
        <w:rPr>
          <w:rFonts w:ascii="Times New Roman" w:hAnsi="Times New Roman" w:cs="Times New Roman"/>
          <w:color w:val="FF0000"/>
          <w:sz w:val="24"/>
          <w:szCs w:val="24"/>
          <w:u w:val="single"/>
          <w:shd w:val="clear" w:color="auto" w:fill="FFFFFF"/>
        </w:rPr>
        <w:t xml:space="preserve">una encuesta a nivel global elaborada por McKinsey en la que más de 2.000 directivos muestran cuáles son sus vaticinios para los próximos meses. </w:t>
      </w:r>
    </w:p>
    <w:p w:rsidR="00612EEA" w:rsidRDefault="00612EEA" w:rsidP="00612EEA">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¿Y qué dicen? Básicamente se muestran prudentes y estiman que habrá una recuperación en forma de logotipo de Nike (figura A1 en el gráfico). Es decir, que habrá una caída profunda que poco a poco se irá recuperando.</w:t>
      </w:r>
    </w:p>
    <w:p w:rsidR="00612EEA" w:rsidRDefault="00612EEA" w:rsidP="00612EEA">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extent cx="5735171" cy="2595283"/>
            <wp:effectExtent l="0" t="0" r="0" b="0"/>
            <wp:docPr id="223" name="Imagen 223" descr="Escenarios planteados por McKines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descr="Escenarios planteados por McKinesey."/>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5171" cy="2595283"/>
                    </a:xfrm>
                    <a:prstGeom prst="rect">
                      <a:avLst/>
                    </a:prstGeom>
                    <a:noFill/>
                    <a:ln>
                      <a:noFill/>
                    </a:ln>
                  </pic:spPr>
                </pic:pic>
              </a:graphicData>
            </a:graphic>
          </wp:inline>
        </w:drawing>
      </w:r>
      <w:r>
        <w:rPr>
          <w:rFonts w:ascii="Times New Roman" w:hAnsi="Times New Roman" w:cs="Times New Roman"/>
          <w:sz w:val="24"/>
          <w:szCs w:val="24"/>
          <w:shd w:val="clear" w:color="auto" w:fill="FFFFFF"/>
        </w:rPr>
        <w:t>Escenarios planteados por McKinsey.</w:t>
      </w:r>
    </w:p>
    <w:p w:rsidR="00612EEA" w:rsidRDefault="00612EEA" w:rsidP="00612EEA">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t xml:space="preserve">Se da por descontado que habrá rebrotes del virus a nivel regional que obligarán a adoptar medidas sanitarias y de distanciamiento social después del verano. </w:t>
      </w:r>
    </w:p>
    <w:p w:rsidR="00612EEA" w:rsidRDefault="00612EEA" w:rsidP="00612EEA">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Un escenario en el que las políticas económicas responderán parcialmente a los daños producidos en la economía, y la crisis bancaria está descartada. Pese a todo habrá unos niveles de crecimiento bastante bajos. Es decir, que costará volver a la situación de partida.</w:t>
      </w:r>
      <w:r>
        <w:rPr>
          <w:rFonts w:ascii="Times New Roman" w:hAnsi="Times New Roman" w:cs="Times New Roman"/>
          <w:color w:val="FF0000"/>
          <w:sz w:val="24"/>
          <w:szCs w:val="24"/>
          <w:shd w:val="clear" w:color="auto" w:fill="FFFFFF"/>
        </w:rPr>
        <w:t xml:space="preserve"> </w:t>
      </w:r>
      <w:r>
        <w:rPr>
          <w:rFonts w:ascii="Times New Roman" w:hAnsi="Times New Roman" w:cs="Times New Roman"/>
          <w:color w:val="FF0000"/>
          <w:sz w:val="24"/>
          <w:szCs w:val="24"/>
          <w:u w:val="single"/>
          <w:shd w:val="clear" w:color="auto" w:fill="FFFFFF"/>
        </w:rPr>
        <w:t>Tanto que, según la propia consultora, no será hasta septiembre de 2022 cuando vuelvan los niveles de PIB previos al coronavirus.</w:t>
      </w:r>
    </w:p>
    <w:p w:rsidR="00612EEA" w:rsidRDefault="00612EEA" w:rsidP="00612E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Dicen los ejecutivos que en este escenario las políticas económicas podrían fallar a la hora de frenar un gran aumento del paro y de cierre de empresas, lo que generaría una recuperación muy lenta, incluso cuando el virus esté bajo control. </w:t>
      </w:r>
    </w:p>
    <w:p w:rsidR="00612EEA" w:rsidRDefault="00612EEA" w:rsidP="00612EEA">
      <w:pPr>
        <w:spacing w:line="240" w:lineRule="auto"/>
        <w:jc w:val="both"/>
        <w:rPr>
          <w:rFonts w:ascii="Times New Roman" w:hAnsi="Times New Roman" w:cs="Times New Roman"/>
          <w:b/>
          <w:color w:val="FF0000"/>
          <w:sz w:val="24"/>
          <w:szCs w:val="24"/>
          <w:u w:val="single"/>
          <w:shd w:val="clear" w:color="auto" w:fill="FFFFFF"/>
        </w:rPr>
      </w:pPr>
      <w:r>
        <w:rPr>
          <w:rFonts w:ascii="Times New Roman" w:hAnsi="Times New Roman" w:cs="Times New Roman"/>
          <w:b/>
          <w:color w:val="FF0000"/>
          <w:sz w:val="24"/>
          <w:szCs w:val="24"/>
          <w:u w:val="single"/>
          <w:shd w:val="clear" w:color="auto" w:fill="FFFFFF"/>
        </w:rPr>
        <w:t xml:space="preserve">Para este año (2020) se estima una recesión del -6,5% global que llegará al -11,1% en Europa y al -8,1% en EEUU. ¿Cuándo saldrán definitivamente de la crisis? Pues entre el primer y el tercer trimestre del ejercicio 2023. </w:t>
      </w:r>
    </w:p>
    <w:p w:rsidR="00612EEA" w:rsidRDefault="00612EEA" w:rsidP="00612EE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color w:val="FF0000"/>
          <w:sz w:val="24"/>
          <w:szCs w:val="24"/>
          <w:u w:val="single"/>
          <w:shd w:val="clear" w:color="auto" w:fill="FFFFFF"/>
        </w:rPr>
        <w:lastRenderedPageBreak/>
        <w:t>El documento de McKinsey, titulado Respuesta global a la crisis sanitaria y económica, detalla el otro escenario favorito de los directivos. Es más optimista que el anterior y sería parecido a la famosa V asimétrica (gráfico A3)</w:t>
      </w:r>
      <w:r w:rsidRPr="00032C2A">
        <w:rPr>
          <w:rFonts w:ascii="Times New Roman" w:hAnsi="Times New Roman" w:cs="Times New Roman"/>
          <w:color w:val="FF0000"/>
          <w:sz w:val="24"/>
          <w:szCs w:val="24"/>
          <w:shd w:val="clear" w:color="auto" w:fill="FFFFFF"/>
        </w:rPr>
        <w:t>…</w:t>
      </w:r>
      <w:r>
        <w:rPr>
          <w:rFonts w:ascii="Times New Roman" w:hAnsi="Times New Roman" w:cs="Times New Roman"/>
          <w:sz w:val="24"/>
          <w:szCs w:val="24"/>
          <w:shd w:val="clear" w:color="auto" w:fill="FFFFFF"/>
        </w:rPr>
        <w:t xml:space="preserve"> </w:t>
      </w:r>
    </w:p>
    <w:p w:rsidR="00612EEA" w:rsidRDefault="00612EEA" w:rsidP="00612EEA">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 xml:space="preserve">Esta opción es la favorita para el 16% de los directivos, y es mucho más optimista que el primer escenario. ¿Por qué? Básicamente porque estima que el coronavirus estará controlado en China antes del verano, y que en Europa y EEUU (tras un cierre de dos meses de la economía) las cosas habrán mejorado en junio gracias a la respuesta sanitaria y la estacionalidad del virus. </w:t>
      </w:r>
    </w:p>
    <w:p w:rsidR="00612EEA" w:rsidRDefault="00612EEA" w:rsidP="00612EEA">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extent cx="5735170" cy="1943100"/>
            <wp:effectExtent l="0" t="0" r="0" b="0"/>
            <wp:docPr id="35" name="Imagen 35" descr="Previsión de los escenarios elegidos por los ejecutivos encuestados por McKins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descr="Previsión de los escenarios elegidos por los ejecutivos encuestados por McKinsey."/>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35320" cy="1943151"/>
                    </a:xfrm>
                    <a:prstGeom prst="rect">
                      <a:avLst/>
                    </a:prstGeom>
                    <a:noFill/>
                    <a:ln>
                      <a:noFill/>
                    </a:ln>
                  </pic:spPr>
                </pic:pic>
              </a:graphicData>
            </a:graphic>
          </wp:inline>
        </w:drawing>
      </w:r>
      <w:r>
        <w:rPr>
          <w:rFonts w:ascii="Times New Roman" w:hAnsi="Times New Roman" w:cs="Times New Roman"/>
          <w:sz w:val="24"/>
          <w:szCs w:val="24"/>
          <w:shd w:val="clear" w:color="auto" w:fill="FFFFFF"/>
        </w:rPr>
        <w:t>Previsión de los escenarios elegidos por los ejecutivos encuestados por McKinsey.</w:t>
      </w:r>
    </w:p>
    <w:p w:rsidR="00612EEA" w:rsidRDefault="00612EEA" w:rsidP="00612EEA">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 xml:space="preserve">China y EEUU verán cerrar 2020 con el PIB en el -2% y el -2,5%, respectivamente. Sin embargo, la Eurozona tendrá que esperar a marzo del año siguiente y ver cómo la caída de la economía alcanza el -5,2%. A nivel mundial, la recuperación llegará al tiempo que en la Unión Europea, aunque el PIB descenderá al -2,7% este año. </w:t>
      </w:r>
    </w:p>
    <w:p w:rsidR="00032C2A" w:rsidRPr="00032C2A" w:rsidRDefault="00612EEA" w:rsidP="00032C2A">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color w:val="FF0000"/>
          <w:sz w:val="24"/>
          <w:szCs w:val="24"/>
          <w:u w:val="single"/>
          <w:shd w:val="clear" w:color="auto" w:fill="FFFFFF"/>
        </w:rPr>
        <w:t>En esta recuperación la más beneficiada será la economía China, que tras una rápida desaceleración verá un fuerte rebrote llevándole a niveles precrisis. Sin embargo, en Europa y EEUU la política fiscal y monetaria mitigará parcialmente los daños provocados por la pandemia, aunque tardará tiempo en surtir efecto. Eso hará que haya un fuerte rebote a partir del tercer trimestre de este año. Advierte, eso sí, de que la mayor parte de los países verán una caída del PIB en el segundo trimestre del año que no tendrá precedentes desde la II Guerra Mundia</w:t>
      </w:r>
      <w:r w:rsidRPr="00B30422">
        <w:rPr>
          <w:rFonts w:ascii="Times New Roman" w:hAnsi="Times New Roman" w:cs="Times New Roman"/>
          <w:color w:val="FF0000"/>
          <w:sz w:val="24"/>
          <w:szCs w:val="24"/>
          <w:u w:val="single"/>
          <w:shd w:val="clear" w:color="auto" w:fill="FFFFFF"/>
        </w:rPr>
        <w:t>l</w:t>
      </w:r>
      <w:r w:rsidRPr="00B30422">
        <w:rPr>
          <w:rFonts w:ascii="Times New Roman" w:hAnsi="Times New Roman" w:cs="Times New Roman"/>
          <w:b/>
          <w:color w:val="FF0000"/>
          <w:sz w:val="24"/>
          <w:szCs w:val="24"/>
          <w:shd w:val="clear" w:color="auto" w:fill="FFFFFF"/>
        </w:rPr>
        <w:t xml:space="preserve">. </w:t>
      </w:r>
      <w:r w:rsidR="00B30422" w:rsidRPr="00B30422">
        <w:rPr>
          <w:rFonts w:ascii="Times New Roman" w:hAnsi="Times New Roman" w:cs="Times New Roman"/>
          <w:b/>
          <w:color w:val="FF0000"/>
          <w:sz w:val="24"/>
          <w:szCs w:val="24"/>
          <w:shd w:val="clear" w:color="auto" w:fill="FFFFFF"/>
        </w:rPr>
        <w:t xml:space="preserve">  </w:t>
      </w:r>
    </w:p>
    <w:p w:rsidR="00032C2A" w:rsidRDefault="00032C2A" w:rsidP="00032C2A">
      <w:pPr>
        <w:spacing w:line="240" w:lineRule="auto"/>
        <w:jc w:val="both"/>
        <w:rPr>
          <w:rFonts w:ascii="Times New Roman" w:hAnsi="Times New Roman" w:cs="Times New Roman"/>
          <w:sz w:val="24"/>
          <w:szCs w:val="24"/>
          <w:shd w:val="clear" w:color="auto" w:fill="FFFFFF"/>
          <w:lang w:val="en-US"/>
        </w:rPr>
      </w:pPr>
      <w:r>
        <w:rPr>
          <w:noProof/>
          <w:lang w:eastAsia="es-ES"/>
        </w:rPr>
        <w:drawing>
          <wp:inline distT="0" distB="0" distL="0" distR="0" wp14:anchorId="3A6362E7" wp14:editId="11D5FBA8">
            <wp:extent cx="5731510" cy="2452740"/>
            <wp:effectExtent l="0" t="0" r="2540" b="5080"/>
            <wp:docPr id="62" name="Imagen 62" descr="El mercado empuja a la Fed y al Banco de Inglaterra hacia los tipos negativ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mercado empuja a la Fed y al Banco de Inglaterra hacia los tipos negativos"/>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1510" cy="2452740"/>
                    </a:xfrm>
                    <a:prstGeom prst="rect">
                      <a:avLst/>
                    </a:prstGeom>
                    <a:noFill/>
                    <a:ln>
                      <a:noFill/>
                    </a:ln>
                  </pic:spPr>
                </pic:pic>
              </a:graphicData>
            </a:graphic>
          </wp:inline>
        </w:drawing>
      </w:r>
    </w:p>
    <w:p w:rsidR="00032C2A" w:rsidRPr="00536F20" w:rsidRDefault="00032C2A" w:rsidP="00032C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DD5436">
        <w:rPr>
          <w:rFonts w:ascii="Times New Roman" w:hAnsi="Times New Roman" w:cs="Times New Roman"/>
          <w:sz w:val="24"/>
          <w:szCs w:val="24"/>
          <w:u w:val="single"/>
          <w:shd w:val="clear" w:color="auto" w:fill="FFFFFF"/>
        </w:rPr>
        <w:t>La OCDE constata que 2020 arranca con el peor trimestre desde el apogeo de la crisis financiera</w:t>
      </w:r>
      <w:r>
        <w:rPr>
          <w:rFonts w:ascii="Times New Roman" w:hAnsi="Times New Roman" w:cs="Times New Roman"/>
          <w:sz w:val="24"/>
          <w:szCs w:val="24"/>
          <w:shd w:val="clear" w:color="auto" w:fill="FFFFFF"/>
        </w:rPr>
        <w:t xml:space="preserve"> (Cinco Días - </w:t>
      </w:r>
      <w:r w:rsidRPr="00DD5436">
        <w:rPr>
          <w:rFonts w:ascii="Times New Roman" w:hAnsi="Times New Roman" w:cs="Times New Roman"/>
          <w:b/>
          <w:sz w:val="24"/>
          <w:szCs w:val="24"/>
          <w:shd w:val="clear" w:color="auto" w:fill="FFFFFF"/>
        </w:rPr>
        <w:t>26/5/20</w:t>
      </w:r>
      <w:r>
        <w:rPr>
          <w:rFonts w:ascii="Times New Roman" w:hAnsi="Times New Roman" w:cs="Times New Roman"/>
          <w:sz w:val="24"/>
          <w:szCs w:val="24"/>
          <w:shd w:val="clear" w:color="auto" w:fill="FFFFFF"/>
        </w:rPr>
        <w:t>)</w:t>
      </w:r>
    </w:p>
    <w:p w:rsidR="00032C2A" w:rsidRDefault="00032C2A" w:rsidP="00032C2A">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Los países desarrollados sufren un retroceso del 1,8% que oscila según las medidas de confinamiento entre el -5,8% de Francia,</w:t>
      </w:r>
      <w:r>
        <w:rPr>
          <w:rFonts w:ascii="Times New Roman" w:hAnsi="Times New Roman" w:cs="Times New Roman"/>
          <w:sz w:val="24"/>
          <w:szCs w:val="24"/>
          <w:shd w:val="clear" w:color="auto" w:fill="FFFFFF"/>
        </w:rPr>
        <w:t xml:space="preserve"> el -3,8% de la zona euro y el -</w:t>
      </w:r>
      <w:r w:rsidRPr="00536F20">
        <w:rPr>
          <w:rFonts w:ascii="Times New Roman" w:hAnsi="Times New Roman" w:cs="Times New Roman"/>
          <w:sz w:val="24"/>
          <w:szCs w:val="24"/>
          <w:shd w:val="clear" w:color="auto" w:fill="FFFFFF"/>
        </w:rPr>
        <w:t>0,9% de Japón</w:t>
      </w:r>
    </w:p>
    <w:p w:rsidR="00032C2A" w:rsidRPr="00536F20" w:rsidRDefault="00032C2A" w:rsidP="00032C2A">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Las economías desarrolladas sufrieron una caída media del 1,8% entre enero y marzo de 2020 como consecuencia de la propagación de la pandemia de coronavirus, lo que supone el peor trimestre desde el apogeo de la Gran Recesión, que tuvo lugar en el arranque de 2009 como consec</w:t>
      </w:r>
      <w:r>
        <w:rPr>
          <w:rFonts w:ascii="Times New Roman" w:hAnsi="Times New Roman" w:cs="Times New Roman"/>
          <w:sz w:val="24"/>
          <w:szCs w:val="24"/>
          <w:shd w:val="clear" w:color="auto" w:fill="FFFFFF"/>
        </w:rPr>
        <w:t>uencia de la crisis financiera.</w:t>
      </w:r>
    </w:p>
    <w:p w:rsidR="00032C2A" w:rsidRDefault="00032C2A" w:rsidP="00032C2A">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Así lo ha constatado este martes la Organización para la Cooperación y el Desarrollo Económico (OCDE) en un informe que subrayas las fuertes oscilaciones que provoca, dentro del retroceso generalizado, el grado de severidad de las medidas de confinamiento adoptadas en cada país para hacer frente a la pandemia del Covid-19.</w:t>
      </w:r>
    </w:p>
    <w:p w:rsidR="00032C2A" w:rsidRDefault="00032C2A" w:rsidP="00032C2A">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 xml:space="preserve">Así, en países donde las medidas de confinamiento y cierre de comercios </w:t>
      </w:r>
      <w:r>
        <w:rPr>
          <w:rFonts w:ascii="Times New Roman" w:hAnsi="Times New Roman" w:cs="Times New Roman"/>
          <w:sz w:val="24"/>
          <w:szCs w:val="24"/>
          <w:shd w:val="clear" w:color="auto" w:fill="FFFFFF"/>
        </w:rPr>
        <w:t>fueron más estricto</w:t>
      </w:r>
      <w:r w:rsidRPr="00536F20">
        <w:rPr>
          <w:rFonts w:ascii="Times New Roman" w:hAnsi="Times New Roman" w:cs="Times New Roman"/>
          <w:sz w:val="24"/>
          <w:szCs w:val="24"/>
          <w:shd w:val="clear" w:color="auto" w:fill="FFFFFF"/>
        </w:rPr>
        <w:t>s, las caídas de PIB fueron más acusadas. Es el caso de Francia, que cede un 5,8% tras la caída del 0,1% del último trimestre de 2019, o de Italia, que cae un 4,7% frente al -0,3% del periodo de octubre a diciembre del año pasado, según los datos provisionales manejados por la OCDE.</w:t>
      </w:r>
    </w:p>
    <w:p w:rsidR="00032C2A" w:rsidRPr="00536F20" w:rsidRDefault="00032C2A" w:rsidP="00032C2A">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5924174C" wp14:editId="589EB273">
            <wp:extent cx="5728447" cy="3502959"/>
            <wp:effectExtent l="0" t="0" r="5715" b="2540"/>
            <wp:docPr id="66" name="Imagen 66" descr="La OCDE constata que 2020 arranca con el peor trimestre desde el apogeo de la crisis financi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OCDE constata que 2020 arranca con el peor trimestre desde el apogeo de la crisis financier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1510" cy="3504832"/>
                    </a:xfrm>
                    <a:prstGeom prst="rect">
                      <a:avLst/>
                    </a:prstGeom>
                    <a:noFill/>
                    <a:ln>
                      <a:noFill/>
                    </a:ln>
                  </pic:spPr>
                </pic:pic>
              </a:graphicData>
            </a:graphic>
          </wp:inline>
        </w:drawing>
      </w:r>
    </w:p>
    <w:p w:rsidR="00FA411F" w:rsidRPr="00536F20" w:rsidRDefault="00FA411F" w:rsidP="00FA411F">
      <w:pPr>
        <w:spacing w:line="240" w:lineRule="auto"/>
        <w:jc w:val="both"/>
        <w:rPr>
          <w:rFonts w:ascii="Times New Roman" w:hAnsi="Times New Roman" w:cs="Times New Roman"/>
          <w:sz w:val="24"/>
          <w:szCs w:val="24"/>
          <w:shd w:val="clear" w:color="auto" w:fill="FFFFFF"/>
        </w:rPr>
      </w:pPr>
      <w:r w:rsidRPr="00DD5436">
        <w:rPr>
          <w:rFonts w:ascii="Times New Roman" w:hAnsi="Times New Roman" w:cs="Times New Roman"/>
          <w:sz w:val="24"/>
          <w:szCs w:val="24"/>
          <w:shd w:val="clear" w:color="auto" w:fill="FFFFFF"/>
        </w:rPr>
        <w:t xml:space="preserve">- </w:t>
      </w:r>
      <w:r w:rsidRPr="00DD5436">
        <w:rPr>
          <w:rFonts w:ascii="Times New Roman" w:hAnsi="Times New Roman" w:cs="Times New Roman"/>
          <w:sz w:val="24"/>
          <w:szCs w:val="24"/>
          <w:u w:val="single"/>
          <w:shd w:val="clear" w:color="auto" w:fill="FFFFFF"/>
        </w:rPr>
        <w:t>El mercado empuja a la Fed y al Banco de Inglaterra hacia los tipos negativos</w:t>
      </w:r>
      <w:r>
        <w:rPr>
          <w:rFonts w:ascii="Times New Roman" w:hAnsi="Times New Roman" w:cs="Times New Roman"/>
          <w:sz w:val="24"/>
          <w:szCs w:val="24"/>
          <w:shd w:val="clear" w:color="auto" w:fill="FFFFFF"/>
        </w:rPr>
        <w:t xml:space="preserve"> </w:t>
      </w:r>
      <w:r w:rsidRPr="00DD5436">
        <w:rPr>
          <w:rFonts w:ascii="Times New Roman" w:hAnsi="Times New Roman" w:cs="Times New Roman"/>
          <w:sz w:val="24"/>
          <w:szCs w:val="24"/>
          <w:shd w:val="clear" w:color="auto" w:fill="FFFFFF"/>
        </w:rPr>
        <w:t xml:space="preserve">(Cinco Días - </w:t>
      </w:r>
      <w:r w:rsidRPr="00DD5436">
        <w:rPr>
          <w:rFonts w:ascii="Times New Roman" w:hAnsi="Times New Roman" w:cs="Times New Roman"/>
          <w:b/>
          <w:sz w:val="24"/>
          <w:szCs w:val="24"/>
          <w:shd w:val="clear" w:color="auto" w:fill="FFFFFF"/>
        </w:rPr>
        <w:t>27/5/20</w:t>
      </w:r>
      <w:r w:rsidRPr="00DD5436">
        <w:rPr>
          <w:rFonts w:ascii="Times New Roman" w:hAnsi="Times New Roman" w:cs="Times New Roman"/>
          <w:sz w:val="24"/>
          <w:szCs w:val="24"/>
          <w:shd w:val="clear" w:color="auto" w:fill="FFFFFF"/>
        </w:rPr>
        <w:t>)</w:t>
      </w:r>
    </w:p>
    <w:p w:rsidR="00FA411F" w:rsidRPr="00DD5436" w:rsidRDefault="00FA411F" w:rsidP="00FA411F">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 xml:space="preserve">Ambos bancos centrales se resisten pese a la dureza de la crisis. </w:t>
      </w:r>
      <w:r w:rsidRPr="00DD5436">
        <w:rPr>
          <w:rFonts w:ascii="Times New Roman" w:hAnsi="Times New Roman" w:cs="Times New Roman"/>
          <w:sz w:val="24"/>
          <w:szCs w:val="24"/>
          <w:shd w:val="clear" w:color="auto" w:fill="FFFFFF"/>
        </w:rPr>
        <w:t>Los expertos prevén más estímulos monetarios</w:t>
      </w:r>
    </w:p>
    <w:p w:rsidR="00FA411F" w:rsidRPr="00536F20" w:rsidRDefault="00FA411F" w:rsidP="00FA411F">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 xml:space="preserve">El mercado está empujando a la deuda soberana de Estados Unidos y Reino Unido hacia un terreno desconocido al que la Reserva Federal y el Banco de Inglaterra se resisten. Los rendimientos están cayendo en picado, no solo ante las drásticas rebajas de tipos de interés </w:t>
      </w:r>
      <w:r w:rsidRPr="00536F20">
        <w:rPr>
          <w:rFonts w:ascii="Times New Roman" w:hAnsi="Times New Roman" w:cs="Times New Roman"/>
          <w:sz w:val="24"/>
          <w:szCs w:val="24"/>
          <w:shd w:val="clear" w:color="auto" w:fill="FFFFFF"/>
        </w:rPr>
        <w:lastRenderedPageBreak/>
        <w:t xml:space="preserve">con las que se respondió en marzo al impacto económico de la pandemia y que han dejado el precio del dinero al cero en Estados Unidos y al 0,1% en Reino Unido, sino ante la gravedad de una crisis </w:t>
      </w:r>
      <w:r>
        <w:rPr>
          <w:rFonts w:ascii="Times New Roman" w:hAnsi="Times New Roman" w:cs="Times New Roman"/>
          <w:sz w:val="24"/>
          <w:szCs w:val="24"/>
          <w:shd w:val="clear" w:color="auto" w:fill="FFFFFF"/>
        </w:rPr>
        <w:t>que avanza a pasos agigantados.</w:t>
      </w:r>
    </w:p>
    <w:p w:rsidR="00FA411F" w:rsidRDefault="00FA411F" w:rsidP="00FA411F">
      <w:pPr>
        <w:spacing w:line="240" w:lineRule="auto"/>
        <w:jc w:val="both"/>
        <w:rPr>
          <w:rFonts w:ascii="Times New Roman" w:hAnsi="Times New Roman" w:cs="Times New Roman"/>
          <w:sz w:val="24"/>
          <w:szCs w:val="24"/>
          <w:shd w:val="clear" w:color="auto" w:fill="FFFFFF"/>
        </w:rPr>
      </w:pPr>
      <w:r w:rsidRPr="00536F20">
        <w:rPr>
          <w:rFonts w:ascii="Times New Roman" w:hAnsi="Times New Roman" w:cs="Times New Roman"/>
          <w:sz w:val="24"/>
          <w:szCs w:val="24"/>
          <w:shd w:val="clear" w:color="auto" w:fill="FFFFFF"/>
        </w:rPr>
        <w:t>La profundidad del derrumbe económico es tal que los bancos centrales han disparado con una intensidad sin precedentes toda su artillería monetaria. Pero aún se espera más, una nueva oleada de compras de deuda y también, como medida extraordinaria donde las haya, tipos de referencia en negativo</w:t>
      </w:r>
      <w:r>
        <w:rPr>
          <w:rFonts w:ascii="Times New Roman" w:hAnsi="Times New Roman" w:cs="Times New Roman"/>
          <w:sz w:val="24"/>
          <w:szCs w:val="24"/>
          <w:shd w:val="clear" w:color="auto" w:fill="FFFFFF"/>
        </w:rPr>
        <w:t>…</w:t>
      </w:r>
    </w:p>
    <w:p w:rsidR="00032C2A" w:rsidRPr="00622FD3" w:rsidRDefault="00032C2A" w:rsidP="00032C2A">
      <w:pPr>
        <w:spacing w:line="240" w:lineRule="auto"/>
        <w:jc w:val="both"/>
        <w:rPr>
          <w:rFonts w:ascii="Times New Roman" w:hAnsi="Times New Roman" w:cs="Times New Roman"/>
          <w:color w:val="FF0000"/>
          <w:sz w:val="24"/>
          <w:szCs w:val="24"/>
          <w:shd w:val="clear" w:color="auto" w:fill="FFFFFF"/>
        </w:rPr>
      </w:pPr>
      <w:r w:rsidRPr="006400F4">
        <w:rPr>
          <w:rFonts w:ascii="Times New Roman" w:hAnsi="Times New Roman" w:cs="Times New Roman"/>
          <w:sz w:val="24"/>
          <w:szCs w:val="24"/>
          <w:shd w:val="clear" w:color="auto" w:fill="FFFFFF"/>
        </w:rPr>
        <w:t xml:space="preserve">- </w:t>
      </w:r>
      <w:r w:rsidRPr="006400F4">
        <w:rPr>
          <w:rFonts w:ascii="Times New Roman" w:hAnsi="Times New Roman" w:cs="Times New Roman"/>
          <w:sz w:val="24"/>
          <w:szCs w:val="24"/>
          <w:u w:val="single"/>
          <w:shd w:val="clear" w:color="auto" w:fill="FFFFFF"/>
        </w:rPr>
        <w:t>Una bazuca sin precedentes que rescata sectores zombis</w:t>
      </w:r>
      <w:r w:rsidRPr="006400F4">
        <w:rPr>
          <w:rFonts w:ascii="Times New Roman" w:hAnsi="Times New Roman" w:cs="Times New Roman"/>
          <w:sz w:val="24"/>
          <w:szCs w:val="24"/>
          <w:shd w:val="clear" w:color="auto" w:fill="FFFFFF"/>
        </w:rPr>
        <w:t xml:space="preserve"> (El Español - </w:t>
      </w:r>
      <w:r w:rsidRPr="006400F4">
        <w:rPr>
          <w:rFonts w:ascii="Times New Roman" w:hAnsi="Times New Roman" w:cs="Times New Roman"/>
          <w:b/>
          <w:sz w:val="24"/>
          <w:szCs w:val="24"/>
          <w:shd w:val="clear" w:color="auto" w:fill="FFFFFF"/>
        </w:rPr>
        <w:t>27/5/20</w:t>
      </w:r>
      <w:r w:rsidRPr="006400F4">
        <w:rPr>
          <w:rFonts w:ascii="Times New Roman" w:hAnsi="Times New Roman" w:cs="Times New Roman"/>
          <w:sz w:val="24"/>
          <w:szCs w:val="24"/>
          <w:shd w:val="clear" w:color="auto" w:fill="FFFFFF"/>
        </w:rPr>
        <w:t>)</w:t>
      </w:r>
    </w:p>
    <w:p w:rsidR="00032C2A" w:rsidRPr="006400F4" w:rsidRDefault="00032C2A" w:rsidP="00032C2A">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t xml:space="preserve"> (Por Daniel Lacalle)  </w:t>
      </w:r>
    </w:p>
    <w:p w:rsidR="00032C2A" w:rsidRPr="00A0773B" w:rsidRDefault="00032C2A" w:rsidP="00032C2A">
      <w:pPr>
        <w:spacing w:line="240" w:lineRule="auto"/>
        <w:jc w:val="both"/>
        <w:rPr>
          <w:rFonts w:ascii="Times New Roman" w:hAnsi="Times New Roman" w:cs="Times New Roman"/>
          <w:b/>
          <w:color w:val="FF0000"/>
          <w:sz w:val="24"/>
          <w:szCs w:val="24"/>
          <w:u w:val="single"/>
          <w:shd w:val="clear" w:color="auto" w:fill="FFFFFF"/>
        </w:rPr>
      </w:pPr>
      <w:r w:rsidRPr="00A0773B">
        <w:rPr>
          <w:rFonts w:ascii="Times New Roman" w:hAnsi="Times New Roman" w:cs="Times New Roman"/>
          <w:b/>
          <w:color w:val="FF0000"/>
          <w:sz w:val="24"/>
          <w:szCs w:val="24"/>
          <w:u w:val="single"/>
          <w:shd w:val="clear" w:color="auto" w:fill="FFFFFF"/>
        </w:rPr>
        <w:t>Los principales bancos centrales (del G-10) han aumentado su balance, inyectando liquidez, en más de 20 billones de dólares en esta crisis. Adicionalmente, las medidas de política fiscal de los gobiernos ya suman más de nueve billones de dólares. Esto supone mucho más que ningún Plan Marshall y la mayor inyección ante una crisis jamás vista, si lo comparamos con el PIB y masa monetaria global.</w:t>
      </w:r>
    </w:p>
    <w:p w:rsidR="00032C2A" w:rsidRPr="006400F4" w:rsidRDefault="00032C2A" w:rsidP="00032C2A">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t>Esta enorme inyección de liquidez, préstamos y gasto gubernamental ha sido suficiente para relanzar los mercados a niveles en los que se ha recuperado gran parte de la caída con la crisis del Covid-19.</w:t>
      </w:r>
    </w:p>
    <w:p w:rsidR="00032C2A" w:rsidRPr="006400F4" w:rsidRDefault="00032C2A" w:rsidP="00032C2A">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t xml:space="preserve">Las preguntas fundamentales son: ¿es suficiente? y ¿funcionará? </w:t>
      </w:r>
    </w:p>
    <w:p w:rsidR="00032C2A" w:rsidRPr="00A0773B" w:rsidRDefault="00032C2A" w:rsidP="00032C2A">
      <w:pPr>
        <w:spacing w:line="240" w:lineRule="auto"/>
        <w:jc w:val="both"/>
        <w:rPr>
          <w:rFonts w:ascii="Times New Roman" w:hAnsi="Times New Roman" w:cs="Times New Roman"/>
          <w:sz w:val="24"/>
          <w:szCs w:val="24"/>
          <w:u w:val="single"/>
          <w:shd w:val="clear" w:color="auto" w:fill="FFFFFF"/>
        </w:rPr>
      </w:pPr>
      <w:r w:rsidRPr="00A0773B">
        <w:rPr>
          <w:rFonts w:ascii="Times New Roman" w:hAnsi="Times New Roman" w:cs="Times New Roman"/>
          <w:sz w:val="24"/>
          <w:szCs w:val="24"/>
          <w:u w:val="single"/>
          <w:shd w:val="clear" w:color="auto" w:fill="FFFFFF"/>
        </w:rPr>
        <w:t xml:space="preserve">El exceso de optimismo de los mercados ante las inyecciones de liquidez y políticas de demanda tienen lógica: </w:t>
      </w:r>
      <w:r w:rsidRPr="00A0773B">
        <w:rPr>
          <w:rFonts w:ascii="Times New Roman" w:hAnsi="Times New Roman" w:cs="Times New Roman"/>
          <w:color w:val="FF0000"/>
          <w:sz w:val="24"/>
          <w:szCs w:val="24"/>
          <w:u w:val="single"/>
          <w:shd w:val="clear" w:color="auto" w:fill="FFFFFF"/>
        </w:rPr>
        <w:t>se está rescatando a casi todo a cualquier precio</w:t>
      </w:r>
      <w:r w:rsidRPr="00A0773B">
        <w:rPr>
          <w:rFonts w:ascii="Times New Roman" w:hAnsi="Times New Roman" w:cs="Times New Roman"/>
          <w:sz w:val="24"/>
          <w:szCs w:val="24"/>
          <w:u w:val="single"/>
          <w:shd w:val="clear" w:color="auto" w:fill="FFFFFF"/>
        </w:rPr>
        <w:t>… Sobre todo, a sectores que ya estaban excesivamente endeudados, empresas que ya tenían importantes retos estratégicos y pobres resultados y márgenes antes del Covid-19.</w:t>
      </w:r>
    </w:p>
    <w:p w:rsidR="00032C2A" w:rsidRPr="00A0773B" w:rsidRDefault="00032C2A" w:rsidP="00032C2A">
      <w:pPr>
        <w:spacing w:line="240" w:lineRule="auto"/>
        <w:jc w:val="both"/>
        <w:rPr>
          <w:rFonts w:ascii="Times New Roman" w:hAnsi="Times New Roman" w:cs="Times New Roman"/>
          <w:sz w:val="24"/>
          <w:szCs w:val="24"/>
          <w:u w:val="single"/>
          <w:shd w:val="clear" w:color="auto" w:fill="FFFFFF"/>
        </w:rPr>
      </w:pPr>
      <w:r w:rsidRPr="00A0773B">
        <w:rPr>
          <w:rFonts w:ascii="Times New Roman" w:hAnsi="Times New Roman" w:cs="Times New Roman"/>
          <w:sz w:val="24"/>
          <w:szCs w:val="24"/>
          <w:u w:val="single"/>
          <w:shd w:val="clear" w:color="auto" w:fill="FFFFFF"/>
        </w:rPr>
        <w:t>Adicionalmente, se mantiene a toda costa la burbuja de bonos soberanos y vemos cómo países que están sin liquidez y al borde de no poder pagar sus compromisos de junio se financian a tipos reales negativos…</w:t>
      </w:r>
    </w:p>
    <w:p w:rsidR="00032C2A" w:rsidRPr="006400F4" w:rsidRDefault="00032C2A" w:rsidP="00032C2A">
      <w:pPr>
        <w:spacing w:line="240" w:lineRule="auto"/>
        <w:jc w:val="both"/>
        <w:rPr>
          <w:rFonts w:ascii="Times New Roman" w:hAnsi="Times New Roman" w:cs="Times New Roman"/>
          <w:sz w:val="24"/>
          <w:szCs w:val="24"/>
          <w:shd w:val="clear" w:color="auto" w:fill="FFFFFF"/>
        </w:rPr>
      </w:pPr>
      <w:r w:rsidRPr="006400F4">
        <w:rPr>
          <w:noProof/>
          <w:lang w:eastAsia="es-ES"/>
        </w:rPr>
        <w:drawing>
          <wp:inline distT="0" distB="0" distL="0" distR="0" wp14:anchorId="564BC827" wp14:editId="344A6506">
            <wp:extent cx="5728447" cy="3227294"/>
            <wp:effectExtent l="0" t="0" r="5715" b="0"/>
            <wp:docPr id="67" name="Imagen 67" descr="Nivel de endeudamiento de los Bancos Centr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ivel de endeudamiento de los Bancos Centrales."/>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28447" cy="3227294"/>
                    </a:xfrm>
                    <a:prstGeom prst="rect">
                      <a:avLst/>
                    </a:prstGeom>
                    <a:noFill/>
                    <a:ln>
                      <a:noFill/>
                    </a:ln>
                  </pic:spPr>
                </pic:pic>
              </a:graphicData>
            </a:graphic>
          </wp:inline>
        </w:drawing>
      </w:r>
    </w:p>
    <w:p w:rsidR="00032C2A" w:rsidRPr="006400F4" w:rsidRDefault="00032C2A" w:rsidP="00032C2A">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lastRenderedPageBreak/>
        <w:t>Sin embargo, la demanda de riesgo por parte de inversores reales está cayendo. El flujo de fondos hacia renta variable se ha reducido a pesar de la recuperación de las bolsas, empresas con amplia historia de existencia como Hertz se ven obligadas a hacer impago y reestructurar la deuda, Argentina se va a su noveno impago.</w:t>
      </w:r>
    </w:p>
    <w:p w:rsidR="00032C2A" w:rsidRPr="00A0773B" w:rsidRDefault="00032C2A" w:rsidP="00032C2A">
      <w:pPr>
        <w:spacing w:line="240" w:lineRule="auto"/>
        <w:jc w:val="both"/>
        <w:rPr>
          <w:rFonts w:ascii="Times New Roman" w:hAnsi="Times New Roman" w:cs="Times New Roman"/>
          <w:color w:val="FF0000"/>
          <w:sz w:val="24"/>
          <w:szCs w:val="24"/>
          <w:u w:val="single"/>
          <w:shd w:val="clear" w:color="auto" w:fill="FFFFFF"/>
        </w:rPr>
      </w:pPr>
      <w:r w:rsidRPr="00A0773B">
        <w:rPr>
          <w:rFonts w:ascii="Times New Roman" w:hAnsi="Times New Roman" w:cs="Times New Roman"/>
          <w:color w:val="FF0000"/>
          <w:sz w:val="24"/>
          <w:szCs w:val="24"/>
          <w:u w:val="single"/>
          <w:shd w:val="clear" w:color="auto" w:fill="FFFFFF"/>
        </w:rPr>
        <w:t>Los gobiernos y bancos centrales están ahogando a la economía en un mar de liquidez y deuda.</w:t>
      </w:r>
    </w:p>
    <w:p w:rsidR="00032C2A" w:rsidRPr="006400F4" w:rsidRDefault="00032C2A" w:rsidP="00032C2A">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t>¿Cómo puede ser esto? Porque un problema de solvencia y el desastre del desempleo y cierre de empresas creado por el cierre forzoso de la economía no se soluciona dando acceso a crédito y liquidez a empresas que no podrán pagar esos préstamos ante el desplome de caja, márgenes y estimaciones de futuro.</w:t>
      </w:r>
    </w:p>
    <w:p w:rsidR="00032C2A" w:rsidRPr="00A0773B" w:rsidRDefault="00032C2A" w:rsidP="00032C2A">
      <w:pPr>
        <w:spacing w:line="240" w:lineRule="auto"/>
        <w:jc w:val="both"/>
        <w:rPr>
          <w:rFonts w:ascii="Times New Roman" w:hAnsi="Times New Roman" w:cs="Times New Roman"/>
          <w:color w:val="FF0000"/>
          <w:sz w:val="24"/>
          <w:szCs w:val="24"/>
          <w:u w:val="single"/>
          <w:shd w:val="clear" w:color="auto" w:fill="FFFFFF"/>
        </w:rPr>
      </w:pPr>
      <w:r w:rsidRPr="006400F4">
        <w:rPr>
          <w:rFonts w:ascii="Times New Roman" w:hAnsi="Times New Roman" w:cs="Times New Roman"/>
          <w:sz w:val="24"/>
          <w:szCs w:val="24"/>
          <w:shd w:val="clear" w:color="auto" w:fill="FFFFFF"/>
        </w:rPr>
        <w:t xml:space="preserve">Adicionalmente, toda esa cantidad de medidas están orientadas a ayudar a endeudarse para pagar impuestos a empresas que ya tenían acceso a crédito y con activos mobiliarios. Es decir, </w:t>
      </w:r>
      <w:r w:rsidRPr="00A0773B">
        <w:rPr>
          <w:rFonts w:ascii="Times New Roman" w:hAnsi="Times New Roman" w:cs="Times New Roman"/>
          <w:color w:val="FF0000"/>
          <w:sz w:val="24"/>
          <w:szCs w:val="24"/>
          <w:u w:val="single"/>
          <w:shd w:val="clear" w:color="auto" w:fill="FFFFFF"/>
        </w:rPr>
        <w:t>se rescata fundamentalmente a quien ya tenía posibilidad de endeudarse.</w:t>
      </w:r>
    </w:p>
    <w:p w:rsidR="00032C2A" w:rsidRPr="00A0773B" w:rsidRDefault="00032C2A" w:rsidP="00032C2A">
      <w:pPr>
        <w:spacing w:line="240" w:lineRule="auto"/>
        <w:jc w:val="both"/>
        <w:rPr>
          <w:rFonts w:ascii="Times New Roman" w:hAnsi="Times New Roman" w:cs="Times New Roman"/>
          <w:sz w:val="24"/>
          <w:szCs w:val="24"/>
          <w:u w:val="single"/>
          <w:shd w:val="clear" w:color="auto" w:fill="FFFFFF"/>
        </w:rPr>
      </w:pPr>
      <w:r w:rsidRPr="00A0773B">
        <w:rPr>
          <w:rFonts w:ascii="Times New Roman" w:hAnsi="Times New Roman" w:cs="Times New Roman"/>
          <w:sz w:val="24"/>
          <w:szCs w:val="24"/>
          <w:u w:val="single"/>
          <w:shd w:val="clear" w:color="auto" w:fill="FFFFFF"/>
        </w:rPr>
        <w:t>Los gobiernos y bancos centrales están ahogando a la economía en un mar de liquidez y deuda.</w:t>
      </w:r>
    </w:p>
    <w:p w:rsidR="00032C2A" w:rsidRPr="00A0773B" w:rsidRDefault="00032C2A" w:rsidP="00032C2A">
      <w:pPr>
        <w:spacing w:line="240" w:lineRule="auto"/>
        <w:jc w:val="both"/>
        <w:rPr>
          <w:rFonts w:ascii="Times New Roman" w:hAnsi="Times New Roman" w:cs="Times New Roman"/>
          <w:sz w:val="24"/>
          <w:szCs w:val="24"/>
          <w:u w:val="single"/>
          <w:shd w:val="clear" w:color="auto" w:fill="FFFFFF"/>
        </w:rPr>
      </w:pPr>
      <w:r w:rsidRPr="00A0773B">
        <w:rPr>
          <w:rFonts w:ascii="Times New Roman" w:hAnsi="Times New Roman" w:cs="Times New Roman"/>
          <w:sz w:val="24"/>
          <w:szCs w:val="24"/>
          <w:u w:val="single"/>
          <w:shd w:val="clear" w:color="auto" w:fill="FFFFFF"/>
        </w:rPr>
        <w:t>Sin embargo, las empresas que están cayendo como moscas son las que no tienen locales en propiedad, no tienen activos mobiliarios, aquellas que vivían de mes en mes tirando para poder pagar impuestos y pagarle un salario al emprendedor y sus pocos empleados.</w:t>
      </w:r>
    </w:p>
    <w:p w:rsidR="00032C2A" w:rsidRPr="00A0773B" w:rsidRDefault="00032C2A" w:rsidP="00032C2A">
      <w:pPr>
        <w:spacing w:line="240" w:lineRule="auto"/>
        <w:jc w:val="both"/>
        <w:rPr>
          <w:rFonts w:ascii="Times New Roman" w:hAnsi="Times New Roman" w:cs="Times New Roman"/>
          <w:sz w:val="24"/>
          <w:szCs w:val="24"/>
          <w:u w:val="single"/>
          <w:shd w:val="clear" w:color="auto" w:fill="FFFFFF"/>
        </w:rPr>
      </w:pPr>
      <w:r w:rsidRPr="00A0773B">
        <w:rPr>
          <w:rFonts w:ascii="Times New Roman" w:hAnsi="Times New Roman" w:cs="Times New Roman"/>
          <w:sz w:val="24"/>
          <w:szCs w:val="24"/>
          <w:u w:val="single"/>
          <w:shd w:val="clear" w:color="auto" w:fill="FFFFFF"/>
        </w:rPr>
        <w:t>La inmensa mayoría de esas empresas son las que están cayendo día tras día y destruyendo empleo mientras se rescata con enormes recompras de bonos a conglomerados que ya tenían acceso a deuda y enorme capacidad financiera y a estados que ya absorbían más de un 40% de la riqueza de los países.</w:t>
      </w:r>
    </w:p>
    <w:p w:rsidR="00032C2A" w:rsidRPr="00A0773B" w:rsidRDefault="00032C2A" w:rsidP="00032C2A">
      <w:pPr>
        <w:spacing w:line="240" w:lineRule="auto"/>
        <w:jc w:val="both"/>
        <w:rPr>
          <w:rFonts w:ascii="Times New Roman" w:hAnsi="Times New Roman" w:cs="Times New Roman"/>
          <w:color w:val="FF0000"/>
          <w:sz w:val="24"/>
          <w:szCs w:val="24"/>
          <w:u w:val="single"/>
          <w:shd w:val="clear" w:color="auto" w:fill="FFFFFF"/>
        </w:rPr>
      </w:pPr>
      <w:r w:rsidRPr="00A0773B">
        <w:rPr>
          <w:rFonts w:ascii="Times New Roman" w:hAnsi="Times New Roman" w:cs="Times New Roman"/>
          <w:color w:val="FF0000"/>
          <w:sz w:val="24"/>
          <w:szCs w:val="24"/>
          <w:u w:val="single"/>
          <w:shd w:val="clear" w:color="auto" w:fill="FFFFFF"/>
        </w:rPr>
        <w:t>El efecto redistributivo y fortalecedor de las políticas de demanda en un shock de oferta y una crisis provocada por el cierre forzoso de la economía es bajísimo. Primero, porque esas enormes inyecciones y políticas de estímulo ya estaban mostrando su bajísima efectividad en 2019, con unas economías ya en ralentización en toda la eurozona y muchos países emergentes.</w:t>
      </w:r>
    </w:p>
    <w:p w:rsidR="00032C2A" w:rsidRPr="00A0773B" w:rsidRDefault="00032C2A" w:rsidP="00032C2A">
      <w:pPr>
        <w:spacing w:line="240" w:lineRule="auto"/>
        <w:jc w:val="both"/>
        <w:rPr>
          <w:rFonts w:ascii="Times New Roman" w:hAnsi="Times New Roman" w:cs="Times New Roman"/>
          <w:color w:val="FF0000"/>
          <w:sz w:val="24"/>
          <w:szCs w:val="24"/>
          <w:u w:val="single"/>
          <w:shd w:val="clear" w:color="auto" w:fill="FFFFFF"/>
        </w:rPr>
      </w:pPr>
      <w:r w:rsidRPr="00A0773B">
        <w:rPr>
          <w:rFonts w:ascii="Times New Roman" w:hAnsi="Times New Roman" w:cs="Times New Roman"/>
          <w:color w:val="FF0000"/>
          <w:sz w:val="24"/>
          <w:szCs w:val="24"/>
          <w:u w:val="single"/>
          <w:shd w:val="clear" w:color="auto" w:fill="FFFFFF"/>
        </w:rPr>
        <w:t>Segundo, porque la poca demanda que van a incentivar va a darse en sectores que ya tenían sobrecapacidad y baja productividad, generando muy poco empleo adicional. Y, tercero, porque esa enorme inyección de políticas de demanda no va a venir acompañada de la oferta cuando el 'output gap' de la economía se ha ensanchado enormemente.</w:t>
      </w:r>
    </w:p>
    <w:p w:rsidR="00032C2A" w:rsidRPr="00A0773B" w:rsidRDefault="00032C2A" w:rsidP="00032C2A">
      <w:pPr>
        <w:spacing w:line="240" w:lineRule="auto"/>
        <w:jc w:val="both"/>
        <w:rPr>
          <w:rFonts w:ascii="Times New Roman" w:hAnsi="Times New Roman" w:cs="Times New Roman"/>
          <w:sz w:val="24"/>
          <w:szCs w:val="24"/>
          <w:u w:val="single"/>
          <w:shd w:val="clear" w:color="auto" w:fill="FFFFFF"/>
        </w:rPr>
      </w:pPr>
      <w:r w:rsidRPr="006400F4">
        <w:rPr>
          <w:rFonts w:ascii="Times New Roman" w:hAnsi="Times New Roman" w:cs="Times New Roman"/>
          <w:sz w:val="24"/>
          <w:szCs w:val="24"/>
          <w:shd w:val="clear" w:color="auto" w:fill="FFFFFF"/>
        </w:rPr>
        <w:t xml:space="preserve">No se va a invertir y contratar mucho más en los sectores beneficiados por las enormes inyecciones de liquidez porque ya estaban en proceso de ralentización antes del Covid-19 y, sin embargo, aquellos que lo han hecho bien, que no se han endeudado y que vivían de lo que producían mes a mes, esos están cayendo en picado y los que sobrevivan </w:t>
      </w:r>
      <w:r w:rsidRPr="00A0773B">
        <w:rPr>
          <w:rFonts w:ascii="Times New Roman" w:hAnsi="Times New Roman" w:cs="Times New Roman"/>
          <w:sz w:val="24"/>
          <w:szCs w:val="24"/>
          <w:u w:val="single"/>
          <w:shd w:val="clear" w:color="auto" w:fill="FFFFFF"/>
        </w:rPr>
        <w:t>van a sufrir la brutal subida de impuestos o inflación (el impuesto de los pobres) que viene tras la generosidad sin límites con el dinero de los demás.</w:t>
      </w:r>
    </w:p>
    <w:p w:rsidR="00032C2A" w:rsidRPr="00A0773B" w:rsidRDefault="00032C2A" w:rsidP="00032C2A">
      <w:pPr>
        <w:spacing w:line="240" w:lineRule="auto"/>
        <w:jc w:val="both"/>
        <w:rPr>
          <w:rFonts w:ascii="Times New Roman" w:hAnsi="Times New Roman" w:cs="Times New Roman"/>
          <w:sz w:val="24"/>
          <w:szCs w:val="24"/>
          <w:u w:val="single"/>
          <w:shd w:val="clear" w:color="auto" w:fill="FFFFFF"/>
        </w:rPr>
      </w:pPr>
      <w:r w:rsidRPr="00A0773B">
        <w:rPr>
          <w:rFonts w:ascii="Times New Roman" w:hAnsi="Times New Roman" w:cs="Times New Roman"/>
          <w:sz w:val="24"/>
          <w:szCs w:val="24"/>
          <w:u w:val="single"/>
          <w:shd w:val="clear" w:color="auto" w:fill="FFFFFF"/>
        </w:rPr>
        <w:t>Se está rescatando el pasado para dejar morir el futuro. Se va a rescatar todo lo que estaba en proceso de lenta obsolescencia porque “es estratégico” mientras la inversión en innovación, en tecnologías disruptivas y cambio real, van a ser diezmadas vía fiscal y penalización impositiva.</w:t>
      </w:r>
    </w:p>
    <w:p w:rsidR="00032C2A" w:rsidRPr="00A0773B" w:rsidRDefault="00032C2A" w:rsidP="00032C2A">
      <w:pPr>
        <w:spacing w:line="240" w:lineRule="auto"/>
        <w:jc w:val="both"/>
        <w:rPr>
          <w:rFonts w:ascii="Times New Roman" w:hAnsi="Times New Roman" w:cs="Times New Roman"/>
          <w:color w:val="FF0000"/>
          <w:sz w:val="24"/>
          <w:szCs w:val="24"/>
          <w:u w:val="single"/>
          <w:shd w:val="clear" w:color="auto" w:fill="FFFFFF"/>
        </w:rPr>
      </w:pPr>
      <w:r w:rsidRPr="00A0773B">
        <w:rPr>
          <w:rFonts w:ascii="Times New Roman" w:hAnsi="Times New Roman" w:cs="Times New Roman"/>
          <w:color w:val="FF0000"/>
          <w:sz w:val="24"/>
          <w:szCs w:val="24"/>
          <w:u w:val="single"/>
          <w:shd w:val="clear" w:color="auto" w:fill="FFFFFF"/>
        </w:rPr>
        <w:lastRenderedPageBreak/>
        <w:t>Este shock debería haber venido acompañado de una reducción inmediata de gasto innecesario por parte de los estados para acomodar el aumento de costes sanitarios y estabilizadores automáticos. Debería haber venido acompañado de una exoneración de impuestos durante el cierre forzoso, y de un plan serio de reducción de déficits y gasto en 2021.</w:t>
      </w:r>
    </w:p>
    <w:p w:rsidR="00032C2A" w:rsidRPr="00A0773B" w:rsidRDefault="00032C2A" w:rsidP="00032C2A">
      <w:pPr>
        <w:spacing w:line="240" w:lineRule="auto"/>
        <w:jc w:val="both"/>
        <w:rPr>
          <w:rFonts w:ascii="Times New Roman" w:hAnsi="Times New Roman" w:cs="Times New Roman"/>
          <w:color w:val="FF0000"/>
          <w:sz w:val="24"/>
          <w:szCs w:val="24"/>
          <w:u w:val="single"/>
          <w:shd w:val="clear" w:color="auto" w:fill="FFFFFF"/>
        </w:rPr>
      </w:pPr>
      <w:r w:rsidRPr="00A0773B">
        <w:rPr>
          <w:rFonts w:ascii="Times New Roman" w:hAnsi="Times New Roman" w:cs="Times New Roman"/>
          <w:color w:val="FF0000"/>
          <w:sz w:val="24"/>
          <w:szCs w:val="24"/>
          <w:u w:val="single"/>
          <w:shd w:val="clear" w:color="auto" w:fill="FFFFFF"/>
        </w:rPr>
        <w:t>No se va a invertir y contratar mucho más en los sectores beneficiados por las enormes inyecciones de liquidez porque ya estaban en proceso de ralentización antes del Covid-19</w:t>
      </w:r>
    </w:p>
    <w:p w:rsidR="00032C2A" w:rsidRPr="00A0773B" w:rsidRDefault="00032C2A" w:rsidP="00032C2A">
      <w:pPr>
        <w:spacing w:line="240" w:lineRule="auto"/>
        <w:jc w:val="both"/>
        <w:rPr>
          <w:rFonts w:ascii="Times New Roman" w:hAnsi="Times New Roman" w:cs="Times New Roman"/>
          <w:color w:val="FF0000"/>
          <w:sz w:val="24"/>
          <w:szCs w:val="24"/>
          <w:u w:val="single"/>
          <w:shd w:val="clear" w:color="auto" w:fill="FFFFFF"/>
        </w:rPr>
      </w:pPr>
      <w:r w:rsidRPr="00A0773B">
        <w:rPr>
          <w:rFonts w:ascii="Times New Roman" w:hAnsi="Times New Roman" w:cs="Times New Roman"/>
          <w:color w:val="FF0000"/>
          <w:sz w:val="24"/>
          <w:szCs w:val="24"/>
          <w:u w:val="single"/>
          <w:shd w:val="clear" w:color="auto" w:fill="FFFFFF"/>
        </w:rPr>
        <w:t>Lo único que se ha hecho es añadir a una burbuja de deuda más deuda pero orientada a perpetuar el exceso previo de unas administraciones que no han reducido ningún presupuesto y, a la vez, crear un enorme aumento de deuda a empresas para que paguen impuestos ante una recuperación que, cada día más, se presenta en forma de L más que otra cosa.</w:t>
      </w:r>
    </w:p>
    <w:p w:rsidR="00032C2A" w:rsidRPr="00622FD3" w:rsidRDefault="00032C2A" w:rsidP="00032C2A">
      <w:pPr>
        <w:spacing w:line="240" w:lineRule="auto"/>
        <w:jc w:val="both"/>
        <w:rPr>
          <w:rFonts w:ascii="Times New Roman" w:hAnsi="Times New Roman" w:cs="Times New Roman"/>
          <w:b/>
          <w:color w:val="FF0000"/>
          <w:sz w:val="24"/>
          <w:szCs w:val="24"/>
          <w:u w:val="single"/>
          <w:shd w:val="clear" w:color="auto" w:fill="FFFFFF"/>
        </w:rPr>
      </w:pPr>
      <w:r w:rsidRPr="00622FD3">
        <w:rPr>
          <w:rFonts w:ascii="Times New Roman" w:hAnsi="Times New Roman" w:cs="Times New Roman"/>
          <w:b/>
          <w:color w:val="FF0000"/>
          <w:sz w:val="24"/>
          <w:szCs w:val="24"/>
          <w:u w:val="single"/>
          <w:shd w:val="clear" w:color="auto" w:fill="FFFFFF"/>
        </w:rPr>
        <w:t>Nos intentan convencer de que todo lo tiene que hacer el Estado porque no hay otra solución. Y es falsa. La capacidad productiva, el talento, la capacidad inversora y la tecnología, están casi intactas. Pero es más fácil cerrar la economía por decreto, crear una crisis, luego poner escollos a la inversión internacional y a la recapitalización y decir que “el estado tiene que hacer mucho más”…</w:t>
      </w:r>
    </w:p>
    <w:p w:rsidR="00032C2A" w:rsidRPr="006400F4" w:rsidRDefault="00032C2A" w:rsidP="00032C2A">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t>Para conseguirlo se aumenta</w:t>
      </w:r>
      <w:r>
        <w:rPr>
          <w:rFonts w:ascii="Times New Roman" w:hAnsi="Times New Roman" w:cs="Times New Roman"/>
          <w:sz w:val="24"/>
          <w:szCs w:val="24"/>
          <w:shd w:val="clear" w:color="auto" w:fill="FFFFFF"/>
        </w:rPr>
        <w:t xml:space="preserve"> la</w:t>
      </w:r>
      <w:r w:rsidRPr="006400F4">
        <w:rPr>
          <w:rFonts w:ascii="Times New Roman" w:hAnsi="Times New Roman" w:cs="Times New Roman"/>
          <w:sz w:val="24"/>
          <w:szCs w:val="24"/>
          <w:shd w:val="clear" w:color="auto" w:fill="FFFFFF"/>
        </w:rPr>
        <w:t xml:space="preserve"> masa monetaria creada de la nada que genera reducción del poder adquisitivo y extracción de rentas salariales reales y ahorros y enormes planes de estímulo que lo único que estimulan es lo que ya estaba más que estimulado. Mientras mueren cientos de miles de empresas al mes ahogadas en un mar de liquidez que se dedica a perpetuar la obsolescencia y la burocracia. Y cuando falla, repetir.</w:t>
      </w:r>
    </w:p>
    <w:p w:rsidR="00032C2A" w:rsidRPr="00622FD3" w:rsidRDefault="00032C2A" w:rsidP="00032C2A">
      <w:pPr>
        <w:spacing w:line="240" w:lineRule="auto"/>
        <w:jc w:val="both"/>
        <w:rPr>
          <w:rFonts w:ascii="Times New Roman" w:hAnsi="Times New Roman" w:cs="Times New Roman"/>
          <w:color w:val="FF0000"/>
          <w:sz w:val="24"/>
          <w:szCs w:val="24"/>
          <w:u w:val="single"/>
          <w:shd w:val="clear" w:color="auto" w:fill="FFFFFF"/>
        </w:rPr>
      </w:pPr>
      <w:r w:rsidRPr="00622FD3">
        <w:rPr>
          <w:rFonts w:ascii="Times New Roman" w:hAnsi="Times New Roman" w:cs="Times New Roman"/>
          <w:color w:val="FF0000"/>
          <w:sz w:val="24"/>
          <w:szCs w:val="24"/>
          <w:u w:val="single"/>
          <w:shd w:val="clear" w:color="auto" w:fill="FFFFFF"/>
        </w:rPr>
        <w:t>El enorme apalancamiento al ciclo y absorción de recursos de los estados para pagar gasto corriente y rescatar sectores que, en muchos casos, ya eran zombis, generará probablemente un problema mucho mayor de deuda a medio plazo, caída de la productividad y empeoramiento de la velocidad del dinero, menor inversión y pobre crecimiento de salarios reales…</w:t>
      </w:r>
    </w:p>
    <w:p w:rsidR="00032C2A" w:rsidRPr="006400F4" w:rsidRDefault="00032C2A" w:rsidP="00032C2A">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t xml:space="preserve">Volverán a aumentar gasto innecesario en bonanza y en crisis también. Nos volverán a decir que, en la próxima recesión, “es el Estado el que tiene que gastar”. Hasta que no quede a quién exprimir más. </w:t>
      </w:r>
    </w:p>
    <w:p w:rsidR="00032C2A" w:rsidRPr="006400F4" w:rsidRDefault="00032C2A" w:rsidP="00032C2A">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t>Y a toda esta enorme transferencia de riqueza de los sectores productivos y ahorradores hacia los gobiernos y sectores más cercanos a los mismos lo llamarán “errores del capitalismo”. Anda ya.</w:t>
      </w:r>
    </w:p>
    <w:p w:rsidR="00032C2A" w:rsidRPr="006A754D" w:rsidRDefault="00032C2A" w:rsidP="00032C2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6A754D">
        <w:rPr>
          <w:rFonts w:ascii="Times New Roman" w:hAnsi="Times New Roman" w:cs="Times New Roman"/>
          <w:sz w:val="24"/>
          <w:szCs w:val="24"/>
          <w:u w:val="single"/>
          <w:shd w:val="clear" w:color="auto" w:fill="FFFFFF"/>
        </w:rPr>
        <w:t>Bruselas propone un presupuesto de 1,85 billones, de los que 750.000 millones irían a la reconstrucción poscovid</w:t>
      </w:r>
      <w:r>
        <w:rPr>
          <w:rFonts w:ascii="Times New Roman" w:hAnsi="Times New Roman" w:cs="Times New Roman"/>
          <w:sz w:val="24"/>
          <w:szCs w:val="24"/>
          <w:shd w:val="clear" w:color="auto" w:fill="FFFFFF"/>
        </w:rPr>
        <w:t xml:space="preserve"> (Cinco Días - </w:t>
      </w:r>
      <w:r w:rsidRPr="006A754D">
        <w:rPr>
          <w:rFonts w:ascii="Times New Roman" w:hAnsi="Times New Roman" w:cs="Times New Roman"/>
          <w:b/>
          <w:sz w:val="24"/>
          <w:szCs w:val="24"/>
          <w:shd w:val="clear" w:color="auto" w:fill="FFFFFF"/>
        </w:rPr>
        <w:t>27/5/20</w:t>
      </w:r>
      <w:r>
        <w:rPr>
          <w:rFonts w:ascii="Times New Roman" w:hAnsi="Times New Roman" w:cs="Times New Roman"/>
          <w:sz w:val="24"/>
          <w:szCs w:val="24"/>
          <w:shd w:val="clear" w:color="auto" w:fill="FFFFFF"/>
        </w:rPr>
        <w:t>)</w:t>
      </w:r>
    </w:p>
    <w:p w:rsidR="00032C2A" w:rsidRDefault="00032C2A" w:rsidP="00032C2A">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t>A España le corresponderían unos 140.000 millones del fondo de reconstrucción entre subvenciones y préstamos, el equivalente al 11% del PIB</w:t>
      </w:r>
    </w:p>
    <w:p w:rsidR="00032C2A" w:rsidRPr="0038551C" w:rsidRDefault="00032C2A" w:rsidP="00032C2A">
      <w:pPr>
        <w:spacing w:line="240" w:lineRule="auto"/>
        <w:jc w:val="both"/>
        <w:rPr>
          <w:rFonts w:ascii="Times New Roman" w:hAnsi="Times New Roman" w:cs="Times New Roman"/>
          <w:color w:val="FF0000"/>
          <w:sz w:val="24"/>
          <w:szCs w:val="24"/>
          <w:u w:val="single"/>
          <w:shd w:val="clear" w:color="auto" w:fill="FFFFFF"/>
        </w:rPr>
      </w:pPr>
      <w:r w:rsidRPr="0038551C">
        <w:rPr>
          <w:rFonts w:ascii="Times New Roman" w:hAnsi="Times New Roman" w:cs="Times New Roman"/>
          <w:color w:val="FF0000"/>
          <w:sz w:val="24"/>
          <w:szCs w:val="24"/>
          <w:u w:val="single"/>
          <w:shd w:val="clear" w:color="auto" w:fill="FFFFFF"/>
        </w:rPr>
        <w:t xml:space="preserve">La Comisión Europea ha desvelado este miércoles el ansiado borrador del plan de recuperación económica de la UE para los próximos años, basado en la emisión de bonos europeos para su financiación y canalizado a los gobiernos europeos mediante un híbrido de transferencias directas y préstamos reembolsables. La propuesta de Bruselas para el fondo de reconstrucción alcanza la cifra total de 750.000 millones de euros en dos años. De ellos, la mayoría son transferencias directas (500.000 millones) que se repartirían en base a la incidencia de la pandemia en cada región, situando a España como uno de los miembros más </w:t>
      </w:r>
      <w:r w:rsidRPr="0038551C">
        <w:rPr>
          <w:rFonts w:ascii="Times New Roman" w:hAnsi="Times New Roman" w:cs="Times New Roman"/>
          <w:color w:val="FF0000"/>
          <w:sz w:val="24"/>
          <w:szCs w:val="24"/>
          <w:u w:val="single"/>
          <w:shd w:val="clear" w:color="auto" w:fill="FFFFFF"/>
        </w:rPr>
        <w:lastRenderedPageBreak/>
        <w:t>beneficiados por las ayudas. Los 250.000 millones restantes corresponden a préstamos reembolsables. El fondo, por su parte, se incluye en la propuesta de presupuesto comunitario para el marco 2021-2027, que Bruselas eleva en su borrador a los 1,85 billones de euros en total.</w:t>
      </w:r>
    </w:p>
    <w:p w:rsidR="00032C2A" w:rsidRPr="0038551C" w:rsidRDefault="00032C2A" w:rsidP="00032C2A">
      <w:pPr>
        <w:spacing w:line="240" w:lineRule="auto"/>
        <w:jc w:val="both"/>
        <w:rPr>
          <w:rFonts w:ascii="Times New Roman" w:hAnsi="Times New Roman" w:cs="Times New Roman"/>
          <w:sz w:val="24"/>
          <w:szCs w:val="24"/>
          <w:u w:val="single"/>
          <w:shd w:val="clear" w:color="auto" w:fill="FFFFFF"/>
        </w:rPr>
      </w:pPr>
      <w:r w:rsidRPr="0038551C">
        <w:rPr>
          <w:rFonts w:ascii="Times New Roman" w:hAnsi="Times New Roman" w:cs="Times New Roman"/>
          <w:color w:val="FF0000"/>
          <w:sz w:val="24"/>
          <w:szCs w:val="24"/>
          <w:u w:val="single"/>
          <w:shd w:val="clear" w:color="auto" w:fill="FFFFFF"/>
        </w:rPr>
        <w:t>Junto al acceso al fondo, los socios tendrán que adoptar reformas en línea con las prioridades comunitarias. Queda por ver, entre otros detalles, el criterio exacto de reparto entre los países.</w:t>
      </w:r>
      <w:r w:rsidRPr="0038551C">
        <w:rPr>
          <w:rFonts w:ascii="Times New Roman" w:hAnsi="Times New Roman" w:cs="Times New Roman"/>
          <w:color w:val="FF0000"/>
          <w:sz w:val="24"/>
          <w:szCs w:val="24"/>
          <w:shd w:val="clear" w:color="auto" w:fill="FFFFFF"/>
        </w:rPr>
        <w:t xml:space="preserve"> </w:t>
      </w:r>
      <w:r w:rsidRPr="006A754D">
        <w:rPr>
          <w:rFonts w:ascii="Times New Roman" w:hAnsi="Times New Roman" w:cs="Times New Roman"/>
          <w:sz w:val="24"/>
          <w:szCs w:val="24"/>
          <w:shd w:val="clear" w:color="auto" w:fill="FFFFFF"/>
        </w:rPr>
        <w:t xml:space="preserve">El borrador de la Comisión fija para España unos 77.000 millones en subsidios y transferencias directas (el 15% del total) y unos 63.000 millones en préstamos. </w:t>
      </w:r>
      <w:r w:rsidRPr="0038551C">
        <w:rPr>
          <w:rFonts w:ascii="Times New Roman" w:hAnsi="Times New Roman" w:cs="Times New Roman"/>
          <w:sz w:val="24"/>
          <w:szCs w:val="24"/>
          <w:u w:val="single"/>
          <w:shd w:val="clear" w:color="auto" w:fill="FFFFFF"/>
        </w:rPr>
        <w:t>El país recibiría, por lo tanto, unos 140.000 millones en total, el equivalente al 11% del PIB.</w:t>
      </w:r>
    </w:p>
    <w:p w:rsidR="00032C2A" w:rsidRPr="0038551C" w:rsidRDefault="00032C2A" w:rsidP="00032C2A">
      <w:pPr>
        <w:spacing w:line="240" w:lineRule="auto"/>
        <w:jc w:val="both"/>
        <w:rPr>
          <w:rFonts w:ascii="Times New Roman" w:hAnsi="Times New Roman" w:cs="Times New Roman"/>
          <w:sz w:val="24"/>
          <w:szCs w:val="24"/>
          <w:u w:val="single"/>
          <w:shd w:val="clear" w:color="auto" w:fill="FFFFFF"/>
        </w:rPr>
      </w:pPr>
      <w:r w:rsidRPr="0038551C">
        <w:rPr>
          <w:rFonts w:ascii="Times New Roman" w:hAnsi="Times New Roman" w:cs="Times New Roman"/>
          <w:sz w:val="24"/>
          <w:szCs w:val="24"/>
          <w:u w:val="single"/>
          <w:shd w:val="clear" w:color="auto" w:fill="FFFFFF"/>
        </w:rPr>
        <w:t>Italia, el socio europeo más castigado por la pandemia, sería el que más fondos recibiría, con casi 82.000 millones en subvenciones y 90.000 millones en préstamos (unos 172.000 millones en total). Francia y Polonia recibirían casi 40.000 millones respectivamente solo en transferencias. A Alemania llegarían unos 28.000 millones en subsidios y Grecia, por su parte, obtendría algo más de 22.000 millones en transferencias.</w:t>
      </w:r>
    </w:p>
    <w:p w:rsidR="00032C2A" w:rsidRPr="006A754D" w:rsidRDefault="00032C2A" w:rsidP="00032C2A">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t>Tras conocer la propuesta en firme, el Gobierno de España, explican portavoces del Ejecutivo, acoge positi</w:t>
      </w:r>
      <w:r>
        <w:rPr>
          <w:rFonts w:ascii="Times New Roman" w:hAnsi="Times New Roman" w:cs="Times New Roman"/>
          <w:sz w:val="24"/>
          <w:szCs w:val="24"/>
          <w:shd w:val="clear" w:color="auto" w:fill="FFFFFF"/>
        </w:rPr>
        <w:t xml:space="preserve">vamente el paquete financiero, </w:t>
      </w:r>
      <w:r w:rsidRPr="006A754D">
        <w:rPr>
          <w:rFonts w:ascii="Times New Roman" w:hAnsi="Times New Roman" w:cs="Times New Roman"/>
          <w:sz w:val="24"/>
          <w:szCs w:val="24"/>
          <w:shd w:val="clear" w:color="auto" w:fill="FFFFFF"/>
        </w:rPr>
        <w:t>que recoge muchas de las demandas que se han planteado desde España. Moncloa considera que hay</w:t>
      </w:r>
      <w:r>
        <w:rPr>
          <w:rFonts w:ascii="Times New Roman" w:hAnsi="Times New Roman" w:cs="Times New Roman"/>
          <w:sz w:val="24"/>
          <w:szCs w:val="24"/>
          <w:shd w:val="clear" w:color="auto" w:fill="FFFFFF"/>
        </w:rPr>
        <w:t xml:space="preserve"> una base para la negociación. “</w:t>
      </w:r>
      <w:r w:rsidRPr="006A754D">
        <w:rPr>
          <w:rFonts w:ascii="Times New Roman" w:hAnsi="Times New Roman" w:cs="Times New Roman"/>
          <w:sz w:val="24"/>
          <w:szCs w:val="24"/>
          <w:shd w:val="clear" w:color="auto" w:fill="FFFFFF"/>
        </w:rPr>
        <w:t>El Gobierno confía en que el presidente del Consejo inicie consultas con los líderes para convocar una reunión del Consejo Europeo en las próximas semanas, que permita alcan</w:t>
      </w:r>
      <w:r>
        <w:rPr>
          <w:rFonts w:ascii="Times New Roman" w:hAnsi="Times New Roman" w:cs="Times New Roman"/>
          <w:sz w:val="24"/>
          <w:szCs w:val="24"/>
          <w:shd w:val="clear" w:color="auto" w:fill="FFFFFF"/>
        </w:rPr>
        <w:t>zar un acuerdo lo antes posible”</w:t>
      </w:r>
      <w:r w:rsidRPr="006A754D">
        <w:rPr>
          <w:rFonts w:ascii="Times New Roman" w:hAnsi="Times New Roman" w:cs="Times New Roman"/>
          <w:sz w:val="24"/>
          <w:szCs w:val="24"/>
          <w:shd w:val="clear" w:color="auto" w:fill="FFFFFF"/>
        </w:rPr>
        <w:t>. Por su parte, el jefe del Consejo, Charles Michel, señala que el</w:t>
      </w:r>
      <w:r>
        <w:rPr>
          <w:rFonts w:ascii="Times New Roman" w:hAnsi="Times New Roman" w:cs="Times New Roman"/>
          <w:sz w:val="24"/>
          <w:szCs w:val="24"/>
          <w:shd w:val="clear" w:color="auto" w:fill="FFFFFF"/>
        </w:rPr>
        <w:t xml:space="preserve"> objetivo es lograr un acuerdo “</w:t>
      </w:r>
      <w:r w:rsidRPr="006A754D">
        <w:rPr>
          <w:rFonts w:ascii="Times New Roman" w:hAnsi="Times New Roman" w:cs="Times New Roman"/>
          <w:sz w:val="24"/>
          <w:szCs w:val="24"/>
          <w:shd w:val="clear" w:color="auto" w:fill="FFFFFF"/>
        </w:rPr>
        <w:t>antes d</w:t>
      </w:r>
      <w:r>
        <w:rPr>
          <w:rFonts w:ascii="Times New Roman" w:hAnsi="Times New Roman" w:cs="Times New Roman"/>
          <w:sz w:val="24"/>
          <w:szCs w:val="24"/>
          <w:shd w:val="clear" w:color="auto" w:fill="FFFFFF"/>
        </w:rPr>
        <w:t>e las vacaciones de verano”</w:t>
      </w:r>
      <w:r w:rsidRPr="006A754D">
        <w:rPr>
          <w:rFonts w:ascii="Times New Roman" w:hAnsi="Times New Roman" w:cs="Times New Roman"/>
          <w:sz w:val="24"/>
          <w:szCs w:val="24"/>
          <w:shd w:val="clear" w:color="auto" w:fill="FFFFFF"/>
        </w:rPr>
        <w:t>. Los jefes de Estado debatirán en la cumbre el próximo 19 de junio.</w:t>
      </w:r>
    </w:p>
    <w:p w:rsidR="00032C2A" w:rsidRPr="006A754D" w:rsidRDefault="00032C2A" w:rsidP="00032C2A">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t>El comisario de Economía, Paolo Gentiloni, ha avanzado la cifra del fondo en la red social Twitter, donde h</w:t>
      </w:r>
      <w:r>
        <w:rPr>
          <w:rFonts w:ascii="Times New Roman" w:hAnsi="Times New Roman" w:cs="Times New Roman"/>
          <w:sz w:val="24"/>
          <w:szCs w:val="24"/>
          <w:shd w:val="clear" w:color="auto" w:fill="FFFFFF"/>
        </w:rPr>
        <w:t>a destacado que se trata de un “</w:t>
      </w:r>
      <w:r w:rsidRPr="006A754D">
        <w:rPr>
          <w:rFonts w:ascii="Times New Roman" w:hAnsi="Times New Roman" w:cs="Times New Roman"/>
          <w:sz w:val="24"/>
          <w:szCs w:val="24"/>
          <w:shd w:val="clear" w:color="auto" w:fill="FFFFFF"/>
        </w:rPr>
        <w:t>punto de inflexión europeo para enfrentar</w:t>
      </w:r>
      <w:r>
        <w:rPr>
          <w:rFonts w:ascii="Times New Roman" w:hAnsi="Times New Roman" w:cs="Times New Roman"/>
          <w:sz w:val="24"/>
          <w:szCs w:val="24"/>
          <w:shd w:val="clear" w:color="auto" w:fill="FFFFFF"/>
        </w:rPr>
        <w:t>se a una crisis sin precedentes”</w:t>
      </w:r>
      <w:r w:rsidRPr="006A754D">
        <w:rPr>
          <w:rFonts w:ascii="Times New Roman" w:hAnsi="Times New Roman" w:cs="Times New Roman"/>
          <w:sz w:val="24"/>
          <w:szCs w:val="24"/>
          <w:shd w:val="clear" w:color="auto" w:fill="FFFFFF"/>
        </w:rPr>
        <w:t>.</w:t>
      </w:r>
    </w:p>
    <w:p w:rsidR="00032C2A" w:rsidRPr="006A754D" w:rsidRDefault="00032C2A" w:rsidP="00032C2A">
      <w:pPr>
        <w:spacing w:line="240" w:lineRule="auto"/>
        <w:jc w:val="both"/>
        <w:rPr>
          <w:rFonts w:ascii="Times New Roman" w:hAnsi="Times New Roman" w:cs="Times New Roman"/>
          <w:sz w:val="24"/>
          <w:szCs w:val="24"/>
          <w:shd w:val="clear" w:color="auto" w:fill="FFFFFF"/>
        </w:rPr>
      </w:pPr>
      <w:r w:rsidRPr="0038551C">
        <w:rPr>
          <w:rFonts w:ascii="Times New Roman" w:hAnsi="Times New Roman" w:cs="Times New Roman"/>
          <w:sz w:val="24"/>
          <w:szCs w:val="24"/>
          <w:u w:val="single"/>
          <w:shd w:val="clear" w:color="auto" w:fill="FFFFFF"/>
        </w:rPr>
        <w:t>Con este paso, Bruselas abrirá la puerta a las negociaciones entre los Estados miembros y el Parlamento Europeo para cerrar en los próximos meses un acuerdo sobre este fondo de reconstrucción y sobre el presupuesto de la UE para el periodo 2021-2027, al que estará vinculado la herramienta de reconstitución. Los márgenes temporales para la negociación de este presupuesto son limitados, y se prevé una pugna entre los dos bloques principales. Por un lado están los países más ortodoxos, los conocidos como frugales (Holanda, Austria, Suecia y Dinamarca), que se decantan por los préstamos reembolsables. Al otro lado están los socios más castigados por la pandemia, que insisten en el carácter simétrico de la crisis y prefieren subvenciones a fondo perdido. El acuerdo final debe ser validado por el conjunto de los socios</w:t>
      </w:r>
      <w:r>
        <w:rPr>
          <w:rFonts w:ascii="Times New Roman" w:hAnsi="Times New Roman" w:cs="Times New Roman"/>
          <w:sz w:val="24"/>
          <w:szCs w:val="24"/>
          <w:shd w:val="clear" w:color="auto" w:fill="FFFFFF"/>
        </w:rPr>
        <w:t>.</w:t>
      </w:r>
    </w:p>
    <w:p w:rsidR="00032C2A" w:rsidRPr="0038551C" w:rsidRDefault="00032C2A" w:rsidP="00032C2A">
      <w:pPr>
        <w:spacing w:line="240" w:lineRule="auto"/>
        <w:jc w:val="both"/>
        <w:rPr>
          <w:rFonts w:ascii="Times New Roman" w:hAnsi="Times New Roman" w:cs="Times New Roman"/>
          <w:color w:val="FF0000"/>
          <w:sz w:val="24"/>
          <w:szCs w:val="24"/>
          <w:u w:val="single"/>
          <w:shd w:val="clear" w:color="auto" w:fill="FFFFFF"/>
        </w:rPr>
      </w:pPr>
      <w:r w:rsidRPr="0038551C">
        <w:rPr>
          <w:rFonts w:ascii="Times New Roman" w:hAnsi="Times New Roman" w:cs="Times New Roman"/>
          <w:color w:val="FF0000"/>
          <w:sz w:val="24"/>
          <w:szCs w:val="24"/>
          <w:u w:val="single"/>
          <w:shd w:val="clear" w:color="auto" w:fill="FFFFFF"/>
        </w:rPr>
        <w:t>La jefa del Ejecutivo comunitario, Ursula von der Leyen, planteará a los socios un aumento sustancial y temporal en el techo de gasto del presupuesto comunitario. A día de hoy, este límite se sitúa en el 1,2% de la renta nacional bruta (RNB) de la Unión, y el objetivo de Von der Leyen es elevarlo hasta el 2% de la RNB, doblando así las partidas actuales: el límite fijado por los socios llega al 1,2%, pero el presupuesto actual equivale al 0,904% de la RNB. De aprobarse, este sería el mayor presupuesto del club hasta la fecha, y con ese excedente se podría emitir deuda por valor de entre 500.000 millones y 750.000 millones, con la Comisión como órgano emisor.</w:t>
      </w:r>
    </w:p>
    <w:p w:rsidR="00032C2A" w:rsidRPr="0038551C" w:rsidRDefault="00032C2A" w:rsidP="00032C2A">
      <w:pPr>
        <w:spacing w:line="240" w:lineRule="auto"/>
        <w:jc w:val="both"/>
        <w:rPr>
          <w:rFonts w:ascii="Times New Roman" w:hAnsi="Times New Roman" w:cs="Times New Roman"/>
          <w:b/>
          <w:color w:val="FF0000"/>
          <w:sz w:val="24"/>
          <w:szCs w:val="24"/>
          <w:u w:val="single"/>
          <w:shd w:val="clear" w:color="auto" w:fill="FFFFFF"/>
        </w:rPr>
      </w:pPr>
      <w:r w:rsidRPr="0038551C">
        <w:rPr>
          <w:rFonts w:ascii="Times New Roman" w:hAnsi="Times New Roman" w:cs="Times New Roman"/>
          <w:b/>
          <w:color w:val="FF0000"/>
          <w:sz w:val="24"/>
          <w:szCs w:val="24"/>
          <w:u w:val="single"/>
          <w:shd w:val="clear" w:color="auto" w:fill="FFFFFF"/>
        </w:rPr>
        <w:t xml:space="preserve">La Comisión ha ideado un híbrido entre transferencias y préstamos para intentar contentar en la medida de lo posible a los dos principales bloques. También vinculará el </w:t>
      </w:r>
      <w:r w:rsidRPr="0038551C">
        <w:rPr>
          <w:rFonts w:ascii="Times New Roman" w:hAnsi="Times New Roman" w:cs="Times New Roman"/>
          <w:b/>
          <w:color w:val="FF0000"/>
          <w:sz w:val="24"/>
          <w:szCs w:val="24"/>
          <w:u w:val="single"/>
          <w:shd w:val="clear" w:color="auto" w:fill="FFFFFF"/>
        </w:rPr>
        <w:lastRenderedPageBreak/>
        <w:t>fondo de recuperación a ciertas reformas de carácter macroeconómico aún por detallar. Además, ya está descartado que los bonos europeos carezcan de vencimiento, como propuso el Gobierno español con el concepto de deuda perpetua. Se habla, por lo tanto, de un vencimiento a 20 o 30 años.</w:t>
      </w:r>
    </w:p>
    <w:p w:rsidR="00032C2A" w:rsidRPr="006A754D" w:rsidRDefault="00032C2A" w:rsidP="00032C2A">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t>80% para la cohesión y la reconstrucción</w:t>
      </w:r>
    </w:p>
    <w:p w:rsidR="00032C2A" w:rsidRPr="0038551C" w:rsidRDefault="00032C2A" w:rsidP="00032C2A">
      <w:pPr>
        <w:spacing w:line="240" w:lineRule="auto"/>
        <w:jc w:val="both"/>
        <w:rPr>
          <w:rFonts w:ascii="Times New Roman" w:hAnsi="Times New Roman" w:cs="Times New Roman"/>
          <w:sz w:val="24"/>
          <w:szCs w:val="24"/>
          <w:u w:val="single"/>
          <w:shd w:val="clear" w:color="auto" w:fill="FFFFFF"/>
        </w:rPr>
      </w:pPr>
      <w:r w:rsidRPr="0038551C">
        <w:rPr>
          <w:rFonts w:ascii="Times New Roman" w:hAnsi="Times New Roman" w:cs="Times New Roman"/>
          <w:sz w:val="24"/>
          <w:szCs w:val="24"/>
          <w:u w:val="single"/>
          <w:shd w:val="clear" w:color="auto" w:fill="FFFFFF"/>
        </w:rPr>
        <w:t>El plan de Von der Leyen recogerá que aproximadamente el 80% del dinero captado en los mercados sea transferido a los Estados miembros a través de una herramienta llamada Facilidad para la Resiliencia y la Reconstrucción (RRF) y de una dotación adicional a la Política de Cohesión que se distribuirá entre los socios europeos con una clave de reparto distinta a la tradicional y relacionada con el impacto de la pandemia. No obstante, el instrumento, vinculado al llamado Semestre Europeo, supondrá para las socios la obligación de llevar a cabo reformas.</w:t>
      </w:r>
    </w:p>
    <w:p w:rsidR="00032C2A" w:rsidRPr="0038551C" w:rsidRDefault="00032C2A" w:rsidP="00032C2A">
      <w:pPr>
        <w:spacing w:line="240" w:lineRule="auto"/>
        <w:jc w:val="both"/>
        <w:rPr>
          <w:rFonts w:ascii="Times New Roman" w:hAnsi="Times New Roman" w:cs="Times New Roman"/>
          <w:sz w:val="24"/>
          <w:szCs w:val="24"/>
          <w:u w:val="single"/>
          <w:shd w:val="clear" w:color="auto" w:fill="FFFFFF"/>
        </w:rPr>
      </w:pPr>
      <w:r w:rsidRPr="0038551C">
        <w:rPr>
          <w:rFonts w:ascii="Times New Roman" w:hAnsi="Times New Roman" w:cs="Times New Roman"/>
          <w:sz w:val="24"/>
          <w:szCs w:val="24"/>
          <w:u w:val="single"/>
          <w:shd w:val="clear" w:color="auto" w:fill="FFFFFF"/>
        </w:rPr>
        <w:t>La segunda columna del plan aglutinará entorno al 15% del fondo, y centrará su atención en el sector privado y en las empresas golpeadas por la pandemia. Por último, el tercer pilar del fondo de recuperación (el 5%) incluirá un nuevo programa europeo centrado en el sector sanitario.</w:t>
      </w:r>
    </w:p>
    <w:p w:rsidR="00032C2A" w:rsidRPr="006A754D" w:rsidRDefault="00032C2A" w:rsidP="00032C2A">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t>Presupuesto europeo</w:t>
      </w:r>
    </w:p>
    <w:p w:rsidR="00032C2A" w:rsidRPr="006A754D" w:rsidRDefault="00032C2A" w:rsidP="00032C2A">
      <w:pPr>
        <w:spacing w:line="240" w:lineRule="auto"/>
        <w:jc w:val="both"/>
        <w:rPr>
          <w:rFonts w:ascii="Times New Roman" w:hAnsi="Times New Roman" w:cs="Times New Roman"/>
          <w:sz w:val="24"/>
          <w:szCs w:val="24"/>
          <w:shd w:val="clear" w:color="auto" w:fill="FFFFFF"/>
        </w:rPr>
      </w:pPr>
      <w:r w:rsidRPr="0038551C">
        <w:rPr>
          <w:rFonts w:ascii="Times New Roman" w:hAnsi="Times New Roman" w:cs="Times New Roman"/>
          <w:b/>
          <w:color w:val="FF0000"/>
          <w:sz w:val="24"/>
          <w:szCs w:val="24"/>
          <w:u w:val="single"/>
          <w:shd w:val="clear" w:color="auto" w:fill="FFFFFF"/>
        </w:rPr>
        <w:t>El fondo de recuperación estará integrado en el presupuesto comunitario, vinculado al Marco Financiero Plurianual (MFP) de 2021-2027. La propuesta de la Comisión pasa por elevar este marco a los 1,85 billones de euros en total, incluyendo los 750.000 millones del fondo</w:t>
      </w:r>
      <w:r w:rsidRPr="006A754D">
        <w:rPr>
          <w:rFonts w:ascii="Times New Roman" w:hAnsi="Times New Roman" w:cs="Times New Roman"/>
          <w:sz w:val="24"/>
          <w:szCs w:val="24"/>
          <w:shd w:val="clear" w:color="auto" w:fill="FFFFFF"/>
        </w:rPr>
        <w:t>. Las partidas del presupuesto comunitario se reparten entre los diferentes socios y los propios organismos europeos. Estas cantidades son las que financian las diferentes políticas de tinte comunitario, como la PAC y la cohesión, dos de las más tradicionales y de las que más fondos reciben. En el nuevo marco, no obstante, se le quiere dar más peso a otros aspectos como la digitalización, la descarbonización y transición ecológica o la seguridad.</w:t>
      </w:r>
    </w:p>
    <w:p w:rsidR="00032C2A" w:rsidRPr="006A754D" w:rsidRDefault="00032C2A" w:rsidP="00032C2A">
      <w:pPr>
        <w:spacing w:line="240" w:lineRule="auto"/>
        <w:jc w:val="both"/>
        <w:rPr>
          <w:rFonts w:ascii="Times New Roman" w:hAnsi="Times New Roman" w:cs="Times New Roman"/>
          <w:sz w:val="24"/>
          <w:szCs w:val="24"/>
          <w:shd w:val="clear" w:color="auto" w:fill="FFFFFF"/>
        </w:rPr>
      </w:pPr>
      <w:r w:rsidRPr="006A754D">
        <w:rPr>
          <w:rFonts w:ascii="Times New Roman" w:hAnsi="Times New Roman" w:cs="Times New Roman"/>
          <w:sz w:val="24"/>
          <w:szCs w:val="24"/>
          <w:shd w:val="clear" w:color="auto" w:fill="FFFFFF"/>
        </w:rPr>
        <w:t>Plan a largo plazo</w:t>
      </w:r>
    </w:p>
    <w:p w:rsidR="00032C2A" w:rsidRPr="0038551C" w:rsidRDefault="00032C2A" w:rsidP="00032C2A">
      <w:pPr>
        <w:spacing w:line="240" w:lineRule="auto"/>
        <w:jc w:val="both"/>
        <w:rPr>
          <w:rFonts w:ascii="Times New Roman" w:hAnsi="Times New Roman" w:cs="Times New Roman"/>
          <w:b/>
          <w:color w:val="FF0000"/>
          <w:sz w:val="24"/>
          <w:szCs w:val="24"/>
          <w:u w:val="single"/>
          <w:shd w:val="clear" w:color="auto" w:fill="FFFFFF"/>
        </w:rPr>
      </w:pPr>
      <w:r w:rsidRPr="0038551C">
        <w:rPr>
          <w:rFonts w:ascii="Times New Roman" w:hAnsi="Times New Roman" w:cs="Times New Roman"/>
          <w:b/>
          <w:color w:val="FF0000"/>
          <w:sz w:val="24"/>
          <w:szCs w:val="24"/>
          <w:u w:val="single"/>
          <w:shd w:val="clear" w:color="auto" w:fill="FFFFFF"/>
        </w:rPr>
        <w:t>La propuesta de Von der Leyen, integrada en el presupuesto europeo, supone la respuesta de la Unión ante la pandemia con vistas al largo plazo. Previamente, los socios, a través del Eurogrupo y el Consejo, han conseguido poner en marcha la conocida como Triple Red de Seguridad para estados, empresas y trabajadores, que movilizará unos 540.000 millones de euros. Por un lado se encuentran los 240.000 millones del MEDE (el fondo de rescate europeo), a los que se le unen otros 200.000 del Banco Europeo de Inversiones (BEI) y otros 100.000 del mecanismo para costear los ERTE y mecanismos similares, bautizado como SURE.</w:t>
      </w:r>
    </w:p>
    <w:p w:rsidR="00C63754" w:rsidRDefault="00C63754" w:rsidP="00C6375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D168C2">
        <w:rPr>
          <w:rFonts w:ascii="Times New Roman" w:hAnsi="Times New Roman" w:cs="Times New Roman"/>
          <w:sz w:val="24"/>
          <w:szCs w:val="24"/>
          <w:u w:val="single"/>
          <w:shd w:val="clear" w:color="auto" w:fill="FFFFFF"/>
        </w:rPr>
        <w:t>Así impacta la crisis en Europa por países y en los principales sectores</w:t>
      </w:r>
      <w:r>
        <w:rPr>
          <w:rFonts w:ascii="Times New Roman" w:hAnsi="Times New Roman" w:cs="Times New Roman"/>
          <w:sz w:val="24"/>
          <w:szCs w:val="24"/>
          <w:shd w:val="clear" w:color="auto" w:fill="FFFFFF"/>
        </w:rPr>
        <w:t xml:space="preserve"> (Expansión - </w:t>
      </w:r>
      <w:r w:rsidRPr="00D168C2">
        <w:rPr>
          <w:rFonts w:ascii="Times New Roman" w:hAnsi="Times New Roman" w:cs="Times New Roman"/>
          <w:b/>
          <w:sz w:val="24"/>
          <w:szCs w:val="24"/>
          <w:shd w:val="clear" w:color="auto" w:fill="FFFFFF"/>
        </w:rPr>
        <w:t>28/5/20</w:t>
      </w:r>
      <w:r>
        <w:rPr>
          <w:rFonts w:ascii="Times New Roman" w:hAnsi="Times New Roman" w:cs="Times New Roman"/>
          <w:sz w:val="24"/>
          <w:szCs w:val="24"/>
          <w:shd w:val="clear" w:color="auto" w:fill="FFFFFF"/>
        </w:rPr>
        <w:t>)</w:t>
      </w:r>
    </w:p>
    <w:p w:rsidR="00FA411F" w:rsidRDefault="00FA411F" w:rsidP="00FA411F">
      <w:pPr>
        <w:spacing w:line="240" w:lineRule="auto"/>
        <w:jc w:val="both"/>
        <w:rPr>
          <w:rFonts w:ascii="Times New Roman" w:hAnsi="Times New Roman" w:cs="Times New Roman"/>
          <w:sz w:val="24"/>
          <w:szCs w:val="24"/>
          <w:shd w:val="clear" w:color="auto" w:fill="FFFFFF"/>
        </w:rPr>
      </w:pPr>
      <w:r w:rsidRPr="00D168C2">
        <w:rPr>
          <w:rFonts w:ascii="Times New Roman" w:hAnsi="Times New Roman" w:cs="Times New Roman"/>
          <w:sz w:val="24"/>
          <w:szCs w:val="24"/>
          <w:shd w:val="clear" w:color="auto" w:fill="FFFFFF"/>
        </w:rPr>
        <w:t>La hostelería, el transporte, la construcción, la distribución y la industria automovilística son las más perjudicadas por la paralización de la actividad. España es, además, el país más afectado de la eurozona</w:t>
      </w:r>
      <w:r>
        <w:rPr>
          <w:rFonts w:ascii="Times New Roman" w:hAnsi="Times New Roman" w:cs="Times New Roman"/>
          <w:sz w:val="24"/>
          <w:szCs w:val="24"/>
          <w:shd w:val="clear" w:color="auto" w:fill="FFFFFF"/>
        </w:rPr>
        <w:t>…</w:t>
      </w:r>
    </w:p>
    <w:p w:rsidR="00FA411F" w:rsidRDefault="00FA411F" w:rsidP="00C63754">
      <w:pPr>
        <w:spacing w:line="240" w:lineRule="auto"/>
        <w:jc w:val="both"/>
        <w:rPr>
          <w:rFonts w:ascii="Times New Roman" w:hAnsi="Times New Roman" w:cs="Times New Roman"/>
          <w:sz w:val="24"/>
          <w:szCs w:val="24"/>
          <w:shd w:val="clear" w:color="auto" w:fill="FFFFFF"/>
        </w:rPr>
      </w:pPr>
      <w:r w:rsidRPr="00D168C2">
        <w:rPr>
          <w:rFonts w:ascii="Times New Roman" w:hAnsi="Times New Roman" w:cs="Times New Roman"/>
          <w:sz w:val="24"/>
          <w:szCs w:val="24"/>
          <w:shd w:val="clear" w:color="auto" w:fill="FFFFFF"/>
        </w:rPr>
        <w:t>El coronavirus ha provocado un terremoto sobre la economía, al provocar la paralización de numerosas actividades, lo que conlleva cuantiosas pérdidas y ci</w:t>
      </w:r>
      <w:r>
        <w:rPr>
          <w:rFonts w:ascii="Times New Roman" w:hAnsi="Times New Roman" w:cs="Times New Roman"/>
          <w:sz w:val="24"/>
          <w:szCs w:val="24"/>
          <w:shd w:val="clear" w:color="auto" w:fill="FFFFFF"/>
        </w:rPr>
        <w:t>entos de miles de despidos…</w:t>
      </w:r>
    </w:p>
    <w:p w:rsidR="00C63754" w:rsidRDefault="00C63754" w:rsidP="00C63754">
      <w:pPr>
        <w:spacing w:line="240" w:lineRule="auto"/>
        <w:jc w:val="both"/>
        <w:rPr>
          <w:rFonts w:ascii="Times New Roman" w:hAnsi="Times New Roman" w:cs="Times New Roman"/>
          <w:sz w:val="24"/>
          <w:szCs w:val="24"/>
          <w:shd w:val="clear" w:color="auto" w:fill="FFFFFF"/>
        </w:rPr>
      </w:pPr>
      <w:r>
        <w:rPr>
          <w:noProof/>
          <w:lang w:eastAsia="es-ES"/>
        </w:rPr>
        <w:lastRenderedPageBreak/>
        <w:drawing>
          <wp:inline distT="0" distB="0" distL="0" distR="0" wp14:anchorId="7BA461F9" wp14:editId="6C4F8830">
            <wp:extent cx="5731510" cy="4255557"/>
            <wp:effectExtent l="0" t="0" r="2540" b="0"/>
            <wp:docPr id="70" name="Imagen 70" descr="https://e00-expansion.uecdn.es/assets/multimedia/imagenes/2020/05/27/159061225946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00-expansion.uecdn.es/assets/multimedia/imagenes/2020/05/27/15906122594691.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31510" cy="4255557"/>
                    </a:xfrm>
                    <a:prstGeom prst="rect">
                      <a:avLst/>
                    </a:prstGeom>
                    <a:noFill/>
                    <a:ln>
                      <a:noFill/>
                    </a:ln>
                  </pic:spPr>
                </pic:pic>
              </a:graphicData>
            </a:graphic>
          </wp:inline>
        </w:drawing>
      </w:r>
    </w:p>
    <w:p w:rsidR="00C63754" w:rsidRPr="002D06C6" w:rsidRDefault="00C63754" w:rsidP="00C6375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2D06C6">
        <w:rPr>
          <w:rFonts w:ascii="Times New Roman" w:hAnsi="Times New Roman" w:cs="Times New Roman"/>
          <w:sz w:val="24"/>
          <w:szCs w:val="24"/>
          <w:u w:val="single"/>
          <w:shd w:val="clear" w:color="auto" w:fill="FFFFFF"/>
        </w:rPr>
        <w:t>Roubini alerta de que la cri</w:t>
      </w:r>
      <w:r>
        <w:rPr>
          <w:rFonts w:ascii="Times New Roman" w:hAnsi="Times New Roman" w:cs="Times New Roman"/>
          <w:sz w:val="24"/>
          <w:szCs w:val="24"/>
          <w:u w:val="single"/>
          <w:shd w:val="clear" w:color="auto" w:fill="FFFFFF"/>
        </w:rPr>
        <w:t>sis del coronavirus ocasionará “</w:t>
      </w:r>
      <w:r w:rsidRPr="002D06C6">
        <w:rPr>
          <w:rFonts w:ascii="Times New Roman" w:hAnsi="Times New Roman" w:cs="Times New Roman"/>
          <w:sz w:val="24"/>
          <w:szCs w:val="24"/>
          <w:u w:val="single"/>
          <w:shd w:val="clear" w:color="auto" w:fill="FFFFFF"/>
        </w:rPr>
        <w:t>una década de desesperación</w:t>
      </w:r>
      <w:r>
        <w:rPr>
          <w:rFonts w:ascii="Times New Roman" w:hAnsi="Times New Roman" w:cs="Times New Roman"/>
          <w:sz w:val="24"/>
          <w:szCs w:val="24"/>
          <w:shd w:val="clear" w:color="auto" w:fill="FFFFFF"/>
        </w:rPr>
        <w:t xml:space="preserve">” (El Economista - </w:t>
      </w:r>
      <w:r>
        <w:rPr>
          <w:rFonts w:ascii="Times New Roman" w:hAnsi="Times New Roman" w:cs="Times New Roman"/>
          <w:b/>
          <w:sz w:val="24"/>
          <w:szCs w:val="24"/>
          <w:shd w:val="clear" w:color="auto" w:fill="FFFFFF"/>
        </w:rPr>
        <w:t>28</w:t>
      </w:r>
      <w:r w:rsidRPr="002D06C6">
        <w:rPr>
          <w:rFonts w:ascii="Times New Roman" w:hAnsi="Times New Roman" w:cs="Times New Roman"/>
          <w:b/>
          <w:sz w:val="24"/>
          <w:szCs w:val="24"/>
          <w:shd w:val="clear" w:color="auto" w:fill="FFFFFF"/>
        </w:rPr>
        <w:t>/5/20</w:t>
      </w:r>
      <w:r>
        <w:rPr>
          <w:rFonts w:ascii="Times New Roman" w:hAnsi="Times New Roman" w:cs="Times New Roman"/>
          <w:sz w:val="24"/>
          <w:szCs w:val="24"/>
          <w:shd w:val="clear" w:color="auto" w:fill="FFFFFF"/>
        </w:rPr>
        <w:t>)</w:t>
      </w:r>
    </w:p>
    <w:p w:rsidR="00C63754" w:rsidRPr="009E1478" w:rsidRDefault="00C63754" w:rsidP="00C63754">
      <w:pPr>
        <w:spacing w:line="240" w:lineRule="auto"/>
        <w:jc w:val="both"/>
        <w:rPr>
          <w:rFonts w:ascii="Times New Roman" w:hAnsi="Times New Roman" w:cs="Times New Roman"/>
          <w:color w:val="FF0000"/>
          <w:sz w:val="24"/>
          <w:szCs w:val="24"/>
          <w:shd w:val="clear" w:color="auto" w:fill="FFFFFF"/>
        </w:rPr>
      </w:pPr>
      <w:r w:rsidRPr="009E1478">
        <w:rPr>
          <w:rFonts w:ascii="Times New Roman" w:hAnsi="Times New Roman" w:cs="Times New Roman"/>
          <w:color w:val="FF0000"/>
          <w:sz w:val="24"/>
          <w:szCs w:val="24"/>
          <w:shd w:val="clear" w:color="auto" w:fill="FFFFFF"/>
        </w:rPr>
        <w:t>Muchos países tendrán que tomar partido entre EEUU y China, vaticina</w:t>
      </w:r>
    </w:p>
    <w:p w:rsidR="00C63754" w:rsidRPr="009E1478" w:rsidRDefault="00C63754" w:rsidP="00C63754">
      <w:pPr>
        <w:spacing w:line="240" w:lineRule="auto"/>
        <w:jc w:val="both"/>
        <w:rPr>
          <w:rFonts w:ascii="Times New Roman" w:hAnsi="Times New Roman" w:cs="Times New Roman"/>
          <w:color w:val="FF0000"/>
          <w:sz w:val="24"/>
          <w:szCs w:val="24"/>
          <w:shd w:val="clear" w:color="auto" w:fill="FFFFFF"/>
        </w:rPr>
      </w:pPr>
      <w:r w:rsidRPr="009E1478">
        <w:rPr>
          <w:rFonts w:ascii="Times New Roman" w:hAnsi="Times New Roman" w:cs="Times New Roman"/>
          <w:color w:val="FF0000"/>
          <w:sz w:val="24"/>
          <w:szCs w:val="24"/>
          <w:shd w:val="clear" w:color="auto" w:fill="FFFFFF"/>
        </w:rPr>
        <w:t>El famoso economista considera que la recuperación económica este año será "anémica"</w:t>
      </w:r>
    </w:p>
    <w:p w:rsidR="00C63754" w:rsidRPr="009E1478" w:rsidRDefault="00C63754" w:rsidP="00C63754">
      <w:pPr>
        <w:spacing w:line="240" w:lineRule="auto"/>
        <w:jc w:val="both"/>
        <w:rPr>
          <w:rFonts w:ascii="Times New Roman" w:hAnsi="Times New Roman" w:cs="Times New Roman"/>
          <w:b/>
          <w:color w:val="FF0000"/>
          <w:sz w:val="24"/>
          <w:szCs w:val="24"/>
          <w:u w:val="single"/>
          <w:shd w:val="clear" w:color="auto" w:fill="FFFFFF"/>
        </w:rPr>
      </w:pPr>
      <w:r w:rsidRPr="009E1478">
        <w:rPr>
          <w:rFonts w:ascii="Times New Roman" w:hAnsi="Times New Roman" w:cs="Times New Roman"/>
          <w:b/>
          <w:color w:val="FF0000"/>
          <w:sz w:val="24"/>
          <w:szCs w:val="24"/>
          <w:u w:val="single"/>
          <w:shd w:val="clear" w:color="auto" w:fill="FFFFFF"/>
        </w:rPr>
        <w:t>La profunda e histórica crisis económica que ya ha causado la pand</w:t>
      </w:r>
      <w:r>
        <w:rPr>
          <w:rFonts w:ascii="Times New Roman" w:hAnsi="Times New Roman" w:cs="Times New Roman"/>
          <w:b/>
          <w:color w:val="FF0000"/>
          <w:sz w:val="24"/>
          <w:szCs w:val="24"/>
          <w:u w:val="single"/>
          <w:shd w:val="clear" w:color="auto" w:fill="FFFFFF"/>
        </w:rPr>
        <w:t>emia del coronavirus provocará “una década de desesperación” en un mundo “más dividido”</w:t>
      </w:r>
      <w:r w:rsidRPr="009E1478">
        <w:rPr>
          <w:rFonts w:ascii="Times New Roman" w:hAnsi="Times New Roman" w:cs="Times New Roman"/>
          <w:b/>
          <w:color w:val="FF0000"/>
          <w:sz w:val="24"/>
          <w:szCs w:val="24"/>
          <w:u w:val="single"/>
          <w:shd w:val="clear" w:color="auto" w:fill="FFFFFF"/>
        </w:rPr>
        <w:t>. Así lo cree el economista Nouriel Roubini, conocido por sus predicciones pesimistas, pero en muchos casos certeras. En esta ocasión, el experto considera que la enorme deuda hará que</w:t>
      </w:r>
      <w:r>
        <w:rPr>
          <w:rFonts w:ascii="Times New Roman" w:hAnsi="Times New Roman" w:cs="Times New Roman"/>
          <w:b/>
          <w:color w:val="FF0000"/>
          <w:sz w:val="24"/>
          <w:szCs w:val="24"/>
          <w:u w:val="single"/>
          <w:shd w:val="clear" w:color="auto" w:fill="FFFFFF"/>
        </w:rPr>
        <w:t xml:space="preserve"> la recuperación económica sea “anémica”</w:t>
      </w:r>
      <w:r w:rsidRPr="009E1478">
        <w:rPr>
          <w:rFonts w:ascii="Times New Roman" w:hAnsi="Times New Roman" w:cs="Times New Roman"/>
          <w:b/>
          <w:color w:val="FF0000"/>
          <w:sz w:val="24"/>
          <w:szCs w:val="24"/>
          <w:u w:val="single"/>
          <w:shd w:val="clear" w:color="auto" w:fill="FFFFFF"/>
        </w:rPr>
        <w:t>. Además, predice que las tensiones entre Estados Unidos y China irán a más, por lo que muchos países tendrán que tomar partido entre las dos mayores potencias del mundo.</w:t>
      </w:r>
    </w:p>
    <w:p w:rsidR="00C63754" w:rsidRPr="009E1478" w:rsidRDefault="00C63754" w:rsidP="00C63754">
      <w:pPr>
        <w:spacing w:line="240" w:lineRule="auto"/>
        <w:jc w:val="both"/>
        <w:rPr>
          <w:rFonts w:ascii="Times New Roman" w:hAnsi="Times New Roman" w:cs="Times New Roman"/>
          <w:b/>
          <w:color w:val="FF0000"/>
          <w:sz w:val="24"/>
          <w:szCs w:val="24"/>
          <w:u w:val="single"/>
          <w:shd w:val="clear" w:color="auto" w:fill="FFFFFF"/>
        </w:rPr>
      </w:pPr>
      <w:r>
        <w:rPr>
          <w:rFonts w:ascii="Times New Roman" w:hAnsi="Times New Roman" w:cs="Times New Roman"/>
          <w:b/>
          <w:color w:val="FF0000"/>
          <w:sz w:val="24"/>
          <w:szCs w:val="24"/>
          <w:u w:val="single"/>
          <w:shd w:val="clear" w:color="auto" w:fill="FFFFFF"/>
        </w:rPr>
        <w:t>“</w:t>
      </w:r>
      <w:r w:rsidRPr="009E1478">
        <w:rPr>
          <w:rFonts w:ascii="Times New Roman" w:hAnsi="Times New Roman" w:cs="Times New Roman"/>
          <w:b/>
          <w:color w:val="FF0000"/>
          <w:sz w:val="24"/>
          <w:szCs w:val="24"/>
          <w:u w:val="single"/>
          <w:shd w:val="clear" w:color="auto" w:fill="FFFFFF"/>
        </w:rPr>
        <w:t>Cada una de ell</w:t>
      </w:r>
      <w:r>
        <w:rPr>
          <w:rFonts w:ascii="Times New Roman" w:hAnsi="Times New Roman" w:cs="Times New Roman"/>
          <w:b/>
          <w:color w:val="FF0000"/>
          <w:sz w:val="24"/>
          <w:szCs w:val="24"/>
          <w:u w:val="single"/>
          <w:shd w:val="clear" w:color="auto" w:fill="FFFFFF"/>
        </w:rPr>
        <w:t>as le dirá al resto del mundo: “</w:t>
      </w:r>
      <w:r w:rsidRPr="009E1478">
        <w:rPr>
          <w:rFonts w:ascii="Times New Roman" w:hAnsi="Times New Roman" w:cs="Times New Roman"/>
          <w:b/>
          <w:color w:val="FF0000"/>
          <w:sz w:val="24"/>
          <w:szCs w:val="24"/>
          <w:u w:val="single"/>
          <w:shd w:val="clear" w:color="auto" w:fill="FFFFFF"/>
        </w:rPr>
        <w:t>o estás</w:t>
      </w:r>
      <w:r>
        <w:rPr>
          <w:rFonts w:ascii="Times New Roman" w:hAnsi="Times New Roman" w:cs="Times New Roman"/>
          <w:b/>
          <w:color w:val="FF0000"/>
          <w:sz w:val="24"/>
          <w:szCs w:val="24"/>
          <w:u w:val="single"/>
          <w:shd w:val="clear" w:color="auto" w:fill="FFFFFF"/>
        </w:rPr>
        <w:t xml:space="preserve"> con nosotros o contra nosotros”</w:t>
      </w:r>
      <w:r w:rsidRPr="009E1478">
        <w:rPr>
          <w:rFonts w:ascii="Times New Roman" w:hAnsi="Times New Roman" w:cs="Times New Roman"/>
          <w:b/>
          <w:color w:val="FF0000"/>
          <w:sz w:val="24"/>
          <w:szCs w:val="24"/>
          <w:u w:val="single"/>
          <w:shd w:val="clear" w:color="auto" w:fill="FFFFFF"/>
        </w:rPr>
        <w:t xml:space="preserve">. </w:t>
      </w:r>
      <w:r>
        <w:rPr>
          <w:rFonts w:ascii="Times New Roman" w:hAnsi="Times New Roman" w:cs="Times New Roman"/>
          <w:b/>
          <w:color w:val="FF0000"/>
          <w:sz w:val="24"/>
          <w:szCs w:val="24"/>
          <w:u w:val="single"/>
          <w:shd w:val="clear" w:color="auto" w:fill="FFFFFF"/>
        </w:rPr>
        <w:t>“</w:t>
      </w:r>
      <w:r w:rsidRPr="009E1478">
        <w:rPr>
          <w:rFonts w:ascii="Times New Roman" w:hAnsi="Times New Roman" w:cs="Times New Roman"/>
          <w:b/>
          <w:color w:val="FF0000"/>
          <w:sz w:val="24"/>
          <w:szCs w:val="24"/>
          <w:u w:val="single"/>
          <w:shd w:val="clear" w:color="auto" w:fill="FFFFFF"/>
        </w:rPr>
        <w:t>O usas mis sistemas de inteligencia artificial, mi 5G, mis tecnologías, mi robótica</w:t>
      </w:r>
      <w:r>
        <w:rPr>
          <w:rFonts w:ascii="Times New Roman" w:hAnsi="Times New Roman" w:cs="Times New Roman"/>
          <w:b/>
          <w:color w:val="FF0000"/>
          <w:sz w:val="24"/>
          <w:szCs w:val="24"/>
          <w:u w:val="single"/>
          <w:shd w:val="clear" w:color="auto" w:fill="FFFFFF"/>
        </w:rPr>
        <w:t>… o utilizas las de mis rivales”</w:t>
      </w:r>
      <w:r w:rsidRPr="009E1478">
        <w:rPr>
          <w:rFonts w:ascii="Times New Roman" w:hAnsi="Times New Roman" w:cs="Times New Roman"/>
          <w:b/>
          <w:color w:val="FF0000"/>
          <w:sz w:val="24"/>
          <w:szCs w:val="24"/>
          <w:u w:val="single"/>
          <w:shd w:val="clear" w:color="auto" w:fill="FFFFFF"/>
        </w:rPr>
        <w:t>, auguró el profesor de Economía y Finanzas en la Universidad de Nueva York en</w:t>
      </w:r>
      <w:r>
        <w:rPr>
          <w:rFonts w:ascii="Times New Roman" w:hAnsi="Times New Roman" w:cs="Times New Roman"/>
          <w:b/>
          <w:color w:val="FF0000"/>
          <w:sz w:val="24"/>
          <w:szCs w:val="24"/>
          <w:u w:val="single"/>
          <w:shd w:val="clear" w:color="auto" w:fill="FFFFFF"/>
        </w:rPr>
        <w:t xml:space="preserve"> una entrevista en el programa “Talking Asia” de la BBC. “Por tanto”, añadió “</w:t>
      </w:r>
      <w:r w:rsidRPr="009E1478">
        <w:rPr>
          <w:rFonts w:ascii="Times New Roman" w:hAnsi="Times New Roman" w:cs="Times New Roman"/>
          <w:b/>
          <w:color w:val="FF0000"/>
          <w:sz w:val="24"/>
          <w:szCs w:val="24"/>
          <w:u w:val="single"/>
          <w:shd w:val="clear" w:color="auto" w:fill="FFFFFF"/>
        </w:rPr>
        <w:t>v</w:t>
      </w:r>
      <w:r>
        <w:rPr>
          <w:rFonts w:ascii="Times New Roman" w:hAnsi="Times New Roman" w:cs="Times New Roman"/>
          <w:b/>
          <w:color w:val="FF0000"/>
          <w:sz w:val="24"/>
          <w:szCs w:val="24"/>
          <w:u w:val="single"/>
          <w:shd w:val="clear" w:color="auto" w:fill="FFFFFF"/>
        </w:rPr>
        <w:t>a a haber un mundo más dividido”</w:t>
      </w:r>
      <w:r w:rsidRPr="009E1478">
        <w:rPr>
          <w:rFonts w:ascii="Times New Roman" w:hAnsi="Times New Roman" w:cs="Times New Roman"/>
          <w:b/>
          <w:color w:val="FF0000"/>
          <w:sz w:val="24"/>
          <w:szCs w:val="24"/>
          <w:u w:val="single"/>
          <w:shd w:val="clear" w:color="auto" w:fill="FFFFFF"/>
        </w:rPr>
        <w:t>.</w:t>
      </w:r>
    </w:p>
    <w:p w:rsidR="00C63754" w:rsidRPr="002D06C6" w:rsidRDefault="00C63754" w:rsidP="00C63754">
      <w:pPr>
        <w:spacing w:line="240" w:lineRule="auto"/>
        <w:jc w:val="both"/>
        <w:rPr>
          <w:rFonts w:ascii="Times New Roman" w:hAnsi="Times New Roman" w:cs="Times New Roman"/>
          <w:sz w:val="24"/>
          <w:szCs w:val="24"/>
          <w:shd w:val="clear" w:color="auto" w:fill="FFFFFF"/>
        </w:rPr>
      </w:pPr>
      <w:r w:rsidRPr="002D06C6">
        <w:rPr>
          <w:rFonts w:ascii="Times New Roman" w:hAnsi="Times New Roman" w:cs="Times New Roman"/>
          <w:sz w:val="24"/>
          <w:szCs w:val="24"/>
          <w:shd w:val="clear" w:color="auto" w:fill="FFFFFF"/>
        </w:rPr>
        <w:t xml:space="preserve">Renovadas (viejas) tensiones </w:t>
      </w:r>
    </w:p>
    <w:p w:rsidR="00C63754" w:rsidRPr="002D06C6" w:rsidRDefault="00C63754" w:rsidP="00C63754">
      <w:pPr>
        <w:spacing w:line="240" w:lineRule="auto"/>
        <w:jc w:val="both"/>
        <w:rPr>
          <w:rFonts w:ascii="Times New Roman" w:hAnsi="Times New Roman" w:cs="Times New Roman"/>
          <w:sz w:val="24"/>
          <w:szCs w:val="24"/>
          <w:shd w:val="clear" w:color="auto" w:fill="FFFFFF"/>
        </w:rPr>
      </w:pPr>
      <w:r w:rsidRPr="002D06C6">
        <w:rPr>
          <w:rFonts w:ascii="Times New Roman" w:hAnsi="Times New Roman" w:cs="Times New Roman"/>
          <w:sz w:val="24"/>
          <w:szCs w:val="24"/>
          <w:shd w:val="clear" w:color="auto" w:fill="FFFFFF"/>
        </w:rPr>
        <w:t xml:space="preserve">La crisis sanitaria por la COVID-19, originada en la ciudad de Wuhan, en la región china de Hubei, ha tensado las relaciones diplomáticas de por sí complicadas entre Pekín y Washington. En más de una ocasión, el presidente de Estados Unidos, Donald Trump, ha </w:t>
      </w:r>
      <w:r w:rsidRPr="002D06C6">
        <w:rPr>
          <w:rFonts w:ascii="Times New Roman" w:hAnsi="Times New Roman" w:cs="Times New Roman"/>
          <w:sz w:val="24"/>
          <w:szCs w:val="24"/>
          <w:shd w:val="clear" w:color="auto" w:fill="FFFFFF"/>
        </w:rPr>
        <w:lastRenderedPageBreak/>
        <w:t>criticado la gestión hecha por China de la pandemia, aseg</w:t>
      </w:r>
      <w:r>
        <w:rPr>
          <w:rFonts w:ascii="Times New Roman" w:hAnsi="Times New Roman" w:cs="Times New Roman"/>
          <w:sz w:val="24"/>
          <w:szCs w:val="24"/>
          <w:shd w:val="clear" w:color="auto" w:fill="FFFFFF"/>
        </w:rPr>
        <w:t>urando incluso que no controló “la plaga”</w:t>
      </w:r>
      <w:r w:rsidRPr="002D06C6">
        <w:rPr>
          <w:rFonts w:ascii="Times New Roman" w:hAnsi="Times New Roman" w:cs="Times New Roman"/>
          <w:sz w:val="24"/>
          <w:szCs w:val="24"/>
          <w:shd w:val="clear" w:color="auto" w:fill="FFFFFF"/>
        </w:rPr>
        <w:t xml:space="preserve"> qu</w:t>
      </w:r>
      <w:r>
        <w:rPr>
          <w:rFonts w:ascii="Times New Roman" w:hAnsi="Times New Roman" w:cs="Times New Roman"/>
          <w:sz w:val="24"/>
          <w:szCs w:val="24"/>
          <w:shd w:val="clear" w:color="auto" w:fill="FFFFFF"/>
        </w:rPr>
        <w:t>e “extendió por todo el mundo”.</w:t>
      </w:r>
    </w:p>
    <w:p w:rsidR="00C63754" w:rsidRPr="002D06C6" w:rsidRDefault="00C63754" w:rsidP="00C63754">
      <w:pPr>
        <w:spacing w:line="240" w:lineRule="auto"/>
        <w:jc w:val="both"/>
        <w:rPr>
          <w:rFonts w:ascii="Times New Roman" w:hAnsi="Times New Roman" w:cs="Times New Roman"/>
          <w:sz w:val="24"/>
          <w:szCs w:val="24"/>
          <w:shd w:val="clear" w:color="auto" w:fill="FFFFFF"/>
        </w:rPr>
      </w:pPr>
      <w:r w:rsidRPr="009E1478">
        <w:rPr>
          <w:rFonts w:ascii="Times New Roman" w:hAnsi="Times New Roman" w:cs="Times New Roman"/>
          <w:color w:val="FF0000"/>
          <w:sz w:val="24"/>
          <w:szCs w:val="24"/>
          <w:u w:val="single"/>
          <w:shd w:val="clear" w:color="auto" w:fill="FFFFFF"/>
        </w:rPr>
        <w:t>Como consecuencia del brote vírico, el producto interior bruto (PIB) norteamericano sufrió una fuerte contracción del 5% en el primer trimestre del año, y cabe esperar un golpe mayor entre abril y junio</w:t>
      </w:r>
      <w:r w:rsidRPr="002D06C6">
        <w:rPr>
          <w:rFonts w:ascii="Times New Roman" w:hAnsi="Times New Roman" w:cs="Times New Roman"/>
          <w:sz w:val="24"/>
          <w:szCs w:val="24"/>
          <w:shd w:val="clear" w:color="auto" w:fill="FFFFFF"/>
        </w:rPr>
        <w:t>. Ello en un año crucial para Trump, ya que aspira a la reelección en las presidenciales de noviembre y la buena marcha de la economía de EEUU era su mayor baza (hasta la aparición del coronavirus).</w:t>
      </w:r>
    </w:p>
    <w:p w:rsidR="00C63754" w:rsidRPr="009E1478" w:rsidRDefault="00C63754" w:rsidP="00C63754">
      <w:pPr>
        <w:spacing w:line="240" w:lineRule="auto"/>
        <w:jc w:val="both"/>
        <w:rPr>
          <w:rFonts w:ascii="Times New Roman" w:hAnsi="Times New Roman" w:cs="Times New Roman"/>
          <w:sz w:val="24"/>
          <w:szCs w:val="24"/>
          <w:u w:val="single"/>
          <w:shd w:val="clear" w:color="auto" w:fill="FFFFFF"/>
        </w:rPr>
      </w:pPr>
      <w:r w:rsidRPr="009E1478">
        <w:rPr>
          <w:rFonts w:ascii="Times New Roman" w:hAnsi="Times New Roman" w:cs="Times New Roman"/>
          <w:sz w:val="24"/>
          <w:szCs w:val="24"/>
          <w:u w:val="single"/>
          <w:shd w:val="clear" w:color="auto" w:fill="FFFFFF"/>
        </w:rPr>
        <w:t>El revés económico en China también ha sido duro. De hecho, el Gobierno ha rechazado marcarse un objetivo de crecimiento para este año, como es tradición. Entre enero y marzo su PIB cayó un 6,8%.</w:t>
      </w:r>
    </w:p>
    <w:p w:rsidR="00C63754" w:rsidRPr="009E1478" w:rsidRDefault="00C63754" w:rsidP="00C63754">
      <w:pPr>
        <w:spacing w:line="240" w:lineRule="auto"/>
        <w:jc w:val="both"/>
        <w:rPr>
          <w:rFonts w:ascii="Times New Roman" w:hAnsi="Times New Roman" w:cs="Times New Roman"/>
          <w:sz w:val="24"/>
          <w:szCs w:val="24"/>
          <w:u w:val="single"/>
          <w:shd w:val="clear" w:color="auto" w:fill="FFFFFF"/>
        </w:rPr>
      </w:pPr>
      <w:r w:rsidRPr="009E1478">
        <w:rPr>
          <w:rFonts w:ascii="Times New Roman" w:hAnsi="Times New Roman" w:cs="Times New Roman"/>
          <w:sz w:val="24"/>
          <w:szCs w:val="24"/>
          <w:u w:val="single"/>
          <w:shd w:val="clear" w:color="auto" w:fill="FFFFFF"/>
        </w:rPr>
        <w:t xml:space="preserve">Pese </w:t>
      </w:r>
      <w:r>
        <w:rPr>
          <w:rFonts w:ascii="Times New Roman" w:hAnsi="Times New Roman" w:cs="Times New Roman"/>
          <w:sz w:val="24"/>
          <w:szCs w:val="24"/>
          <w:u w:val="single"/>
          <w:shd w:val="clear" w:color="auto" w:fill="FFFFFF"/>
        </w:rPr>
        <w:t>a los “roces”</w:t>
      </w:r>
      <w:r w:rsidRPr="009E1478">
        <w:rPr>
          <w:rFonts w:ascii="Times New Roman" w:hAnsi="Times New Roman" w:cs="Times New Roman"/>
          <w:sz w:val="24"/>
          <w:szCs w:val="24"/>
          <w:u w:val="single"/>
          <w:shd w:val="clear" w:color="auto" w:fill="FFFFFF"/>
        </w:rPr>
        <w:t>, ambas naciones se comprometieron a principios de est</w:t>
      </w:r>
      <w:r w:rsidR="00D7645D">
        <w:rPr>
          <w:rFonts w:ascii="Times New Roman" w:hAnsi="Times New Roman" w:cs="Times New Roman"/>
          <w:sz w:val="24"/>
          <w:szCs w:val="24"/>
          <w:u w:val="single"/>
          <w:shd w:val="clear" w:color="auto" w:fill="FFFFFF"/>
        </w:rPr>
        <w:t>e mes a seguir adelante con la “primera parte”</w:t>
      </w:r>
      <w:r w:rsidRPr="009E1478">
        <w:rPr>
          <w:rFonts w:ascii="Times New Roman" w:hAnsi="Times New Roman" w:cs="Times New Roman"/>
          <w:sz w:val="24"/>
          <w:szCs w:val="24"/>
          <w:u w:val="single"/>
          <w:shd w:val="clear" w:color="auto" w:fill="FFFFFF"/>
        </w:rPr>
        <w:t xml:space="preserve"> del acuerdo comercial que firmaron en enero. Pero cada vez son menos lo que creen que eso llegue a materializarse realmente, y mucho menos que</w:t>
      </w:r>
      <w:r>
        <w:rPr>
          <w:rFonts w:ascii="Times New Roman" w:hAnsi="Times New Roman" w:cs="Times New Roman"/>
          <w:sz w:val="24"/>
          <w:szCs w:val="24"/>
          <w:u w:val="single"/>
          <w:shd w:val="clear" w:color="auto" w:fill="FFFFFF"/>
        </w:rPr>
        <w:t xml:space="preserve"> las negociaciones para la “Fase 2”</w:t>
      </w:r>
      <w:r w:rsidRPr="009E1478">
        <w:rPr>
          <w:rFonts w:ascii="Times New Roman" w:hAnsi="Times New Roman" w:cs="Times New Roman"/>
          <w:sz w:val="24"/>
          <w:szCs w:val="24"/>
          <w:u w:val="single"/>
          <w:shd w:val="clear" w:color="auto" w:fill="FFFFFF"/>
        </w:rPr>
        <w:t xml:space="preserve"> lleguen a producirse.</w:t>
      </w:r>
    </w:p>
    <w:p w:rsidR="00C63754" w:rsidRPr="002D06C6" w:rsidRDefault="00C63754" w:rsidP="00C63754">
      <w:pPr>
        <w:spacing w:line="240" w:lineRule="auto"/>
        <w:jc w:val="both"/>
        <w:rPr>
          <w:rFonts w:ascii="Times New Roman" w:hAnsi="Times New Roman" w:cs="Times New Roman"/>
          <w:sz w:val="24"/>
          <w:szCs w:val="24"/>
          <w:shd w:val="clear" w:color="auto" w:fill="FFFFFF"/>
        </w:rPr>
      </w:pPr>
      <w:r w:rsidRPr="002D06C6">
        <w:rPr>
          <w:rFonts w:ascii="Times New Roman" w:hAnsi="Times New Roman" w:cs="Times New Roman"/>
          <w:sz w:val="24"/>
          <w:szCs w:val="24"/>
          <w:shd w:val="clear" w:color="auto" w:fill="FFFFFF"/>
        </w:rPr>
        <w:t>Trump ha asegurado que esta misma semana podría anunciar nuevas sanciones a China por la ley de seguridad nacional que quiere imponer en el territorio semiautónomo de Hong Kong, donde se han producido numerosas protestas en lo</w:t>
      </w:r>
      <w:r>
        <w:rPr>
          <w:rFonts w:ascii="Times New Roman" w:hAnsi="Times New Roman" w:cs="Times New Roman"/>
          <w:sz w:val="24"/>
          <w:szCs w:val="24"/>
          <w:shd w:val="clear" w:color="auto" w:fill="FFFFFF"/>
        </w:rPr>
        <w:t>s últimos días por este motivo.</w:t>
      </w:r>
    </w:p>
    <w:p w:rsidR="00C63754" w:rsidRPr="002D06C6" w:rsidRDefault="00C63754" w:rsidP="00C6375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Una recuperación “anémica”</w:t>
      </w:r>
    </w:p>
    <w:p w:rsidR="00C63754" w:rsidRPr="009E1478" w:rsidRDefault="00C63754" w:rsidP="00C63754">
      <w:pPr>
        <w:spacing w:line="240" w:lineRule="auto"/>
        <w:jc w:val="both"/>
        <w:rPr>
          <w:rFonts w:ascii="Times New Roman" w:hAnsi="Times New Roman" w:cs="Times New Roman"/>
          <w:color w:val="FF0000"/>
          <w:sz w:val="24"/>
          <w:szCs w:val="24"/>
          <w:u w:val="single"/>
          <w:shd w:val="clear" w:color="auto" w:fill="FFFFFF"/>
        </w:rPr>
      </w:pPr>
      <w:r w:rsidRPr="009E1478">
        <w:rPr>
          <w:rFonts w:ascii="Times New Roman" w:hAnsi="Times New Roman" w:cs="Times New Roman"/>
          <w:color w:val="FF0000"/>
          <w:sz w:val="24"/>
          <w:szCs w:val="24"/>
          <w:u w:val="single"/>
          <w:shd w:val="clear" w:color="auto" w:fill="FFFFFF"/>
        </w:rPr>
        <w:t>Además de la mayor división que experimentará el mundo entero, Roubini avisó en la entrevista con la BBC de que la recuperación económica que pueda producirse este año s</w:t>
      </w:r>
      <w:r>
        <w:rPr>
          <w:rFonts w:ascii="Times New Roman" w:hAnsi="Times New Roman" w:cs="Times New Roman"/>
          <w:color w:val="FF0000"/>
          <w:sz w:val="24"/>
          <w:szCs w:val="24"/>
          <w:u w:val="single"/>
          <w:shd w:val="clear" w:color="auto" w:fill="FFFFFF"/>
        </w:rPr>
        <w:t>erá “anémica”</w:t>
      </w:r>
      <w:r w:rsidRPr="009E1478">
        <w:rPr>
          <w:rFonts w:ascii="Times New Roman" w:hAnsi="Times New Roman" w:cs="Times New Roman"/>
          <w:color w:val="FF0000"/>
          <w:sz w:val="24"/>
          <w:szCs w:val="24"/>
          <w:u w:val="single"/>
          <w:shd w:val="clear" w:color="auto" w:fill="FFFFFF"/>
        </w:rPr>
        <w:t>.</w:t>
      </w:r>
    </w:p>
    <w:p w:rsidR="00C63754" w:rsidRPr="009E1478" w:rsidRDefault="00C63754" w:rsidP="00C63754">
      <w:pPr>
        <w:spacing w:line="240" w:lineRule="auto"/>
        <w:jc w:val="both"/>
        <w:rPr>
          <w:rFonts w:ascii="Times New Roman" w:hAnsi="Times New Roman" w:cs="Times New Roman"/>
          <w:color w:val="FF0000"/>
          <w:sz w:val="24"/>
          <w:szCs w:val="24"/>
          <w:u w:val="single"/>
          <w:shd w:val="clear" w:color="auto" w:fill="FFFFFF"/>
        </w:rPr>
      </w:pPr>
      <w:r w:rsidRPr="009E1478">
        <w:rPr>
          <w:rFonts w:ascii="Times New Roman" w:hAnsi="Times New Roman" w:cs="Times New Roman"/>
          <w:color w:val="FF0000"/>
          <w:sz w:val="24"/>
          <w:szCs w:val="24"/>
          <w:u w:val="single"/>
          <w:shd w:val="clear" w:color="auto" w:fill="FFFFFF"/>
        </w:rPr>
        <w:t>En un artículo del mes pasado publicado en Project Syndi</w:t>
      </w:r>
      <w:r>
        <w:rPr>
          <w:rFonts w:ascii="Times New Roman" w:hAnsi="Times New Roman" w:cs="Times New Roman"/>
          <w:color w:val="FF0000"/>
          <w:sz w:val="24"/>
          <w:szCs w:val="24"/>
          <w:u w:val="single"/>
          <w:shd w:val="clear" w:color="auto" w:fill="FFFFFF"/>
        </w:rPr>
        <w:t>cate, el economista auguró una “una década de desesperación”</w:t>
      </w:r>
      <w:r w:rsidRPr="009E1478">
        <w:rPr>
          <w:rFonts w:ascii="Times New Roman" w:hAnsi="Times New Roman" w:cs="Times New Roman"/>
          <w:color w:val="FF0000"/>
          <w:sz w:val="24"/>
          <w:szCs w:val="24"/>
          <w:u w:val="single"/>
          <w:shd w:val="clear" w:color="auto" w:fill="FFFFFF"/>
        </w:rPr>
        <w:t xml:space="preserve"> para para la economía mundial. Un periodo que ha bautizado ya como la Gran Depresión.</w:t>
      </w:r>
    </w:p>
    <w:p w:rsidR="00C63754" w:rsidRPr="009E1478" w:rsidRDefault="00C63754" w:rsidP="00C63754">
      <w:pPr>
        <w:spacing w:line="240" w:lineRule="auto"/>
        <w:jc w:val="both"/>
        <w:rPr>
          <w:rFonts w:ascii="Times New Roman" w:hAnsi="Times New Roman" w:cs="Times New Roman"/>
          <w:color w:val="FF0000"/>
          <w:sz w:val="24"/>
          <w:szCs w:val="24"/>
          <w:u w:val="single"/>
          <w:shd w:val="clear" w:color="auto" w:fill="FFFFFF"/>
        </w:rPr>
      </w:pPr>
      <w:r w:rsidRPr="009E1478">
        <w:rPr>
          <w:rFonts w:ascii="Times New Roman" w:hAnsi="Times New Roman" w:cs="Times New Roman"/>
          <w:color w:val="FF0000"/>
          <w:sz w:val="24"/>
          <w:szCs w:val="24"/>
          <w:u w:val="single"/>
          <w:shd w:val="clear" w:color="auto" w:fill="FFFFFF"/>
        </w:rPr>
        <w:t>Como en anteriores ocasiones, el economista afirmó en l</w:t>
      </w:r>
      <w:r>
        <w:rPr>
          <w:rFonts w:ascii="Times New Roman" w:hAnsi="Times New Roman" w:cs="Times New Roman"/>
          <w:color w:val="FF0000"/>
          <w:sz w:val="24"/>
          <w:szCs w:val="24"/>
          <w:u w:val="single"/>
          <w:shd w:val="clear" w:color="auto" w:fill="FFFFFF"/>
        </w:rPr>
        <w:t>a BBC que esta es una recesión “sin precedentes”</w:t>
      </w:r>
      <w:r w:rsidRPr="009E1478">
        <w:rPr>
          <w:rFonts w:ascii="Times New Roman" w:hAnsi="Times New Roman" w:cs="Times New Roman"/>
          <w:color w:val="FF0000"/>
          <w:sz w:val="24"/>
          <w:szCs w:val="24"/>
          <w:u w:val="single"/>
          <w:shd w:val="clear" w:color="auto" w:fill="FFFFFF"/>
        </w:rPr>
        <w:t>. Una visión generalizada, que comparten distintos representantes de instituciones políticas y monetarias, como el presidente de la Reserva Federal de EEUU (Fed), Jerome Powell.</w:t>
      </w:r>
    </w:p>
    <w:p w:rsidR="00C63754" w:rsidRPr="009E1478" w:rsidRDefault="00C63754" w:rsidP="00C63754">
      <w:pPr>
        <w:spacing w:line="240" w:lineRule="auto"/>
        <w:jc w:val="both"/>
        <w:rPr>
          <w:rFonts w:ascii="Times New Roman" w:hAnsi="Times New Roman" w:cs="Times New Roman"/>
          <w:b/>
          <w:color w:val="FF0000"/>
          <w:sz w:val="24"/>
          <w:szCs w:val="24"/>
          <w:u w:val="single"/>
          <w:shd w:val="clear" w:color="auto" w:fill="FFFFFF"/>
        </w:rPr>
      </w:pPr>
      <w:r>
        <w:rPr>
          <w:rFonts w:ascii="Times New Roman" w:hAnsi="Times New Roman" w:cs="Times New Roman"/>
          <w:b/>
          <w:color w:val="FF0000"/>
          <w:sz w:val="24"/>
          <w:szCs w:val="24"/>
          <w:u w:val="single"/>
          <w:shd w:val="clear" w:color="auto" w:fill="FFFFFF"/>
        </w:rPr>
        <w:t>“</w:t>
      </w:r>
      <w:r w:rsidRPr="009E1478">
        <w:rPr>
          <w:rFonts w:ascii="Times New Roman" w:hAnsi="Times New Roman" w:cs="Times New Roman"/>
          <w:b/>
          <w:color w:val="FF0000"/>
          <w:sz w:val="24"/>
          <w:szCs w:val="24"/>
          <w:u w:val="single"/>
          <w:shd w:val="clear" w:color="auto" w:fill="FFFFFF"/>
        </w:rPr>
        <w:t>En la crisis financiera mundial (de 2008) pasaron unos tres años hasta que la producción cayó bruscamente. En esta ocasión no han hecho falta tres años, ni siquiera tres meses. En tres semanas hubo una</w:t>
      </w:r>
      <w:r>
        <w:rPr>
          <w:rFonts w:ascii="Times New Roman" w:hAnsi="Times New Roman" w:cs="Times New Roman"/>
          <w:b/>
          <w:color w:val="FF0000"/>
          <w:sz w:val="24"/>
          <w:szCs w:val="24"/>
          <w:u w:val="single"/>
          <w:shd w:val="clear" w:color="auto" w:fill="FFFFFF"/>
        </w:rPr>
        <w:t xml:space="preserve"> caída libre de cada componente”</w:t>
      </w:r>
      <w:r w:rsidRPr="009E1478">
        <w:rPr>
          <w:rFonts w:ascii="Times New Roman" w:hAnsi="Times New Roman" w:cs="Times New Roman"/>
          <w:b/>
          <w:color w:val="FF0000"/>
          <w:sz w:val="24"/>
          <w:szCs w:val="24"/>
          <w:u w:val="single"/>
          <w:shd w:val="clear" w:color="auto" w:fill="FFFFFF"/>
        </w:rPr>
        <w:t>, argumentó el profesor universitario.</w:t>
      </w:r>
    </w:p>
    <w:p w:rsidR="00C63754" w:rsidRPr="009E1478" w:rsidRDefault="00C63754" w:rsidP="00C63754">
      <w:pPr>
        <w:spacing w:line="240" w:lineRule="auto"/>
        <w:jc w:val="both"/>
        <w:rPr>
          <w:rFonts w:ascii="Times New Roman" w:hAnsi="Times New Roman" w:cs="Times New Roman"/>
          <w:color w:val="FF0000"/>
          <w:sz w:val="24"/>
          <w:szCs w:val="24"/>
          <w:u w:val="single"/>
          <w:shd w:val="clear" w:color="auto" w:fill="FFFFFF"/>
        </w:rPr>
      </w:pPr>
      <w:r w:rsidRPr="009E1478">
        <w:rPr>
          <w:rFonts w:ascii="Times New Roman" w:hAnsi="Times New Roman" w:cs="Times New Roman"/>
          <w:color w:val="FF0000"/>
          <w:sz w:val="24"/>
          <w:szCs w:val="24"/>
          <w:u w:val="single"/>
          <w:shd w:val="clear" w:color="auto" w:fill="FFFFFF"/>
        </w:rPr>
        <w:t>Por ello, Nouriel Roubini insistió en que la recuperación de la econo</w:t>
      </w:r>
      <w:r>
        <w:rPr>
          <w:rFonts w:ascii="Times New Roman" w:hAnsi="Times New Roman" w:cs="Times New Roman"/>
          <w:color w:val="FF0000"/>
          <w:sz w:val="24"/>
          <w:szCs w:val="24"/>
          <w:u w:val="single"/>
          <w:shd w:val="clear" w:color="auto" w:fill="FFFFFF"/>
        </w:rPr>
        <w:t>mía global no será en forma de “U”, “ni nada parecido a una “L””</w:t>
      </w:r>
      <w:r w:rsidRPr="009E1478">
        <w:rPr>
          <w:rFonts w:ascii="Times New Roman" w:hAnsi="Times New Roman" w:cs="Times New Roman"/>
          <w:color w:val="FF0000"/>
          <w:sz w:val="24"/>
          <w:szCs w:val="24"/>
          <w:u w:val="single"/>
          <w:shd w:val="clear" w:color="auto" w:fill="FFFFFF"/>
        </w:rPr>
        <w:t>.</w:t>
      </w:r>
    </w:p>
    <w:p w:rsidR="00C63754" w:rsidRPr="009E1478" w:rsidRDefault="00C63754" w:rsidP="00C63754">
      <w:pPr>
        <w:spacing w:line="240" w:lineRule="auto"/>
        <w:jc w:val="both"/>
        <w:rPr>
          <w:rFonts w:ascii="Times New Roman" w:hAnsi="Times New Roman" w:cs="Times New Roman"/>
          <w:color w:val="FF0000"/>
          <w:sz w:val="24"/>
          <w:szCs w:val="24"/>
          <w:u w:val="single"/>
          <w:shd w:val="clear" w:color="auto" w:fill="FFFFFF"/>
        </w:rPr>
      </w:pPr>
      <w:r w:rsidRPr="009E1478">
        <w:rPr>
          <w:rFonts w:ascii="Times New Roman" w:hAnsi="Times New Roman" w:cs="Times New Roman"/>
          <w:color w:val="FF0000"/>
          <w:sz w:val="24"/>
          <w:szCs w:val="24"/>
          <w:u w:val="single"/>
          <w:shd w:val="clear" w:color="auto" w:fill="FFFFFF"/>
        </w:rPr>
        <w:t xml:space="preserve">La principal causa, según explicó el experto en </w:t>
      </w:r>
      <w:r>
        <w:rPr>
          <w:rFonts w:ascii="Times New Roman" w:hAnsi="Times New Roman" w:cs="Times New Roman"/>
          <w:color w:val="FF0000"/>
          <w:sz w:val="24"/>
          <w:szCs w:val="24"/>
          <w:u w:val="single"/>
          <w:shd w:val="clear" w:color="auto" w:fill="FFFFFF"/>
        </w:rPr>
        <w:t>su artículo del mes pasado, es “</w:t>
      </w:r>
      <w:r w:rsidRPr="009E1478">
        <w:rPr>
          <w:rFonts w:ascii="Times New Roman" w:hAnsi="Times New Roman" w:cs="Times New Roman"/>
          <w:color w:val="FF0000"/>
          <w:sz w:val="24"/>
          <w:szCs w:val="24"/>
          <w:u w:val="single"/>
          <w:shd w:val="clear" w:color="auto" w:fill="FFFFFF"/>
        </w:rPr>
        <w:t>el déficit y sus riesgos derivados: l</w:t>
      </w:r>
      <w:r>
        <w:rPr>
          <w:rFonts w:ascii="Times New Roman" w:hAnsi="Times New Roman" w:cs="Times New Roman"/>
          <w:color w:val="FF0000"/>
          <w:sz w:val="24"/>
          <w:szCs w:val="24"/>
          <w:u w:val="single"/>
          <w:shd w:val="clear" w:color="auto" w:fill="FFFFFF"/>
        </w:rPr>
        <w:t>a deuda y el default”. “</w:t>
      </w:r>
      <w:r w:rsidRPr="009E1478">
        <w:rPr>
          <w:rFonts w:ascii="Times New Roman" w:hAnsi="Times New Roman" w:cs="Times New Roman"/>
          <w:color w:val="FF0000"/>
          <w:sz w:val="24"/>
          <w:szCs w:val="24"/>
          <w:u w:val="single"/>
          <w:shd w:val="clear" w:color="auto" w:fill="FFFFFF"/>
        </w:rPr>
        <w:t>La respuesta oficial a la crisis de la COVID?19 implica un aumento enorme del déficit fiscal, del orden del 10% del PIB o más, en un momento en que los niveles de deuda pública en muchos países ya era</w:t>
      </w:r>
      <w:r>
        <w:rPr>
          <w:rFonts w:ascii="Times New Roman" w:hAnsi="Times New Roman" w:cs="Times New Roman"/>
          <w:color w:val="FF0000"/>
          <w:sz w:val="24"/>
          <w:szCs w:val="24"/>
          <w:u w:val="single"/>
          <w:shd w:val="clear" w:color="auto" w:fill="FFFFFF"/>
        </w:rPr>
        <w:t>n altos e incluso insostenibles”</w:t>
      </w:r>
      <w:r w:rsidRPr="009E1478">
        <w:rPr>
          <w:rFonts w:ascii="Times New Roman" w:hAnsi="Times New Roman" w:cs="Times New Roman"/>
          <w:color w:val="FF0000"/>
          <w:sz w:val="24"/>
          <w:szCs w:val="24"/>
          <w:u w:val="single"/>
          <w:shd w:val="clear" w:color="auto" w:fill="FFFFFF"/>
        </w:rPr>
        <w:t>, apuntó.</w:t>
      </w:r>
    </w:p>
    <w:p w:rsidR="00C63754" w:rsidRPr="009E1478" w:rsidRDefault="00C63754" w:rsidP="00C63754">
      <w:pPr>
        <w:spacing w:line="240" w:lineRule="auto"/>
        <w:jc w:val="both"/>
        <w:rPr>
          <w:rFonts w:ascii="Times New Roman" w:hAnsi="Times New Roman" w:cs="Times New Roman"/>
          <w:color w:val="FF0000"/>
          <w:sz w:val="24"/>
          <w:szCs w:val="24"/>
          <w:u w:val="single"/>
          <w:shd w:val="clear" w:color="auto" w:fill="FFFFFF"/>
        </w:rPr>
      </w:pPr>
      <w:r w:rsidRPr="009E1478">
        <w:rPr>
          <w:rFonts w:ascii="Times New Roman" w:hAnsi="Times New Roman" w:cs="Times New Roman"/>
          <w:color w:val="FF0000"/>
          <w:sz w:val="24"/>
          <w:szCs w:val="24"/>
          <w:u w:val="single"/>
          <w:shd w:val="clear" w:color="auto" w:fill="FFFFFF"/>
        </w:rPr>
        <w:t>Además,</w:t>
      </w:r>
      <w:r>
        <w:rPr>
          <w:rFonts w:ascii="Times New Roman" w:hAnsi="Times New Roman" w:cs="Times New Roman"/>
          <w:color w:val="FF0000"/>
          <w:sz w:val="24"/>
          <w:szCs w:val="24"/>
          <w:u w:val="single"/>
          <w:shd w:val="clear" w:color="auto" w:fill="FFFFFF"/>
        </w:rPr>
        <w:t xml:space="preserve"> es previsible que se produzca “</w:t>
      </w:r>
      <w:r w:rsidRPr="009E1478">
        <w:rPr>
          <w:rFonts w:ascii="Times New Roman" w:hAnsi="Times New Roman" w:cs="Times New Roman"/>
          <w:color w:val="FF0000"/>
          <w:sz w:val="24"/>
          <w:szCs w:val="24"/>
          <w:u w:val="single"/>
          <w:shd w:val="clear" w:color="auto" w:fill="FFFFFF"/>
        </w:rPr>
        <w:t>una</w:t>
      </w:r>
      <w:r>
        <w:rPr>
          <w:rFonts w:ascii="Times New Roman" w:hAnsi="Times New Roman" w:cs="Times New Roman"/>
          <w:color w:val="FF0000"/>
          <w:sz w:val="24"/>
          <w:szCs w:val="24"/>
          <w:u w:val="single"/>
          <w:shd w:val="clear" w:color="auto" w:fill="FFFFFF"/>
        </w:rPr>
        <w:t xml:space="preserve"> catarata de impagos y quiebras”</w:t>
      </w:r>
      <w:r w:rsidRPr="009E1478">
        <w:rPr>
          <w:rFonts w:ascii="Times New Roman" w:hAnsi="Times New Roman" w:cs="Times New Roman"/>
          <w:color w:val="FF0000"/>
          <w:sz w:val="24"/>
          <w:szCs w:val="24"/>
          <w:u w:val="single"/>
          <w:shd w:val="clear" w:color="auto" w:fill="FFFFFF"/>
        </w:rPr>
        <w:t xml:space="preserve"> ante la caída de los i</w:t>
      </w:r>
      <w:r>
        <w:rPr>
          <w:rFonts w:ascii="Times New Roman" w:hAnsi="Times New Roman" w:cs="Times New Roman"/>
          <w:color w:val="FF0000"/>
          <w:sz w:val="24"/>
          <w:szCs w:val="24"/>
          <w:u w:val="single"/>
          <w:shd w:val="clear" w:color="auto" w:fill="FFFFFF"/>
        </w:rPr>
        <w:t>ngresos en hogares y empresas. “</w:t>
      </w:r>
      <w:r w:rsidRPr="009E1478">
        <w:rPr>
          <w:rFonts w:ascii="Times New Roman" w:hAnsi="Times New Roman" w:cs="Times New Roman"/>
          <w:color w:val="FF0000"/>
          <w:sz w:val="24"/>
          <w:szCs w:val="24"/>
          <w:u w:val="single"/>
          <w:shd w:val="clear" w:color="auto" w:fill="FFFFFF"/>
        </w:rPr>
        <w:t xml:space="preserve">Sumado al aumento de los niveles de deuda pública, </w:t>
      </w:r>
      <w:r w:rsidRPr="009E1478">
        <w:rPr>
          <w:rFonts w:ascii="Times New Roman" w:hAnsi="Times New Roman" w:cs="Times New Roman"/>
          <w:color w:val="FF0000"/>
          <w:sz w:val="24"/>
          <w:szCs w:val="24"/>
          <w:u w:val="single"/>
          <w:shd w:val="clear" w:color="auto" w:fill="FFFFFF"/>
        </w:rPr>
        <w:lastRenderedPageBreak/>
        <w:t>esto es garantía casi segura de una recuperación más anémica que la que siguió a la G</w:t>
      </w:r>
      <w:r>
        <w:rPr>
          <w:rFonts w:ascii="Times New Roman" w:hAnsi="Times New Roman" w:cs="Times New Roman"/>
          <w:color w:val="FF0000"/>
          <w:sz w:val="24"/>
          <w:szCs w:val="24"/>
          <w:u w:val="single"/>
          <w:shd w:val="clear" w:color="auto" w:fill="FFFFFF"/>
        </w:rPr>
        <w:t>ran Recesión de hace una década”</w:t>
      </w:r>
      <w:r w:rsidRPr="009E1478">
        <w:rPr>
          <w:rFonts w:ascii="Times New Roman" w:hAnsi="Times New Roman" w:cs="Times New Roman"/>
          <w:color w:val="FF0000"/>
          <w:sz w:val="24"/>
          <w:szCs w:val="24"/>
          <w:u w:val="single"/>
          <w:shd w:val="clear" w:color="auto" w:fill="FFFFFF"/>
        </w:rPr>
        <w:t>, lamento Roubini.</w:t>
      </w:r>
    </w:p>
    <w:p w:rsidR="00C63754" w:rsidRPr="002D06C6" w:rsidRDefault="00C63754" w:rsidP="00C63754">
      <w:pPr>
        <w:spacing w:line="240" w:lineRule="auto"/>
        <w:jc w:val="both"/>
        <w:rPr>
          <w:rFonts w:ascii="Times New Roman" w:hAnsi="Times New Roman" w:cs="Times New Roman"/>
          <w:sz w:val="24"/>
          <w:szCs w:val="24"/>
          <w:shd w:val="clear" w:color="auto" w:fill="FFFFFF"/>
        </w:rPr>
      </w:pPr>
      <w:r w:rsidRPr="002D06C6">
        <w:rPr>
          <w:rFonts w:ascii="Times New Roman" w:hAnsi="Times New Roman" w:cs="Times New Roman"/>
          <w:sz w:val="24"/>
          <w:szCs w:val="24"/>
          <w:shd w:val="clear" w:color="auto" w:fill="FFFFFF"/>
        </w:rPr>
        <w:t>Por otro lado, Roubini apuntó en la cadena pública británica a la destrucción masiva de empleos tanto en países ricos como pobres como consecuencia de las medidas de confinamiento y paralización frente a la pandemia.</w:t>
      </w:r>
    </w:p>
    <w:p w:rsidR="00C63754" w:rsidRPr="009E1478" w:rsidRDefault="00C63754" w:rsidP="00C63754">
      <w:pPr>
        <w:spacing w:line="240" w:lineRule="auto"/>
        <w:jc w:val="both"/>
        <w:rPr>
          <w:rFonts w:ascii="Times New Roman" w:hAnsi="Times New Roman" w:cs="Times New Roman"/>
          <w:b/>
          <w:color w:val="FF0000"/>
          <w:sz w:val="24"/>
          <w:szCs w:val="24"/>
          <w:u w:val="single"/>
          <w:shd w:val="clear" w:color="auto" w:fill="FFFFFF"/>
        </w:rPr>
      </w:pPr>
      <w:r>
        <w:rPr>
          <w:rFonts w:ascii="Times New Roman" w:hAnsi="Times New Roman" w:cs="Times New Roman"/>
          <w:b/>
          <w:color w:val="FF0000"/>
          <w:sz w:val="24"/>
          <w:szCs w:val="24"/>
          <w:u w:val="single"/>
          <w:shd w:val="clear" w:color="auto" w:fill="FFFFFF"/>
        </w:rPr>
        <w:t>“</w:t>
      </w:r>
      <w:r w:rsidRPr="009E1478">
        <w:rPr>
          <w:rFonts w:ascii="Times New Roman" w:hAnsi="Times New Roman" w:cs="Times New Roman"/>
          <w:b/>
          <w:color w:val="FF0000"/>
          <w:sz w:val="24"/>
          <w:szCs w:val="24"/>
          <w:u w:val="single"/>
          <w:shd w:val="clear" w:color="auto" w:fill="FFFFFF"/>
        </w:rPr>
        <w:t>Estos trabajos que se han ido van a volver solo en parte, con salarios más bajos, s</w:t>
      </w:r>
      <w:r>
        <w:rPr>
          <w:rFonts w:ascii="Times New Roman" w:hAnsi="Times New Roman" w:cs="Times New Roman"/>
          <w:b/>
          <w:color w:val="FF0000"/>
          <w:sz w:val="24"/>
          <w:szCs w:val="24"/>
          <w:u w:val="single"/>
          <w:shd w:val="clear" w:color="auto" w:fill="FFFFFF"/>
        </w:rPr>
        <w:t>in beneficios, a tiempo parcial”, anticipó. “</w:t>
      </w:r>
      <w:r w:rsidRPr="009E1478">
        <w:rPr>
          <w:rFonts w:ascii="Times New Roman" w:hAnsi="Times New Roman" w:cs="Times New Roman"/>
          <w:b/>
          <w:color w:val="FF0000"/>
          <w:sz w:val="24"/>
          <w:szCs w:val="24"/>
          <w:u w:val="single"/>
          <w:shd w:val="clear" w:color="auto" w:fill="FFFFFF"/>
        </w:rPr>
        <w:t>Habrá aún más inseguridad en los empleos, ingresos y salarios para la persona trabajadora promed</w:t>
      </w:r>
      <w:r>
        <w:rPr>
          <w:rFonts w:ascii="Times New Roman" w:hAnsi="Times New Roman" w:cs="Times New Roman"/>
          <w:b/>
          <w:color w:val="FF0000"/>
          <w:sz w:val="24"/>
          <w:szCs w:val="24"/>
          <w:u w:val="single"/>
          <w:shd w:val="clear" w:color="auto" w:fill="FFFFFF"/>
        </w:rPr>
        <w:t>io”</w:t>
      </w:r>
      <w:r w:rsidRPr="009E1478">
        <w:rPr>
          <w:rFonts w:ascii="Times New Roman" w:hAnsi="Times New Roman" w:cs="Times New Roman"/>
          <w:b/>
          <w:color w:val="FF0000"/>
          <w:sz w:val="24"/>
          <w:szCs w:val="24"/>
          <w:u w:val="single"/>
          <w:shd w:val="clear" w:color="auto" w:fill="FFFFFF"/>
        </w:rPr>
        <w:t>, concluyó.</w:t>
      </w:r>
    </w:p>
    <w:p w:rsidR="00C63754" w:rsidRPr="002D06C6" w:rsidRDefault="00C63754" w:rsidP="00C6375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Roubini es conocido como “Dr. Maldición”</w:t>
      </w:r>
      <w:r w:rsidRPr="002D06C6">
        <w:rPr>
          <w:rFonts w:ascii="Times New Roman" w:hAnsi="Times New Roman" w:cs="Times New Roman"/>
          <w:sz w:val="24"/>
          <w:szCs w:val="24"/>
          <w:shd w:val="clear" w:color="auto" w:fill="FFFFFF"/>
        </w:rPr>
        <w:t xml:space="preserve"> (Dr. Doom) por sus negativas predicciones económicas que, no obstante, se adelantaron con precisión a la crisis financiera de 2007-2008 y sus consecuencias. Por ello, el experto se considera más bien </w:t>
      </w:r>
      <w:r>
        <w:rPr>
          <w:rFonts w:ascii="Times New Roman" w:hAnsi="Times New Roman" w:cs="Times New Roman"/>
          <w:sz w:val="24"/>
          <w:szCs w:val="24"/>
          <w:shd w:val="clear" w:color="auto" w:fill="FFFFFF"/>
        </w:rPr>
        <w:t>un “Dr. Realista”</w:t>
      </w:r>
      <w:r w:rsidRPr="002D06C6">
        <w:rPr>
          <w:rFonts w:ascii="Times New Roman" w:hAnsi="Times New Roman" w:cs="Times New Roman"/>
          <w:sz w:val="24"/>
          <w:szCs w:val="24"/>
          <w:shd w:val="clear" w:color="auto" w:fill="FFFFFF"/>
        </w:rPr>
        <w:t>.</w:t>
      </w:r>
    </w:p>
    <w:p w:rsidR="00C63754" w:rsidRPr="002D06C6" w:rsidRDefault="00C63754" w:rsidP="00C6375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Pr>
          <w:rFonts w:ascii="Times New Roman" w:hAnsi="Times New Roman" w:cs="Times New Roman"/>
          <w:sz w:val="24"/>
          <w:szCs w:val="24"/>
          <w:u w:val="single"/>
          <w:shd w:val="clear" w:color="auto" w:fill="FFFFFF"/>
        </w:rPr>
        <w:t>La crisis del coronavirus “borra”</w:t>
      </w:r>
      <w:r w:rsidRPr="002D06C6">
        <w:rPr>
          <w:rFonts w:ascii="Times New Roman" w:hAnsi="Times New Roman" w:cs="Times New Roman"/>
          <w:sz w:val="24"/>
          <w:szCs w:val="24"/>
          <w:u w:val="single"/>
          <w:shd w:val="clear" w:color="auto" w:fill="FFFFFF"/>
        </w:rPr>
        <w:t xml:space="preserve"> 40 millones de empleos en diez semanas en EEUU</w:t>
      </w:r>
      <w:r>
        <w:rPr>
          <w:rFonts w:ascii="Times New Roman" w:hAnsi="Times New Roman" w:cs="Times New Roman"/>
          <w:sz w:val="24"/>
          <w:szCs w:val="24"/>
          <w:shd w:val="clear" w:color="auto" w:fill="FFFFFF"/>
        </w:rPr>
        <w:t xml:space="preserve"> (El Economista - </w:t>
      </w:r>
      <w:r w:rsidRPr="002D06C6">
        <w:rPr>
          <w:rFonts w:ascii="Times New Roman" w:hAnsi="Times New Roman" w:cs="Times New Roman"/>
          <w:b/>
          <w:sz w:val="24"/>
          <w:szCs w:val="24"/>
          <w:shd w:val="clear" w:color="auto" w:fill="FFFFFF"/>
        </w:rPr>
        <w:t>28/5/20</w:t>
      </w:r>
      <w:r>
        <w:rPr>
          <w:rFonts w:ascii="Times New Roman" w:hAnsi="Times New Roman" w:cs="Times New Roman"/>
          <w:sz w:val="24"/>
          <w:szCs w:val="24"/>
          <w:shd w:val="clear" w:color="auto" w:fill="FFFFFF"/>
        </w:rPr>
        <w:t>)</w:t>
      </w:r>
    </w:p>
    <w:p w:rsidR="00C63754" w:rsidRPr="009E1478" w:rsidRDefault="00C63754" w:rsidP="00C63754">
      <w:pPr>
        <w:spacing w:line="240" w:lineRule="auto"/>
        <w:jc w:val="both"/>
        <w:rPr>
          <w:rFonts w:ascii="Times New Roman" w:hAnsi="Times New Roman" w:cs="Times New Roman"/>
          <w:color w:val="FF0000"/>
          <w:sz w:val="24"/>
          <w:szCs w:val="24"/>
          <w:shd w:val="clear" w:color="auto" w:fill="FFFFFF"/>
        </w:rPr>
      </w:pPr>
      <w:r w:rsidRPr="009E1478">
        <w:rPr>
          <w:rFonts w:ascii="Times New Roman" w:hAnsi="Times New Roman" w:cs="Times New Roman"/>
          <w:color w:val="FF0000"/>
          <w:sz w:val="24"/>
          <w:szCs w:val="24"/>
          <w:shd w:val="clear" w:color="auto" w:fill="FFFFFF"/>
        </w:rPr>
        <w:t>La tasa de paro podría seguir superando los dos dígitos en 2021</w:t>
      </w:r>
    </w:p>
    <w:p w:rsidR="00C63754" w:rsidRPr="009E1478" w:rsidRDefault="00C63754" w:rsidP="00C63754">
      <w:pPr>
        <w:spacing w:line="240" w:lineRule="auto"/>
        <w:jc w:val="both"/>
        <w:rPr>
          <w:rFonts w:ascii="Times New Roman" w:hAnsi="Times New Roman" w:cs="Times New Roman"/>
          <w:color w:val="FF0000"/>
          <w:sz w:val="24"/>
          <w:szCs w:val="24"/>
          <w:shd w:val="clear" w:color="auto" w:fill="FFFFFF"/>
        </w:rPr>
      </w:pPr>
      <w:r w:rsidRPr="009E1478">
        <w:rPr>
          <w:rFonts w:ascii="Times New Roman" w:hAnsi="Times New Roman" w:cs="Times New Roman"/>
          <w:color w:val="FF0000"/>
          <w:sz w:val="24"/>
          <w:szCs w:val="24"/>
          <w:shd w:val="clear" w:color="auto" w:fill="FFFFFF"/>
        </w:rPr>
        <w:t>La velocidad de la recuperación dependerá en gran medida de las pymes</w:t>
      </w:r>
    </w:p>
    <w:p w:rsidR="00C63754" w:rsidRPr="009E1478" w:rsidRDefault="00C63754" w:rsidP="00C63754">
      <w:pPr>
        <w:spacing w:line="240" w:lineRule="auto"/>
        <w:jc w:val="both"/>
        <w:rPr>
          <w:rFonts w:ascii="Times New Roman" w:hAnsi="Times New Roman" w:cs="Times New Roman"/>
          <w:color w:val="FF0000"/>
          <w:sz w:val="24"/>
          <w:szCs w:val="24"/>
          <w:shd w:val="clear" w:color="auto" w:fill="FFFFFF"/>
        </w:rPr>
      </w:pPr>
      <w:r w:rsidRPr="009E1478">
        <w:rPr>
          <w:rFonts w:ascii="Times New Roman" w:hAnsi="Times New Roman" w:cs="Times New Roman"/>
          <w:color w:val="FF0000"/>
          <w:sz w:val="24"/>
          <w:szCs w:val="24"/>
          <w:shd w:val="clear" w:color="auto" w:fill="FFFFFF"/>
        </w:rPr>
        <w:t>Estas empresas se debaten entre echar el cierre o reabrir si han aguantado</w:t>
      </w:r>
    </w:p>
    <w:p w:rsidR="00C63754" w:rsidRDefault="00C63754" w:rsidP="00C6375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Vicente Nieves)</w:t>
      </w:r>
    </w:p>
    <w:p w:rsidR="00C63754" w:rsidRPr="009E1478" w:rsidRDefault="00C63754" w:rsidP="00C63754">
      <w:pPr>
        <w:spacing w:line="240" w:lineRule="auto"/>
        <w:jc w:val="both"/>
        <w:rPr>
          <w:rFonts w:ascii="Times New Roman" w:hAnsi="Times New Roman" w:cs="Times New Roman"/>
          <w:color w:val="FF0000"/>
          <w:sz w:val="24"/>
          <w:szCs w:val="24"/>
          <w:u w:val="single"/>
          <w:shd w:val="clear" w:color="auto" w:fill="FFFFFF"/>
        </w:rPr>
      </w:pPr>
      <w:r w:rsidRPr="009E1478">
        <w:rPr>
          <w:rFonts w:ascii="Times New Roman" w:hAnsi="Times New Roman" w:cs="Times New Roman"/>
          <w:sz w:val="24"/>
          <w:szCs w:val="24"/>
          <w:u w:val="single"/>
          <w:shd w:val="clear" w:color="auto" w:fill="FFFFFF"/>
        </w:rPr>
        <w:t>Aunque lo peor de la crisis podría haber pasado ya (en términos de actividad y PIB), el impacto sobre el mercado laboral sigue siendo extraordinario</w:t>
      </w:r>
      <w:r w:rsidRPr="002D06C6">
        <w:rPr>
          <w:rFonts w:ascii="Times New Roman" w:hAnsi="Times New Roman" w:cs="Times New Roman"/>
          <w:sz w:val="24"/>
          <w:szCs w:val="24"/>
          <w:shd w:val="clear" w:color="auto" w:fill="FFFFFF"/>
        </w:rPr>
        <w:t xml:space="preserve">. </w:t>
      </w:r>
      <w:r w:rsidRPr="009E1478">
        <w:rPr>
          <w:rFonts w:ascii="Times New Roman" w:hAnsi="Times New Roman" w:cs="Times New Roman"/>
          <w:color w:val="FF0000"/>
          <w:sz w:val="24"/>
          <w:szCs w:val="24"/>
          <w:u w:val="single"/>
          <w:shd w:val="clear" w:color="auto" w:fill="FFFFFF"/>
        </w:rPr>
        <w:t xml:space="preserve">La peticiones iniciales de subsidio por desempleo han superado los dos millones por décima semana consecutiva, según ha publicado el Departamento de Trabajo de EEUU (2,123 millones). Este dato revela que </w:t>
      </w:r>
      <w:r w:rsidRPr="009E1478">
        <w:rPr>
          <w:rFonts w:ascii="Times New Roman" w:hAnsi="Times New Roman" w:cs="Times New Roman"/>
          <w:b/>
          <w:color w:val="FF0000"/>
          <w:sz w:val="24"/>
          <w:szCs w:val="24"/>
          <w:u w:val="single"/>
          <w:shd w:val="clear" w:color="auto" w:fill="FFFFFF"/>
        </w:rPr>
        <w:t>se han destruido 40 millones de empleos en las últimas diez semanas,</w:t>
      </w:r>
      <w:r w:rsidRPr="009E1478">
        <w:rPr>
          <w:rFonts w:ascii="Times New Roman" w:hAnsi="Times New Roman" w:cs="Times New Roman"/>
          <w:color w:val="FF0000"/>
          <w:sz w:val="24"/>
          <w:szCs w:val="24"/>
          <w:u w:val="single"/>
          <w:shd w:val="clear" w:color="auto" w:fill="FFFFFF"/>
        </w:rPr>
        <w:t xml:space="preserve"> pese a que la destrucción se ha ido moderando poco a poco, desde los 6,8 millones de la última semana de marzo a los 2,1 de este jueves, los datos siguen superando de forma abrumadora la media 215.000 peticiones semanales antes de la crisis.</w:t>
      </w:r>
    </w:p>
    <w:p w:rsidR="00C63754" w:rsidRPr="009E1478" w:rsidRDefault="00C63754" w:rsidP="00C63754">
      <w:pPr>
        <w:spacing w:line="240" w:lineRule="auto"/>
        <w:jc w:val="both"/>
        <w:rPr>
          <w:rFonts w:ascii="Times New Roman" w:hAnsi="Times New Roman" w:cs="Times New Roman"/>
          <w:color w:val="FF0000"/>
          <w:sz w:val="24"/>
          <w:szCs w:val="24"/>
          <w:u w:val="single"/>
          <w:shd w:val="clear" w:color="auto" w:fill="FFFFFF"/>
        </w:rPr>
      </w:pPr>
      <w:r w:rsidRPr="009E1478">
        <w:rPr>
          <w:rFonts w:ascii="Times New Roman" w:hAnsi="Times New Roman" w:cs="Times New Roman"/>
          <w:color w:val="FF0000"/>
          <w:sz w:val="24"/>
          <w:szCs w:val="24"/>
          <w:u w:val="single"/>
          <w:shd w:val="clear" w:color="auto" w:fill="FFFFFF"/>
        </w:rPr>
        <w:t>EEUU ha decidido hacer frente a esta crisis ampliando la red de seguridad para sus ciudadanos (a través de nuevas prestaciones y subsidios), pero permitiendo que el</w:t>
      </w:r>
      <w:r>
        <w:rPr>
          <w:rFonts w:ascii="Times New Roman" w:hAnsi="Times New Roman" w:cs="Times New Roman"/>
          <w:color w:val="FF0000"/>
          <w:sz w:val="24"/>
          <w:szCs w:val="24"/>
          <w:u w:val="single"/>
          <w:shd w:val="clear" w:color="auto" w:fill="FFFFFF"/>
        </w:rPr>
        <w:t xml:space="preserve"> mercado laboral se ajuste por “cantidades”</w:t>
      </w:r>
      <w:r w:rsidRPr="009E1478">
        <w:rPr>
          <w:rFonts w:ascii="Times New Roman" w:hAnsi="Times New Roman" w:cs="Times New Roman"/>
          <w:color w:val="FF0000"/>
          <w:sz w:val="24"/>
          <w:szCs w:val="24"/>
          <w:u w:val="single"/>
          <w:shd w:val="clear" w:color="auto" w:fill="FFFFFF"/>
        </w:rPr>
        <w:t>, es decir, destruyendo millones de empleos. En Europa se ha abogado por un ajuste a través de las horas de trabajo y la suspensión temporal del empleo, lo que 'maquilla' en gran medida los datos de paro. Por ahora, las personas que están recibiendo un seguro por desempleo (no son todas personas paradas ni mucho menos) superan los 21 millones, según el Departamento de Trabajo.</w:t>
      </w:r>
    </w:p>
    <w:p w:rsidR="00C63754" w:rsidRDefault="00C63754" w:rsidP="00C63754">
      <w:pPr>
        <w:spacing w:line="240" w:lineRule="auto"/>
        <w:jc w:val="both"/>
        <w:rPr>
          <w:rFonts w:ascii="Times New Roman" w:hAnsi="Times New Roman" w:cs="Times New Roman"/>
          <w:sz w:val="24"/>
          <w:szCs w:val="24"/>
          <w:shd w:val="clear" w:color="auto" w:fill="FFFFFF"/>
        </w:rPr>
      </w:pPr>
      <w:r w:rsidRPr="002D06C6">
        <w:rPr>
          <w:rFonts w:ascii="Times New Roman" w:hAnsi="Times New Roman" w:cs="Times New Roman"/>
          <w:sz w:val="24"/>
          <w:szCs w:val="24"/>
          <w:shd w:val="clear" w:color="auto" w:fill="FFFFFF"/>
        </w:rPr>
        <w:t>Los datos de desempleo son el reflejo de lo que ha estado ocurr</w:t>
      </w:r>
      <w:r>
        <w:rPr>
          <w:rFonts w:ascii="Times New Roman" w:hAnsi="Times New Roman" w:cs="Times New Roman"/>
          <w:sz w:val="24"/>
          <w:szCs w:val="24"/>
          <w:shd w:val="clear" w:color="auto" w:fill="FFFFFF"/>
        </w:rPr>
        <w:t>iendo en la economía del país. “</w:t>
      </w:r>
      <w:r w:rsidRPr="002D06C6">
        <w:rPr>
          <w:rFonts w:ascii="Times New Roman" w:hAnsi="Times New Roman" w:cs="Times New Roman"/>
          <w:sz w:val="24"/>
          <w:szCs w:val="24"/>
          <w:shd w:val="clear" w:color="auto" w:fill="FFFFFF"/>
        </w:rPr>
        <w:t>Todos los indicadores económicos de marzo y abril han sido terribles, pero estamos viendo algunos signos de mejora en los dat</w:t>
      </w:r>
      <w:r>
        <w:rPr>
          <w:rFonts w:ascii="Times New Roman" w:hAnsi="Times New Roman" w:cs="Times New Roman"/>
          <w:sz w:val="24"/>
          <w:szCs w:val="24"/>
          <w:shd w:val="clear" w:color="auto" w:fill="FFFFFF"/>
        </w:rPr>
        <w:t>os de alta frecuencia para mayo”</w:t>
      </w:r>
      <w:r w:rsidRPr="002D06C6">
        <w:rPr>
          <w:rFonts w:ascii="Times New Roman" w:hAnsi="Times New Roman" w:cs="Times New Roman"/>
          <w:sz w:val="24"/>
          <w:szCs w:val="24"/>
          <w:shd w:val="clear" w:color="auto" w:fill="FFFFFF"/>
        </w:rPr>
        <w:t xml:space="preserve">, explican desde Danske Bank. </w:t>
      </w:r>
      <w:r w:rsidRPr="009E1478">
        <w:rPr>
          <w:rFonts w:ascii="Times New Roman" w:hAnsi="Times New Roman" w:cs="Times New Roman"/>
          <w:color w:val="FF0000"/>
          <w:sz w:val="24"/>
          <w:szCs w:val="24"/>
          <w:u w:val="single"/>
          <w:shd w:val="clear" w:color="auto" w:fill="FFFFFF"/>
        </w:rPr>
        <w:t>Hoy Jueves también se ha publicado que el PIB se desplomó un 5% en el primer trimestre del año, un dato peor de lo esperado.</w:t>
      </w:r>
    </w:p>
    <w:p w:rsidR="00C63754" w:rsidRDefault="00C63754" w:rsidP="00C63754">
      <w:pPr>
        <w:spacing w:line="240" w:lineRule="auto"/>
        <w:jc w:val="both"/>
        <w:rPr>
          <w:rFonts w:ascii="Times New Roman" w:hAnsi="Times New Roman" w:cs="Times New Roman"/>
          <w:sz w:val="24"/>
          <w:szCs w:val="24"/>
          <w:shd w:val="clear" w:color="auto" w:fill="FFFFFF"/>
        </w:rPr>
      </w:pPr>
      <w:r>
        <w:rPr>
          <w:noProof/>
          <w:lang w:eastAsia="es-ES"/>
        </w:rPr>
        <w:lastRenderedPageBreak/>
        <w:drawing>
          <wp:inline distT="0" distB="0" distL="0" distR="0" wp14:anchorId="0FC89DCF" wp14:editId="1E5AC965">
            <wp:extent cx="5732888" cy="2958353"/>
            <wp:effectExtent l="0" t="0" r="1270" b="0"/>
            <wp:docPr id="74" name="Imagen 74" descr="https://s03.s3c.es/imag/_v0/770x572/7/3/9/eeuu-covid-empl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572/7/3/9/eeuu-covid-empleo.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32888" cy="2958353"/>
                    </a:xfrm>
                    <a:prstGeom prst="rect">
                      <a:avLst/>
                    </a:prstGeom>
                    <a:noFill/>
                    <a:ln>
                      <a:noFill/>
                    </a:ln>
                  </pic:spPr>
                </pic:pic>
              </a:graphicData>
            </a:graphic>
          </wp:inline>
        </w:drawing>
      </w:r>
    </w:p>
    <w:p w:rsidR="00C63754" w:rsidRPr="002D06C6" w:rsidRDefault="00C63754" w:rsidP="00C63754">
      <w:pPr>
        <w:spacing w:line="240" w:lineRule="auto"/>
        <w:jc w:val="both"/>
        <w:rPr>
          <w:rFonts w:ascii="Times New Roman" w:hAnsi="Times New Roman" w:cs="Times New Roman"/>
          <w:sz w:val="24"/>
          <w:szCs w:val="24"/>
          <w:shd w:val="clear" w:color="auto" w:fill="FFFFFF"/>
        </w:rPr>
      </w:pPr>
      <w:r w:rsidRPr="002D06C6">
        <w:rPr>
          <w:rFonts w:ascii="Times New Roman" w:hAnsi="Times New Roman" w:cs="Times New Roman"/>
          <w:sz w:val="24"/>
          <w:szCs w:val="24"/>
          <w:shd w:val="clear" w:color="auto" w:fill="FFFFFF"/>
        </w:rPr>
        <w:t xml:space="preserve">Aun así, desde la firma Jefferies se muestran sorprendidos porque su índice de datos de alta frecuencia en general, no muestra un repunte decisivo de la actividad ahora que la gran mayoría </w:t>
      </w:r>
      <w:r>
        <w:rPr>
          <w:rFonts w:ascii="Times New Roman" w:hAnsi="Times New Roman" w:cs="Times New Roman"/>
          <w:sz w:val="24"/>
          <w:szCs w:val="24"/>
          <w:shd w:val="clear" w:color="auto" w:fill="FFFFFF"/>
        </w:rPr>
        <w:t>de los estados han levantado la</w:t>
      </w:r>
      <w:r w:rsidRPr="002D06C6">
        <w:rPr>
          <w:rFonts w:ascii="Times New Roman" w:hAnsi="Times New Roman" w:cs="Times New Roman"/>
          <w:sz w:val="24"/>
          <w:szCs w:val="24"/>
          <w:shd w:val="clear" w:color="auto" w:fill="FFFFFF"/>
        </w:rPr>
        <w:t xml:space="preserve"> orden d</w:t>
      </w:r>
      <w:r>
        <w:rPr>
          <w:rFonts w:ascii="Times New Roman" w:hAnsi="Times New Roman" w:cs="Times New Roman"/>
          <w:sz w:val="24"/>
          <w:szCs w:val="24"/>
          <w:shd w:val="clear" w:color="auto" w:fill="FFFFFF"/>
        </w:rPr>
        <w:t>e quedarse en casa. Por ahora, “</w:t>
      </w:r>
      <w:r w:rsidRPr="002D06C6">
        <w:rPr>
          <w:rFonts w:ascii="Times New Roman" w:hAnsi="Times New Roman" w:cs="Times New Roman"/>
          <w:sz w:val="24"/>
          <w:szCs w:val="24"/>
          <w:shd w:val="clear" w:color="auto" w:fill="FFFFFF"/>
        </w:rPr>
        <w:t>suponemos que es cuestión de tiempo y seguiremos esperando a las próximas semanas. De hecho, vemos algunos puntos brillantes en varios otros indicadores en tiempo real que no están incluidos en nuestro í</w:t>
      </w:r>
      <w:r>
        <w:rPr>
          <w:rFonts w:ascii="Times New Roman" w:hAnsi="Times New Roman" w:cs="Times New Roman"/>
          <w:sz w:val="24"/>
          <w:szCs w:val="24"/>
          <w:shd w:val="clear" w:color="auto" w:fill="FFFFFF"/>
        </w:rPr>
        <w:t>ndice”, reconocen los expertos.</w:t>
      </w:r>
    </w:p>
    <w:p w:rsidR="00C63754" w:rsidRPr="002D06C6" w:rsidRDefault="00C63754" w:rsidP="00C6375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No habrá recuperación en “V”</w:t>
      </w:r>
    </w:p>
    <w:p w:rsidR="00C63754" w:rsidRPr="002D06C6" w:rsidRDefault="00C63754" w:rsidP="00C6375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u w:val="single"/>
          <w:shd w:val="clear" w:color="auto" w:fill="FFFFFF"/>
        </w:rPr>
        <w:t>“</w:t>
      </w:r>
      <w:r w:rsidRPr="009E1478">
        <w:rPr>
          <w:rFonts w:ascii="Times New Roman" w:hAnsi="Times New Roman" w:cs="Times New Roman"/>
          <w:sz w:val="24"/>
          <w:szCs w:val="24"/>
          <w:u w:val="single"/>
          <w:shd w:val="clear" w:color="auto" w:fill="FFFFFF"/>
        </w:rPr>
        <w:t>Al menos los datos de alta frecuencia sugieren que la sangría se está deteniendo. Aun así, no hay signos de una recuperación en forma de V (solo mejora gradualmente), por lo que la herida está muy lejos de la curación</w:t>
      </w:r>
      <w:r w:rsidRPr="002D06C6">
        <w:rPr>
          <w:rFonts w:ascii="Times New Roman" w:hAnsi="Times New Roman" w:cs="Times New Roman"/>
          <w:sz w:val="24"/>
          <w:szCs w:val="24"/>
          <w:shd w:val="clear" w:color="auto" w:fill="FFFFFF"/>
        </w:rPr>
        <w:t xml:space="preserve">. Una de las señales positivas, al observar los datos transacciones diarias con tarjeta, es que el consumo en EEUU parece estar mejorando poco a poco. Otro aspecto positivo es que la mayoría de las pérdidas de empleo se consideran temporales (desafortunadamente pueden volverse permanentes con </w:t>
      </w:r>
      <w:r>
        <w:rPr>
          <w:rFonts w:ascii="Times New Roman" w:hAnsi="Times New Roman" w:cs="Times New Roman"/>
          <w:sz w:val="24"/>
          <w:szCs w:val="24"/>
          <w:shd w:val="clear" w:color="auto" w:fill="FFFFFF"/>
        </w:rPr>
        <w:t>el tiempo)”</w:t>
      </w:r>
      <w:r w:rsidRPr="002D06C6">
        <w:rPr>
          <w:rFonts w:ascii="Times New Roman" w:hAnsi="Times New Roman" w:cs="Times New Roman"/>
          <w:sz w:val="24"/>
          <w:szCs w:val="24"/>
          <w:shd w:val="clear" w:color="auto" w:fill="FFFFFF"/>
        </w:rPr>
        <w:t>, explican estos</w:t>
      </w:r>
      <w:r>
        <w:rPr>
          <w:rFonts w:ascii="Times New Roman" w:hAnsi="Times New Roman" w:cs="Times New Roman"/>
          <w:sz w:val="24"/>
          <w:szCs w:val="24"/>
          <w:shd w:val="clear" w:color="auto" w:fill="FFFFFF"/>
        </w:rPr>
        <w:t xml:space="preserve"> expertos.</w:t>
      </w:r>
    </w:p>
    <w:p w:rsidR="00C63754" w:rsidRPr="002D06C6" w:rsidRDefault="00C63754" w:rsidP="00C63754">
      <w:pPr>
        <w:spacing w:line="240" w:lineRule="auto"/>
        <w:jc w:val="both"/>
        <w:rPr>
          <w:rFonts w:ascii="Times New Roman" w:hAnsi="Times New Roman" w:cs="Times New Roman"/>
          <w:sz w:val="24"/>
          <w:szCs w:val="24"/>
          <w:shd w:val="clear" w:color="auto" w:fill="FFFFFF"/>
        </w:rPr>
      </w:pPr>
      <w:r w:rsidRPr="002D06C6">
        <w:rPr>
          <w:rFonts w:ascii="Times New Roman" w:hAnsi="Times New Roman" w:cs="Times New Roman"/>
          <w:sz w:val="24"/>
          <w:szCs w:val="24"/>
          <w:shd w:val="clear" w:color="auto" w:fill="FFFFFF"/>
        </w:rPr>
        <w:t>Desde la propia Reserva Federal de EEUU publicaban en u</w:t>
      </w:r>
      <w:r>
        <w:rPr>
          <w:rFonts w:ascii="Times New Roman" w:hAnsi="Times New Roman" w:cs="Times New Roman"/>
          <w:sz w:val="24"/>
          <w:szCs w:val="24"/>
          <w:shd w:val="clear" w:color="auto" w:fill="FFFFFF"/>
        </w:rPr>
        <w:t>n estudio la semana pasada que “</w:t>
      </w:r>
      <w:r w:rsidRPr="002D06C6">
        <w:rPr>
          <w:rFonts w:ascii="Times New Roman" w:hAnsi="Times New Roman" w:cs="Times New Roman"/>
          <w:sz w:val="24"/>
          <w:szCs w:val="24"/>
          <w:shd w:val="clear" w:color="auto" w:fill="FFFFFF"/>
        </w:rPr>
        <w:t>la tremenda incertidumbre que rodea a las proyecciones para la trayectoria de la tasa de desempleo en los próximos años, no permite que ningún escenari</w:t>
      </w:r>
      <w:r>
        <w:rPr>
          <w:rFonts w:ascii="Times New Roman" w:hAnsi="Times New Roman" w:cs="Times New Roman"/>
          <w:sz w:val="24"/>
          <w:szCs w:val="24"/>
          <w:shd w:val="clear" w:color="auto" w:fill="FFFFFF"/>
        </w:rPr>
        <w:t>o específico se califique como “probable””</w:t>
      </w:r>
      <w:r w:rsidRPr="002D06C6">
        <w:rPr>
          <w:rFonts w:ascii="Times New Roman" w:hAnsi="Times New Roman" w:cs="Times New Roman"/>
          <w:sz w:val="24"/>
          <w:szCs w:val="24"/>
          <w:shd w:val="clear" w:color="auto" w:fill="FFFFFF"/>
        </w:rPr>
        <w:t>. Normalmente, los estudios de este tipo suelen contar con un escenario probable o base, ot</w:t>
      </w:r>
      <w:r>
        <w:rPr>
          <w:rFonts w:ascii="Times New Roman" w:hAnsi="Times New Roman" w:cs="Times New Roman"/>
          <w:sz w:val="24"/>
          <w:szCs w:val="24"/>
          <w:shd w:val="clear" w:color="auto" w:fill="FFFFFF"/>
        </w:rPr>
        <w:t xml:space="preserve">ro pesimista y otro optimista. </w:t>
      </w:r>
    </w:p>
    <w:p w:rsidR="00C63754" w:rsidRPr="00F47E85" w:rsidRDefault="00C63754" w:rsidP="00C63754">
      <w:pPr>
        <w:spacing w:line="240" w:lineRule="auto"/>
        <w:jc w:val="both"/>
        <w:rPr>
          <w:rFonts w:ascii="Times New Roman" w:hAnsi="Times New Roman" w:cs="Times New Roman"/>
          <w:sz w:val="24"/>
          <w:szCs w:val="24"/>
          <w:u w:val="single"/>
          <w:shd w:val="clear" w:color="auto" w:fill="FFFFFF"/>
        </w:rPr>
      </w:pPr>
      <w:r w:rsidRPr="00F47E85">
        <w:rPr>
          <w:rFonts w:ascii="Times New Roman" w:hAnsi="Times New Roman" w:cs="Times New Roman"/>
          <w:sz w:val="24"/>
          <w:szCs w:val="24"/>
          <w:u w:val="single"/>
          <w:shd w:val="clear" w:color="auto" w:fill="FFFFFF"/>
        </w:rPr>
        <w:t>Sin embargo, estos economistas si han creado un modelo optimista y otro</w:t>
      </w:r>
      <w:r>
        <w:rPr>
          <w:rFonts w:ascii="Times New Roman" w:hAnsi="Times New Roman" w:cs="Times New Roman"/>
          <w:sz w:val="24"/>
          <w:szCs w:val="24"/>
          <w:u w:val="single"/>
          <w:shd w:val="clear" w:color="auto" w:fill="FFFFFF"/>
        </w:rPr>
        <w:t xml:space="preserve"> pesimista. “</w:t>
      </w:r>
      <w:r w:rsidRPr="00F47E85">
        <w:rPr>
          <w:rFonts w:ascii="Times New Roman" w:hAnsi="Times New Roman" w:cs="Times New Roman"/>
          <w:sz w:val="24"/>
          <w:szCs w:val="24"/>
          <w:u w:val="single"/>
          <w:shd w:val="clear" w:color="auto" w:fill="FFFFFF"/>
        </w:rPr>
        <w:t>En el lado pesimista, si no se produce una oleada de contrataciones sin precedentes a finales de este año y el próximo, la tasa de desempleo podría perma</w:t>
      </w:r>
      <w:r>
        <w:rPr>
          <w:rFonts w:ascii="Times New Roman" w:hAnsi="Times New Roman" w:cs="Times New Roman"/>
          <w:sz w:val="24"/>
          <w:szCs w:val="24"/>
          <w:u w:val="single"/>
          <w:shd w:val="clear" w:color="auto" w:fill="FFFFFF"/>
        </w:rPr>
        <w:t>necer en dos dígitos hasta 2021”</w:t>
      </w:r>
      <w:r w:rsidRPr="00F47E85">
        <w:rPr>
          <w:rFonts w:ascii="Times New Roman" w:hAnsi="Times New Roman" w:cs="Times New Roman"/>
          <w:sz w:val="24"/>
          <w:szCs w:val="24"/>
          <w:u w:val="single"/>
          <w:shd w:val="clear" w:color="auto" w:fill="FFFFFF"/>
        </w:rPr>
        <w:t>. Desde una perspectiva más optimista, si los cierres en respuesta al virus se levantan rápidamente, y los empresarios aumentan la contratación rápidamente, la tasa de desempleo podría volver a bajar cerca del nivel previo al virus a mediados de 2021, concluyen estos expertos.</w:t>
      </w:r>
    </w:p>
    <w:p w:rsidR="00C63754" w:rsidRDefault="00C63754" w:rsidP="00C63754">
      <w:pPr>
        <w:spacing w:line="240" w:lineRule="auto"/>
        <w:jc w:val="both"/>
        <w:rPr>
          <w:rFonts w:ascii="Times New Roman" w:hAnsi="Times New Roman" w:cs="Times New Roman"/>
          <w:color w:val="FF0000"/>
          <w:sz w:val="24"/>
          <w:szCs w:val="24"/>
          <w:u w:val="single"/>
          <w:shd w:val="clear" w:color="auto" w:fill="FFFFFF"/>
        </w:rPr>
      </w:pPr>
      <w:r w:rsidRPr="002D06C6">
        <w:rPr>
          <w:rFonts w:ascii="Times New Roman" w:hAnsi="Times New Roman" w:cs="Times New Roman"/>
          <w:sz w:val="24"/>
          <w:szCs w:val="24"/>
          <w:shd w:val="clear" w:color="auto" w:fill="FFFFFF"/>
        </w:rPr>
        <w:t>Desde Jefferies apuntan a que la vuelta al crecimiento vigoroso dependerá en mayor medidas de las miles de pequeñas empresas que se debaten en</w:t>
      </w:r>
      <w:r>
        <w:rPr>
          <w:rFonts w:ascii="Times New Roman" w:hAnsi="Times New Roman" w:cs="Times New Roman"/>
          <w:sz w:val="24"/>
          <w:szCs w:val="24"/>
          <w:shd w:val="clear" w:color="auto" w:fill="FFFFFF"/>
        </w:rPr>
        <w:t xml:space="preserve">tre reabrir o echar el cierre: </w:t>
      </w:r>
      <w:r>
        <w:rPr>
          <w:rFonts w:ascii="Times New Roman" w:hAnsi="Times New Roman" w:cs="Times New Roman"/>
          <w:color w:val="FF0000"/>
          <w:sz w:val="24"/>
          <w:szCs w:val="24"/>
          <w:shd w:val="clear" w:color="auto" w:fill="FFFFFF"/>
        </w:rPr>
        <w:t>“</w:t>
      </w:r>
      <w:r w:rsidRPr="00F47E85">
        <w:rPr>
          <w:rFonts w:ascii="Times New Roman" w:hAnsi="Times New Roman" w:cs="Times New Roman"/>
          <w:color w:val="FF0000"/>
          <w:sz w:val="24"/>
          <w:szCs w:val="24"/>
          <w:u w:val="single"/>
          <w:shd w:val="clear" w:color="auto" w:fill="FFFFFF"/>
        </w:rPr>
        <w:t xml:space="preserve">Las pequeñas empresas, incluidos los restaurantes, se encontraban en el epicentro de la recesión </w:t>
      </w:r>
      <w:r w:rsidRPr="00F47E85">
        <w:rPr>
          <w:rFonts w:ascii="Times New Roman" w:hAnsi="Times New Roman" w:cs="Times New Roman"/>
          <w:color w:val="FF0000"/>
          <w:sz w:val="24"/>
          <w:szCs w:val="24"/>
          <w:u w:val="single"/>
          <w:shd w:val="clear" w:color="auto" w:fill="FFFFFF"/>
        </w:rPr>
        <w:lastRenderedPageBreak/>
        <w:t>del Covid-19, y su capacidad para volver determinará la velocid</w:t>
      </w:r>
      <w:r>
        <w:rPr>
          <w:rFonts w:ascii="Times New Roman" w:hAnsi="Times New Roman" w:cs="Times New Roman"/>
          <w:color w:val="FF0000"/>
          <w:sz w:val="24"/>
          <w:szCs w:val="24"/>
          <w:u w:val="single"/>
          <w:shd w:val="clear" w:color="auto" w:fill="FFFFFF"/>
        </w:rPr>
        <w:t>ad de la recuperación económica”</w:t>
      </w:r>
      <w:r w:rsidRPr="00F47E85">
        <w:rPr>
          <w:rFonts w:ascii="Times New Roman" w:hAnsi="Times New Roman" w:cs="Times New Roman"/>
          <w:color w:val="FF0000"/>
          <w:sz w:val="24"/>
          <w:szCs w:val="24"/>
          <w:u w:val="single"/>
          <w:shd w:val="clear" w:color="auto" w:fill="FFFFFF"/>
        </w:rPr>
        <w:t>.</w:t>
      </w:r>
    </w:p>
    <w:p w:rsidR="00BE003C" w:rsidRDefault="00BE003C" w:rsidP="00BE003C">
      <w:pPr>
        <w:pStyle w:val="NormalWeb"/>
        <w:spacing w:after="420"/>
        <w:jc w:val="both"/>
        <w:textAlignment w:val="baseline"/>
      </w:pPr>
      <w:r>
        <w:t xml:space="preserve">- </w:t>
      </w:r>
      <w:r w:rsidRPr="00775B06">
        <w:rPr>
          <w:u w:val="single"/>
        </w:rPr>
        <w:t>Los límites de la política monetaria extrema en épocas del COVID</w:t>
      </w:r>
      <w:r>
        <w:t xml:space="preserve"> (Project Syndicate - </w:t>
      </w:r>
      <w:r w:rsidRPr="00775B06">
        <w:rPr>
          <w:b/>
        </w:rPr>
        <w:t>29/5/20</w:t>
      </w:r>
      <w:r>
        <w:t>)</w:t>
      </w:r>
    </w:p>
    <w:p w:rsidR="00BE003C" w:rsidRPr="00BF6483" w:rsidRDefault="00BE003C" w:rsidP="00BE003C">
      <w:pPr>
        <w:pStyle w:val="NormalWeb"/>
        <w:spacing w:after="420"/>
        <w:jc w:val="both"/>
        <w:textAlignment w:val="baseline"/>
        <w:rPr>
          <w:color w:val="FF0000"/>
          <w:u w:val="single"/>
        </w:rPr>
      </w:pPr>
      <w:r>
        <w:t xml:space="preserve">Londres.- </w:t>
      </w:r>
      <w:r w:rsidRPr="00BF6483">
        <w:rPr>
          <w:color w:val="FF0000"/>
          <w:u w:val="single"/>
        </w:rPr>
        <w:t>En este momento en que la producción ha colapsado como resultado de la pandemia del COVID-19, muchos se preguntan hasta dónde se puede estirar la política monetaria para respaldar la economía. Para la Reserva Federal de Estados Unidos, las tasas de interés negativas parecen representar un límite efectivo, no porque una política así no sea técnicamente posible, sino porque sería políticamente inaceptable. Sin embargo, para el Banco Central Europeo, el Banco de Inglaterra y el Banco de Japón, parece no existir ningún límite.</w:t>
      </w:r>
    </w:p>
    <w:p w:rsidR="00BE003C" w:rsidRPr="00BF6483" w:rsidRDefault="00BE003C" w:rsidP="00BE003C">
      <w:pPr>
        <w:pStyle w:val="NormalWeb"/>
        <w:spacing w:after="420"/>
        <w:jc w:val="both"/>
        <w:textAlignment w:val="baseline"/>
        <w:rPr>
          <w:u w:val="single"/>
        </w:rPr>
      </w:pPr>
      <w:r w:rsidRPr="00BF6483">
        <w:rPr>
          <w:u w:val="single"/>
        </w:rPr>
        <w:t>El BCE ha recortado las tasas y las ha llevado a territorio negativo, y se dice que el gobernador del Banco de Inglaterra, Andrew Bailey, está “analizando muy detenidamente” esa opción para el Reino Unido. De la misma manera, el gobernador del Banco de Japón, Haruhiko Kuroda, a la vez que considera que la actual combinación de políticas del Banco de Japón es apropiada para las circunstancias actuales, no ha descartado una mayor flexibilización monetaria u otro incremento en las compras de activos.</w:t>
      </w:r>
    </w:p>
    <w:p w:rsidR="00BE003C" w:rsidRPr="00BF6483" w:rsidRDefault="00BE003C" w:rsidP="00BE003C">
      <w:pPr>
        <w:pStyle w:val="NormalWeb"/>
        <w:spacing w:after="420"/>
        <w:jc w:val="both"/>
        <w:textAlignment w:val="baseline"/>
        <w:rPr>
          <w:u w:val="single"/>
        </w:rPr>
      </w:pPr>
      <w:r>
        <w:t xml:space="preserve">El interrogante es si tiene sentido seguir transitando el camino de la política monetaria extrema. La famosa promesa del ex presidente del BCE Mario Draghi de hacer “lo que sea necesario” para respaldar al euro se ha vuelto el mantra para todos los responsables de políticas frente a la crisis actual. ¿Pero expandir la política fiscal no sería una mejor manera de cumplir con ese compromiso? </w:t>
      </w:r>
      <w:r w:rsidRPr="00BF6483">
        <w:rPr>
          <w:u w:val="single"/>
        </w:rPr>
        <w:t xml:space="preserve">Para parafrasear al presidente de la Fed, Jerome Powell, los bancos centrales tienen poder </w:t>
      </w:r>
      <w:r>
        <w:rPr>
          <w:u w:val="single"/>
        </w:rPr>
        <w:t>de préstamo, no poder de gasto -</w:t>
      </w:r>
      <w:r w:rsidRPr="00BF6483">
        <w:rPr>
          <w:u w:val="single"/>
        </w:rPr>
        <w:t>y gasto es lo que se necesita.</w:t>
      </w:r>
    </w:p>
    <w:p w:rsidR="00BE003C" w:rsidRDefault="00BE003C" w:rsidP="00BE003C">
      <w:pPr>
        <w:pStyle w:val="NormalWeb"/>
        <w:spacing w:after="420"/>
        <w:jc w:val="both"/>
        <w:textAlignment w:val="baseline"/>
      </w:pPr>
      <w:r>
        <w:t xml:space="preserve">En la crisis actual, es imperativo que el dinero llegue a quienes más lo necesitan, lo más rápido posible. </w:t>
      </w:r>
      <w:r w:rsidRPr="00BF6483">
        <w:rPr>
          <w:color w:val="FF0000"/>
          <w:u w:val="single"/>
        </w:rPr>
        <w:t>El desempleo está en u</w:t>
      </w:r>
      <w:r>
        <w:rPr>
          <w:color w:val="FF0000"/>
          <w:u w:val="single"/>
        </w:rPr>
        <w:t>n pico récord en muchos países -</w:t>
      </w:r>
      <w:r w:rsidRPr="00BF6483">
        <w:rPr>
          <w:color w:val="FF0000"/>
          <w:u w:val="single"/>
        </w:rPr>
        <w:t>más de 20 millones de personas en Estados Unidos perdieron su empleo sólo en abril, lo que llevó la tasa de desempleo de Estados Unidos al 14,7%, con la posibilidad de que alcance el 20-25% este año</w:t>
      </w:r>
      <w:r>
        <w:t xml:space="preserve">-. En estas condiciones, lo que </w:t>
      </w:r>
      <w:r w:rsidRPr="00BF6483">
        <w:rPr>
          <w:color w:val="FF0000"/>
          <w:u w:val="single"/>
        </w:rPr>
        <w:t>Estados Unidos y la mayoría de los países necesitan es un esfuerzo de política fiscal amplio y sostenido, en coordinación con la política monetaria</w:t>
      </w:r>
      <w:r>
        <w:t>. Sin eso, una recesión prolongada y un desempleo de largo plazo astronómico se volverán mucho más factibles.</w:t>
      </w:r>
    </w:p>
    <w:p w:rsidR="00BE003C" w:rsidRDefault="00BE003C" w:rsidP="00BE003C">
      <w:pPr>
        <w:pStyle w:val="NormalWeb"/>
        <w:spacing w:after="420"/>
        <w:jc w:val="both"/>
        <w:textAlignment w:val="baseline"/>
      </w:pPr>
      <w:r w:rsidRPr="00BF6483">
        <w:rPr>
          <w:color w:val="FF0000"/>
          <w:u w:val="single"/>
        </w:rPr>
        <w:t>Una expansión fiscal debería tener dos objetivos principales. Primero, debe ayudar a los individuos, a los hogares y a las empresas a capear la crisis</w:t>
      </w:r>
      <w:r>
        <w:t xml:space="preserve">. En este sentido, las medidas de política fiscal adoptadas en Estados Unidos y otras economías avanzadas han dado en la tecla. </w:t>
      </w:r>
      <w:r w:rsidRPr="00BF6483">
        <w:rPr>
          <w:b/>
          <w:color w:val="FF0000"/>
          <w:u w:val="single"/>
        </w:rPr>
        <w:t>A fines de marzo, el Congreso de Estados Unidos aprobó un paquete de estímulo de 2 billones de dólares para apoyar a los hogares, las empresas y los proveedores de atención sanitaria, y los demócratas en la Cámara de Representantes acaban de sancionar otro paquete que propone 3 billones de dólares de gasto adicional</w:t>
      </w:r>
      <w:r>
        <w:t>.</w:t>
      </w:r>
    </w:p>
    <w:p w:rsidR="00BE003C" w:rsidRPr="00BF6483" w:rsidRDefault="00BE003C" w:rsidP="00BE003C">
      <w:pPr>
        <w:pStyle w:val="NormalWeb"/>
        <w:spacing w:after="420"/>
        <w:jc w:val="both"/>
        <w:textAlignment w:val="baseline"/>
        <w:rPr>
          <w:b/>
          <w:color w:val="FF0000"/>
          <w:u w:val="single"/>
        </w:rPr>
      </w:pPr>
      <w:r w:rsidRPr="00BF6483">
        <w:rPr>
          <w:b/>
          <w:color w:val="FF0000"/>
          <w:u w:val="single"/>
        </w:rPr>
        <w:t>Mientras tanto, en la Unión Europea, se han suspendido las reglas presupuestarias, lo que les permite a los gobiernos de los estados miembro implementar medidas fiscales discrecionales más ambiciosas, desde incrementos del gasto y alivio fiscal hasta ayudas salariales y subsidios para pequeñas y medianas empresas.</w:t>
      </w:r>
    </w:p>
    <w:p w:rsidR="00BE003C" w:rsidRPr="00BF6483" w:rsidRDefault="00BE003C" w:rsidP="00BE003C">
      <w:pPr>
        <w:pStyle w:val="NormalWeb"/>
        <w:spacing w:after="420"/>
        <w:jc w:val="both"/>
        <w:textAlignment w:val="baseline"/>
        <w:rPr>
          <w:u w:val="single"/>
        </w:rPr>
      </w:pPr>
      <w:r w:rsidRPr="00BF6483">
        <w:rPr>
          <w:color w:val="FF0000"/>
          <w:u w:val="single"/>
        </w:rPr>
        <w:lastRenderedPageBreak/>
        <w:t>El segundo objetivo de expansión fiscal es impulsar la recuperación económica respaldando la demanda doméstica</w:t>
      </w:r>
      <w:r>
        <w:t xml:space="preserve">. En este punto, desafortunadamente, las políticas propuestas han sido insuficientes, lo que hizo </w:t>
      </w:r>
      <w:r w:rsidRPr="00BF6483">
        <w:rPr>
          <w:u w:val="single"/>
        </w:rPr>
        <w:t>aumentar el riesgo de que repitamos el error cometido después de la crisis financiera global de 2008, cuando se retiró el estímulo fiscal demasiado pronto.</w:t>
      </w:r>
    </w:p>
    <w:p w:rsidR="00BE003C" w:rsidRPr="00BF6483" w:rsidRDefault="00BE003C" w:rsidP="00BE003C">
      <w:pPr>
        <w:pStyle w:val="NormalWeb"/>
        <w:spacing w:after="420"/>
        <w:jc w:val="both"/>
        <w:textAlignment w:val="baseline"/>
        <w:rPr>
          <w:u w:val="single"/>
        </w:rPr>
      </w:pPr>
      <w:r w:rsidRPr="00BF6483">
        <w:rPr>
          <w:u w:val="single"/>
        </w:rPr>
        <w:t>En aquella ocasión, depender de la política fiscal para estimular la demanda se declaró políticamente inviable.</w:t>
      </w:r>
      <w:r>
        <w:t xml:space="preserve"> Si bien la crisis se consideraba lo suficientemente grande como para garantizar políticas monetarias excepcionalmente laxas, </w:t>
      </w:r>
      <w:r w:rsidRPr="00BF6483">
        <w:rPr>
          <w:u w:val="single"/>
        </w:rPr>
        <w:t>el establishment político en Estados Unidos, Gran Bretaña y gran parte de Europa se abroqueló en torno a la austeridad, asfixiando la recuperación desde el arranque y sentando las bases para una creciente desigualdad y descontento social.</w:t>
      </w:r>
    </w:p>
    <w:p w:rsidR="00BE003C" w:rsidRPr="00BF6483" w:rsidRDefault="00BE003C" w:rsidP="00BE003C">
      <w:pPr>
        <w:pStyle w:val="NormalWeb"/>
        <w:spacing w:after="420"/>
        <w:jc w:val="both"/>
        <w:textAlignment w:val="baseline"/>
        <w:rPr>
          <w:color w:val="FF0000"/>
          <w:u w:val="single"/>
        </w:rPr>
      </w:pPr>
      <w:r w:rsidRPr="00BF6483">
        <w:rPr>
          <w:color w:val="FF0000"/>
          <w:u w:val="single"/>
        </w:rPr>
        <w:t>Esta vez, los principales bancos centrales han venido exigiendo discretamente un “respaldo fiscal adicional” para “evitar un perjuicio económico de largo plazo” y generar una “recuperación más sólida”. Ese respaldo también es necesario para aliviar la presión sobre los bancos centrales. Mientras tanto, existen buenos motivos para no adoptar el camino de una política monetaria más extrema.</w:t>
      </w:r>
    </w:p>
    <w:p w:rsidR="00BE003C" w:rsidRPr="00BF6483" w:rsidRDefault="00BE003C" w:rsidP="00BE003C">
      <w:pPr>
        <w:pStyle w:val="NormalWeb"/>
        <w:spacing w:after="420"/>
        <w:jc w:val="both"/>
        <w:textAlignment w:val="baseline"/>
        <w:rPr>
          <w:color w:val="FF0000"/>
          <w:u w:val="single"/>
        </w:rPr>
      </w:pPr>
      <w:r w:rsidRPr="00BF6483">
        <w:rPr>
          <w:color w:val="FF0000"/>
          <w:u w:val="single"/>
        </w:rPr>
        <w:t>Por empezar, las políticas monetarias extremas tienden a limitar el alcance de la futura señalización de políticas y a reducir la efectividad de las tasas de interés que, en condiciones normales, son herramientas poderosas para influir en la producción y el empleo. Segundo, podrían exacerbar las vulnerabilidades previas a la pandemia que ya amenazaban a la economía mundial, sobre todo la acumulación de deuda, la mala asignación del crédito y el exceso de liquidez en el sector corporativo (donde son muchas las empresas que tienen balances problemáticos).</w:t>
      </w:r>
    </w:p>
    <w:p w:rsidR="00BE003C" w:rsidRDefault="00BE003C" w:rsidP="00BE003C">
      <w:pPr>
        <w:pStyle w:val="NormalWeb"/>
        <w:spacing w:after="420"/>
        <w:jc w:val="both"/>
        <w:textAlignment w:val="baseline"/>
      </w:pPr>
      <w:r w:rsidRPr="003874BA">
        <w:rPr>
          <w:color w:val="FF0000"/>
          <w:u w:val="single"/>
        </w:rPr>
        <w:t>Estas preocupaciones nos llevan al tercer punto: la mayor flexibilización de las condiciones de crédito y la expansión de los programas de crédito con respaldo público podrían endeudar más a empresas que no están en condiciones de convertir la deuda en valor. Las empresas “zombi” se mantendrían artificialmente con vida</w:t>
      </w:r>
      <w:r>
        <w:t xml:space="preserve">. </w:t>
      </w:r>
      <w:r w:rsidRPr="003874BA">
        <w:rPr>
          <w:color w:val="FF0000"/>
          <w:u w:val="single"/>
        </w:rPr>
        <w:t>Aún si estas medidas preservaran los empleos por ahora, eso no significa que sean el uso más efectivo de los recursos financieros.</w:t>
      </w:r>
      <w:r w:rsidRPr="003874BA">
        <w:rPr>
          <w:color w:val="FF0000"/>
        </w:rPr>
        <w:t xml:space="preserve"> </w:t>
      </w:r>
      <w:r>
        <w:t>La “década perdida” de Japón debería servir como una advertencia. Cuanto más avancen a los tumbos las empresas zombi, mayores serán las pérdidas cuando terminen colapsando.</w:t>
      </w:r>
    </w:p>
    <w:p w:rsidR="00BE003C" w:rsidRPr="003874BA" w:rsidRDefault="00BE003C" w:rsidP="00BE003C">
      <w:pPr>
        <w:pStyle w:val="NormalWeb"/>
        <w:spacing w:after="420"/>
        <w:jc w:val="both"/>
        <w:textAlignment w:val="baseline"/>
        <w:rPr>
          <w:b/>
          <w:color w:val="FF0000"/>
          <w:u w:val="single"/>
        </w:rPr>
      </w:pPr>
      <w:r w:rsidRPr="003874BA">
        <w:rPr>
          <w:b/>
          <w:color w:val="FF0000"/>
          <w:u w:val="single"/>
        </w:rPr>
        <w:t>Finalmente, depender de la política monetaria cuando la política fiscal sería más apropiada amenaza con reforzar la preferencia excesiva de los inversores por la liquidez, profundizando así la trampa de liquidez. Está de más decir que las políticas monetarias extremas pueden generar consecuencias extremas e inesperadas. Aunque la política monetaria no convencional se ha vuelto la norma, todavía no estamos del todo seguros de cómo funciona o de cómo afecta las expectativas y el comportamiento de la gente.</w:t>
      </w:r>
    </w:p>
    <w:p w:rsidR="00BE003C" w:rsidRDefault="00BE003C" w:rsidP="00BE003C">
      <w:pPr>
        <w:pStyle w:val="NormalWeb"/>
        <w:spacing w:after="420"/>
        <w:jc w:val="both"/>
        <w:textAlignment w:val="baseline"/>
      </w:pPr>
      <w:r w:rsidRPr="003874BA">
        <w:rPr>
          <w:u w:val="single"/>
        </w:rPr>
        <w:t>Sin duda, si el alcance de la política monetaria es limitado, el espacio para la política fiscal también es estrecho</w:t>
      </w:r>
      <w:r>
        <w:t>. Pero la emergencia actual y la amenaza de una recesión profunda (o inclusive de una depresión) indudablemente exigen políticas fiscales audaces y “no convencionales” respaldadas con otras herramientas, como el fondo de recuperación europeo que propusieron recientemente Francia y Alemania, e instrumentos de mercados de capital innovadores como bonos perpetuos, que ya han sido propuestos para la UE.</w:t>
      </w:r>
    </w:p>
    <w:p w:rsidR="00BE003C" w:rsidRPr="003874BA" w:rsidRDefault="00BE003C" w:rsidP="00BE003C">
      <w:pPr>
        <w:pStyle w:val="NormalWeb"/>
        <w:spacing w:after="420"/>
        <w:jc w:val="both"/>
        <w:textAlignment w:val="baseline"/>
        <w:rPr>
          <w:color w:val="FF0000"/>
          <w:u w:val="single"/>
          <w:lang w:val="en-US"/>
        </w:rPr>
      </w:pPr>
      <w:r w:rsidRPr="003874BA">
        <w:rPr>
          <w:color w:val="FF0000"/>
          <w:u w:val="single"/>
        </w:rPr>
        <w:lastRenderedPageBreak/>
        <w:t xml:space="preserve">Los tiempos excepcionales exigen medidas excepcionales. Pero debemos evitar repetir el error cometido en 2010, cuando los gobiernos apretaron los frenos de la política fiscal y mantuvieron el motor de la política monetaria a toda marcha. Ahora más que nunca, es imperativo impedir que las desigualdades existentes sigan profundizándose. </w:t>
      </w:r>
      <w:r w:rsidR="00C93CC1">
        <w:rPr>
          <w:color w:val="FF0000"/>
          <w:u w:val="single"/>
          <w:lang w:val="en-US"/>
        </w:rPr>
        <w:t>So</w:t>
      </w:r>
      <w:r w:rsidRPr="003874BA">
        <w:rPr>
          <w:color w:val="FF0000"/>
          <w:u w:val="single"/>
          <w:lang w:val="en-US"/>
        </w:rPr>
        <w:t xml:space="preserve">lo la </w:t>
      </w:r>
      <w:r w:rsidR="00C93CC1">
        <w:rPr>
          <w:color w:val="FF0000"/>
          <w:u w:val="single"/>
          <w:lang w:val="en-US"/>
        </w:rPr>
        <w:t>política</w:t>
      </w:r>
      <w:r w:rsidRPr="003874BA">
        <w:rPr>
          <w:color w:val="FF0000"/>
          <w:u w:val="single"/>
          <w:lang w:val="en-US"/>
        </w:rPr>
        <w:t xml:space="preserve"> fiscal puede propiciar ese objetivo.</w:t>
      </w:r>
    </w:p>
    <w:p w:rsidR="00BE003C" w:rsidRDefault="00BE003C" w:rsidP="00BE003C">
      <w:pPr>
        <w:pStyle w:val="NormalWeb"/>
        <w:spacing w:after="420"/>
        <w:jc w:val="both"/>
        <w:textAlignment w:val="baseline"/>
        <w:rPr>
          <w:lang w:val="en-US"/>
        </w:rPr>
      </w:pPr>
      <w:r>
        <w:rPr>
          <w:lang w:val="en-US"/>
        </w:rPr>
        <w:t>(</w:t>
      </w:r>
      <w:r w:rsidRPr="00775B06">
        <w:rPr>
          <w:lang w:val="en-US"/>
        </w:rPr>
        <w:t>Paola Subacchi, Professor of International Economics at the University of London’s Queen Mary Global Policy Institute, is the author, most rece</w:t>
      </w:r>
      <w:r>
        <w:rPr>
          <w:lang w:val="en-US"/>
        </w:rPr>
        <w:t>ntly, of The Cost of Free Money)</w:t>
      </w:r>
    </w:p>
    <w:p w:rsidR="00BE003C" w:rsidRPr="0075751D" w:rsidRDefault="00BE003C" w:rsidP="00BE003C">
      <w:pPr>
        <w:rPr>
          <w:rFonts w:ascii="Times New Roman" w:hAnsi="Times New Roman" w:cs="Times New Roman"/>
          <w:sz w:val="24"/>
          <w:szCs w:val="24"/>
        </w:rPr>
      </w:pPr>
      <w:r>
        <w:rPr>
          <w:rFonts w:ascii="Times New Roman" w:hAnsi="Times New Roman" w:cs="Times New Roman"/>
          <w:sz w:val="24"/>
          <w:szCs w:val="24"/>
        </w:rPr>
        <w:t xml:space="preserve">- </w:t>
      </w:r>
      <w:r w:rsidRPr="0075751D">
        <w:rPr>
          <w:rFonts w:ascii="Times New Roman" w:hAnsi="Times New Roman" w:cs="Times New Roman"/>
          <w:sz w:val="24"/>
          <w:szCs w:val="24"/>
          <w:u w:val="single"/>
        </w:rPr>
        <w:t>La no hamiltoniana inercia de Europa</w:t>
      </w:r>
      <w:r>
        <w:rPr>
          <w:rFonts w:ascii="Times New Roman" w:hAnsi="Times New Roman" w:cs="Times New Roman"/>
          <w:sz w:val="24"/>
          <w:szCs w:val="24"/>
        </w:rPr>
        <w:t xml:space="preserve"> (Project Syndicate - </w:t>
      </w:r>
      <w:r w:rsidRPr="0075751D">
        <w:rPr>
          <w:rFonts w:ascii="Times New Roman" w:hAnsi="Times New Roman" w:cs="Times New Roman"/>
          <w:b/>
          <w:sz w:val="24"/>
          <w:szCs w:val="24"/>
        </w:rPr>
        <w:t>1/6/20</w:t>
      </w:r>
      <w:r>
        <w:rPr>
          <w:rFonts w:ascii="Times New Roman" w:hAnsi="Times New Roman" w:cs="Times New Roman"/>
          <w:sz w:val="24"/>
          <w:szCs w:val="24"/>
        </w:rPr>
        <w:t>)</w:t>
      </w:r>
    </w:p>
    <w:p w:rsidR="00BE003C" w:rsidRPr="00DE5DA7" w:rsidRDefault="00BE003C" w:rsidP="00BE003C">
      <w:pPr>
        <w:spacing w:line="240" w:lineRule="auto"/>
        <w:jc w:val="both"/>
        <w:rPr>
          <w:rFonts w:ascii="Times New Roman" w:hAnsi="Times New Roman" w:cs="Times New Roman"/>
          <w:b/>
          <w:color w:val="FF0000"/>
          <w:sz w:val="24"/>
          <w:szCs w:val="24"/>
          <w:u w:val="single"/>
        </w:rPr>
      </w:pPr>
      <w:r>
        <w:rPr>
          <w:rFonts w:ascii="Times New Roman" w:hAnsi="Times New Roman" w:cs="Times New Roman"/>
          <w:sz w:val="24"/>
          <w:szCs w:val="24"/>
        </w:rPr>
        <w:t>Nueva York.-</w:t>
      </w:r>
      <w:r w:rsidRPr="0075751D">
        <w:rPr>
          <w:rFonts w:ascii="Times New Roman" w:hAnsi="Times New Roman" w:cs="Times New Roman"/>
          <w:sz w:val="24"/>
          <w:szCs w:val="24"/>
        </w:rPr>
        <w:t xml:space="preserve"> </w:t>
      </w:r>
      <w:r w:rsidRPr="00DE5DA7">
        <w:rPr>
          <w:rFonts w:ascii="Times New Roman" w:hAnsi="Times New Roman" w:cs="Times New Roman"/>
          <w:b/>
          <w:color w:val="FF0000"/>
          <w:sz w:val="24"/>
          <w:szCs w:val="24"/>
          <w:u w:val="single"/>
        </w:rPr>
        <w:t>La semana pasada, la Comisión Europea reveló un plan para ayudar a los países europeos a manejar el shock que (con una magnitud comparable a la Gran Depresión) ha generado la COVID‑19. Sobre la base de una reciente propuesta francoalemana, la Comisión propugna un fond</w:t>
      </w:r>
      <w:r w:rsidR="00FA411F">
        <w:rPr>
          <w:rFonts w:ascii="Times New Roman" w:hAnsi="Times New Roman" w:cs="Times New Roman"/>
          <w:b/>
          <w:color w:val="FF0000"/>
          <w:sz w:val="24"/>
          <w:szCs w:val="24"/>
          <w:u w:val="single"/>
        </w:rPr>
        <w:t>o de recuperación por 750.</w:t>
      </w:r>
      <w:r w:rsidRPr="00DE5DA7">
        <w:rPr>
          <w:rFonts w:ascii="Times New Roman" w:hAnsi="Times New Roman" w:cs="Times New Roman"/>
          <w:b/>
          <w:color w:val="FF0000"/>
          <w:sz w:val="24"/>
          <w:szCs w:val="24"/>
          <w:u w:val="single"/>
        </w:rPr>
        <w:t>000 millones de euros (834</w:t>
      </w:r>
      <w:r w:rsidR="00FA411F">
        <w:rPr>
          <w:rFonts w:ascii="Times New Roman" w:hAnsi="Times New Roman" w:cs="Times New Roman"/>
          <w:b/>
          <w:color w:val="FF0000"/>
          <w:sz w:val="24"/>
          <w:szCs w:val="24"/>
          <w:u w:val="single"/>
        </w:rPr>
        <w:t>.</w:t>
      </w:r>
      <w:r w:rsidRPr="00DE5DA7">
        <w:rPr>
          <w:rFonts w:ascii="Times New Roman" w:hAnsi="Times New Roman" w:cs="Times New Roman"/>
          <w:b/>
          <w:color w:val="FF0000"/>
          <w:sz w:val="24"/>
          <w:szCs w:val="24"/>
          <w:u w:val="single"/>
        </w:rPr>
        <w:t>000 millo</w:t>
      </w:r>
      <w:r w:rsidR="00FA411F">
        <w:rPr>
          <w:rFonts w:ascii="Times New Roman" w:hAnsi="Times New Roman" w:cs="Times New Roman"/>
          <w:b/>
          <w:color w:val="FF0000"/>
          <w:sz w:val="24"/>
          <w:szCs w:val="24"/>
          <w:u w:val="single"/>
        </w:rPr>
        <w:t>nes de dólares), de los que 500.</w:t>
      </w:r>
      <w:r w:rsidRPr="00DE5DA7">
        <w:rPr>
          <w:rFonts w:ascii="Times New Roman" w:hAnsi="Times New Roman" w:cs="Times New Roman"/>
          <w:b/>
          <w:color w:val="FF0000"/>
          <w:sz w:val="24"/>
          <w:szCs w:val="24"/>
          <w:u w:val="single"/>
        </w:rPr>
        <w:t xml:space="preserve">000 millones se distribuirán en la forma </w:t>
      </w:r>
      <w:r w:rsidR="00FA411F">
        <w:rPr>
          <w:rFonts w:ascii="Times New Roman" w:hAnsi="Times New Roman" w:cs="Times New Roman"/>
          <w:b/>
          <w:color w:val="FF0000"/>
          <w:sz w:val="24"/>
          <w:szCs w:val="24"/>
          <w:u w:val="single"/>
        </w:rPr>
        <w:t>de subvenciones y los otros 250.</w:t>
      </w:r>
      <w:r w:rsidRPr="00DE5DA7">
        <w:rPr>
          <w:rFonts w:ascii="Times New Roman" w:hAnsi="Times New Roman" w:cs="Times New Roman"/>
          <w:b/>
          <w:color w:val="FF0000"/>
          <w:sz w:val="24"/>
          <w:szCs w:val="24"/>
          <w:u w:val="single"/>
        </w:rPr>
        <w:t>000 millones como préstamos.</w:t>
      </w:r>
    </w:p>
    <w:p w:rsidR="00BE003C" w:rsidRPr="0075751D" w:rsidRDefault="00BE003C" w:rsidP="00BE003C">
      <w:pPr>
        <w:spacing w:line="240" w:lineRule="auto"/>
        <w:jc w:val="both"/>
        <w:rPr>
          <w:rFonts w:ascii="Times New Roman" w:hAnsi="Times New Roman" w:cs="Times New Roman"/>
          <w:sz w:val="24"/>
          <w:szCs w:val="24"/>
        </w:rPr>
      </w:pPr>
      <w:r w:rsidRPr="00DE5DA7">
        <w:rPr>
          <w:rFonts w:ascii="Times New Roman" w:hAnsi="Times New Roman" w:cs="Times New Roman"/>
          <w:color w:val="FF0000"/>
          <w:sz w:val="24"/>
          <w:szCs w:val="24"/>
          <w:u w:val="single"/>
        </w:rPr>
        <w:t>El dinero distribuido co</w:t>
      </w:r>
      <w:r>
        <w:rPr>
          <w:rFonts w:ascii="Times New Roman" w:hAnsi="Times New Roman" w:cs="Times New Roman"/>
          <w:color w:val="FF0000"/>
          <w:sz w:val="24"/>
          <w:szCs w:val="24"/>
          <w:u w:val="single"/>
        </w:rPr>
        <w:t>nforme a este plan, denominado “Next Generation EU”</w:t>
      </w:r>
      <w:r w:rsidRPr="00DE5DA7">
        <w:rPr>
          <w:rFonts w:ascii="Times New Roman" w:hAnsi="Times New Roman" w:cs="Times New Roman"/>
          <w:color w:val="FF0000"/>
          <w:sz w:val="24"/>
          <w:szCs w:val="24"/>
          <w:u w:val="single"/>
        </w:rPr>
        <w:t>, fluirá a través de programas de la Unión Europea, con la mirada puesta en el cumplimiento de objetivos de la Comisión, incluida su agenda medioambiental y para la economía digital</w:t>
      </w:r>
      <w:r w:rsidRPr="0075751D">
        <w:rPr>
          <w:rFonts w:ascii="Times New Roman" w:hAnsi="Times New Roman" w:cs="Times New Roman"/>
          <w:sz w:val="24"/>
          <w:szCs w:val="24"/>
        </w:rPr>
        <w:t>. La Comisión buscará fondos en los mercados mediante la emisión de bonos a largo plazo, con el respaldo de un aumento sugerido de los recursos tributarios, por ejemplo impuestos a las emisiones de gases de efecto invernadero, los servicios digitales y otras ár</w:t>
      </w:r>
      <w:r>
        <w:rPr>
          <w:rFonts w:ascii="Times New Roman" w:hAnsi="Times New Roman" w:cs="Times New Roman"/>
          <w:sz w:val="24"/>
          <w:szCs w:val="24"/>
        </w:rPr>
        <w:t>eas del comercio supranacional.</w:t>
      </w:r>
    </w:p>
    <w:p w:rsidR="00BE003C" w:rsidRPr="00DE5DA7" w:rsidRDefault="00BE003C" w:rsidP="00BE003C">
      <w:pPr>
        <w:spacing w:line="240" w:lineRule="auto"/>
        <w:jc w:val="both"/>
        <w:rPr>
          <w:rFonts w:ascii="Times New Roman" w:hAnsi="Times New Roman" w:cs="Times New Roman"/>
          <w:color w:val="FF0000"/>
          <w:sz w:val="24"/>
          <w:szCs w:val="24"/>
          <w:u w:val="single"/>
        </w:rPr>
      </w:pPr>
      <w:r w:rsidRPr="0075751D">
        <w:rPr>
          <w:rFonts w:ascii="Times New Roman" w:hAnsi="Times New Roman" w:cs="Times New Roman"/>
          <w:sz w:val="24"/>
          <w:szCs w:val="24"/>
        </w:rPr>
        <w:t xml:space="preserve">Aunque los autores estamos entre los pocos comentaristas que anticiparon que la UE iba a ofrecer un plan muy superior a las expectativas de la mayoría de los participantes del mercado y de los analistas, nos permitimos recomendar a las autoridades europeas mantener una mirada realista respecto de las posibilidades del momento. </w:t>
      </w:r>
      <w:r w:rsidRPr="00DE5DA7">
        <w:rPr>
          <w:rFonts w:ascii="Times New Roman" w:hAnsi="Times New Roman" w:cs="Times New Roman"/>
          <w:color w:val="FF0000"/>
          <w:sz w:val="24"/>
          <w:szCs w:val="24"/>
          <w:u w:val="single"/>
        </w:rPr>
        <w:t>Todavía es prematuro</w:t>
      </w:r>
      <w:r>
        <w:rPr>
          <w:rFonts w:ascii="Times New Roman" w:hAnsi="Times New Roman" w:cs="Times New Roman"/>
          <w:color w:val="FF0000"/>
          <w:sz w:val="24"/>
          <w:szCs w:val="24"/>
          <w:u w:val="single"/>
        </w:rPr>
        <w:t xml:space="preserve"> para celebrar el tan esperado “momento hamiltoniano”</w:t>
      </w:r>
      <w:r w:rsidRPr="00DE5DA7">
        <w:rPr>
          <w:rFonts w:ascii="Times New Roman" w:hAnsi="Times New Roman" w:cs="Times New Roman"/>
          <w:color w:val="FF0000"/>
          <w:sz w:val="24"/>
          <w:szCs w:val="24"/>
          <w:u w:val="single"/>
        </w:rPr>
        <w:t xml:space="preserve"> de la mutualización de deudas dentro de la UE.</w:t>
      </w:r>
    </w:p>
    <w:p w:rsidR="00BE003C" w:rsidRPr="00DE5DA7" w:rsidRDefault="00BE003C" w:rsidP="00BE003C">
      <w:pPr>
        <w:spacing w:line="240" w:lineRule="auto"/>
        <w:jc w:val="both"/>
        <w:rPr>
          <w:rFonts w:ascii="Times New Roman" w:hAnsi="Times New Roman" w:cs="Times New Roman"/>
          <w:sz w:val="24"/>
          <w:szCs w:val="24"/>
          <w:u w:val="single"/>
        </w:rPr>
      </w:pPr>
      <w:r w:rsidRPr="00DE5DA7">
        <w:rPr>
          <w:rFonts w:ascii="Times New Roman" w:hAnsi="Times New Roman" w:cs="Times New Roman"/>
          <w:sz w:val="24"/>
          <w:szCs w:val="24"/>
          <w:u w:val="single"/>
        </w:rPr>
        <w:t>Hoy la UE sigue siendo una unión de transferencias incompleta, en la que los recursos (humanos, físicos, financieros) van de la periferia al centro, es decir, al Reino Unido y Alemania</w:t>
      </w:r>
      <w:r w:rsidRPr="0075751D">
        <w:rPr>
          <w:rFonts w:ascii="Times New Roman" w:hAnsi="Times New Roman" w:cs="Times New Roman"/>
          <w:sz w:val="24"/>
          <w:szCs w:val="24"/>
        </w:rPr>
        <w:t xml:space="preserve">. Irónicamente, uno de estos polos de atracción (el RU) decidió abandonar el bloque, con el argumento aparente de cortar el ingreso de inmigrantes a su economía. </w:t>
      </w:r>
      <w:r w:rsidRPr="00DE5DA7">
        <w:rPr>
          <w:rFonts w:ascii="Times New Roman" w:hAnsi="Times New Roman" w:cs="Times New Roman"/>
          <w:sz w:val="24"/>
          <w:szCs w:val="24"/>
          <w:u w:val="single"/>
        </w:rPr>
        <w:t>Con el Brexit, que oficialmente tuvo lugar el 31 de enero, la UE ha comenzado un proceso literal de desintegración.</w:t>
      </w:r>
    </w:p>
    <w:p w:rsidR="00BE003C" w:rsidRPr="0075751D" w:rsidRDefault="00BE003C" w:rsidP="00BE003C">
      <w:pPr>
        <w:spacing w:line="240" w:lineRule="auto"/>
        <w:jc w:val="both"/>
        <w:rPr>
          <w:rFonts w:ascii="Times New Roman" w:hAnsi="Times New Roman" w:cs="Times New Roman"/>
          <w:sz w:val="24"/>
          <w:szCs w:val="24"/>
        </w:rPr>
      </w:pPr>
      <w:r w:rsidRPr="00DE5DA7">
        <w:rPr>
          <w:rFonts w:ascii="Times New Roman" w:hAnsi="Times New Roman" w:cs="Times New Roman"/>
          <w:color w:val="FF0000"/>
          <w:sz w:val="24"/>
          <w:szCs w:val="24"/>
          <w:u w:val="single"/>
        </w:rPr>
        <w:t>Los optimistas creen que la salida del RU hará posible el surgimiento de una UE más cohesionada, pero es posible que se confíen demasiado en sus predicciones.</w:t>
      </w:r>
      <w:r w:rsidRPr="00DE5DA7">
        <w:rPr>
          <w:rFonts w:ascii="Times New Roman" w:hAnsi="Times New Roman" w:cs="Times New Roman"/>
          <w:color w:val="FF0000"/>
          <w:sz w:val="24"/>
          <w:szCs w:val="24"/>
        </w:rPr>
        <w:t xml:space="preserve"> </w:t>
      </w:r>
      <w:r w:rsidRPr="0075751D">
        <w:rPr>
          <w:rFonts w:ascii="Times New Roman" w:hAnsi="Times New Roman" w:cs="Times New Roman"/>
          <w:sz w:val="24"/>
          <w:szCs w:val="24"/>
        </w:rPr>
        <w:t>Al fin y al cabo, el RU no era tanto un obstáculo a la integración cuanto una excusa para que otros estados miembros reticentes evitaran un estrechamiento de vínculos. Por ejemplo, no fue el RU el que bloqueó el esquema europeo de seguros de depósitos, necesario para completar la unión bancaria de la eurozona: ese h</w:t>
      </w:r>
      <w:r>
        <w:rPr>
          <w:rFonts w:ascii="Times New Roman" w:hAnsi="Times New Roman" w:cs="Times New Roman"/>
          <w:sz w:val="24"/>
          <w:szCs w:val="24"/>
        </w:rPr>
        <w:t>onor le corresponde a Alemania.</w:t>
      </w:r>
    </w:p>
    <w:p w:rsidR="00BE003C" w:rsidRPr="00DE5DA7" w:rsidRDefault="00BE003C" w:rsidP="00BE003C">
      <w:pPr>
        <w:spacing w:line="240" w:lineRule="auto"/>
        <w:jc w:val="both"/>
        <w:rPr>
          <w:rFonts w:ascii="Times New Roman" w:hAnsi="Times New Roman" w:cs="Times New Roman"/>
          <w:color w:val="FF0000"/>
          <w:sz w:val="24"/>
          <w:szCs w:val="24"/>
          <w:u w:val="single"/>
        </w:rPr>
      </w:pPr>
      <w:r w:rsidRPr="00DE5DA7">
        <w:rPr>
          <w:rFonts w:ascii="Times New Roman" w:hAnsi="Times New Roman" w:cs="Times New Roman"/>
          <w:color w:val="FF0000"/>
          <w:sz w:val="24"/>
          <w:szCs w:val="24"/>
          <w:u w:val="single"/>
        </w:rPr>
        <w:t>Con el ascenso de partidos populistas en toda Europa, era bien sabido que la siguiente crisis importante sería una amenaza existencial a la UE. Este es el momento para que la UE demuestre que está a la altura del desafío de completar el proceso de integración. No hacerlo i</w:t>
      </w:r>
      <w:r w:rsidR="00C93CC1">
        <w:rPr>
          <w:rFonts w:ascii="Times New Roman" w:hAnsi="Times New Roman" w:cs="Times New Roman"/>
          <w:color w:val="FF0000"/>
          <w:sz w:val="24"/>
          <w:szCs w:val="24"/>
          <w:u w:val="single"/>
        </w:rPr>
        <w:t>mplica riesgo de confrontar un “momento jeffersoniano”</w:t>
      </w:r>
      <w:r w:rsidRPr="00DE5DA7">
        <w:rPr>
          <w:rFonts w:ascii="Times New Roman" w:hAnsi="Times New Roman" w:cs="Times New Roman"/>
          <w:color w:val="FF0000"/>
          <w:sz w:val="24"/>
          <w:szCs w:val="24"/>
          <w:u w:val="single"/>
        </w:rPr>
        <w:t xml:space="preserve"> de retroceso a alguna forma de confederación con un grado de soberanía compartida limitado.</w:t>
      </w:r>
    </w:p>
    <w:p w:rsidR="00BE003C" w:rsidRPr="00DE5DA7" w:rsidRDefault="00BE003C" w:rsidP="00BE003C">
      <w:pPr>
        <w:spacing w:line="240" w:lineRule="auto"/>
        <w:jc w:val="both"/>
        <w:rPr>
          <w:rFonts w:ascii="Times New Roman" w:hAnsi="Times New Roman" w:cs="Times New Roman"/>
          <w:sz w:val="24"/>
          <w:szCs w:val="24"/>
          <w:u w:val="single"/>
        </w:rPr>
      </w:pPr>
      <w:r w:rsidRPr="0075751D">
        <w:rPr>
          <w:rFonts w:ascii="Times New Roman" w:hAnsi="Times New Roman" w:cs="Times New Roman"/>
          <w:sz w:val="24"/>
          <w:szCs w:val="24"/>
        </w:rPr>
        <w:lastRenderedPageBreak/>
        <w:t xml:space="preserve">Frente al abismo, Francia y Alemania idearon un plan para mitigar el efecto económico devastador de la pandemia. Pero más allá de los méritos reales de la propuesta, </w:t>
      </w:r>
      <w:r w:rsidRPr="00DE5DA7">
        <w:rPr>
          <w:rFonts w:ascii="Times New Roman" w:hAnsi="Times New Roman" w:cs="Times New Roman"/>
          <w:sz w:val="24"/>
          <w:szCs w:val="24"/>
          <w:u w:val="single"/>
        </w:rPr>
        <w:t>Alexander Hamilton tendría buenos motivos para no estar satisfecho. Para empezar, la emisión de bonos prevista no constituye una auténtica mutualización de</w:t>
      </w:r>
      <w:r>
        <w:rPr>
          <w:rFonts w:ascii="Times New Roman" w:hAnsi="Times New Roman" w:cs="Times New Roman"/>
          <w:sz w:val="24"/>
          <w:szCs w:val="24"/>
          <w:u w:val="single"/>
        </w:rPr>
        <w:t xml:space="preserve"> deudas, porque no incluye una “garantía solidaria”</w:t>
      </w:r>
      <w:r w:rsidRPr="00DE5DA7">
        <w:rPr>
          <w:rFonts w:ascii="Times New Roman" w:hAnsi="Times New Roman" w:cs="Times New Roman"/>
          <w:sz w:val="24"/>
          <w:szCs w:val="24"/>
          <w:u w:val="single"/>
        </w:rPr>
        <w:t>. La propuesta del financista George Soros de que la UE emita bonos perpetuos, o consols, puede atenuar este problema, pero no resolverlo. Y en cualquier caso, si los fondos no están disponibles cuando llegue el verano, tal vez ya sea demasiado tarde para países muy afectados como Italia, Grecia y España, a los que por si fuera poco les aguarda una temporada turística espantosa.</w:t>
      </w:r>
    </w:p>
    <w:p w:rsidR="00BE003C" w:rsidRPr="00DE5DA7" w:rsidRDefault="00BE003C" w:rsidP="00BE003C">
      <w:pPr>
        <w:spacing w:line="240" w:lineRule="auto"/>
        <w:jc w:val="both"/>
        <w:rPr>
          <w:rFonts w:ascii="Times New Roman" w:hAnsi="Times New Roman" w:cs="Times New Roman"/>
          <w:sz w:val="24"/>
          <w:szCs w:val="24"/>
          <w:u w:val="single"/>
        </w:rPr>
      </w:pPr>
      <w:r w:rsidRPr="00DE5DA7">
        <w:rPr>
          <w:rFonts w:ascii="Times New Roman" w:hAnsi="Times New Roman" w:cs="Times New Roman"/>
          <w:b/>
          <w:color w:val="FF0000"/>
          <w:sz w:val="24"/>
          <w:szCs w:val="24"/>
          <w:u w:val="single"/>
        </w:rPr>
        <w:t>Sobre t</w:t>
      </w:r>
      <w:r>
        <w:rPr>
          <w:rFonts w:ascii="Times New Roman" w:hAnsi="Times New Roman" w:cs="Times New Roman"/>
          <w:b/>
          <w:color w:val="FF0000"/>
          <w:sz w:val="24"/>
          <w:szCs w:val="24"/>
          <w:u w:val="single"/>
        </w:rPr>
        <w:t>odo, la desconfianza entre los “</w:t>
      </w:r>
      <w:r w:rsidRPr="00DE5DA7">
        <w:rPr>
          <w:rFonts w:ascii="Times New Roman" w:hAnsi="Times New Roman" w:cs="Times New Roman"/>
          <w:b/>
          <w:color w:val="FF0000"/>
          <w:sz w:val="24"/>
          <w:szCs w:val="24"/>
          <w:u w:val="single"/>
        </w:rPr>
        <w:t>cuatro</w:t>
      </w:r>
      <w:r>
        <w:rPr>
          <w:rFonts w:ascii="Times New Roman" w:hAnsi="Times New Roman" w:cs="Times New Roman"/>
          <w:b/>
          <w:color w:val="FF0000"/>
          <w:sz w:val="24"/>
          <w:szCs w:val="24"/>
          <w:u w:val="single"/>
        </w:rPr>
        <w:t xml:space="preserve"> frugales”</w:t>
      </w:r>
      <w:r w:rsidRPr="00DE5DA7">
        <w:rPr>
          <w:rFonts w:ascii="Times New Roman" w:hAnsi="Times New Roman" w:cs="Times New Roman"/>
          <w:b/>
          <w:color w:val="FF0000"/>
          <w:sz w:val="24"/>
          <w:szCs w:val="24"/>
          <w:u w:val="single"/>
        </w:rPr>
        <w:t xml:space="preserve"> de la UE (Austria, Dinamarca, Países B</w:t>
      </w:r>
      <w:r>
        <w:rPr>
          <w:rFonts w:ascii="Times New Roman" w:hAnsi="Times New Roman" w:cs="Times New Roman"/>
          <w:b/>
          <w:color w:val="FF0000"/>
          <w:sz w:val="24"/>
          <w:szCs w:val="24"/>
          <w:u w:val="single"/>
        </w:rPr>
        <w:t>ajos y Suecia) y los presuntos “pródigos”</w:t>
      </w:r>
      <w:r w:rsidRPr="00DE5DA7">
        <w:rPr>
          <w:rFonts w:ascii="Times New Roman" w:hAnsi="Times New Roman" w:cs="Times New Roman"/>
          <w:b/>
          <w:color w:val="FF0000"/>
          <w:sz w:val="24"/>
          <w:szCs w:val="24"/>
          <w:u w:val="single"/>
        </w:rPr>
        <w:t xml:space="preserve"> del sur (entre ellos Italia, España y Grecia) sigue siendo tan profunda que es francamente difícil imaginar que se llegue a una solución duradera</w:t>
      </w:r>
      <w:r w:rsidRPr="0075751D">
        <w:rPr>
          <w:rFonts w:ascii="Times New Roman" w:hAnsi="Times New Roman" w:cs="Times New Roman"/>
          <w:sz w:val="24"/>
          <w:szCs w:val="24"/>
        </w:rPr>
        <w:t xml:space="preserve">. </w:t>
      </w:r>
      <w:r w:rsidRPr="00DE5DA7">
        <w:rPr>
          <w:rFonts w:ascii="Times New Roman" w:hAnsi="Times New Roman" w:cs="Times New Roman"/>
          <w:sz w:val="24"/>
          <w:szCs w:val="24"/>
          <w:u w:val="single"/>
        </w:rPr>
        <w:t>Un reciente fallo del tribunal constitucional de Alemania envió a las instituciones europeas una fuerte señal de lo que es posible esperar. Aunque al final el Tribunal Europeo de Justicia anulará la decisión y el Banco Central Europeo la ignorará, lo cierto es que hay límites políticos a las acciones del BCE.</w:t>
      </w:r>
    </w:p>
    <w:p w:rsidR="00BE003C" w:rsidRPr="0075751D" w:rsidRDefault="00BE003C" w:rsidP="00BE003C">
      <w:pPr>
        <w:spacing w:line="240" w:lineRule="auto"/>
        <w:jc w:val="both"/>
        <w:rPr>
          <w:rFonts w:ascii="Times New Roman" w:hAnsi="Times New Roman" w:cs="Times New Roman"/>
          <w:sz w:val="24"/>
          <w:szCs w:val="24"/>
        </w:rPr>
      </w:pPr>
      <w:r w:rsidRPr="00DE5DA7">
        <w:rPr>
          <w:rFonts w:ascii="Times New Roman" w:hAnsi="Times New Roman" w:cs="Times New Roman"/>
          <w:color w:val="FF0000"/>
          <w:sz w:val="24"/>
          <w:szCs w:val="24"/>
          <w:u w:val="single"/>
        </w:rPr>
        <w:t>Alemania tendrá que elegir entre ofrecer un mecanismo de apoyo fiscal paneuropeo parcial con dinero de sus contribuyentes o permitir que las instituciones europeas provean apoyo mutuo suficiente a toda la unión monetaria (comenzando por el presupuesto de la eurozona). Si la propuesta de fondo europeo de recuperación fuera capaz de revitalizar el presupuesto de la eurozona (en particular la nunca acordada función de estabilización) ya sería un avance importante</w:t>
      </w:r>
      <w:r>
        <w:rPr>
          <w:rFonts w:ascii="Times New Roman" w:hAnsi="Times New Roman" w:cs="Times New Roman"/>
          <w:sz w:val="24"/>
          <w:szCs w:val="24"/>
        </w:rPr>
        <w:t>.</w:t>
      </w:r>
    </w:p>
    <w:p w:rsidR="00BE003C" w:rsidRPr="0075751D" w:rsidRDefault="00BE003C" w:rsidP="00BE003C">
      <w:pPr>
        <w:spacing w:line="240" w:lineRule="auto"/>
        <w:jc w:val="both"/>
        <w:rPr>
          <w:rFonts w:ascii="Times New Roman" w:hAnsi="Times New Roman" w:cs="Times New Roman"/>
          <w:sz w:val="24"/>
          <w:szCs w:val="24"/>
        </w:rPr>
      </w:pPr>
      <w:r w:rsidRPr="00DE5DA7">
        <w:rPr>
          <w:rFonts w:ascii="Times New Roman" w:hAnsi="Times New Roman" w:cs="Times New Roman"/>
          <w:color w:val="FF0000"/>
          <w:sz w:val="24"/>
          <w:szCs w:val="24"/>
          <w:u w:val="single"/>
        </w:rPr>
        <w:t>Es de suponer que Alemania suscribió el plan conjunto con Francia porque se di</w:t>
      </w:r>
      <w:r>
        <w:rPr>
          <w:rFonts w:ascii="Times New Roman" w:hAnsi="Times New Roman" w:cs="Times New Roman"/>
          <w:color w:val="FF0000"/>
          <w:sz w:val="24"/>
          <w:szCs w:val="24"/>
          <w:u w:val="single"/>
        </w:rPr>
        <w:t>o cuenta de que no puede decir “nein”</w:t>
      </w:r>
      <w:r w:rsidRPr="00DE5DA7">
        <w:rPr>
          <w:rFonts w:ascii="Times New Roman" w:hAnsi="Times New Roman" w:cs="Times New Roman"/>
          <w:color w:val="FF0000"/>
          <w:sz w:val="24"/>
          <w:szCs w:val="24"/>
          <w:u w:val="single"/>
        </w:rPr>
        <w:t xml:space="preserve"> a un mecanismo de apoyo monetario y a un mecanismo de apoyo fiscal (es decir, la naciente unión fiscal y de transferencias). Ambos son necesarios para que el euro sobreviva.</w:t>
      </w:r>
      <w:r w:rsidRPr="00DE5DA7">
        <w:rPr>
          <w:rFonts w:ascii="Times New Roman" w:hAnsi="Times New Roman" w:cs="Times New Roman"/>
          <w:color w:val="FF0000"/>
          <w:sz w:val="24"/>
          <w:szCs w:val="24"/>
        </w:rPr>
        <w:t xml:space="preserve"> </w:t>
      </w:r>
      <w:r w:rsidRPr="0075751D">
        <w:rPr>
          <w:rFonts w:ascii="Times New Roman" w:hAnsi="Times New Roman" w:cs="Times New Roman"/>
          <w:sz w:val="24"/>
          <w:szCs w:val="24"/>
        </w:rPr>
        <w:t>Pero incluso tras la implementación de esos mecanismos, quedarían cuestiones críticas sin resolver, en particular la sostenibilidad de la creciente deuda pública italiana. Ahora que su ventaja comparativa en turismo ha quedado tan debilitada, Italia tendrá que hacer esfuerzos enormes para restaurar el c</w:t>
      </w:r>
      <w:r>
        <w:rPr>
          <w:rFonts w:ascii="Times New Roman" w:hAnsi="Times New Roman" w:cs="Times New Roman"/>
          <w:sz w:val="24"/>
          <w:szCs w:val="24"/>
        </w:rPr>
        <w:t>recimiento y la competitividad.</w:t>
      </w:r>
    </w:p>
    <w:p w:rsidR="00BE003C" w:rsidRPr="00DE5DA7" w:rsidRDefault="00BE003C" w:rsidP="00BE003C">
      <w:pPr>
        <w:spacing w:line="240" w:lineRule="auto"/>
        <w:jc w:val="both"/>
        <w:rPr>
          <w:rFonts w:ascii="Times New Roman" w:hAnsi="Times New Roman" w:cs="Times New Roman"/>
          <w:b/>
          <w:color w:val="FF0000"/>
          <w:sz w:val="24"/>
          <w:szCs w:val="24"/>
          <w:u w:val="single"/>
        </w:rPr>
      </w:pPr>
      <w:r w:rsidRPr="00DE5DA7">
        <w:rPr>
          <w:rFonts w:ascii="Times New Roman" w:hAnsi="Times New Roman" w:cs="Times New Roman"/>
          <w:b/>
          <w:color w:val="FF0000"/>
          <w:sz w:val="24"/>
          <w:szCs w:val="24"/>
          <w:u w:val="single"/>
        </w:rPr>
        <w:t>Aunque en general cualquier respuesta paneuropea a la crisis de la COVID‑19 es un paso en la dirección correcta (y sin duda mejor que no hacer nada), hay pocos motivos para esperar que la UE abandone su larga tradición de postergar la solución real de los problemas. Si la dirigencia europea puede evitar un frac</w:t>
      </w:r>
      <w:r>
        <w:rPr>
          <w:rFonts w:ascii="Times New Roman" w:hAnsi="Times New Roman" w:cs="Times New Roman"/>
          <w:b/>
          <w:color w:val="FF0000"/>
          <w:sz w:val="24"/>
          <w:szCs w:val="24"/>
          <w:u w:val="single"/>
        </w:rPr>
        <w:t>aso inmediato de los proyectos “UE” y “euro”</w:t>
      </w:r>
      <w:r w:rsidRPr="00DE5DA7">
        <w:rPr>
          <w:rFonts w:ascii="Times New Roman" w:hAnsi="Times New Roman" w:cs="Times New Roman"/>
          <w:b/>
          <w:color w:val="FF0000"/>
          <w:sz w:val="24"/>
          <w:szCs w:val="24"/>
          <w:u w:val="single"/>
        </w:rPr>
        <w:t>, al menos habrá alejado los enormes costos económicos, sociales y políticos derivados de seguir por el camino de la desintegración acelerada. Pero si el resultado neto de la respuesta europea es la continuidad de la tradicional inercia, Europa quedará mal preparada para el mundo post‑COVID, donde otras grandes economías continentales (Estados Unidos, China y la India) tomarán las decisiones geoestratégicas y económicas más importantes.</w:t>
      </w:r>
    </w:p>
    <w:p w:rsidR="00BE003C" w:rsidRDefault="00BE003C" w:rsidP="00BE003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75751D">
        <w:rPr>
          <w:rFonts w:ascii="Times New Roman" w:hAnsi="Times New Roman" w:cs="Times New Roman"/>
          <w:sz w:val="24"/>
          <w:szCs w:val="24"/>
          <w:lang w:val="en-US"/>
        </w:rPr>
        <w:t>Nouriel Roubini, Professor of Economics at New York University's Stern School of Business and Chairman of Roubini Macro Associates, was Senior Economist for International Affairs in the White House’s Council of Economic Advisers during the Clinton Administration. He has worked for the International Monetary Fund, the US Federal Reserve, and the World Bank. His</w:t>
      </w:r>
      <w:r>
        <w:rPr>
          <w:rFonts w:ascii="Times New Roman" w:hAnsi="Times New Roman" w:cs="Times New Roman"/>
          <w:sz w:val="24"/>
          <w:szCs w:val="24"/>
          <w:lang w:val="en-US"/>
        </w:rPr>
        <w:t xml:space="preserve"> website is NourielRoubini.com. </w:t>
      </w:r>
      <w:r w:rsidRPr="0075751D">
        <w:rPr>
          <w:rFonts w:ascii="Times New Roman" w:hAnsi="Times New Roman" w:cs="Times New Roman"/>
          <w:sz w:val="24"/>
          <w:szCs w:val="24"/>
          <w:lang w:val="en-US"/>
        </w:rPr>
        <w:t xml:space="preserve">Brunello Rosa, CEO and Head of Research at Rosa &amp; Roubini Associates, is a visiting </w:t>
      </w:r>
      <w:r>
        <w:rPr>
          <w:rFonts w:ascii="Times New Roman" w:hAnsi="Times New Roman" w:cs="Times New Roman"/>
          <w:sz w:val="24"/>
          <w:szCs w:val="24"/>
          <w:lang w:val="en-US"/>
        </w:rPr>
        <w:t>professor at Bocconi University)</w:t>
      </w:r>
    </w:p>
    <w:p w:rsidR="00FA411F" w:rsidRDefault="00FA411F" w:rsidP="00FA411F">
      <w:pPr>
        <w:pStyle w:val="NormalWeb"/>
        <w:spacing w:after="420"/>
        <w:jc w:val="both"/>
        <w:textAlignment w:val="baseline"/>
      </w:pPr>
      <w:r>
        <w:lastRenderedPageBreak/>
        <w:t xml:space="preserve">- </w:t>
      </w:r>
      <w:r w:rsidRPr="003B2FEC">
        <w:rPr>
          <w:u w:val="single"/>
        </w:rPr>
        <w:t>La pandemia del coronavirus costará a EEUU casi 8 billones de dólares y hasta una década de recuperación</w:t>
      </w:r>
      <w:r>
        <w:t xml:space="preserve"> (El Economista - </w:t>
      </w:r>
      <w:r w:rsidRPr="003B2FEC">
        <w:rPr>
          <w:b/>
        </w:rPr>
        <w:t>2/6/20</w:t>
      </w:r>
      <w:r>
        <w:t>)</w:t>
      </w:r>
    </w:p>
    <w:p w:rsidR="00FA411F" w:rsidRDefault="00FA411F" w:rsidP="00FA411F">
      <w:pPr>
        <w:pStyle w:val="NormalWeb"/>
        <w:spacing w:after="420"/>
        <w:jc w:val="both"/>
        <w:textAlignment w:val="baseline"/>
      </w:pPr>
      <w:r>
        <w:t>(Por José Luis de Haro)</w:t>
      </w:r>
    </w:p>
    <w:p w:rsidR="00FA411F" w:rsidRPr="00DC51D8" w:rsidRDefault="00FA411F" w:rsidP="00FA411F">
      <w:pPr>
        <w:pStyle w:val="NormalWeb"/>
        <w:spacing w:after="420"/>
        <w:jc w:val="both"/>
        <w:textAlignment w:val="baseline"/>
        <w:rPr>
          <w:b/>
          <w:color w:val="FF0000"/>
          <w:u w:val="single"/>
        </w:rPr>
      </w:pPr>
      <w:r w:rsidRPr="00DC51D8">
        <w:rPr>
          <w:b/>
          <w:color w:val="FF0000"/>
          <w:u w:val="single"/>
        </w:rPr>
        <w:t>La Oficina Presupuestaria del Congreso (CBO, por sus siglas en inglés) estima que la pandemia del Covid-19 costará a la economía de Estados Unidos 7,9 billones de dólares en la próxima década incluso después de los distintos planes de estímulos ya aprobados por el Congreso y la Casa Blanca.</w:t>
      </w:r>
    </w:p>
    <w:p w:rsidR="00FA411F" w:rsidRDefault="00FA411F" w:rsidP="00FA411F">
      <w:pPr>
        <w:pStyle w:val="NormalWeb"/>
        <w:spacing w:after="420"/>
        <w:jc w:val="both"/>
        <w:textAlignment w:val="baseline"/>
      </w:pPr>
      <w:r w:rsidRPr="00DC51D8">
        <w:rPr>
          <w:color w:val="FF0000"/>
          <w:u w:val="single"/>
        </w:rPr>
        <w:t>De esta forma, hasta el año fiscal 2030, el virus reducirá la producción económica real (el PIB nominal ajustado a la inflación) en un 3% con respecto a las estimaciones económicas iniciales publicadas en enero antes de la pandemia</w:t>
      </w:r>
      <w:r>
        <w:t>. En estos momentos, el país cuenta con 1,79 millones de infecciones que han provocado 104.484 muertes. Aun así, sus 50 estados han reabierto ya en mayor o menor grado sus servicios no esenciales.</w:t>
      </w:r>
    </w:p>
    <w:p w:rsidR="00FA411F" w:rsidRPr="00DC51D8" w:rsidRDefault="00FA411F" w:rsidP="00FA411F">
      <w:pPr>
        <w:pStyle w:val="NormalWeb"/>
        <w:spacing w:after="420"/>
        <w:jc w:val="both"/>
        <w:textAlignment w:val="baseline"/>
        <w:rPr>
          <w:u w:val="single"/>
        </w:rPr>
      </w:pPr>
      <w:r>
        <w:t xml:space="preserve">“Se espera que los cierres de negocios y las medidas de distanciamiento social reduzcan el gasto de los consumidores, mientras que la reciente caída en los precios de la energía reducirá severamente la inversión de EEUU en el sector energético”, señaló el director de la CBO, Phillip L. Swagel, en una respuesta escrita al senador demócrata de Nueva York, Chuck Schumer, y su homólogo en Vermont, Bernie Sanders, quienes habían solicitado esta información. </w:t>
      </w:r>
      <w:r>
        <w:rPr>
          <w:u w:val="single"/>
        </w:rPr>
        <w:t>“</w:t>
      </w:r>
      <w:r w:rsidRPr="00DC51D8">
        <w:rPr>
          <w:u w:val="single"/>
        </w:rPr>
        <w:t>La legislación reciente mitigará parcialmente el deterior</w:t>
      </w:r>
      <w:r>
        <w:rPr>
          <w:u w:val="single"/>
        </w:rPr>
        <w:t>o de las condiciones económicas”</w:t>
      </w:r>
      <w:r w:rsidRPr="00DC51D8">
        <w:rPr>
          <w:u w:val="single"/>
        </w:rPr>
        <w:t>, añadió Swagel en referencia a los estímulos aprobados hasta la fecha.</w:t>
      </w:r>
    </w:p>
    <w:p w:rsidR="00FA411F" w:rsidRPr="00BF6483" w:rsidRDefault="00FA411F" w:rsidP="00FA411F">
      <w:pPr>
        <w:pStyle w:val="NormalWeb"/>
        <w:spacing w:after="420"/>
        <w:jc w:val="both"/>
        <w:textAlignment w:val="baseline"/>
        <w:rPr>
          <w:b/>
          <w:color w:val="FF0000"/>
          <w:u w:val="single"/>
        </w:rPr>
      </w:pPr>
      <w:r w:rsidRPr="00BF6483">
        <w:rPr>
          <w:b/>
          <w:color w:val="FF0000"/>
          <w:u w:val="single"/>
        </w:rPr>
        <w:t>A finales de marzo, los legisladores ya aprobaron un gran paquete de 2,2 billones de dólares con el objetivo de amortiguar el golpe de la pandemia, tras haber pasado otras medidas previas, que incluyó pagos directos de hasta 1.200 dólares por individuo y el rescate a las aerolíneas. Posteriormente tuvieron que incrementar algunas de las partidas, como los préstamos a crédito perdido a las pequeñas y medianas empresas con el objetivo de proteger el mayor número de nóminas posible, elevando la factura total a casi 3 billones de dólares.</w:t>
      </w:r>
    </w:p>
    <w:p w:rsidR="00FA411F" w:rsidRPr="00BF6483" w:rsidRDefault="00FA411F" w:rsidP="00FA411F">
      <w:pPr>
        <w:pStyle w:val="NormalWeb"/>
        <w:spacing w:after="420"/>
        <w:jc w:val="both"/>
        <w:textAlignment w:val="baseline"/>
        <w:rPr>
          <w:b/>
          <w:color w:val="FF0000"/>
          <w:u w:val="single"/>
        </w:rPr>
      </w:pPr>
      <w:r w:rsidRPr="00BF6483">
        <w:rPr>
          <w:b/>
          <w:color w:val="FF0000"/>
          <w:u w:val="single"/>
        </w:rPr>
        <w:t>La Cámara de Representantes, en manos de los demócratas, ya dio luz verde el pasado mes a un proyecto de Ley que ampliaba los estímulos, incluyendo financiación para los gobiernos estatales y locales, por valor total de otros 3 billones de dólares. De todas formas, el Senado, controlado por los republicanos, continúa debatiendo la forma y el tamaño final que tendrá la próxima remesa de ayudas.</w:t>
      </w:r>
    </w:p>
    <w:p w:rsidR="00FA411F" w:rsidRDefault="00FA411F" w:rsidP="00FA411F">
      <w:pPr>
        <w:pStyle w:val="NormalWeb"/>
        <w:spacing w:after="420"/>
        <w:jc w:val="both"/>
        <w:textAlignment w:val="baseline"/>
      </w:pPr>
      <w:r>
        <w:t>“Para evitar el riesgo de otra Gran Depresión, el Senado debe actuar con un feroz sentido de urgencia para asegurarse de que todos en EEUU tengan los ingresos que necesitan para alimentar a sus familias y poner un techo sobre sus cabezas”, indicó Schumer a los senadores de la Cámara Alta.</w:t>
      </w:r>
    </w:p>
    <w:p w:rsidR="00FA411F" w:rsidRPr="00BF6483" w:rsidRDefault="00FA411F" w:rsidP="00FA411F">
      <w:pPr>
        <w:pStyle w:val="NormalWeb"/>
        <w:spacing w:after="420"/>
        <w:jc w:val="both"/>
        <w:textAlignment w:val="baseline"/>
        <w:rPr>
          <w:color w:val="FF0000"/>
          <w:u w:val="single"/>
        </w:rPr>
      </w:pPr>
      <w:r w:rsidRPr="00BF6483">
        <w:rPr>
          <w:color w:val="FF0000"/>
          <w:u w:val="single"/>
        </w:rPr>
        <w:t>De momento, el GDPNow que elabora la Reserva Federal de Atlanta estima que en el trimestre en curso, el PIB de EEUU podría contraerse un 52,8%, según su estimación más reciente, tras haber registrado un crecimiento negativo del 5%.</w:t>
      </w:r>
      <w:r w:rsidRPr="00BF6483">
        <w:rPr>
          <w:color w:val="FF0000"/>
        </w:rPr>
        <w:t xml:space="preserve"> </w:t>
      </w:r>
      <w:r>
        <w:t xml:space="preserve">El viernes se publicará el dato de empleo correspondiente al mes de mayo, </w:t>
      </w:r>
      <w:r w:rsidRPr="00BF6483">
        <w:rPr>
          <w:color w:val="FF0000"/>
          <w:u w:val="single"/>
        </w:rPr>
        <w:t>cuando se espera que la tasa de paro a este lado del Atlántico pudiera crecer hasta acercarse al 20%, su nivel más alto desde la Gran Depresión.</w:t>
      </w:r>
    </w:p>
    <w:p w:rsidR="00BE003C" w:rsidRPr="007E54A8" w:rsidRDefault="00BE003C" w:rsidP="00BE003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E54A8">
        <w:rPr>
          <w:rFonts w:ascii="Times New Roman" w:hAnsi="Times New Roman" w:cs="Times New Roman"/>
          <w:sz w:val="24"/>
          <w:szCs w:val="24"/>
          <w:u w:val="single"/>
        </w:rPr>
        <w:t>Italia y España se llevan un tercio de las compras antipandemia de deuda soberana del BCE</w:t>
      </w:r>
      <w:r>
        <w:rPr>
          <w:rFonts w:ascii="Times New Roman" w:hAnsi="Times New Roman" w:cs="Times New Roman"/>
          <w:sz w:val="24"/>
          <w:szCs w:val="24"/>
        </w:rPr>
        <w:t xml:space="preserve"> (Cinco Días - </w:t>
      </w:r>
      <w:r w:rsidRPr="007E54A8">
        <w:rPr>
          <w:rFonts w:ascii="Times New Roman" w:hAnsi="Times New Roman" w:cs="Times New Roman"/>
          <w:b/>
          <w:sz w:val="24"/>
          <w:szCs w:val="24"/>
        </w:rPr>
        <w:t>3/6/20</w:t>
      </w:r>
      <w:r>
        <w:rPr>
          <w:rFonts w:ascii="Times New Roman" w:hAnsi="Times New Roman" w:cs="Times New Roman"/>
          <w:sz w:val="24"/>
          <w:szCs w:val="24"/>
        </w:rPr>
        <w:t>)</w:t>
      </w:r>
    </w:p>
    <w:p w:rsidR="00BE003C" w:rsidRPr="007E54A8" w:rsidRDefault="00BE003C" w:rsidP="00BE003C">
      <w:pPr>
        <w:spacing w:line="240" w:lineRule="auto"/>
        <w:jc w:val="both"/>
        <w:rPr>
          <w:rFonts w:ascii="Times New Roman" w:hAnsi="Times New Roman" w:cs="Times New Roman"/>
          <w:sz w:val="24"/>
          <w:szCs w:val="24"/>
        </w:rPr>
      </w:pPr>
      <w:r w:rsidRPr="007E54A8">
        <w:rPr>
          <w:rFonts w:ascii="Times New Roman" w:hAnsi="Times New Roman" w:cs="Times New Roman"/>
          <w:sz w:val="24"/>
          <w:szCs w:val="24"/>
        </w:rPr>
        <w:t>Las adquisiciones de estos dos países, por 59.757 millones de euros, superan la clave de capital. También en el caso de Alemania</w:t>
      </w:r>
    </w:p>
    <w:p w:rsidR="00BE003C" w:rsidRDefault="00BE003C" w:rsidP="00BE003C">
      <w:pPr>
        <w:spacing w:line="240" w:lineRule="auto"/>
        <w:jc w:val="both"/>
        <w:rPr>
          <w:rFonts w:ascii="Times New Roman" w:hAnsi="Times New Roman" w:cs="Times New Roman"/>
          <w:sz w:val="24"/>
          <w:szCs w:val="24"/>
          <w:lang w:val="en-US"/>
        </w:rPr>
      </w:pPr>
      <w:r>
        <w:rPr>
          <w:noProof/>
          <w:lang w:eastAsia="es-ES"/>
        </w:rPr>
        <w:drawing>
          <wp:inline distT="0" distB="0" distL="0" distR="0" wp14:anchorId="592953FC" wp14:editId="2187CDAE">
            <wp:extent cx="5731510" cy="3786556"/>
            <wp:effectExtent l="0" t="0" r="2540" b="4445"/>
            <wp:docPr id="75" name="Imagen 75" descr="Italia y España se llevan un tercio de las compras antipandemia de deuda soberana del B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alia y España se llevan un tercio de las compras antipandemia de deuda soberana del BCE"/>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31510" cy="3786556"/>
                    </a:xfrm>
                    <a:prstGeom prst="rect">
                      <a:avLst/>
                    </a:prstGeom>
                    <a:noFill/>
                    <a:ln>
                      <a:noFill/>
                    </a:ln>
                  </pic:spPr>
                </pic:pic>
              </a:graphicData>
            </a:graphic>
          </wp:inline>
        </w:drawing>
      </w:r>
    </w:p>
    <w:p w:rsidR="00BE003C" w:rsidRDefault="00BE003C" w:rsidP="00BE003C">
      <w:pPr>
        <w:spacing w:line="240" w:lineRule="auto"/>
        <w:jc w:val="both"/>
        <w:rPr>
          <w:rFonts w:ascii="Times New Roman" w:hAnsi="Times New Roman" w:cs="Times New Roman"/>
          <w:color w:val="FF0000"/>
          <w:sz w:val="24"/>
          <w:szCs w:val="24"/>
          <w:u w:val="single"/>
        </w:rPr>
      </w:pPr>
      <w:r w:rsidRPr="00DE5DA7">
        <w:rPr>
          <w:rFonts w:ascii="Times New Roman" w:hAnsi="Times New Roman" w:cs="Times New Roman"/>
          <w:color w:val="FF0000"/>
          <w:sz w:val="24"/>
          <w:szCs w:val="24"/>
          <w:u w:val="single"/>
        </w:rPr>
        <w:t>Junto a los 186.603 millones de euros en bonos soberanos, el programa de compras antipandemia se desglosa en otros 35.384 millones de euros en pagarés -siendo la primera vez que el BCE adquiere deuda a un plazo mínimo de hasta 70 días-; 10.579 millones en bonos corporativos y 2.099 millones más en cédulas hipotecarias. El BCE ha copado las colocaciones de pagarés, ya que el 81,2% de lo adquirido ha sido en el mercado primario.</w:t>
      </w:r>
    </w:p>
    <w:p w:rsidR="00BE003C" w:rsidRPr="00F67C5B" w:rsidRDefault="00BE003C" w:rsidP="00BE003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7C5B">
        <w:rPr>
          <w:rFonts w:ascii="Times New Roman" w:hAnsi="Times New Roman" w:cs="Times New Roman"/>
          <w:sz w:val="24"/>
          <w:szCs w:val="24"/>
          <w:u w:val="single"/>
        </w:rPr>
        <w:t>La hora del Gran Reinicio</w:t>
      </w:r>
      <w:r>
        <w:rPr>
          <w:rFonts w:ascii="Times New Roman" w:hAnsi="Times New Roman" w:cs="Times New Roman"/>
          <w:sz w:val="24"/>
          <w:szCs w:val="24"/>
        </w:rPr>
        <w:t xml:space="preserve"> (Project Syndicate - </w:t>
      </w:r>
      <w:r w:rsidRPr="00F67C5B">
        <w:rPr>
          <w:rFonts w:ascii="Times New Roman" w:hAnsi="Times New Roman" w:cs="Times New Roman"/>
          <w:b/>
          <w:sz w:val="24"/>
          <w:szCs w:val="24"/>
        </w:rPr>
        <w:t>3/6/20</w:t>
      </w:r>
      <w:r>
        <w:rPr>
          <w:rFonts w:ascii="Times New Roman" w:hAnsi="Times New Roman" w:cs="Times New Roman"/>
          <w:sz w:val="24"/>
          <w:szCs w:val="24"/>
        </w:rPr>
        <w:t>)</w:t>
      </w:r>
    </w:p>
    <w:p w:rsidR="00BE003C" w:rsidRPr="00D755DC" w:rsidRDefault="00BE003C" w:rsidP="00BE003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Ginebra.-</w:t>
      </w:r>
      <w:r w:rsidRPr="00F67C5B">
        <w:rPr>
          <w:rFonts w:ascii="Times New Roman" w:hAnsi="Times New Roman" w:cs="Times New Roman"/>
          <w:sz w:val="24"/>
          <w:szCs w:val="24"/>
        </w:rPr>
        <w:t xml:space="preserve"> Puede que las medidas de confinamiento decretadas </w:t>
      </w:r>
      <w:r w:rsidRPr="00D755DC">
        <w:rPr>
          <w:rFonts w:ascii="Times New Roman" w:hAnsi="Times New Roman" w:cs="Times New Roman"/>
          <w:sz w:val="24"/>
          <w:szCs w:val="24"/>
          <w:u w:val="single"/>
        </w:rPr>
        <w:t>como consecuencia de la COVID-19</w:t>
      </w:r>
      <w:r w:rsidRPr="00F67C5B">
        <w:rPr>
          <w:rFonts w:ascii="Times New Roman" w:hAnsi="Times New Roman" w:cs="Times New Roman"/>
          <w:sz w:val="24"/>
          <w:szCs w:val="24"/>
        </w:rPr>
        <w:t xml:space="preserve"> empiecen a relajarse gradualmente, pero la ansiedad con respecto a las perspectivas mundiales en materia económica y social no deja de crecer. Existen buenas razones para preocuparse: </w:t>
      </w:r>
      <w:r w:rsidRPr="00D755DC">
        <w:rPr>
          <w:rFonts w:ascii="Times New Roman" w:hAnsi="Times New Roman" w:cs="Times New Roman"/>
          <w:sz w:val="24"/>
          <w:szCs w:val="24"/>
          <w:u w:val="single"/>
        </w:rPr>
        <w:t>ya empieza a sentirse una fuerte desaceleración económica y podríamos estar ante la peor depresión desde la década de 1930. Pero, aunque es un resultado probable, no es inevitable.</w:t>
      </w:r>
    </w:p>
    <w:p w:rsidR="00BE003C" w:rsidRPr="00D755DC" w:rsidRDefault="00BE003C" w:rsidP="00BE003C">
      <w:pPr>
        <w:spacing w:line="240" w:lineRule="auto"/>
        <w:jc w:val="both"/>
        <w:rPr>
          <w:rFonts w:ascii="Times New Roman" w:hAnsi="Times New Roman" w:cs="Times New Roman"/>
          <w:b/>
          <w:color w:val="FF0000"/>
          <w:sz w:val="24"/>
          <w:szCs w:val="24"/>
          <w:u w:val="single"/>
        </w:rPr>
      </w:pPr>
      <w:r w:rsidRPr="00D755DC">
        <w:rPr>
          <w:rFonts w:ascii="Times New Roman" w:hAnsi="Times New Roman" w:cs="Times New Roman"/>
          <w:color w:val="FF0000"/>
          <w:sz w:val="24"/>
          <w:szCs w:val="24"/>
          <w:u w:val="single"/>
        </w:rPr>
        <w:t xml:space="preserve">Para obtener un mejor resultado, el mundo debe actuar conjuntamente y con rapidez en la renovación de todos los aspectos de nuestras sociedades y economías, desde la educación hasta los contratos sociales y las condiciones laborales. Deben participar todos los países, desde los Estados Unidos hasta China, y deben transformarse todos los sectores, desde el gas y el petróleo hasta el de la tecnología. </w:t>
      </w:r>
      <w:r w:rsidRPr="00D755DC">
        <w:rPr>
          <w:rFonts w:ascii="Times New Roman" w:hAnsi="Times New Roman" w:cs="Times New Roman"/>
          <w:b/>
          <w:color w:val="FF0000"/>
          <w:sz w:val="24"/>
          <w:szCs w:val="24"/>
          <w:u w:val="single"/>
        </w:rPr>
        <w:t>Dicho d</w:t>
      </w:r>
      <w:r>
        <w:rPr>
          <w:rFonts w:ascii="Times New Roman" w:hAnsi="Times New Roman" w:cs="Times New Roman"/>
          <w:b/>
          <w:color w:val="FF0000"/>
          <w:sz w:val="24"/>
          <w:szCs w:val="24"/>
          <w:u w:val="single"/>
        </w:rPr>
        <w:t>e otro modo: nos hace falta un “Gran Reinicio”</w:t>
      </w:r>
      <w:r w:rsidRPr="00D755DC">
        <w:rPr>
          <w:rFonts w:ascii="Times New Roman" w:hAnsi="Times New Roman" w:cs="Times New Roman"/>
          <w:b/>
          <w:color w:val="FF0000"/>
          <w:sz w:val="24"/>
          <w:szCs w:val="24"/>
          <w:u w:val="single"/>
        </w:rPr>
        <w:t xml:space="preserve"> del capitalismo.</w:t>
      </w:r>
    </w:p>
    <w:p w:rsidR="00BE003C" w:rsidRPr="00D755DC" w:rsidRDefault="00BE003C" w:rsidP="00BE003C">
      <w:pPr>
        <w:spacing w:line="240" w:lineRule="auto"/>
        <w:jc w:val="both"/>
        <w:rPr>
          <w:rFonts w:ascii="Times New Roman" w:hAnsi="Times New Roman" w:cs="Times New Roman"/>
          <w:sz w:val="24"/>
          <w:szCs w:val="24"/>
          <w:u w:val="single"/>
        </w:rPr>
      </w:pPr>
      <w:r w:rsidRPr="00F67C5B">
        <w:rPr>
          <w:rFonts w:ascii="Times New Roman" w:hAnsi="Times New Roman" w:cs="Times New Roman"/>
          <w:sz w:val="24"/>
          <w:szCs w:val="24"/>
        </w:rPr>
        <w:lastRenderedPageBreak/>
        <w:t xml:space="preserve">Existen numerosas razones para apostar por un Gran Reinicio, pero la más urgente es la COVID-19. La pandemia, que ya ha causado cientos de miles de fallecimientos, representa una de las peores crisis de la sanidad pública de nuestra historia reciente. Y </w:t>
      </w:r>
      <w:r w:rsidRPr="00D755DC">
        <w:rPr>
          <w:rFonts w:ascii="Times New Roman" w:hAnsi="Times New Roman" w:cs="Times New Roman"/>
          <w:sz w:val="24"/>
          <w:szCs w:val="24"/>
          <w:u w:val="single"/>
        </w:rPr>
        <w:t>teniendo en cuenta que el número de víctimas sigue creciendo en muchos lugares del mundo, todavía tardaremos mucho en ver el final.</w:t>
      </w:r>
    </w:p>
    <w:p w:rsidR="00BE003C" w:rsidRPr="00D755DC" w:rsidRDefault="00BE003C" w:rsidP="00BE003C">
      <w:pPr>
        <w:spacing w:line="240" w:lineRule="auto"/>
        <w:jc w:val="both"/>
        <w:rPr>
          <w:rFonts w:ascii="Times New Roman" w:hAnsi="Times New Roman" w:cs="Times New Roman"/>
          <w:b/>
          <w:color w:val="FF0000"/>
          <w:sz w:val="24"/>
          <w:szCs w:val="24"/>
          <w:u w:val="single"/>
        </w:rPr>
      </w:pPr>
      <w:r w:rsidRPr="00D755DC">
        <w:rPr>
          <w:rFonts w:ascii="Times New Roman" w:hAnsi="Times New Roman" w:cs="Times New Roman"/>
          <w:b/>
          <w:color w:val="FF0000"/>
          <w:sz w:val="24"/>
          <w:szCs w:val="24"/>
          <w:u w:val="single"/>
        </w:rPr>
        <w:t>Las consecuencias a largo plazo para el crecimiento económico, la deuda pública, el empleo y el bienestar humano serán graves. Según el Financial Times, la deuda pública mundial ya ha alcanzado su cota más alta en tiempos de paz. Es más, el desempleo se está disparando en numerosos países: en los Estados Unidos, por ejemplo, uno de cada cuatro trabajadores ha solicitado una prestación por desempleo desde mediados de marzo, y los números de solicitudes que se registran cada semana se sitúan en máximos históricos. El Fondo Monetario Internacional espera una caída del 3 % en la economía mundial este año, un recorte de 6,3 puntos porcentuales en tan solo cuatro meses.</w:t>
      </w:r>
    </w:p>
    <w:p w:rsidR="00BE003C" w:rsidRPr="00D755DC" w:rsidRDefault="00BE003C" w:rsidP="00BE003C">
      <w:pPr>
        <w:spacing w:line="240" w:lineRule="auto"/>
        <w:jc w:val="both"/>
        <w:rPr>
          <w:rFonts w:ascii="Times New Roman" w:hAnsi="Times New Roman" w:cs="Times New Roman"/>
          <w:color w:val="FF0000"/>
          <w:sz w:val="24"/>
          <w:szCs w:val="24"/>
          <w:u w:val="single"/>
        </w:rPr>
      </w:pPr>
      <w:r w:rsidRPr="00F67C5B">
        <w:rPr>
          <w:rFonts w:ascii="Times New Roman" w:hAnsi="Times New Roman" w:cs="Times New Roman"/>
          <w:sz w:val="24"/>
          <w:szCs w:val="24"/>
        </w:rPr>
        <w:t xml:space="preserve">Todo esto empeorará la crisis climática y social que ya estábamos viviendo. Algunos países ya han utilizado la crisis provocada por la COVID-19 como excusa para rebajar las medidas de protección y cumplimiento medioambiental. Y </w:t>
      </w:r>
      <w:r w:rsidRPr="00D755DC">
        <w:rPr>
          <w:rFonts w:ascii="Times New Roman" w:hAnsi="Times New Roman" w:cs="Times New Roman"/>
          <w:color w:val="FF0000"/>
          <w:sz w:val="24"/>
          <w:szCs w:val="24"/>
          <w:u w:val="single"/>
        </w:rPr>
        <w:t>los sentimientos de frustración con respecto a los problemas sociales com</w:t>
      </w:r>
      <w:r w:rsidR="00556EA7">
        <w:rPr>
          <w:rFonts w:ascii="Times New Roman" w:hAnsi="Times New Roman" w:cs="Times New Roman"/>
          <w:color w:val="FF0000"/>
          <w:sz w:val="24"/>
          <w:szCs w:val="24"/>
          <w:u w:val="single"/>
        </w:rPr>
        <w:t>o el aumento de la desigualdad -</w:t>
      </w:r>
      <w:r w:rsidRPr="00D755DC">
        <w:rPr>
          <w:rFonts w:ascii="Times New Roman" w:hAnsi="Times New Roman" w:cs="Times New Roman"/>
          <w:color w:val="FF0000"/>
          <w:sz w:val="24"/>
          <w:szCs w:val="24"/>
          <w:u w:val="single"/>
        </w:rPr>
        <w:t>el patrimonio acumulado de los multimillonarios estadounidenses ha creci</w:t>
      </w:r>
      <w:r w:rsidR="00556EA7">
        <w:rPr>
          <w:rFonts w:ascii="Times New Roman" w:hAnsi="Times New Roman" w:cs="Times New Roman"/>
          <w:color w:val="FF0000"/>
          <w:sz w:val="24"/>
          <w:szCs w:val="24"/>
          <w:u w:val="single"/>
        </w:rPr>
        <w:t>do durante la crisis-</w:t>
      </w:r>
      <w:r w:rsidRPr="00D755DC">
        <w:rPr>
          <w:rFonts w:ascii="Times New Roman" w:hAnsi="Times New Roman" w:cs="Times New Roman"/>
          <w:color w:val="FF0000"/>
          <w:sz w:val="24"/>
          <w:szCs w:val="24"/>
          <w:u w:val="single"/>
        </w:rPr>
        <w:t xml:space="preserve"> se están intensificando.</w:t>
      </w:r>
    </w:p>
    <w:p w:rsidR="00BE003C" w:rsidRPr="00D755DC" w:rsidRDefault="00BE003C" w:rsidP="00BE003C">
      <w:pPr>
        <w:spacing w:line="240" w:lineRule="auto"/>
        <w:jc w:val="both"/>
        <w:rPr>
          <w:rFonts w:ascii="Times New Roman" w:hAnsi="Times New Roman" w:cs="Times New Roman"/>
          <w:sz w:val="24"/>
          <w:szCs w:val="24"/>
          <w:u w:val="single"/>
        </w:rPr>
      </w:pPr>
      <w:r w:rsidRPr="00D755DC">
        <w:rPr>
          <w:rFonts w:ascii="Times New Roman" w:hAnsi="Times New Roman" w:cs="Times New Roman"/>
          <w:sz w:val="24"/>
          <w:szCs w:val="24"/>
          <w:u w:val="single"/>
        </w:rPr>
        <w:t>Si no se abordan, estas crisis, sumadas a la COVID-19, se intensificarán y harán que el mundo sea aún menos sostenible, menos equitativo y más frágil. Para evitar este escenario no bastará con medidas graduales y soluciones ad hoc. Debemos forjar unos cimientos completamente nuevos sobre los que sustentar nuestros sistemas económicos y sociales.</w:t>
      </w:r>
    </w:p>
    <w:p w:rsidR="00BE003C" w:rsidRPr="00D755DC" w:rsidRDefault="00BE003C" w:rsidP="00BE003C">
      <w:pPr>
        <w:spacing w:line="240" w:lineRule="auto"/>
        <w:jc w:val="both"/>
        <w:rPr>
          <w:rFonts w:ascii="Times New Roman" w:hAnsi="Times New Roman" w:cs="Times New Roman"/>
          <w:sz w:val="24"/>
          <w:szCs w:val="24"/>
          <w:u w:val="single"/>
        </w:rPr>
      </w:pPr>
      <w:r w:rsidRPr="00F67C5B">
        <w:rPr>
          <w:rFonts w:ascii="Times New Roman" w:hAnsi="Times New Roman" w:cs="Times New Roman"/>
          <w:sz w:val="24"/>
          <w:szCs w:val="24"/>
        </w:rPr>
        <w:t xml:space="preserve">Para ello se requiere un nivel de cooperación y ambición sin precedentes, pero no es un sueño imposible. Es más, </w:t>
      </w:r>
      <w:r w:rsidRPr="00D755DC">
        <w:rPr>
          <w:rFonts w:ascii="Times New Roman" w:hAnsi="Times New Roman" w:cs="Times New Roman"/>
          <w:sz w:val="24"/>
          <w:szCs w:val="24"/>
          <w:u w:val="single"/>
        </w:rPr>
        <w:t>un aspecto positivo de la pandemia es que nos ha enseñado que podemos introducir cambios radicales en nuestro estilo de vida con gran rapidez. La crisis obligó, casi de forma instantánea, a empresas y particulares a abandonar prácticas que durante muchos años se habían considerado esenciales, desde el uso frecuente del transporte aéreo hasta el trabajo en la oficina.</w:t>
      </w:r>
    </w:p>
    <w:p w:rsidR="00BE003C" w:rsidRPr="00F67C5B" w:rsidRDefault="00BE003C" w:rsidP="00BE003C">
      <w:pPr>
        <w:spacing w:line="240" w:lineRule="auto"/>
        <w:jc w:val="both"/>
        <w:rPr>
          <w:rFonts w:ascii="Times New Roman" w:hAnsi="Times New Roman" w:cs="Times New Roman"/>
          <w:sz w:val="24"/>
          <w:szCs w:val="24"/>
        </w:rPr>
      </w:pPr>
      <w:r w:rsidRPr="00D755DC">
        <w:rPr>
          <w:rFonts w:ascii="Times New Roman" w:hAnsi="Times New Roman" w:cs="Times New Roman"/>
          <w:sz w:val="24"/>
          <w:szCs w:val="24"/>
          <w:u w:val="single"/>
        </w:rPr>
        <w:t>Asimismo, los ciudadanos han demostrado con creces que están dispuestos a hacer sacrificios para el bien de la atención sanitaria y otros trabajadores esenciales y grupos de población vulnerables, como los ancianos</w:t>
      </w:r>
      <w:r w:rsidRPr="00F67C5B">
        <w:rPr>
          <w:rFonts w:ascii="Times New Roman" w:hAnsi="Times New Roman" w:cs="Times New Roman"/>
          <w:sz w:val="24"/>
          <w:szCs w:val="24"/>
        </w:rPr>
        <w:t>. Y muchas empresas han intensificado las medidas para ayudar a sus trabajadores, clientes y comunidades locales en lo que constituye un cambio hacia el tipo de capitalismo de las partes interesadas por el que</w:t>
      </w:r>
      <w:r>
        <w:rPr>
          <w:rFonts w:ascii="Times New Roman" w:hAnsi="Times New Roman" w:cs="Times New Roman"/>
          <w:sz w:val="24"/>
          <w:szCs w:val="24"/>
        </w:rPr>
        <w:t xml:space="preserve"> ya habían abogado de boquilla.</w:t>
      </w:r>
    </w:p>
    <w:p w:rsidR="00BE003C" w:rsidRPr="00F67C5B" w:rsidRDefault="00BE003C" w:rsidP="00BE003C">
      <w:pPr>
        <w:spacing w:line="240" w:lineRule="auto"/>
        <w:jc w:val="both"/>
        <w:rPr>
          <w:rFonts w:ascii="Times New Roman" w:hAnsi="Times New Roman" w:cs="Times New Roman"/>
          <w:sz w:val="24"/>
          <w:szCs w:val="24"/>
        </w:rPr>
      </w:pPr>
      <w:r w:rsidRPr="00D755DC">
        <w:rPr>
          <w:rFonts w:ascii="Times New Roman" w:hAnsi="Times New Roman" w:cs="Times New Roman"/>
          <w:color w:val="FF0000"/>
          <w:sz w:val="24"/>
          <w:szCs w:val="24"/>
          <w:u w:val="single"/>
        </w:rPr>
        <w:t>Es evidente que existe una voluntad de construir una sociedad mejor y debemos aprovecharla para garantizar el Gran Reinicio que necesitamos con tanta urgencia</w:t>
      </w:r>
      <w:r w:rsidRPr="00F67C5B">
        <w:rPr>
          <w:rFonts w:ascii="Times New Roman" w:hAnsi="Times New Roman" w:cs="Times New Roman"/>
          <w:sz w:val="24"/>
          <w:szCs w:val="24"/>
        </w:rPr>
        <w:t>. Harán falta unos gobiernos más robustos y eficaces, aunque esto no implica un impulso ideológico hacia gobiernos más grandes. Y se requerirá la colaboración entre los sectores público y pr</w:t>
      </w:r>
      <w:r>
        <w:rPr>
          <w:rFonts w:ascii="Times New Roman" w:hAnsi="Times New Roman" w:cs="Times New Roman"/>
          <w:sz w:val="24"/>
          <w:szCs w:val="24"/>
        </w:rPr>
        <w:t>ivado en cada etapa del camino.</w:t>
      </w:r>
    </w:p>
    <w:p w:rsidR="00BE003C" w:rsidRPr="00F67C5B" w:rsidRDefault="00BE003C" w:rsidP="00BE003C">
      <w:pPr>
        <w:spacing w:line="240" w:lineRule="auto"/>
        <w:jc w:val="both"/>
        <w:rPr>
          <w:rFonts w:ascii="Times New Roman" w:hAnsi="Times New Roman" w:cs="Times New Roman"/>
          <w:sz w:val="24"/>
          <w:szCs w:val="24"/>
        </w:rPr>
      </w:pPr>
      <w:r w:rsidRPr="00D755DC">
        <w:rPr>
          <w:rFonts w:ascii="Times New Roman" w:hAnsi="Times New Roman" w:cs="Times New Roman"/>
          <w:color w:val="FF0000"/>
          <w:sz w:val="24"/>
          <w:szCs w:val="24"/>
          <w:u w:val="single"/>
        </w:rPr>
        <w:t>La agenda del Gran Reinicio tendrá tres componentes principales. El primero orientará el mercado hacia resultados más justos</w:t>
      </w:r>
      <w:r w:rsidRPr="00F67C5B">
        <w:rPr>
          <w:rFonts w:ascii="Times New Roman" w:hAnsi="Times New Roman" w:cs="Times New Roman"/>
          <w:sz w:val="24"/>
          <w:szCs w:val="24"/>
        </w:rPr>
        <w:t xml:space="preserve">. Para ello, los gobiernos deberían mejorar la coordinación (por ejemplo, en materia de políticas tributarias, reglamentarias y fiscales), actualizar los acuerdos comerciales, y </w:t>
      </w:r>
      <w:r w:rsidR="00556EA7" w:rsidRPr="00556EA7">
        <w:rPr>
          <w:rFonts w:ascii="Times New Roman" w:hAnsi="Times New Roman" w:cs="Times New Roman"/>
          <w:color w:val="FF0000"/>
          <w:sz w:val="24"/>
          <w:szCs w:val="24"/>
          <w:u w:val="single"/>
        </w:rPr>
        <w:t>crear las condiciones de una “</w:t>
      </w:r>
      <w:r w:rsidRPr="00556EA7">
        <w:rPr>
          <w:rFonts w:ascii="Times New Roman" w:hAnsi="Times New Roman" w:cs="Times New Roman"/>
          <w:color w:val="FF0000"/>
          <w:sz w:val="24"/>
          <w:szCs w:val="24"/>
          <w:u w:val="single"/>
        </w:rPr>
        <w:t>eco</w:t>
      </w:r>
      <w:r w:rsidR="00556EA7" w:rsidRPr="00556EA7">
        <w:rPr>
          <w:rFonts w:ascii="Times New Roman" w:hAnsi="Times New Roman" w:cs="Times New Roman"/>
          <w:color w:val="FF0000"/>
          <w:sz w:val="24"/>
          <w:szCs w:val="24"/>
          <w:u w:val="single"/>
        </w:rPr>
        <w:t xml:space="preserve">nomía de las partes </w:t>
      </w:r>
      <w:r w:rsidR="00556EA7" w:rsidRPr="00556EA7">
        <w:rPr>
          <w:rFonts w:ascii="Times New Roman" w:hAnsi="Times New Roman" w:cs="Times New Roman"/>
          <w:color w:val="FF0000"/>
          <w:sz w:val="24"/>
          <w:szCs w:val="24"/>
          <w:u w:val="single"/>
        </w:rPr>
        <w:lastRenderedPageBreak/>
        <w:t>interesadas”</w:t>
      </w:r>
      <w:r w:rsidRPr="00D755DC">
        <w:rPr>
          <w:rFonts w:ascii="Times New Roman" w:hAnsi="Times New Roman" w:cs="Times New Roman"/>
          <w:color w:val="FF0000"/>
          <w:sz w:val="24"/>
          <w:szCs w:val="24"/>
        </w:rPr>
        <w:t>.</w:t>
      </w:r>
      <w:r w:rsidRPr="00F67C5B">
        <w:rPr>
          <w:rFonts w:ascii="Times New Roman" w:hAnsi="Times New Roman" w:cs="Times New Roman"/>
          <w:sz w:val="24"/>
          <w:szCs w:val="24"/>
        </w:rPr>
        <w:t xml:space="preserve"> En un momento de reducción de las bases impositivas y crecimiento de la deuda pública, los gobiernos tienen un poderoso incenti</w:t>
      </w:r>
      <w:r>
        <w:rPr>
          <w:rFonts w:ascii="Times New Roman" w:hAnsi="Times New Roman" w:cs="Times New Roman"/>
          <w:sz w:val="24"/>
          <w:szCs w:val="24"/>
        </w:rPr>
        <w:t>vo para impulsar estas medidas.</w:t>
      </w:r>
    </w:p>
    <w:p w:rsidR="00BE003C" w:rsidRPr="00F67C5B" w:rsidRDefault="00BE003C" w:rsidP="00BE003C">
      <w:pPr>
        <w:spacing w:line="240" w:lineRule="auto"/>
        <w:jc w:val="both"/>
        <w:rPr>
          <w:rFonts w:ascii="Times New Roman" w:hAnsi="Times New Roman" w:cs="Times New Roman"/>
          <w:sz w:val="24"/>
          <w:szCs w:val="24"/>
        </w:rPr>
      </w:pPr>
      <w:r w:rsidRPr="00F67C5B">
        <w:rPr>
          <w:rFonts w:ascii="Times New Roman" w:hAnsi="Times New Roman" w:cs="Times New Roman"/>
          <w:sz w:val="24"/>
          <w:szCs w:val="24"/>
        </w:rPr>
        <w:t>Además, los gobiernos deberían aplicar unas reformas, muy necesarias, que promuevan unos resultados más equitativos que, dependiendo del país, podrían incluir cambios en los impuestos sobre el patrimonio, la retirada de las subvenciones a los combustibles fósiles y normas nuevas que rijan la propiedad intelectual</w:t>
      </w:r>
      <w:r>
        <w:rPr>
          <w:rFonts w:ascii="Times New Roman" w:hAnsi="Times New Roman" w:cs="Times New Roman"/>
          <w:sz w:val="24"/>
          <w:szCs w:val="24"/>
        </w:rPr>
        <w:t>, el comercio y la competencia.</w:t>
      </w:r>
    </w:p>
    <w:p w:rsidR="00BE003C" w:rsidRPr="00D755DC" w:rsidRDefault="00BE003C" w:rsidP="00BE003C">
      <w:pPr>
        <w:spacing w:line="240" w:lineRule="auto"/>
        <w:jc w:val="both"/>
        <w:rPr>
          <w:rFonts w:ascii="Times New Roman" w:hAnsi="Times New Roman" w:cs="Times New Roman"/>
          <w:sz w:val="24"/>
          <w:szCs w:val="24"/>
          <w:u w:val="single"/>
        </w:rPr>
      </w:pPr>
      <w:r w:rsidRPr="00D755DC">
        <w:rPr>
          <w:rFonts w:ascii="Times New Roman" w:hAnsi="Times New Roman" w:cs="Times New Roman"/>
          <w:color w:val="FF0000"/>
          <w:sz w:val="24"/>
          <w:szCs w:val="24"/>
          <w:u w:val="single"/>
        </w:rPr>
        <w:t>El segundo componente de la agenda del Gran Reinicio garantizaría que las inversiones promuevan objetivos comunes, como la igualdad y la sostenibilidad</w:t>
      </w:r>
      <w:r w:rsidRPr="00F67C5B">
        <w:rPr>
          <w:rFonts w:ascii="Times New Roman" w:hAnsi="Times New Roman" w:cs="Times New Roman"/>
          <w:sz w:val="24"/>
          <w:szCs w:val="24"/>
        </w:rPr>
        <w:t xml:space="preserve">. En este sentido, los programas de gasto a gran escala que están aplicando muchos gobiernos representan una gran oportunidad para el progreso. Por un lado, </w:t>
      </w:r>
      <w:r w:rsidRPr="00D755DC">
        <w:rPr>
          <w:rFonts w:ascii="Times New Roman" w:hAnsi="Times New Roman" w:cs="Times New Roman"/>
          <w:sz w:val="24"/>
          <w:szCs w:val="24"/>
          <w:u w:val="single"/>
        </w:rPr>
        <w:t>la Comisión Europea ha dado a conocer su intención de poner en marcha un fondo de recuperación de 750.000 millones de euros (826.000 millones de dólares de los Estados Unidos). Los Estados Unidos, China y el Japón también tienen planes ambiciosos de estímulo económico.</w:t>
      </w:r>
    </w:p>
    <w:p w:rsidR="00BE003C" w:rsidRPr="00F67C5B" w:rsidRDefault="00BE003C" w:rsidP="00BE003C">
      <w:pPr>
        <w:spacing w:line="240" w:lineRule="auto"/>
        <w:jc w:val="both"/>
        <w:rPr>
          <w:rFonts w:ascii="Times New Roman" w:hAnsi="Times New Roman" w:cs="Times New Roman"/>
          <w:sz w:val="24"/>
          <w:szCs w:val="24"/>
        </w:rPr>
      </w:pPr>
      <w:r w:rsidRPr="00F67C5B">
        <w:rPr>
          <w:rFonts w:ascii="Times New Roman" w:hAnsi="Times New Roman" w:cs="Times New Roman"/>
          <w:sz w:val="24"/>
          <w:szCs w:val="24"/>
        </w:rPr>
        <w:t>En lugar de utilizar estos fondos, y las inversiones de entidades privadas y los fondos de pensiones, para arreglar las grietas del viejo sistema, deberíamos utilizarlos para crear un sistema nuevo que sea más resiliente, equitativo y sostenible a largo plazo. Esto se traduce, por ejemplo, en la crea</w:t>
      </w:r>
      <w:r>
        <w:rPr>
          <w:rFonts w:ascii="Times New Roman" w:hAnsi="Times New Roman" w:cs="Times New Roman"/>
          <w:sz w:val="24"/>
          <w:szCs w:val="24"/>
        </w:rPr>
        <w:t>ción de infraestructura urbana “verde”</w:t>
      </w:r>
      <w:r w:rsidRPr="00F67C5B">
        <w:rPr>
          <w:rFonts w:ascii="Times New Roman" w:hAnsi="Times New Roman" w:cs="Times New Roman"/>
          <w:sz w:val="24"/>
          <w:szCs w:val="24"/>
        </w:rPr>
        <w:t xml:space="preserve"> y en proponer incentivos para que las industrias mejoren su trayectoria de métricas medioambient</w:t>
      </w:r>
      <w:r>
        <w:rPr>
          <w:rFonts w:ascii="Times New Roman" w:hAnsi="Times New Roman" w:cs="Times New Roman"/>
          <w:sz w:val="24"/>
          <w:szCs w:val="24"/>
        </w:rPr>
        <w:t>ales, sociales y de gobernanza.</w:t>
      </w:r>
    </w:p>
    <w:p w:rsidR="00BE003C" w:rsidRPr="00F67C5B" w:rsidRDefault="00BE003C" w:rsidP="00BE003C">
      <w:pPr>
        <w:spacing w:line="240" w:lineRule="auto"/>
        <w:jc w:val="both"/>
        <w:rPr>
          <w:rFonts w:ascii="Times New Roman" w:hAnsi="Times New Roman" w:cs="Times New Roman"/>
          <w:sz w:val="24"/>
          <w:szCs w:val="24"/>
        </w:rPr>
      </w:pPr>
      <w:r w:rsidRPr="00D755DC">
        <w:rPr>
          <w:rFonts w:ascii="Times New Roman" w:hAnsi="Times New Roman" w:cs="Times New Roman"/>
          <w:color w:val="FF0000"/>
          <w:sz w:val="24"/>
          <w:szCs w:val="24"/>
          <w:u w:val="single"/>
        </w:rPr>
        <w:t>La tercera y última prioridad de la agenda del Gran Reinicio consiste en aprovechar las innovaciones de la Cuarta Revolución Industrial en pos del bien público, sobre todo, haciendo frente a los desafíos sanitarios y sociales</w:t>
      </w:r>
      <w:r w:rsidRPr="00F67C5B">
        <w:rPr>
          <w:rFonts w:ascii="Times New Roman" w:hAnsi="Times New Roman" w:cs="Times New Roman"/>
          <w:sz w:val="24"/>
          <w:szCs w:val="24"/>
        </w:rPr>
        <w:t>. Durante la crisis de la COVID-19, las empresas, las universidades y otros agentes han unido fuerzas para desarrollar diagnósticos, terapias y posibles vacunas; establecer centros de pruebas; crear mecanismos para la trazabilidad de las infecciones; y ofrecer soluciones de telemedicina. Piense en todo lo que se podría conseguir si se lanzaran iniciativas concertadas s</w:t>
      </w:r>
      <w:r>
        <w:rPr>
          <w:rFonts w:ascii="Times New Roman" w:hAnsi="Times New Roman" w:cs="Times New Roman"/>
          <w:sz w:val="24"/>
          <w:szCs w:val="24"/>
        </w:rPr>
        <w:t>imilares en todos los sectores.</w:t>
      </w:r>
    </w:p>
    <w:p w:rsidR="00BE003C" w:rsidRPr="00D755DC" w:rsidRDefault="00BE003C" w:rsidP="00BE003C">
      <w:pPr>
        <w:spacing w:line="240" w:lineRule="auto"/>
        <w:jc w:val="both"/>
        <w:rPr>
          <w:rFonts w:ascii="Times New Roman" w:hAnsi="Times New Roman" w:cs="Times New Roman"/>
          <w:color w:val="FF0000"/>
          <w:sz w:val="24"/>
          <w:szCs w:val="24"/>
          <w:u w:val="single"/>
        </w:rPr>
      </w:pPr>
      <w:r w:rsidRPr="00F67C5B">
        <w:rPr>
          <w:rFonts w:ascii="Times New Roman" w:hAnsi="Times New Roman" w:cs="Times New Roman"/>
          <w:sz w:val="24"/>
          <w:szCs w:val="24"/>
        </w:rPr>
        <w:t xml:space="preserve">La crisis de la COVID-19 está afectando a todas las facetas de la vida de las personas en todos los rincones del planeta. Pero la tragedia no tiene por qué ser su único legado. Al contrario, </w:t>
      </w:r>
      <w:r w:rsidRPr="00D755DC">
        <w:rPr>
          <w:rFonts w:ascii="Times New Roman" w:hAnsi="Times New Roman" w:cs="Times New Roman"/>
          <w:color w:val="FF0000"/>
          <w:sz w:val="24"/>
          <w:szCs w:val="24"/>
          <w:u w:val="single"/>
        </w:rPr>
        <w:t>la pandemia representa una oportunidad, inusual y reducida, para reflexionar, reimaginar y reiniciar nuestro mundo y forjar un futuro más sano, equitativo y próspero.</w:t>
      </w:r>
    </w:p>
    <w:p w:rsidR="00BE003C" w:rsidRDefault="00BE003C" w:rsidP="00BE003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F67C5B">
        <w:rPr>
          <w:rFonts w:ascii="Times New Roman" w:hAnsi="Times New Roman" w:cs="Times New Roman"/>
          <w:sz w:val="24"/>
          <w:szCs w:val="24"/>
          <w:lang w:val="en-US"/>
        </w:rPr>
        <w:t>Klaus Schwab is Founder and Executive Chairman of the World Econo</w:t>
      </w:r>
      <w:r>
        <w:rPr>
          <w:rFonts w:ascii="Times New Roman" w:hAnsi="Times New Roman" w:cs="Times New Roman"/>
          <w:sz w:val="24"/>
          <w:szCs w:val="24"/>
          <w:lang w:val="en-US"/>
        </w:rPr>
        <w:t>mic Forum)</w:t>
      </w:r>
    </w:p>
    <w:p w:rsidR="00BE003C" w:rsidRPr="00A040D4" w:rsidRDefault="00BE003C" w:rsidP="00BE003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040D4">
        <w:rPr>
          <w:rFonts w:ascii="Times New Roman" w:hAnsi="Times New Roman" w:cs="Times New Roman"/>
          <w:sz w:val="24"/>
          <w:szCs w:val="24"/>
          <w:u w:val="single"/>
        </w:rPr>
        <w:t>La desglobalización afectará el crecimiento en todas partes</w:t>
      </w:r>
      <w:r>
        <w:rPr>
          <w:rFonts w:ascii="Times New Roman" w:hAnsi="Times New Roman" w:cs="Times New Roman"/>
          <w:sz w:val="24"/>
          <w:szCs w:val="24"/>
        </w:rPr>
        <w:t xml:space="preserve"> (Project Syndicate - </w:t>
      </w:r>
      <w:r w:rsidRPr="00A040D4">
        <w:rPr>
          <w:rFonts w:ascii="Times New Roman" w:hAnsi="Times New Roman" w:cs="Times New Roman"/>
          <w:b/>
          <w:sz w:val="24"/>
          <w:szCs w:val="24"/>
        </w:rPr>
        <w:t>3/6/20</w:t>
      </w:r>
      <w:r>
        <w:rPr>
          <w:rFonts w:ascii="Times New Roman" w:hAnsi="Times New Roman" w:cs="Times New Roman"/>
          <w:sz w:val="24"/>
          <w:szCs w:val="24"/>
        </w:rPr>
        <w:t>)</w:t>
      </w:r>
    </w:p>
    <w:p w:rsidR="00BE003C" w:rsidRPr="00D755DC" w:rsidRDefault="00BE003C" w:rsidP="00BE003C">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Cambridge.-</w:t>
      </w:r>
      <w:r w:rsidRPr="00A040D4">
        <w:rPr>
          <w:rFonts w:ascii="Times New Roman" w:hAnsi="Times New Roman" w:cs="Times New Roman"/>
          <w:sz w:val="24"/>
          <w:szCs w:val="24"/>
        </w:rPr>
        <w:t xml:space="preserve"> </w:t>
      </w:r>
      <w:r w:rsidRPr="00D755DC">
        <w:rPr>
          <w:rFonts w:ascii="Times New Roman" w:hAnsi="Times New Roman" w:cs="Times New Roman"/>
          <w:color w:val="FF0000"/>
          <w:sz w:val="24"/>
          <w:szCs w:val="24"/>
          <w:u w:val="single"/>
        </w:rPr>
        <w:t>Todo indica que la economía mundial pospandemia será mucho menos globalizada, con un rechazo de las dirigencias políticas y de las poblaciones a la apertura como no se ha visto desde las guerras de aranceles y devaluaciones competitivas de la década de 1930. Y esto traerá consigo no sólo menos crecimiento, sino también una reducción significativa del producto nacional en todas las economías, excepto tal vez las más grandes y diversificadas.</w:t>
      </w:r>
    </w:p>
    <w:p w:rsidR="00BE003C" w:rsidRPr="00D755DC" w:rsidRDefault="00BE003C" w:rsidP="00BE003C">
      <w:pPr>
        <w:spacing w:line="240" w:lineRule="auto"/>
        <w:jc w:val="both"/>
        <w:rPr>
          <w:rFonts w:ascii="Times New Roman" w:hAnsi="Times New Roman" w:cs="Times New Roman"/>
          <w:sz w:val="24"/>
          <w:szCs w:val="24"/>
          <w:u w:val="single"/>
        </w:rPr>
      </w:pPr>
      <w:r w:rsidRPr="00D755DC">
        <w:rPr>
          <w:rFonts w:ascii="Times New Roman" w:hAnsi="Times New Roman" w:cs="Times New Roman"/>
          <w:sz w:val="24"/>
          <w:szCs w:val="24"/>
          <w:u w:val="single"/>
        </w:rPr>
        <w:t>En su profético libro de 2001 El fin de la globalización, el historiador de la economía Harold James (Princeton) relata el derrumbe de una era anterior de integración económica y financiera global bajo la presión de hechos inesperados acaecidos durante la Gran Depresión de los años treinta, que culminaron en la Segunda Guerra Mundial. Hoy, parece que la pandemia de COVID‑19 está acelerando otro proceso de desglobalización.</w:t>
      </w:r>
    </w:p>
    <w:p w:rsidR="00BE003C" w:rsidRPr="00A040D4" w:rsidRDefault="00BE003C" w:rsidP="00BE003C">
      <w:pPr>
        <w:spacing w:line="240" w:lineRule="auto"/>
        <w:jc w:val="both"/>
        <w:rPr>
          <w:rFonts w:ascii="Times New Roman" w:hAnsi="Times New Roman" w:cs="Times New Roman"/>
          <w:sz w:val="24"/>
          <w:szCs w:val="24"/>
        </w:rPr>
      </w:pPr>
      <w:r w:rsidRPr="00D755DC">
        <w:rPr>
          <w:rFonts w:ascii="Times New Roman" w:hAnsi="Times New Roman" w:cs="Times New Roman"/>
          <w:color w:val="FF0000"/>
          <w:sz w:val="24"/>
          <w:szCs w:val="24"/>
          <w:u w:val="single"/>
        </w:rPr>
        <w:lastRenderedPageBreak/>
        <w:t>La retirada actual comenzó con la victoria de Donald Trump en la elección presidencial estadounidense de 2016, que llevó a una guerra de aranceles entre Estados Unidos y China.</w:t>
      </w:r>
      <w:r w:rsidRPr="00D755DC">
        <w:rPr>
          <w:rFonts w:ascii="Times New Roman" w:hAnsi="Times New Roman" w:cs="Times New Roman"/>
          <w:color w:val="FF0000"/>
          <w:sz w:val="24"/>
          <w:szCs w:val="24"/>
        </w:rPr>
        <w:t xml:space="preserve"> </w:t>
      </w:r>
      <w:r w:rsidRPr="00A040D4">
        <w:rPr>
          <w:rFonts w:ascii="Times New Roman" w:hAnsi="Times New Roman" w:cs="Times New Roman"/>
          <w:sz w:val="24"/>
          <w:szCs w:val="24"/>
        </w:rPr>
        <w:t>Es probable que el efecto negativo a largo plazo de la pandemia sobre el comercio internacional sea todavía mayor, en parte porque los gobiernos son cada vez más conscientes de la necesidad de considerar la capacidad de los sistemas de salud pública como un im</w:t>
      </w:r>
      <w:r>
        <w:rPr>
          <w:rFonts w:ascii="Times New Roman" w:hAnsi="Times New Roman" w:cs="Times New Roman"/>
          <w:sz w:val="24"/>
          <w:szCs w:val="24"/>
        </w:rPr>
        <w:t>perativo de seguridad nacional.</w:t>
      </w:r>
    </w:p>
    <w:p w:rsidR="00BE003C" w:rsidRPr="00D755DC" w:rsidRDefault="00BE003C" w:rsidP="00BE003C">
      <w:pPr>
        <w:spacing w:line="240" w:lineRule="auto"/>
        <w:jc w:val="both"/>
        <w:rPr>
          <w:rFonts w:ascii="Times New Roman" w:hAnsi="Times New Roman" w:cs="Times New Roman"/>
          <w:color w:val="FF0000"/>
          <w:sz w:val="24"/>
          <w:szCs w:val="24"/>
          <w:u w:val="single"/>
        </w:rPr>
      </w:pPr>
      <w:r w:rsidRPr="00D755DC">
        <w:rPr>
          <w:rFonts w:ascii="Times New Roman" w:hAnsi="Times New Roman" w:cs="Times New Roman"/>
          <w:color w:val="FF0000"/>
          <w:sz w:val="24"/>
          <w:szCs w:val="24"/>
          <w:u w:val="single"/>
        </w:rPr>
        <w:t>El riesgo actual de una debilitante sobrerreacción desglobalizadora al estilo de los años treinta es enorme, en particular si continúa el deterioro de la relación sinoestadounidense. Y es absurdo pensar que una desglobalización caótica al calor de una crisis no introducirá nuevos problemas mucho peores.</w:t>
      </w:r>
    </w:p>
    <w:p w:rsidR="00BE003C" w:rsidRPr="00A040D4" w:rsidRDefault="00BE003C" w:rsidP="00BE003C">
      <w:pPr>
        <w:spacing w:line="240" w:lineRule="auto"/>
        <w:jc w:val="both"/>
        <w:rPr>
          <w:rFonts w:ascii="Times New Roman" w:hAnsi="Times New Roman" w:cs="Times New Roman"/>
          <w:sz w:val="24"/>
          <w:szCs w:val="24"/>
        </w:rPr>
      </w:pPr>
      <w:r w:rsidRPr="00D755DC">
        <w:rPr>
          <w:rFonts w:ascii="Times New Roman" w:hAnsi="Times New Roman" w:cs="Times New Roman"/>
          <w:color w:val="FF0000"/>
          <w:sz w:val="24"/>
          <w:szCs w:val="24"/>
          <w:u w:val="single"/>
        </w:rPr>
        <w:t>Incluso Estados Unidos, con su muy diversificada economía, una tecnología de avanzada y una sólida base de recursos naturales, puede sufrir una reducción significativa del PIB real como resultado de la desglobalización</w:t>
      </w:r>
      <w:r w:rsidRPr="00A040D4">
        <w:rPr>
          <w:rFonts w:ascii="Times New Roman" w:hAnsi="Times New Roman" w:cs="Times New Roman"/>
          <w:sz w:val="24"/>
          <w:szCs w:val="24"/>
        </w:rPr>
        <w:t>. Para economías más pequeñas y países en desarrollo que en muchos sectores no llegan a tener una masa crítica y que a menudo carecen de recursos naturales, la ruptura del comercio internacional implica revertir muchas décadas de crecimiento. Y esto sin haber considerado el impacto duradero de las medidas de dista</w:t>
      </w:r>
      <w:r>
        <w:rPr>
          <w:rFonts w:ascii="Times New Roman" w:hAnsi="Times New Roman" w:cs="Times New Roman"/>
          <w:sz w:val="24"/>
          <w:szCs w:val="24"/>
        </w:rPr>
        <w:t>nciamiento social y cuarentena.</w:t>
      </w:r>
    </w:p>
    <w:p w:rsidR="00BE003C" w:rsidRPr="00A040D4" w:rsidRDefault="00BE003C" w:rsidP="00BE003C">
      <w:pPr>
        <w:spacing w:line="240" w:lineRule="auto"/>
        <w:jc w:val="both"/>
        <w:rPr>
          <w:rFonts w:ascii="Times New Roman" w:hAnsi="Times New Roman" w:cs="Times New Roman"/>
          <w:sz w:val="24"/>
          <w:szCs w:val="24"/>
        </w:rPr>
      </w:pPr>
      <w:r w:rsidRPr="00A040D4">
        <w:rPr>
          <w:rFonts w:ascii="Times New Roman" w:hAnsi="Times New Roman" w:cs="Times New Roman"/>
          <w:sz w:val="24"/>
          <w:szCs w:val="24"/>
        </w:rPr>
        <w:t>El difunto economista Alberto Alesina, una figura imponente en el campo de la economía política, sostuvo que para un país bien gobernado en la era de la globalización, la pequeñez puede ser una ventaja. Pero en la actualidad, los países pequeños sin una alianza económica estrecha con un estado de mayor tamaño o una unión de estados se enfrentan a enormes riesgos económicos.</w:t>
      </w:r>
    </w:p>
    <w:p w:rsidR="00BE003C" w:rsidRPr="00D755DC" w:rsidRDefault="00BE003C" w:rsidP="00BE003C">
      <w:pPr>
        <w:spacing w:line="240" w:lineRule="auto"/>
        <w:jc w:val="both"/>
        <w:rPr>
          <w:rFonts w:ascii="Times New Roman" w:hAnsi="Times New Roman" w:cs="Times New Roman"/>
          <w:b/>
          <w:color w:val="FF0000"/>
          <w:sz w:val="24"/>
          <w:szCs w:val="24"/>
          <w:u w:val="single"/>
        </w:rPr>
      </w:pPr>
      <w:r w:rsidRPr="00D755DC">
        <w:rPr>
          <w:rFonts w:ascii="Times New Roman" w:hAnsi="Times New Roman" w:cs="Times New Roman"/>
          <w:b/>
          <w:color w:val="FF0000"/>
          <w:sz w:val="24"/>
          <w:szCs w:val="24"/>
          <w:u w:val="single"/>
        </w:rPr>
        <w:t>Es verdad que la globalización generó desigualdad económica entre los más o menos mil millones de personas que viven en las economías avanzadas. La competencia comercial asestó un duro golpe a los trabajadores con bajos salarios en algunos sectores, aunque al mismo tiempo abarató los bienes para todos. Y puede decirse que la globalización financiera tuvo un efecto aún mayor, al aumentar las ganancias de las multinacionales y ofrecer a los ricos nuevos instrumentos muy rentables para la inversión en el extranjero, sobre todo desde 1980.</w:t>
      </w:r>
    </w:p>
    <w:p w:rsidR="00BE003C" w:rsidRPr="00D755DC" w:rsidRDefault="00BE003C" w:rsidP="00BE003C">
      <w:pPr>
        <w:spacing w:line="240" w:lineRule="auto"/>
        <w:jc w:val="both"/>
        <w:rPr>
          <w:rFonts w:ascii="Times New Roman" w:hAnsi="Times New Roman" w:cs="Times New Roman"/>
          <w:color w:val="FF0000"/>
          <w:sz w:val="24"/>
          <w:szCs w:val="24"/>
          <w:u w:val="single"/>
        </w:rPr>
      </w:pPr>
      <w:r w:rsidRPr="00D755DC">
        <w:rPr>
          <w:rFonts w:ascii="Times New Roman" w:hAnsi="Times New Roman" w:cs="Times New Roman"/>
          <w:color w:val="FF0000"/>
          <w:sz w:val="24"/>
          <w:szCs w:val="24"/>
          <w:u w:val="single"/>
        </w:rPr>
        <w:t>En su exitoso libro de 2014 El capital en el siglo XXI, Thomas Piketty apunta a la creciente desigualdad de ingresos y riqueza como prueba del fracaso del capitalismo. Pero ¿fracaso para quiénes? Fuera de las economías avanzadas, allí donde vive el 86% de la población mundial, el capitalismo global sacó a miles de millones de personas de la pobreza extrema. De modo que no hay duda de que una sobrerreacción desglobalizadora puede generar muchos más perjudicados que beneficiados.</w:t>
      </w:r>
    </w:p>
    <w:p w:rsidR="00BE003C" w:rsidRPr="00D755DC" w:rsidRDefault="00BE003C" w:rsidP="00BE003C">
      <w:pPr>
        <w:spacing w:line="240" w:lineRule="auto"/>
        <w:jc w:val="both"/>
        <w:rPr>
          <w:rFonts w:ascii="Times New Roman" w:hAnsi="Times New Roman" w:cs="Times New Roman"/>
          <w:color w:val="FF0000"/>
          <w:sz w:val="24"/>
          <w:szCs w:val="24"/>
          <w:u w:val="single"/>
        </w:rPr>
      </w:pPr>
      <w:r w:rsidRPr="00D755DC">
        <w:rPr>
          <w:rFonts w:ascii="Times New Roman" w:hAnsi="Times New Roman" w:cs="Times New Roman"/>
          <w:color w:val="FF0000"/>
          <w:sz w:val="24"/>
          <w:szCs w:val="24"/>
          <w:u w:val="single"/>
        </w:rPr>
        <w:t>Es verdad que el modelo actual de globalización necesita ajustes, en particular un gran fortalecimiento de la red de seguridad social en las economías avanzadas y (en la medida de lo posible) también en los mercados emergentes. Pero crear resiliencia no es lo mismo que descartar todo el sistema y empezar de cero.</w:t>
      </w:r>
    </w:p>
    <w:p w:rsidR="00BE003C" w:rsidRPr="00D755DC" w:rsidRDefault="00BE003C" w:rsidP="00BE003C">
      <w:pPr>
        <w:spacing w:line="240" w:lineRule="auto"/>
        <w:jc w:val="both"/>
        <w:rPr>
          <w:rFonts w:ascii="Times New Roman" w:hAnsi="Times New Roman" w:cs="Times New Roman"/>
          <w:color w:val="FF0000"/>
          <w:sz w:val="24"/>
          <w:szCs w:val="24"/>
          <w:u w:val="single"/>
        </w:rPr>
      </w:pPr>
      <w:r w:rsidRPr="00D755DC">
        <w:rPr>
          <w:rFonts w:ascii="Times New Roman" w:hAnsi="Times New Roman" w:cs="Times New Roman"/>
          <w:color w:val="FF0000"/>
          <w:sz w:val="24"/>
          <w:szCs w:val="24"/>
          <w:u w:val="single"/>
        </w:rPr>
        <w:t>A Estados Unidos la desglobalización puede perjudicarlo más de lo que algunos de sus políticos (de derecha y de izquierda) parecen comprender. Para empezar, el sistema global de comercio forma parte de un acuerdo por el que Estados Unidos obtiene la hegemonía de un mundo en el que la mayoría de los países, incluida China, tienen motivos para hacer que el orden internacional funcione.</w:t>
      </w:r>
    </w:p>
    <w:p w:rsidR="00BE003C" w:rsidRPr="00E8683F" w:rsidRDefault="00BE003C" w:rsidP="00BE003C">
      <w:pPr>
        <w:spacing w:line="240" w:lineRule="auto"/>
        <w:jc w:val="both"/>
        <w:rPr>
          <w:rFonts w:ascii="Times New Roman" w:hAnsi="Times New Roman" w:cs="Times New Roman"/>
          <w:color w:val="FF0000"/>
          <w:sz w:val="24"/>
          <w:szCs w:val="24"/>
          <w:u w:val="single"/>
        </w:rPr>
      </w:pPr>
      <w:r w:rsidRPr="00E8683F">
        <w:rPr>
          <w:rFonts w:ascii="Times New Roman" w:hAnsi="Times New Roman" w:cs="Times New Roman"/>
          <w:color w:val="FF0000"/>
          <w:sz w:val="24"/>
          <w:szCs w:val="24"/>
          <w:u w:val="single"/>
        </w:rPr>
        <w:lastRenderedPageBreak/>
        <w:t>Y dejando a un lado las derivaciones políticas, la desglobalización también plantea riesgos económicos para Estados Unidos. En particular, es probable que muchos de los factores favorables que hoy permiten al gobierno y a las corporaciones estadounidenses endeudarse mucho más que sus homólogos de cualquier otro país estén vinculados con el papel central del dólar dentro del sistema. Y hay una amplia variedad de modelos económicos que muestran que el aumento de aranceles y fricciones comerciales trae consigo una reducción al menos proporcional de la globalización financiera. Esto, además de una enorme caída de las ganancias de las multinacionales y del valor de las bolsas (algo que tal vez sea del agrado de algunos) también puede provocar una significativa reducción de la demanda extranjera de títulos de deuda estadounidenses.</w:t>
      </w:r>
    </w:p>
    <w:p w:rsidR="00BE003C" w:rsidRPr="00E8683F" w:rsidRDefault="00BE003C" w:rsidP="00BE003C">
      <w:pPr>
        <w:spacing w:line="240" w:lineRule="auto"/>
        <w:jc w:val="both"/>
        <w:rPr>
          <w:rFonts w:ascii="Times New Roman" w:hAnsi="Times New Roman" w:cs="Times New Roman"/>
          <w:color w:val="FF0000"/>
          <w:sz w:val="24"/>
          <w:szCs w:val="24"/>
          <w:u w:val="single"/>
        </w:rPr>
      </w:pPr>
      <w:r w:rsidRPr="00E8683F">
        <w:rPr>
          <w:rFonts w:ascii="Times New Roman" w:hAnsi="Times New Roman" w:cs="Times New Roman"/>
          <w:color w:val="FF0000"/>
          <w:sz w:val="24"/>
          <w:szCs w:val="24"/>
          <w:u w:val="single"/>
        </w:rPr>
        <w:t>No sería una situación ideal en un momento en que Estados Unidos necesita endeudarse a gran escala para preservar la estabilidad social, económica y política. Así como la globalización ha sido un factor importante de los bajos niveles actuales de inflación y tipos de interés, revertir el proceso puede presionar sobre los precios y las tasas en la otra dirección, sobre todo por el aparente shock de oferta duradero que provocará la COVID‑19.</w:t>
      </w:r>
    </w:p>
    <w:p w:rsidR="00BE003C" w:rsidRPr="00E8683F" w:rsidRDefault="00BE003C" w:rsidP="00BE003C">
      <w:pPr>
        <w:spacing w:line="240" w:lineRule="auto"/>
        <w:jc w:val="both"/>
        <w:rPr>
          <w:rFonts w:ascii="Times New Roman" w:hAnsi="Times New Roman" w:cs="Times New Roman"/>
          <w:sz w:val="24"/>
          <w:szCs w:val="24"/>
          <w:u w:val="single"/>
        </w:rPr>
      </w:pPr>
      <w:r w:rsidRPr="00E8683F">
        <w:rPr>
          <w:rFonts w:ascii="Times New Roman" w:hAnsi="Times New Roman" w:cs="Times New Roman"/>
          <w:sz w:val="24"/>
          <w:szCs w:val="24"/>
          <w:u w:val="single"/>
        </w:rPr>
        <w:t>No hace falta decir que nos aguardan otras batallas que demandan cooperación internacional, sobre todo el cambio climático. Será todavía más difícil motivar a las economías en desarrollo para que pongan límite a sus emisiones de dióxido de carbono si un derrumbe del comercio internacional debilita el mayor incentivo compartido que tienen los países para mantener la paz y la prosperidad global.</w:t>
      </w:r>
    </w:p>
    <w:p w:rsidR="00BE003C" w:rsidRPr="00E8683F" w:rsidRDefault="00BE003C" w:rsidP="00BE003C">
      <w:pPr>
        <w:spacing w:line="240" w:lineRule="auto"/>
        <w:jc w:val="both"/>
        <w:rPr>
          <w:rFonts w:ascii="Times New Roman" w:hAnsi="Times New Roman" w:cs="Times New Roman"/>
          <w:sz w:val="24"/>
          <w:szCs w:val="24"/>
          <w:u w:val="single"/>
        </w:rPr>
      </w:pPr>
      <w:r w:rsidRPr="00E8683F">
        <w:rPr>
          <w:rFonts w:ascii="Times New Roman" w:hAnsi="Times New Roman" w:cs="Times New Roman"/>
          <w:sz w:val="24"/>
          <w:szCs w:val="24"/>
          <w:u w:val="single"/>
        </w:rPr>
        <w:t>Y no hay que olvidar que aunque la COVID‑19 hasta ahora afectó a Europa y a Estados Unidos mucho más que a la mayoría de los países de bajos ingresos, todavía existe un riesgo enorme de que se produzca una tragedia humanitaria en África y otras regiones pobres. ¿Es realmente un buen momento para reducir la capacidad de estos países para protegerse?</w:t>
      </w:r>
    </w:p>
    <w:p w:rsidR="00BE003C" w:rsidRPr="00E8683F" w:rsidRDefault="00BE003C" w:rsidP="00BE003C">
      <w:pPr>
        <w:spacing w:line="240" w:lineRule="auto"/>
        <w:jc w:val="both"/>
        <w:rPr>
          <w:rFonts w:ascii="Times New Roman" w:hAnsi="Times New Roman" w:cs="Times New Roman"/>
          <w:b/>
          <w:color w:val="FF0000"/>
          <w:sz w:val="24"/>
          <w:szCs w:val="24"/>
          <w:u w:val="single"/>
        </w:rPr>
      </w:pPr>
      <w:r w:rsidRPr="00E8683F">
        <w:rPr>
          <w:rFonts w:ascii="Times New Roman" w:hAnsi="Times New Roman" w:cs="Times New Roman"/>
          <w:b/>
          <w:color w:val="FF0000"/>
          <w:sz w:val="24"/>
          <w:szCs w:val="24"/>
          <w:u w:val="single"/>
        </w:rPr>
        <w:t>Incluso si Estados Unidos hace caso omiso de los efectos de la desglobalización sobre el resto del mundo, debe recordar que la abundante demanda actual de activos denominados en dólares depende en gran medida del enorme sistema comercial y financiero que algunos políticos estadounidenses pretenden achicar. Si se produce un exceso de desglobalización, ningún país estará a salvo.</w:t>
      </w:r>
    </w:p>
    <w:p w:rsidR="00BE003C" w:rsidRDefault="00BE003C" w:rsidP="00BE003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A040D4">
        <w:rPr>
          <w:rFonts w:ascii="Times New Roman" w:hAnsi="Times New Roman" w:cs="Times New Roman"/>
          <w:sz w:val="24"/>
          <w:szCs w:val="24"/>
          <w:lang w:val="en-US"/>
        </w:rPr>
        <w:t xml:space="preserve">Kenneth Rogoff, Professor of Economics and Public Policy at Harvard University and recipient of the 2011 Deutsche Bank Prize in Financial Economics, was the chief economist of the International Monetary Fund from 2001 to 2003. He is co-author of This Time is Different: Eight Centuries of Financial Folly </w:t>
      </w:r>
      <w:r>
        <w:rPr>
          <w:rFonts w:ascii="Times New Roman" w:hAnsi="Times New Roman" w:cs="Times New Roman"/>
          <w:sz w:val="24"/>
          <w:szCs w:val="24"/>
          <w:lang w:val="en-US"/>
        </w:rPr>
        <w:t>and author of The Curse of Cash)</w:t>
      </w:r>
    </w:p>
    <w:p w:rsidR="00BE003C" w:rsidRDefault="00BE003C" w:rsidP="00BE003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A35B7D">
        <w:rPr>
          <w:rFonts w:ascii="Times New Roman" w:eastAsia="Times New Roman" w:hAnsi="Times New Roman" w:cs="Times New Roman"/>
          <w:sz w:val="24"/>
          <w:szCs w:val="24"/>
          <w:u w:val="single"/>
        </w:rPr>
        <w:t>El BCE debate hoy un alza en 500.000 millones del plan antipandemia que el mercado da por hecho</w:t>
      </w:r>
      <w:r>
        <w:rPr>
          <w:rFonts w:ascii="Times New Roman" w:eastAsia="Times New Roman" w:hAnsi="Times New Roman" w:cs="Times New Roman"/>
          <w:sz w:val="24"/>
          <w:szCs w:val="24"/>
        </w:rPr>
        <w:t xml:space="preserve"> (Cinco Días - </w:t>
      </w:r>
      <w:r w:rsidRPr="00A35B7D">
        <w:rPr>
          <w:rFonts w:ascii="Times New Roman" w:eastAsia="Times New Roman" w:hAnsi="Times New Roman" w:cs="Times New Roman"/>
          <w:b/>
          <w:sz w:val="24"/>
          <w:szCs w:val="24"/>
        </w:rPr>
        <w:t>4/6/20</w:t>
      </w:r>
      <w:r>
        <w:rPr>
          <w:rFonts w:ascii="Times New Roman" w:eastAsia="Times New Roman" w:hAnsi="Times New Roman" w:cs="Times New Roman"/>
          <w:sz w:val="24"/>
          <w:szCs w:val="24"/>
        </w:rPr>
        <w:t>)</w:t>
      </w:r>
    </w:p>
    <w:p w:rsidR="00BE003C" w:rsidRPr="00A35B7D" w:rsidRDefault="00BE003C" w:rsidP="00BE003C">
      <w:pPr>
        <w:spacing w:after="0" w:line="240" w:lineRule="auto"/>
        <w:jc w:val="both"/>
        <w:rPr>
          <w:rFonts w:ascii="Times New Roman" w:eastAsia="Times New Roman" w:hAnsi="Times New Roman" w:cs="Times New Roman"/>
          <w:sz w:val="24"/>
          <w:szCs w:val="24"/>
        </w:rPr>
      </w:pPr>
    </w:p>
    <w:p w:rsidR="00BE003C" w:rsidRDefault="00BE003C" w:rsidP="00BE003C">
      <w:pPr>
        <w:spacing w:after="0" w:line="240" w:lineRule="auto"/>
        <w:jc w:val="both"/>
        <w:rPr>
          <w:rFonts w:ascii="Times New Roman" w:eastAsia="Times New Roman" w:hAnsi="Times New Roman" w:cs="Times New Roman"/>
          <w:sz w:val="24"/>
          <w:szCs w:val="24"/>
        </w:rPr>
      </w:pPr>
      <w:r w:rsidRPr="00A35B7D">
        <w:rPr>
          <w:rFonts w:ascii="Times New Roman" w:eastAsia="Times New Roman" w:hAnsi="Times New Roman" w:cs="Times New Roman"/>
          <w:sz w:val="24"/>
          <w:szCs w:val="24"/>
        </w:rPr>
        <w:t>La expectación es muy elevada ante una posible extensión del programa a 2021 que pueda incluir también la deuda high yield</w:t>
      </w:r>
    </w:p>
    <w:p w:rsidR="00BE003C" w:rsidRDefault="00BE003C" w:rsidP="00BE003C">
      <w:pPr>
        <w:spacing w:after="0" w:line="240" w:lineRule="auto"/>
        <w:jc w:val="both"/>
        <w:rPr>
          <w:rFonts w:ascii="Times New Roman" w:eastAsia="Times New Roman" w:hAnsi="Times New Roman" w:cs="Times New Roman"/>
          <w:sz w:val="24"/>
          <w:szCs w:val="24"/>
        </w:rPr>
      </w:pPr>
    </w:p>
    <w:p w:rsidR="00BE003C" w:rsidRPr="00A35B7D" w:rsidRDefault="00BE003C" w:rsidP="00BE003C">
      <w:pPr>
        <w:spacing w:after="0" w:line="240" w:lineRule="auto"/>
        <w:jc w:val="both"/>
        <w:rPr>
          <w:rFonts w:ascii="Times New Roman" w:eastAsia="Times New Roman" w:hAnsi="Times New Roman" w:cs="Times New Roman"/>
          <w:sz w:val="24"/>
          <w:szCs w:val="24"/>
        </w:rPr>
      </w:pPr>
      <w:r w:rsidRPr="00A35B7D">
        <w:rPr>
          <w:rFonts w:ascii="Times New Roman" w:eastAsia="Times New Roman" w:hAnsi="Times New Roman" w:cs="Times New Roman"/>
          <w:sz w:val="24"/>
          <w:szCs w:val="24"/>
        </w:rPr>
        <w:t xml:space="preserve">A estas alturas de crisis económica a causa del covid-19 y de oleada de estímulos monetarios, ya es un secreto a voces que el BCE tendrá que elevar aún más el programa extraordinario de compras de deuda con el que en marzo frenó la amenaza cierta de reedición de la crisis de deuda en la zona euro. Los 750.000 millones de euros en compras hasta finales de año se quedan cortos y al ritmo de adquisición actual, de una media de 30.000 euros a la semana, esa cuantía se habrá agotado en el otoño. Los expertos e inversores auguran de forma unánime un </w:t>
      </w:r>
      <w:r w:rsidRPr="00A35B7D">
        <w:rPr>
          <w:rFonts w:ascii="Times New Roman" w:eastAsia="Times New Roman" w:hAnsi="Times New Roman" w:cs="Times New Roman"/>
          <w:sz w:val="24"/>
          <w:szCs w:val="24"/>
        </w:rPr>
        <w:lastRenderedPageBreak/>
        <w:t>incremento, previsiblemente en la reunión del Consejo de Gobierno de hoy jueves, y la estimación más extendida apunta al anuncio de un aumento en 500.000 millones de euros.</w:t>
      </w:r>
    </w:p>
    <w:p w:rsidR="00BE003C" w:rsidRPr="00A35B7D" w:rsidRDefault="00BE003C" w:rsidP="00BE003C">
      <w:pPr>
        <w:spacing w:after="0" w:line="240" w:lineRule="auto"/>
        <w:jc w:val="both"/>
        <w:rPr>
          <w:rFonts w:ascii="Times New Roman" w:eastAsia="Times New Roman" w:hAnsi="Times New Roman" w:cs="Times New Roman"/>
          <w:sz w:val="24"/>
          <w:szCs w:val="24"/>
        </w:rPr>
      </w:pPr>
    </w:p>
    <w:p w:rsidR="00BE003C" w:rsidRDefault="00BE003C" w:rsidP="00BE003C">
      <w:pPr>
        <w:spacing w:after="0" w:line="240" w:lineRule="auto"/>
        <w:jc w:val="both"/>
        <w:rPr>
          <w:rFonts w:ascii="Times New Roman" w:eastAsia="Times New Roman" w:hAnsi="Times New Roman" w:cs="Times New Roman"/>
          <w:sz w:val="24"/>
          <w:szCs w:val="24"/>
        </w:rPr>
      </w:pPr>
      <w:r w:rsidRPr="00A35B7D">
        <w:rPr>
          <w:rFonts w:ascii="Times New Roman" w:eastAsia="Times New Roman" w:hAnsi="Times New Roman" w:cs="Times New Roman"/>
          <w:sz w:val="24"/>
          <w:szCs w:val="24"/>
        </w:rPr>
        <w:t>El propio BCE ya dio una señal clara de sus próximas intenciones tras la reunión de abril, en la que Christine Lagarde mostró plena disposición a hacer lo necesario y a ser flexible en su toma de decisiones, y especialmente tras la publicación de las actas de ese encuentro. En ellas el Consejo de Gobierno reconoce que deberá estar listo en junio para ajustar el programa especial de compras antipandemia si la magnitud de los estímulos resulta insuficiente</w:t>
      </w:r>
      <w:r>
        <w:rPr>
          <w:rFonts w:ascii="Times New Roman" w:eastAsia="Times New Roman" w:hAnsi="Times New Roman" w:cs="Times New Roman"/>
          <w:sz w:val="24"/>
          <w:szCs w:val="24"/>
        </w:rPr>
        <w:t>…</w:t>
      </w:r>
    </w:p>
    <w:p w:rsidR="00EB02F3" w:rsidRDefault="00EB02F3" w:rsidP="00BE003C">
      <w:pPr>
        <w:spacing w:after="0" w:line="240" w:lineRule="auto"/>
        <w:jc w:val="both"/>
        <w:rPr>
          <w:rFonts w:ascii="Times New Roman" w:eastAsia="Times New Roman" w:hAnsi="Times New Roman" w:cs="Times New Roman"/>
          <w:sz w:val="24"/>
          <w:szCs w:val="24"/>
        </w:rPr>
      </w:pPr>
    </w:p>
    <w:p w:rsidR="00EB02F3" w:rsidRDefault="00EB02F3" w:rsidP="00EB02F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B5236">
        <w:rPr>
          <w:rFonts w:ascii="Times New Roman" w:hAnsi="Times New Roman" w:cs="Times New Roman"/>
          <w:sz w:val="24"/>
          <w:szCs w:val="24"/>
          <w:u w:val="single"/>
        </w:rPr>
        <w:t>Los mercados apuntan a nuevas subidas tras el espaldarazo del BCE</w:t>
      </w:r>
      <w:r>
        <w:rPr>
          <w:rFonts w:ascii="Times New Roman" w:hAnsi="Times New Roman" w:cs="Times New Roman"/>
          <w:sz w:val="24"/>
          <w:szCs w:val="24"/>
        </w:rPr>
        <w:t xml:space="preserve"> (Cinco Días - </w:t>
      </w:r>
      <w:r w:rsidRPr="00DB5236">
        <w:rPr>
          <w:rFonts w:ascii="Times New Roman" w:hAnsi="Times New Roman" w:cs="Times New Roman"/>
          <w:b/>
          <w:sz w:val="24"/>
          <w:szCs w:val="24"/>
        </w:rPr>
        <w:t>5/6/20</w:t>
      </w:r>
      <w:r>
        <w:rPr>
          <w:rFonts w:ascii="Times New Roman" w:hAnsi="Times New Roman" w:cs="Times New Roman"/>
          <w:sz w:val="24"/>
          <w:szCs w:val="24"/>
        </w:rPr>
        <w:t>)</w:t>
      </w:r>
    </w:p>
    <w:p w:rsidR="00EB02F3" w:rsidRDefault="00EB02F3" w:rsidP="00EB02F3">
      <w:pPr>
        <w:spacing w:line="240" w:lineRule="auto"/>
        <w:jc w:val="both"/>
        <w:rPr>
          <w:rFonts w:ascii="Times New Roman" w:hAnsi="Times New Roman" w:cs="Times New Roman"/>
          <w:sz w:val="24"/>
          <w:szCs w:val="24"/>
        </w:rPr>
      </w:pPr>
      <w:r w:rsidRPr="00DB5236">
        <w:rPr>
          <w:rFonts w:ascii="Times New Roman" w:hAnsi="Times New Roman" w:cs="Times New Roman"/>
          <w:sz w:val="24"/>
          <w:szCs w:val="24"/>
        </w:rPr>
        <w:t>Los mercados europeos agradecen el compromiso de BCE y se preparan para volver a las subidas. Tras el anuncio de ayer de la institución, que aumentará un 80% las compras de deuda del programa contra la pandemia, los inversores regresan al parqué</w:t>
      </w:r>
      <w:r>
        <w:rPr>
          <w:rFonts w:ascii="Times New Roman" w:hAnsi="Times New Roman" w:cs="Times New Roman"/>
          <w:sz w:val="24"/>
          <w:szCs w:val="24"/>
        </w:rPr>
        <w:t>…</w:t>
      </w:r>
    </w:p>
    <w:p w:rsidR="00EB02F3" w:rsidRPr="00DB5236" w:rsidRDefault="00EB02F3" w:rsidP="00EB02F3">
      <w:pPr>
        <w:spacing w:line="240" w:lineRule="auto"/>
        <w:jc w:val="both"/>
        <w:rPr>
          <w:rFonts w:ascii="Times New Roman" w:hAnsi="Times New Roman" w:cs="Times New Roman"/>
          <w:sz w:val="24"/>
          <w:szCs w:val="24"/>
        </w:rPr>
      </w:pPr>
      <w:r w:rsidRPr="00DB5236">
        <w:rPr>
          <w:rFonts w:ascii="Times New Roman" w:hAnsi="Times New Roman" w:cs="Times New Roman"/>
          <w:sz w:val="24"/>
          <w:szCs w:val="24"/>
        </w:rPr>
        <w:t xml:space="preserve">El BCE anunció un incremento de su plan extraordinario de compras por la pandemia de 600.000 millones de euros, hasta un total de 1,35 billones de euros. La institución que preside Christine Lagarde ha decidido además que este programa se extenderá al menos hasta junio de 2021, en lugar de hasta finales de este año como estaba previsto inicialmente. Mercados </w:t>
      </w:r>
      <w:r>
        <w:rPr>
          <w:rFonts w:ascii="Times New Roman" w:hAnsi="Times New Roman" w:cs="Times New Roman"/>
          <w:sz w:val="24"/>
          <w:szCs w:val="24"/>
        </w:rPr>
        <w:t>y analistas aplauden la medida.</w:t>
      </w:r>
    </w:p>
    <w:p w:rsidR="00EB02F3" w:rsidRDefault="00EB02F3" w:rsidP="00EB02F3">
      <w:pPr>
        <w:spacing w:line="240" w:lineRule="auto"/>
        <w:jc w:val="both"/>
        <w:rPr>
          <w:rFonts w:ascii="Times New Roman" w:hAnsi="Times New Roman" w:cs="Times New Roman"/>
          <w:sz w:val="24"/>
          <w:szCs w:val="24"/>
        </w:rPr>
      </w:pPr>
      <w:r w:rsidRPr="00DB5236">
        <w:rPr>
          <w:rFonts w:ascii="Times New Roman" w:hAnsi="Times New Roman" w:cs="Times New Roman"/>
          <w:sz w:val="24"/>
          <w:szCs w:val="24"/>
        </w:rPr>
        <w:t>La primera reacción fue ayer de la Bolsa. La rentabilidad del bono español a 10 años bajó del 0,61% al 0,55%, con la prima de riesgo por debajo de 90 puntos por primera vez desde marzo. La referencia Italia al mismo plazo cayó del 1,55% al 1,41%.</w:t>
      </w:r>
    </w:p>
    <w:p w:rsidR="00EB02F3" w:rsidRDefault="00EB02F3" w:rsidP="00EB02F3">
      <w:pPr>
        <w:spacing w:line="240" w:lineRule="auto"/>
        <w:jc w:val="both"/>
        <w:rPr>
          <w:rFonts w:ascii="Times New Roman" w:hAnsi="Times New Roman" w:cs="Times New Roman"/>
          <w:sz w:val="24"/>
          <w:szCs w:val="24"/>
        </w:rPr>
      </w:pPr>
      <w:r w:rsidRPr="00DB5236">
        <w:rPr>
          <w:rFonts w:ascii="Times New Roman" w:hAnsi="Times New Roman" w:cs="Times New Roman"/>
          <w:sz w:val="24"/>
          <w:szCs w:val="24"/>
        </w:rPr>
        <w:t>Hoy, la atención de los inversores se centrará en el dato de empleo de Estados Unidos en mayo. Los analistas esperan que el número de empleos caiga en 8 millones y la tasa de desempleo aumente a un histórico 19,8%.</w:t>
      </w:r>
      <w:r>
        <w:rPr>
          <w:rFonts w:ascii="Times New Roman" w:hAnsi="Times New Roman" w:cs="Times New Roman"/>
          <w:sz w:val="24"/>
          <w:szCs w:val="24"/>
        </w:rPr>
        <w:t>..</w:t>
      </w:r>
    </w:p>
    <w:p w:rsidR="00EB02F3" w:rsidRDefault="00EB02F3" w:rsidP="00EB02F3">
      <w:pPr>
        <w:spacing w:line="240" w:lineRule="auto"/>
        <w:jc w:val="both"/>
        <w:rPr>
          <w:rFonts w:ascii="Times New Roman" w:hAnsi="Times New Roman" w:cs="Times New Roman"/>
          <w:sz w:val="24"/>
          <w:szCs w:val="24"/>
        </w:rPr>
      </w:pPr>
      <w:r w:rsidRPr="00DB5236">
        <w:rPr>
          <w:rFonts w:ascii="Times New Roman" w:hAnsi="Times New Roman" w:cs="Times New Roman"/>
          <w:sz w:val="24"/>
          <w:szCs w:val="24"/>
        </w:rPr>
        <w:t>Ayer se conoció que en la semana del 30 de mayo las peticiones de subsid</w:t>
      </w:r>
      <w:r w:rsidR="00C93CC1">
        <w:rPr>
          <w:rFonts w:ascii="Times New Roman" w:hAnsi="Times New Roman" w:cs="Times New Roman"/>
          <w:sz w:val="24"/>
          <w:szCs w:val="24"/>
        </w:rPr>
        <w:t>i</w:t>
      </w:r>
      <w:r w:rsidRPr="00DB5236">
        <w:rPr>
          <w:rFonts w:ascii="Times New Roman" w:hAnsi="Times New Roman" w:cs="Times New Roman"/>
          <w:sz w:val="24"/>
          <w:szCs w:val="24"/>
        </w:rPr>
        <w:t>o por desempleo alcanzaron los 1,877 millones, cifra que se sitúa por debajo de las registradas semanas anteriores aunque superó las previsiones. En 12 semanas, un total de 43 millones de estadounidenses han solicitado las ayudas</w:t>
      </w:r>
      <w:r>
        <w:rPr>
          <w:rFonts w:ascii="Times New Roman" w:hAnsi="Times New Roman" w:cs="Times New Roman"/>
          <w:sz w:val="24"/>
          <w:szCs w:val="24"/>
        </w:rPr>
        <w:t>…</w:t>
      </w:r>
    </w:p>
    <w:p w:rsidR="00EB02F3" w:rsidRDefault="00EB02F3" w:rsidP="00EB02F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B5236">
        <w:rPr>
          <w:rFonts w:ascii="Times New Roman" w:hAnsi="Times New Roman" w:cs="Times New Roman"/>
          <w:sz w:val="24"/>
          <w:szCs w:val="24"/>
        </w:rPr>
        <w:t>La zona euro vivido una contra</w:t>
      </w:r>
      <w:r>
        <w:rPr>
          <w:rFonts w:ascii="Times New Roman" w:hAnsi="Times New Roman" w:cs="Times New Roman"/>
          <w:sz w:val="24"/>
          <w:szCs w:val="24"/>
        </w:rPr>
        <w:t xml:space="preserve">cción económica sin </w:t>
      </w:r>
      <w:r w:rsidR="00C93CC1">
        <w:rPr>
          <w:rFonts w:ascii="Times New Roman" w:hAnsi="Times New Roman" w:cs="Times New Roman"/>
          <w:sz w:val="24"/>
          <w:szCs w:val="24"/>
        </w:rPr>
        <w:t>precedentes</w:t>
      </w:r>
      <w:r>
        <w:rPr>
          <w:rFonts w:ascii="Times New Roman" w:hAnsi="Times New Roman" w:cs="Times New Roman"/>
          <w:sz w:val="24"/>
          <w:szCs w:val="24"/>
        </w:rPr>
        <w:t>”</w:t>
      </w:r>
      <w:r w:rsidRPr="00DB5236">
        <w:rPr>
          <w:rFonts w:ascii="Times New Roman" w:hAnsi="Times New Roman" w:cs="Times New Roman"/>
          <w:sz w:val="24"/>
          <w:szCs w:val="24"/>
        </w:rPr>
        <w:t>, ha asegurado</w:t>
      </w:r>
      <w:r w:rsidR="00D7645D">
        <w:rPr>
          <w:rFonts w:ascii="Times New Roman" w:hAnsi="Times New Roman" w:cs="Times New Roman"/>
          <w:sz w:val="24"/>
          <w:szCs w:val="24"/>
        </w:rPr>
        <w:t xml:space="preserve"> Christine Lagarde, que ve una “tibia”</w:t>
      </w:r>
      <w:r w:rsidRPr="00DB5236">
        <w:rPr>
          <w:rFonts w:ascii="Times New Roman" w:hAnsi="Times New Roman" w:cs="Times New Roman"/>
          <w:sz w:val="24"/>
          <w:szCs w:val="24"/>
        </w:rPr>
        <w:t xml:space="preserve"> mejora tras haber tocado fondo y que prevé la recuperación en el segundo semestre del año, después de un derrumbe en el PIB del segundo trimestre en la zona euro que el BCE cifra en el 13%. Su previsión para la zona euro es de una contracción del PIB este año del 8,7%, seguida de una recuperación del 5,2% en 2021 y del 3,3% en 2022</w:t>
      </w:r>
      <w:r>
        <w:rPr>
          <w:rFonts w:ascii="Times New Roman" w:hAnsi="Times New Roman" w:cs="Times New Roman"/>
          <w:sz w:val="24"/>
          <w:szCs w:val="24"/>
        </w:rPr>
        <w:t>…</w:t>
      </w:r>
    </w:p>
    <w:p w:rsidR="00EB02F3" w:rsidRDefault="00EB02F3" w:rsidP="00EB02F3">
      <w:pPr>
        <w:spacing w:line="240" w:lineRule="auto"/>
        <w:jc w:val="both"/>
        <w:rPr>
          <w:rFonts w:ascii="Times New Roman" w:hAnsi="Times New Roman" w:cs="Times New Roman"/>
          <w:sz w:val="24"/>
          <w:szCs w:val="24"/>
        </w:rPr>
      </w:pPr>
      <w:r w:rsidRPr="00DB5236">
        <w:rPr>
          <w:rFonts w:ascii="Times New Roman" w:hAnsi="Times New Roman" w:cs="Times New Roman"/>
          <w:sz w:val="24"/>
          <w:szCs w:val="24"/>
        </w:rPr>
        <w:t>La propuesta de un fondo europeo de reconstrucción de la Comisión Europea, por un total de 750.000 millones de euros, también ha contribuido de forma notable a rebajar la tensión para la deuda soberana de la zona euro. La iniciativa aún debe ser debatida en la cumbre europea del 18 de junio y deberá pasar por arduas negociaciones hasta su puesta en marcha, pero es un primer paso decisivo para una respuesta europea conjunta y de medio plazo para la reconstrucción económica y que incluye transferencias directas, sin reembolso, por 500.000 millones de euros. Lagarde ha dado la bienvenida</w:t>
      </w:r>
      <w:r>
        <w:rPr>
          <w:rFonts w:ascii="Times New Roman" w:hAnsi="Times New Roman" w:cs="Times New Roman"/>
          <w:sz w:val="24"/>
          <w:szCs w:val="24"/>
        </w:rPr>
        <w:t xml:space="preserve"> a la propuesta y ha destacado “</w:t>
      </w:r>
      <w:r w:rsidRPr="00DB5236">
        <w:rPr>
          <w:rFonts w:ascii="Times New Roman" w:hAnsi="Times New Roman" w:cs="Times New Roman"/>
          <w:sz w:val="24"/>
          <w:szCs w:val="24"/>
        </w:rPr>
        <w:t>la determ</w:t>
      </w:r>
      <w:r>
        <w:rPr>
          <w:rFonts w:ascii="Times New Roman" w:hAnsi="Times New Roman" w:cs="Times New Roman"/>
          <w:sz w:val="24"/>
          <w:szCs w:val="24"/>
        </w:rPr>
        <w:t>inación de los líderes europeos”</w:t>
      </w:r>
      <w:r w:rsidRPr="00DB5236">
        <w:rPr>
          <w:rFonts w:ascii="Times New Roman" w:hAnsi="Times New Roman" w:cs="Times New Roman"/>
          <w:sz w:val="24"/>
          <w:szCs w:val="24"/>
        </w:rPr>
        <w:t xml:space="preserve"> para responder a la crisis.</w:t>
      </w:r>
    </w:p>
    <w:p w:rsidR="00FA411F" w:rsidRDefault="00FA411F" w:rsidP="00EB02F3">
      <w:pPr>
        <w:spacing w:line="240" w:lineRule="auto"/>
        <w:jc w:val="both"/>
        <w:rPr>
          <w:rFonts w:ascii="Times New Roman" w:hAnsi="Times New Roman" w:cs="Times New Roman"/>
          <w:sz w:val="24"/>
          <w:szCs w:val="24"/>
        </w:rPr>
      </w:pPr>
    </w:p>
    <w:p w:rsidR="00FA411F" w:rsidRDefault="00FA411F" w:rsidP="00EB02F3">
      <w:pPr>
        <w:spacing w:line="240" w:lineRule="auto"/>
        <w:jc w:val="both"/>
        <w:rPr>
          <w:rFonts w:ascii="Times New Roman" w:hAnsi="Times New Roman" w:cs="Times New Roman"/>
          <w:sz w:val="24"/>
          <w:szCs w:val="24"/>
        </w:rPr>
      </w:pPr>
    </w:p>
    <w:p w:rsidR="00EB02F3" w:rsidRDefault="00EB02F3" w:rsidP="00EB02F3">
      <w:pPr>
        <w:spacing w:line="240" w:lineRule="auto"/>
        <w:jc w:val="both"/>
        <w:rPr>
          <w:rFonts w:ascii="Times New Roman" w:hAnsi="Times New Roman" w:cs="Times New Roman"/>
          <w:b/>
          <w:sz w:val="24"/>
          <w:szCs w:val="24"/>
        </w:rPr>
      </w:pPr>
      <w:r w:rsidRPr="00E738D5">
        <w:rPr>
          <w:rFonts w:ascii="Times New Roman" w:hAnsi="Times New Roman" w:cs="Times New Roman"/>
          <w:b/>
          <w:sz w:val="24"/>
          <w:szCs w:val="24"/>
        </w:rPr>
        <w:lastRenderedPageBreak/>
        <w:t>Y lo que queda por venir…</w:t>
      </w:r>
    </w:p>
    <w:p w:rsidR="00FA411F" w:rsidRDefault="00FA411F" w:rsidP="00EB02F3">
      <w:pPr>
        <w:spacing w:line="240" w:lineRule="auto"/>
        <w:jc w:val="both"/>
        <w:rPr>
          <w:rFonts w:ascii="Times New Roman" w:hAnsi="Times New Roman" w:cs="Times New Roman"/>
          <w:b/>
          <w:sz w:val="24"/>
          <w:szCs w:val="24"/>
        </w:rPr>
      </w:pPr>
    </w:p>
    <w:p w:rsidR="00EB02F3" w:rsidRDefault="00EB02F3" w:rsidP="00EB02F3">
      <w:pPr>
        <w:spacing w:line="240" w:lineRule="auto"/>
        <w:jc w:val="both"/>
        <w:rPr>
          <w:rFonts w:ascii="Times New Roman" w:hAnsi="Times New Roman" w:cs="Times New Roman"/>
          <w:b/>
          <w:sz w:val="24"/>
          <w:szCs w:val="24"/>
        </w:rPr>
      </w:pPr>
      <w:r>
        <w:rPr>
          <w:noProof/>
          <w:lang w:eastAsia="es-ES"/>
        </w:rPr>
        <w:drawing>
          <wp:inline distT="0" distB="0" distL="0" distR="0" wp14:anchorId="500FF5CF" wp14:editId="0F55D94C">
            <wp:extent cx="5731786" cy="8041341"/>
            <wp:effectExtent l="0" t="0" r="2540" b="0"/>
            <wp:docPr id="76" name="Imagen 76" descr="https://s03.s3c.es/imag/_v0/770x1540/3/7/1/050620-B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1540/3/7/1/050620-BCE.gif"/>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31510" cy="8040954"/>
                    </a:xfrm>
                    <a:prstGeom prst="rect">
                      <a:avLst/>
                    </a:prstGeom>
                    <a:noFill/>
                    <a:ln>
                      <a:noFill/>
                    </a:ln>
                  </pic:spPr>
                </pic:pic>
              </a:graphicData>
            </a:graphic>
          </wp:inline>
        </w:drawing>
      </w:r>
    </w:p>
    <w:p w:rsidR="00EB02F3" w:rsidRDefault="00EB02F3" w:rsidP="00EB02F3">
      <w:pPr>
        <w:spacing w:line="240" w:lineRule="auto"/>
        <w:jc w:val="both"/>
        <w:rPr>
          <w:rFonts w:ascii="Times New Roman" w:hAnsi="Times New Roman" w:cs="Times New Roman"/>
          <w:b/>
          <w:sz w:val="24"/>
          <w:szCs w:val="24"/>
        </w:rPr>
      </w:pPr>
      <w:r>
        <w:rPr>
          <w:noProof/>
          <w:lang w:eastAsia="es-ES"/>
        </w:rPr>
        <w:lastRenderedPageBreak/>
        <w:drawing>
          <wp:inline distT="0" distB="0" distL="0" distR="0" wp14:anchorId="6B7DFCF1" wp14:editId="5B5D9C90">
            <wp:extent cx="5731510" cy="3326203"/>
            <wp:effectExtent l="0" t="0" r="2540" b="7620"/>
            <wp:docPr id="77" name="Imagen 7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31510" cy="3326203"/>
                    </a:xfrm>
                    <a:prstGeom prst="rect">
                      <a:avLst/>
                    </a:prstGeom>
                    <a:noFill/>
                    <a:ln>
                      <a:noFill/>
                    </a:ln>
                  </pic:spPr>
                </pic:pic>
              </a:graphicData>
            </a:graphic>
          </wp:inline>
        </w:drawing>
      </w:r>
    </w:p>
    <w:p w:rsidR="00EB02F3" w:rsidRPr="0064575B" w:rsidRDefault="00EB02F3" w:rsidP="00EB02F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4575B">
        <w:rPr>
          <w:rFonts w:ascii="Times New Roman" w:hAnsi="Times New Roman" w:cs="Times New Roman"/>
          <w:sz w:val="24"/>
          <w:szCs w:val="24"/>
          <w:u w:val="single"/>
        </w:rPr>
        <w:t>El Banco Mundial prevé la mayor caída del PIB global desde 1945</w:t>
      </w:r>
      <w:r>
        <w:rPr>
          <w:rFonts w:ascii="Times New Roman" w:hAnsi="Times New Roman" w:cs="Times New Roman"/>
          <w:sz w:val="24"/>
          <w:szCs w:val="24"/>
        </w:rPr>
        <w:t xml:space="preserve"> (Cinco Días - </w:t>
      </w:r>
      <w:r>
        <w:rPr>
          <w:rFonts w:ascii="Times New Roman" w:hAnsi="Times New Roman" w:cs="Times New Roman"/>
          <w:b/>
          <w:sz w:val="24"/>
          <w:szCs w:val="24"/>
        </w:rPr>
        <w:t>8</w:t>
      </w:r>
      <w:r w:rsidRPr="0064575B">
        <w:rPr>
          <w:rFonts w:ascii="Times New Roman" w:hAnsi="Times New Roman" w:cs="Times New Roman"/>
          <w:b/>
          <w:sz w:val="24"/>
          <w:szCs w:val="24"/>
        </w:rPr>
        <w:t>/6/20</w:t>
      </w:r>
      <w:r>
        <w:rPr>
          <w:rFonts w:ascii="Times New Roman" w:hAnsi="Times New Roman" w:cs="Times New Roman"/>
          <w:sz w:val="24"/>
          <w:szCs w:val="24"/>
        </w:rPr>
        <w:t>)</w:t>
      </w:r>
    </w:p>
    <w:p w:rsidR="00EB02F3" w:rsidRPr="0064575B" w:rsidRDefault="00EB02F3" w:rsidP="00EB02F3">
      <w:pPr>
        <w:spacing w:line="240" w:lineRule="auto"/>
        <w:jc w:val="both"/>
        <w:rPr>
          <w:rFonts w:ascii="Times New Roman" w:hAnsi="Times New Roman" w:cs="Times New Roman"/>
          <w:sz w:val="24"/>
          <w:szCs w:val="24"/>
        </w:rPr>
      </w:pPr>
      <w:r w:rsidRPr="0064575B">
        <w:rPr>
          <w:rFonts w:ascii="Times New Roman" w:hAnsi="Times New Roman" w:cs="Times New Roman"/>
          <w:sz w:val="24"/>
          <w:szCs w:val="24"/>
        </w:rPr>
        <w:t>El desplome será del 5,2% y solo Asia registrará crecimiento económico</w:t>
      </w:r>
    </w:p>
    <w:p w:rsidR="00EB02F3" w:rsidRPr="0064575B" w:rsidRDefault="00EB02F3" w:rsidP="00EB02F3">
      <w:pPr>
        <w:spacing w:line="240" w:lineRule="auto"/>
        <w:jc w:val="both"/>
        <w:rPr>
          <w:rFonts w:ascii="Times New Roman" w:hAnsi="Times New Roman" w:cs="Times New Roman"/>
          <w:sz w:val="24"/>
          <w:szCs w:val="24"/>
        </w:rPr>
      </w:pPr>
      <w:r w:rsidRPr="00951820">
        <w:rPr>
          <w:rFonts w:ascii="Times New Roman" w:hAnsi="Times New Roman" w:cs="Times New Roman"/>
          <w:color w:val="FF0000"/>
          <w:sz w:val="24"/>
          <w:szCs w:val="24"/>
          <w:u w:val="single"/>
        </w:rPr>
        <w:t xml:space="preserve">La economía mundial se contraerá este año un 5,2%, el mayor desplome desde el fin de la II Guerra Mundial </w:t>
      </w:r>
      <w:r>
        <w:rPr>
          <w:rFonts w:ascii="Times New Roman" w:hAnsi="Times New Roman" w:cs="Times New Roman"/>
          <w:color w:val="FF0000"/>
          <w:sz w:val="24"/>
          <w:szCs w:val="24"/>
          <w:u w:val="single"/>
        </w:rPr>
        <w:t>en 1945, como consecuencia del “rápido y enorme”</w:t>
      </w:r>
      <w:r w:rsidRPr="00951820">
        <w:rPr>
          <w:rFonts w:ascii="Times New Roman" w:hAnsi="Times New Roman" w:cs="Times New Roman"/>
          <w:color w:val="FF0000"/>
          <w:sz w:val="24"/>
          <w:szCs w:val="24"/>
          <w:u w:val="single"/>
        </w:rPr>
        <w:t xml:space="preserve"> golpe provocado por la pandemia del coronavirus, y Asia será el único continente que crecerá, pronosticó este lunes el Banco Mundial. Sus previsiones son más pesimistas que las dadas por el Fondo Monetario Internacional en abril, cuando estimó que el PIB mundial se contraería un 3% este año</w:t>
      </w:r>
      <w:r>
        <w:rPr>
          <w:rFonts w:ascii="Times New Roman" w:hAnsi="Times New Roman" w:cs="Times New Roman"/>
          <w:sz w:val="24"/>
          <w:szCs w:val="24"/>
        </w:rPr>
        <w:t>.</w:t>
      </w:r>
    </w:p>
    <w:p w:rsidR="00EB02F3" w:rsidRPr="0064575B" w:rsidRDefault="00EB02F3" w:rsidP="00EB02F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4575B">
        <w:rPr>
          <w:rFonts w:ascii="Times New Roman" w:hAnsi="Times New Roman" w:cs="Times New Roman"/>
          <w:sz w:val="24"/>
          <w:szCs w:val="24"/>
        </w:rPr>
        <w:t>Estas son unas perspectivas profundamente aleccionadoras, con una crisis que probablemente dejará cicatrices duraderas y plant</w:t>
      </w:r>
      <w:r>
        <w:rPr>
          <w:rFonts w:ascii="Times New Roman" w:hAnsi="Times New Roman" w:cs="Times New Roman"/>
          <w:sz w:val="24"/>
          <w:szCs w:val="24"/>
        </w:rPr>
        <w:t>eará gigantes desafíos globales”</w:t>
      </w:r>
      <w:r w:rsidRPr="0064575B">
        <w:rPr>
          <w:rFonts w:ascii="Times New Roman" w:hAnsi="Times New Roman" w:cs="Times New Roman"/>
          <w:sz w:val="24"/>
          <w:szCs w:val="24"/>
        </w:rPr>
        <w:t>, dijo Ceyla Pazarbasioglu, vicepresidente de Crecimiento Equitativo del BM,</w:t>
      </w:r>
      <w:r>
        <w:rPr>
          <w:rFonts w:ascii="Times New Roman" w:hAnsi="Times New Roman" w:cs="Times New Roman"/>
          <w:sz w:val="24"/>
          <w:szCs w:val="24"/>
        </w:rPr>
        <w:t xml:space="preserve"> en una conferencia telefónica.</w:t>
      </w:r>
    </w:p>
    <w:p w:rsidR="00EB02F3" w:rsidRPr="00951820" w:rsidRDefault="00EB02F3" w:rsidP="00EB02F3">
      <w:pPr>
        <w:spacing w:line="240" w:lineRule="auto"/>
        <w:jc w:val="both"/>
        <w:rPr>
          <w:rFonts w:ascii="Times New Roman" w:hAnsi="Times New Roman" w:cs="Times New Roman"/>
          <w:sz w:val="24"/>
          <w:szCs w:val="24"/>
          <w:u w:val="single"/>
        </w:rPr>
      </w:pPr>
      <w:r w:rsidRPr="00951820">
        <w:rPr>
          <w:rFonts w:ascii="Times New Roman" w:hAnsi="Times New Roman" w:cs="Times New Roman"/>
          <w:sz w:val="24"/>
          <w:szCs w:val="24"/>
          <w:u w:val="single"/>
        </w:rPr>
        <w:t>En el nuevo escenario manejado por la institución internacional, en el que la remisión de la pandemia permitirá levantar las medidas nacionales de confinamiento a mediados de año en las economías avanzadas y un poco más tarde en l</w:t>
      </w:r>
      <w:r>
        <w:rPr>
          <w:rFonts w:ascii="Times New Roman" w:hAnsi="Times New Roman" w:cs="Times New Roman"/>
          <w:sz w:val="24"/>
          <w:szCs w:val="24"/>
          <w:u w:val="single"/>
        </w:rPr>
        <w:t>as emergentes y en desarrollo, “</w:t>
      </w:r>
      <w:r w:rsidRPr="00951820">
        <w:rPr>
          <w:rFonts w:ascii="Times New Roman" w:hAnsi="Times New Roman" w:cs="Times New Roman"/>
          <w:sz w:val="24"/>
          <w:szCs w:val="24"/>
          <w:u w:val="single"/>
        </w:rPr>
        <w:t>las repercusiones negativas a nivel mundial perderán intensidad durante la segunda mitad del año y las perturbaciones a los mercados financieros</w:t>
      </w:r>
      <w:r>
        <w:rPr>
          <w:rFonts w:ascii="Times New Roman" w:hAnsi="Times New Roman" w:cs="Times New Roman"/>
          <w:sz w:val="24"/>
          <w:szCs w:val="24"/>
          <w:u w:val="single"/>
        </w:rPr>
        <w:t xml:space="preserve"> no se prolongarán en el tiempo”</w:t>
      </w:r>
      <w:r w:rsidRPr="00951820">
        <w:rPr>
          <w:rFonts w:ascii="Times New Roman" w:hAnsi="Times New Roman" w:cs="Times New Roman"/>
          <w:sz w:val="24"/>
          <w:szCs w:val="24"/>
          <w:u w:val="single"/>
        </w:rPr>
        <w:t>, lo que permitirá a la economía mundial un rebote del 4,2% en 2021, insuficiente para compensar completamente la pérdida de actividad estimada para 2020.</w:t>
      </w:r>
    </w:p>
    <w:p w:rsidR="00EB02F3" w:rsidRPr="00951820" w:rsidRDefault="00EB02F3" w:rsidP="00EB02F3">
      <w:pPr>
        <w:spacing w:line="240" w:lineRule="auto"/>
        <w:jc w:val="both"/>
        <w:rPr>
          <w:rFonts w:ascii="Times New Roman" w:hAnsi="Times New Roman" w:cs="Times New Roman"/>
          <w:b/>
          <w:color w:val="FF0000"/>
          <w:sz w:val="24"/>
          <w:szCs w:val="24"/>
          <w:u w:val="single"/>
        </w:rPr>
      </w:pPr>
      <w:r>
        <w:rPr>
          <w:rFonts w:ascii="Times New Roman" w:hAnsi="Times New Roman" w:cs="Times New Roman"/>
          <w:color w:val="FF0000"/>
          <w:sz w:val="24"/>
          <w:szCs w:val="24"/>
        </w:rPr>
        <w:t>“</w:t>
      </w:r>
      <w:r w:rsidRPr="00951820">
        <w:rPr>
          <w:rFonts w:ascii="Times New Roman" w:hAnsi="Times New Roman" w:cs="Times New Roman"/>
          <w:b/>
          <w:color w:val="FF0000"/>
          <w:sz w:val="24"/>
          <w:szCs w:val="24"/>
          <w:u w:val="single"/>
        </w:rPr>
        <w:t xml:space="preserve">La recesión ocasionada por la Covid-19 es singular en varios aspectos, y es probable que sea la más profunda para las economías avanzadas desde la Segunda Guerra Mundial y la primera contracción del producto en las economías emergentes y en desarrollo en al </w:t>
      </w:r>
      <w:r>
        <w:rPr>
          <w:rFonts w:ascii="Times New Roman" w:hAnsi="Times New Roman" w:cs="Times New Roman"/>
          <w:b/>
          <w:color w:val="FF0000"/>
          <w:sz w:val="24"/>
          <w:szCs w:val="24"/>
          <w:u w:val="single"/>
        </w:rPr>
        <w:t>menos los últimos seis decenios”</w:t>
      </w:r>
      <w:r w:rsidRPr="00951820">
        <w:rPr>
          <w:rFonts w:ascii="Times New Roman" w:hAnsi="Times New Roman" w:cs="Times New Roman"/>
          <w:b/>
          <w:color w:val="FF0000"/>
          <w:sz w:val="24"/>
          <w:szCs w:val="24"/>
          <w:u w:val="single"/>
        </w:rPr>
        <w:t>, dijo Ayhan Kose, director del Grupo de Perspectivas del Banco Mundial.</w:t>
      </w:r>
    </w:p>
    <w:p w:rsidR="00EB02F3" w:rsidRPr="00951820" w:rsidRDefault="00EB02F3" w:rsidP="00EB02F3">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951820">
        <w:rPr>
          <w:rFonts w:ascii="Times New Roman" w:hAnsi="Times New Roman" w:cs="Times New Roman"/>
          <w:color w:val="FF0000"/>
          <w:sz w:val="24"/>
          <w:szCs w:val="24"/>
          <w:u w:val="single"/>
        </w:rPr>
        <w:t xml:space="preserve">No existen registros de correcciones a la baja tan súbitas y drásticas de los pronósticos de crecimiento mundial como las que se han visto en la época actual. Si el pasado sirve como referencia, los pronósticos podrían empeorar aún más, lo que implica que los encargados de </w:t>
      </w:r>
      <w:r w:rsidRPr="00951820">
        <w:rPr>
          <w:rFonts w:ascii="Times New Roman" w:hAnsi="Times New Roman" w:cs="Times New Roman"/>
          <w:color w:val="FF0000"/>
          <w:sz w:val="24"/>
          <w:szCs w:val="24"/>
          <w:u w:val="single"/>
        </w:rPr>
        <w:lastRenderedPageBreak/>
        <w:t>formular políticas deben prepararse para la posibilidad de tener que adoptar medidas adici</w:t>
      </w:r>
      <w:r>
        <w:rPr>
          <w:rFonts w:ascii="Times New Roman" w:hAnsi="Times New Roman" w:cs="Times New Roman"/>
          <w:color w:val="FF0000"/>
          <w:sz w:val="24"/>
          <w:szCs w:val="24"/>
          <w:u w:val="single"/>
        </w:rPr>
        <w:t>onales para apoyar la actividad”</w:t>
      </w:r>
      <w:r w:rsidRPr="00951820">
        <w:rPr>
          <w:rFonts w:ascii="Times New Roman" w:hAnsi="Times New Roman" w:cs="Times New Roman"/>
          <w:color w:val="FF0000"/>
          <w:sz w:val="24"/>
          <w:szCs w:val="24"/>
          <w:u w:val="single"/>
        </w:rPr>
        <w:t>, añadió.</w:t>
      </w:r>
    </w:p>
    <w:p w:rsidR="00EB02F3" w:rsidRPr="00951820" w:rsidRDefault="00EB02F3" w:rsidP="00EB02F3">
      <w:pPr>
        <w:spacing w:line="240" w:lineRule="auto"/>
        <w:jc w:val="both"/>
        <w:rPr>
          <w:rFonts w:ascii="Times New Roman" w:hAnsi="Times New Roman" w:cs="Times New Roman"/>
          <w:color w:val="FF0000"/>
          <w:sz w:val="24"/>
          <w:szCs w:val="24"/>
          <w:u w:val="single"/>
        </w:rPr>
      </w:pPr>
      <w:r w:rsidRPr="00951820">
        <w:rPr>
          <w:rFonts w:ascii="Times New Roman" w:hAnsi="Times New Roman" w:cs="Times New Roman"/>
          <w:color w:val="FF0000"/>
          <w:sz w:val="24"/>
          <w:szCs w:val="24"/>
          <w:u w:val="single"/>
        </w:rPr>
        <w:t>En su último informe Perspectivas Económicas Globales, el Banco Mundial detalla que el crecimiento de las economías avanzadas se desplomará un 7% en 2020 mientras que en los países emergentes tan solo lo hará un 2,5%, su primera caída en la serie histórica (que comienza en 1960)</w:t>
      </w:r>
    </w:p>
    <w:p w:rsidR="00EB02F3" w:rsidRPr="00951820" w:rsidRDefault="00EB02F3" w:rsidP="00EB02F3">
      <w:pPr>
        <w:spacing w:line="240" w:lineRule="auto"/>
        <w:jc w:val="both"/>
        <w:rPr>
          <w:rFonts w:ascii="Times New Roman" w:hAnsi="Times New Roman" w:cs="Times New Roman"/>
          <w:b/>
          <w:color w:val="FF0000"/>
          <w:sz w:val="24"/>
          <w:szCs w:val="24"/>
          <w:u w:val="single"/>
        </w:rPr>
      </w:pPr>
      <w:r w:rsidRPr="00951820">
        <w:rPr>
          <w:rFonts w:ascii="Times New Roman" w:hAnsi="Times New Roman" w:cs="Times New Roman"/>
          <w:b/>
          <w:color w:val="FF0000"/>
          <w:sz w:val="24"/>
          <w:szCs w:val="24"/>
          <w:u w:val="single"/>
        </w:rPr>
        <w:t>Entre las principales economías mundiales, la zona euro será la que muestre una peor evolución este año, con una caída del PIB estimada del 9,1% ante el peso que el sector turístico tiene en numerosas economías del bloque, mientras que las medidas de expansión monetaria aplicadas por el Banco Central Europeo y los estímulos fiscales permitirán un rebote del 4,5% en 2021.</w:t>
      </w:r>
    </w:p>
    <w:p w:rsidR="00EB02F3" w:rsidRPr="00951820" w:rsidRDefault="00EB02F3" w:rsidP="00EB02F3">
      <w:pPr>
        <w:spacing w:line="240" w:lineRule="auto"/>
        <w:jc w:val="both"/>
        <w:rPr>
          <w:rFonts w:ascii="Times New Roman" w:hAnsi="Times New Roman" w:cs="Times New Roman"/>
          <w:b/>
          <w:color w:val="FF0000"/>
          <w:sz w:val="24"/>
          <w:szCs w:val="24"/>
          <w:u w:val="single"/>
        </w:rPr>
      </w:pPr>
      <w:r w:rsidRPr="00951820">
        <w:rPr>
          <w:rFonts w:ascii="Times New Roman" w:hAnsi="Times New Roman" w:cs="Times New Roman"/>
          <w:b/>
          <w:color w:val="FF0000"/>
          <w:sz w:val="24"/>
          <w:szCs w:val="24"/>
          <w:u w:val="single"/>
        </w:rPr>
        <w:t>En el caso de Estados Unidos, el Banco Mundial prevé una contracción de la actividad en 2020 del 6,1%, seguida de una recuperación del 4% el próximo año, mientras que para China, la institución internacional anticipa un crecimiento del 1% en 2020 y una expansión el próximo año del 6,9%.</w:t>
      </w:r>
    </w:p>
    <w:p w:rsidR="00EB02F3" w:rsidRPr="00951820" w:rsidRDefault="00EB02F3" w:rsidP="00EB02F3">
      <w:pPr>
        <w:spacing w:line="240" w:lineRule="auto"/>
        <w:jc w:val="both"/>
        <w:rPr>
          <w:rFonts w:ascii="Times New Roman" w:hAnsi="Times New Roman" w:cs="Times New Roman"/>
          <w:b/>
          <w:color w:val="FF0000"/>
          <w:sz w:val="24"/>
          <w:szCs w:val="24"/>
          <w:u w:val="single"/>
        </w:rPr>
      </w:pPr>
      <w:r w:rsidRPr="00951820">
        <w:rPr>
          <w:rFonts w:ascii="Times New Roman" w:hAnsi="Times New Roman" w:cs="Times New Roman"/>
          <w:b/>
          <w:color w:val="FF0000"/>
          <w:sz w:val="24"/>
          <w:szCs w:val="24"/>
          <w:u w:val="single"/>
        </w:rPr>
        <w:t>Según los pronósticos de base de la institución, en 2021 el crecimiento de las economías avanzadas repuntaría un 3,9% y un 4,6% para los países en desarrollo.</w:t>
      </w:r>
    </w:p>
    <w:p w:rsidR="00EB02F3" w:rsidRPr="0064575B" w:rsidRDefault="00EB02F3" w:rsidP="00EB02F3">
      <w:pPr>
        <w:spacing w:line="240" w:lineRule="auto"/>
        <w:jc w:val="both"/>
        <w:rPr>
          <w:rFonts w:ascii="Times New Roman" w:hAnsi="Times New Roman" w:cs="Times New Roman"/>
          <w:sz w:val="24"/>
          <w:szCs w:val="24"/>
        </w:rPr>
      </w:pPr>
      <w:r w:rsidRPr="0064575B">
        <w:rPr>
          <w:rFonts w:ascii="Times New Roman" w:hAnsi="Times New Roman" w:cs="Times New Roman"/>
          <w:sz w:val="24"/>
          <w:szCs w:val="24"/>
        </w:rPr>
        <w:t>Sin embargo, el Banco Mundial subraya que las perspectivas son sumamente inciertas y predominan los riesgos de que la situación empeore, debido, por ejemplo, a la posibilidad de que la pandemia se prolongue por más tiempo, que ocurran turbulencias financieras o de que se produzca un repliegue del comercio internacional.</w:t>
      </w:r>
    </w:p>
    <w:p w:rsidR="00EB02F3" w:rsidRDefault="00EB02F3" w:rsidP="00EB02F3">
      <w:pPr>
        <w:spacing w:line="240" w:lineRule="auto"/>
        <w:jc w:val="both"/>
        <w:rPr>
          <w:rFonts w:ascii="Times New Roman" w:hAnsi="Times New Roman" w:cs="Times New Roman"/>
          <w:sz w:val="24"/>
          <w:szCs w:val="24"/>
        </w:rPr>
      </w:pPr>
      <w:r w:rsidRPr="0064575B">
        <w:rPr>
          <w:rFonts w:ascii="Times New Roman" w:hAnsi="Times New Roman" w:cs="Times New Roman"/>
          <w:sz w:val="24"/>
          <w:szCs w:val="24"/>
        </w:rPr>
        <w:t>Bajo esta hipótesis menos halagüeña, la economía mundial podría contraerse hasta un 8% este año, para recuperarse apenas por encima de un 1% en 2021, en tanto que el producto de los países en desarrollo disminuiría casi un 5% este año y un 10% el de las economías avanzadas. Por contra, en un escenario optimista, el PIB mundial caería en 2020 un 4% para recuperarse más de un 5% el próximo año.</w:t>
      </w:r>
    </w:p>
    <w:p w:rsidR="00EB02F3" w:rsidRPr="0064575B" w:rsidRDefault="00EB02F3" w:rsidP="00EB02F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4575B">
        <w:rPr>
          <w:rFonts w:ascii="Times New Roman" w:hAnsi="Times New Roman" w:cs="Times New Roman"/>
          <w:sz w:val="24"/>
          <w:szCs w:val="24"/>
        </w:rPr>
        <w:t>¿</w:t>
      </w:r>
      <w:r w:rsidRPr="002E0696">
        <w:rPr>
          <w:rFonts w:ascii="Times New Roman" w:hAnsi="Times New Roman" w:cs="Times New Roman"/>
          <w:sz w:val="24"/>
          <w:szCs w:val="24"/>
          <w:u w:val="single"/>
        </w:rPr>
        <w:t>Qué ha cambiado con 2008? En unas semanas se ha logrado lo que en la anterior crisis llevó años</w:t>
      </w:r>
      <w:r>
        <w:rPr>
          <w:rFonts w:ascii="Times New Roman" w:hAnsi="Times New Roman" w:cs="Times New Roman"/>
          <w:sz w:val="24"/>
          <w:szCs w:val="24"/>
        </w:rPr>
        <w:t xml:space="preserve"> (El Economista - </w:t>
      </w:r>
      <w:r w:rsidRPr="002E0696">
        <w:rPr>
          <w:rFonts w:ascii="Times New Roman" w:hAnsi="Times New Roman" w:cs="Times New Roman"/>
          <w:b/>
          <w:sz w:val="24"/>
          <w:szCs w:val="24"/>
        </w:rPr>
        <w:t>8/6/20</w:t>
      </w:r>
      <w:r>
        <w:rPr>
          <w:rFonts w:ascii="Times New Roman" w:hAnsi="Times New Roman" w:cs="Times New Roman"/>
          <w:sz w:val="24"/>
          <w:szCs w:val="24"/>
        </w:rPr>
        <w:t>)</w:t>
      </w:r>
    </w:p>
    <w:p w:rsidR="00EB02F3" w:rsidRPr="0064575B" w:rsidRDefault="00EB02F3" w:rsidP="00EB02F3">
      <w:pPr>
        <w:spacing w:line="240" w:lineRule="auto"/>
        <w:jc w:val="both"/>
        <w:rPr>
          <w:rFonts w:ascii="Times New Roman" w:hAnsi="Times New Roman" w:cs="Times New Roman"/>
          <w:sz w:val="24"/>
          <w:szCs w:val="24"/>
        </w:rPr>
      </w:pPr>
      <w:r w:rsidRPr="0064575B">
        <w:rPr>
          <w:rFonts w:ascii="Times New Roman" w:hAnsi="Times New Roman" w:cs="Times New Roman"/>
          <w:sz w:val="24"/>
          <w:szCs w:val="24"/>
        </w:rPr>
        <w:t>Las medidas clave de bancos y gobiernos han llegado en cuestión de semanas</w:t>
      </w:r>
    </w:p>
    <w:p w:rsidR="00EB02F3" w:rsidRPr="0064575B" w:rsidRDefault="00EB02F3" w:rsidP="00EB02F3">
      <w:pPr>
        <w:spacing w:line="240" w:lineRule="auto"/>
        <w:jc w:val="both"/>
        <w:rPr>
          <w:rFonts w:ascii="Times New Roman" w:hAnsi="Times New Roman" w:cs="Times New Roman"/>
          <w:sz w:val="24"/>
          <w:szCs w:val="24"/>
        </w:rPr>
      </w:pPr>
      <w:r w:rsidRPr="0064575B">
        <w:rPr>
          <w:rFonts w:ascii="Times New Roman" w:hAnsi="Times New Roman" w:cs="Times New Roman"/>
          <w:sz w:val="24"/>
          <w:szCs w:val="24"/>
        </w:rPr>
        <w:t>Los bancos centrales han dirigido la liquidez hacia las empresas</w:t>
      </w:r>
    </w:p>
    <w:p w:rsidR="00EB02F3" w:rsidRDefault="00EB02F3" w:rsidP="00EB02F3">
      <w:pPr>
        <w:spacing w:line="240" w:lineRule="auto"/>
        <w:jc w:val="both"/>
        <w:rPr>
          <w:rFonts w:ascii="Times New Roman" w:hAnsi="Times New Roman" w:cs="Times New Roman"/>
          <w:sz w:val="24"/>
          <w:szCs w:val="24"/>
        </w:rPr>
      </w:pPr>
      <w:r w:rsidRPr="0064575B">
        <w:rPr>
          <w:rFonts w:ascii="Times New Roman" w:hAnsi="Times New Roman" w:cs="Times New Roman"/>
          <w:sz w:val="24"/>
          <w:szCs w:val="24"/>
        </w:rPr>
        <w:t>Los gobiernos han apostado por ampliar sus redes de protección social</w:t>
      </w:r>
    </w:p>
    <w:p w:rsidR="00EB02F3" w:rsidRPr="002E0696" w:rsidRDefault="00EB02F3" w:rsidP="00EB02F3">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 xml:space="preserve">Las crisis económicas son un trago duro para millones de personas que se ven afectadas de forma directa e indirecta. Sin embargo, cada recesión económica también puede ser una lección para el futuro, un aprendizaje que puede marcar la diferencia. Por ejemplo, en esta ocasión gobiernos y banca central han reaccionado con una intensidad sin precedentes y sin límites aparentes (al menos en el lenguaje) al impacto causado por el coronavirus. </w:t>
      </w:r>
      <w:r w:rsidRPr="00951820">
        <w:rPr>
          <w:rFonts w:ascii="Times New Roman" w:hAnsi="Times New Roman" w:cs="Times New Roman"/>
          <w:color w:val="FF0000"/>
          <w:sz w:val="24"/>
          <w:szCs w:val="24"/>
          <w:u w:val="single"/>
        </w:rPr>
        <w:t>Las políticas que tardaron en desplegarse años durante la crisis de 2007-2008, ahora se han puesto en marcha en cuestión de semanas.</w:t>
      </w:r>
      <w:r w:rsidRPr="002E0696">
        <w:rPr>
          <w:rFonts w:ascii="Times New Roman" w:hAnsi="Times New Roman" w:cs="Times New Roman"/>
          <w:sz w:val="24"/>
          <w:szCs w:val="24"/>
        </w:rPr>
        <w:t xml:space="preserve"> </w:t>
      </w:r>
      <w:r w:rsidRPr="00951820">
        <w:rPr>
          <w:rFonts w:ascii="Times New Roman" w:hAnsi="Times New Roman" w:cs="Times New Roman"/>
          <w:color w:val="FF0000"/>
          <w:sz w:val="24"/>
          <w:szCs w:val="24"/>
          <w:u w:val="single"/>
        </w:rPr>
        <w:t xml:space="preserve">Además, una parte de estas medidas se ha modificado para que sus efectos lleguen casi de forma directa a la población y las empresas más afectadas. </w:t>
      </w:r>
      <w:r w:rsidRPr="00951820">
        <w:rPr>
          <w:rFonts w:ascii="Times New Roman" w:hAnsi="Times New Roman" w:cs="Times New Roman"/>
          <w:b/>
          <w:color w:val="FF0000"/>
          <w:sz w:val="24"/>
          <w:szCs w:val="24"/>
          <w:u w:val="single"/>
        </w:rPr>
        <w:t>Este cambio se puede ver reflejado en el crecimiento de la oferta monetaria (medida por el agregado monetario M3) que crece al mayor ritmo de los últimos doce años.</w:t>
      </w:r>
      <w:r w:rsidRPr="00951820">
        <w:rPr>
          <w:rFonts w:ascii="Times New Roman" w:hAnsi="Times New Roman" w:cs="Times New Roman"/>
          <w:color w:val="FF0000"/>
          <w:sz w:val="24"/>
          <w:szCs w:val="24"/>
        </w:rPr>
        <w:t xml:space="preserve"> </w:t>
      </w:r>
      <w:r w:rsidRPr="00951820">
        <w:rPr>
          <w:rFonts w:ascii="Times New Roman" w:hAnsi="Times New Roman" w:cs="Times New Roman"/>
          <w:color w:val="FF0000"/>
          <w:sz w:val="24"/>
          <w:szCs w:val="24"/>
          <w:u w:val="single"/>
        </w:rPr>
        <w:t xml:space="preserve">El crédito está fluyendo hacia las empresas más necesitadas, mientras que el gasto </w:t>
      </w:r>
      <w:r w:rsidRPr="00951820">
        <w:rPr>
          <w:rFonts w:ascii="Times New Roman" w:hAnsi="Times New Roman" w:cs="Times New Roman"/>
          <w:color w:val="FF0000"/>
          <w:sz w:val="24"/>
          <w:szCs w:val="24"/>
          <w:u w:val="single"/>
        </w:rPr>
        <w:lastRenderedPageBreak/>
        <w:t>público de los gobiernos está llegando directamente a las manos de los ciudadanos más vulnerables, a la par que las primas de riesgo se mantienen a raya en Europa con la decisiva intervención del banco central</w:t>
      </w:r>
      <w:r w:rsidRPr="002E0696">
        <w:rPr>
          <w:rFonts w:ascii="Times New Roman" w:hAnsi="Times New Roman" w:cs="Times New Roman"/>
          <w:sz w:val="24"/>
          <w:szCs w:val="24"/>
        </w:rPr>
        <w:t xml:space="preserve">. Pese a que esta recesión económica no tiene precedentes en la economía moderna, el trago podría terminar siendo menos </w:t>
      </w:r>
      <w:r>
        <w:rPr>
          <w:rFonts w:ascii="Times New Roman" w:hAnsi="Times New Roman" w:cs="Times New Roman"/>
          <w:sz w:val="24"/>
          <w:szCs w:val="24"/>
        </w:rPr>
        <w:t>duro gracias a estas políticas.</w:t>
      </w:r>
    </w:p>
    <w:p w:rsidR="00EB02F3" w:rsidRPr="00951820" w:rsidRDefault="00EB02F3" w:rsidP="00EB02F3">
      <w:pPr>
        <w:spacing w:line="240" w:lineRule="auto"/>
        <w:jc w:val="both"/>
        <w:rPr>
          <w:rFonts w:ascii="Times New Roman" w:hAnsi="Times New Roman" w:cs="Times New Roman"/>
          <w:color w:val="FF0000"/>
          <w:sz w:val="24"/>
          <w:szCs w:val="24"/>
          <w:u w:val="single"/>
        </w:rPr>
      </w:pPr>
      <w:r w:rsidRPr="00951820">
        <w:rPr>
          <w:rFonts w:ascii="Times New Roman" w:hAnsi="Times New Roman" w:cs="Times New Roman"/>
          <w:color w:val="FF0000"/>
          <w:sz w:val="24"/>
          <w:szCs w:val="24"/>
          <w:u w:val="single"/>
        </w:rPr>
        <w:t>Así lo remarca el Banco Internacional de Pagos (BiS) en un documento en el que analiza las respuesta</w:t>
      </w:r>
      <w:r>
        <w:rPr>
          <w:rFonts w:ascii="Times New Roman" w:hAnsi="Times New Roman" w:cs="Times New Roman"/>
          <w:color w:val="FF0000"/>
          <w:sz w:val="24"/>
          <w:szCs w:val="24"/>
          <w:u w:val="single"/>
        </w:rPr>
        <w:t>s a la crisis del coronavirus. “</w:t>
      </w:r>
      <w:r w:rsidRPr="00951820">
        <w:rPr>
          <w:rFonts w:ascii="Times New Roman" w:hAnsi="Times New Roman" w:cs="Times New Roman"/>
          <w:color w:val="FF0000"/>
          <w:sz w:val="24"/>
          <w:szCs w:val="24"/>
          <w:u w:val="single"/>
        </w:rPr>
        <w:t>La capacidad de aprovechar las lecciones aprendidas de la Gran Crisis Financiera (GFC, por sus siglas en inglés) de 2007-09 ha facilitado la rápida intervención de los bancos centrales. Las medidas políticas (monetarias y fiscales) implementadas entre 2007 y 2015 solo han necesitado de unas pocas semanas para implementar</w:t>
      </w:r>
      <w:r>
        <w:rPr>
          <w:rFonts w:ascii="Times New Roman" w:hAnsi="Times New Roman" w:cs="Times New Roman"/>
          <w:color w:val="FF0000"/>
          <w:sz w:val="24"/>
          <w:szCs w:val="24"/>
          <w:u w:val="single"/>
        </w:rPr>
        <w:t>se como respuesta a la pandemia”</w:t>
      </w:r>
      <w:r w:rsidRPr="00951820">
        <w:rPr>
          <w:rFonts w:ascii="Times New Roman" w:hAnsi="Times New Roman" w:cs="Times New Roman"/>
          <w:color w:val="FF0000"/>
          <w:sz w:val="24"/>
          <w:szCs w:val="24"/>
          <w:u w:val="single"/>
        </w:rPr>
        <w:t>.</w:t>
      </w:r>
    </w:p>
    <w:p w:rsidR="00EB02F3" w:rsidRPr="002E0696" w:rsidRDefault="00EB02F3" w:rsidP="00EB02F3">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Primero los tipos...</w:t>
      </w:r>
    </w:p>
    <w:p w:rsidR="00EB02F3" w:rsidRPr="002E0696" w:rsidRDefault="00EB02F3" w:rsidP="00EB02F3">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El principio ha sido similar, aunque a una velocidad muy superior. Cuando el sentimiento comenzó a cambiar en marzo y se pudo ver que el coronavirus iba a tene</w:t>
      </w:r>
      <w:r>
        <w:rPr>
          <w:rFonts w:ascii="Times New Roman" w:hAnsi="Times New Roman" w:cs="Times New Roman"/>
          <w:sz w:val="24"/>
          <w:szCs w:val="24"/>
        </w:rPr>
        <w:t>r un impacto global comenzó el “baile”</w:t>
      </w:r>
      <w:r w:rsidRPr="002E0696">
        <w:rPr>
          <w:rFonts w:ascii="Times New Roman" w:hAnsi="Times New Roman" w:cs="Times New Roman"/>
          <w:sz w:val="24"/>
          <w:szCs w:val="24"/>
        </w:rPr>
        <w:t xml:space="preserve">. Como es habitual durante las crisis, </w:t>
      </w:r>
      <w:r w:rsidRPr="00951820">
        <w:rPr>
          <w:rFonts w:ascii="Times New Roman" w:hAnsi="Times New Roman" w:cs="Times New Roman"/>
          <w:color w:val="FF0000"/>
          <w:sz w:val="24"/>
          <w:szCs w:val="24"/>
          <w:u w:val="single"/>
        </w:rPr>
        <w:t>la primera medida fue una reducción de los tipos de interés para aliviar los costes de financiación y respaldar la demanda agregada.</w:t>
      </w:r>
      <w:r w:rsidRPr="00951820">
        <w:rPr>
          <w:rFonts w:ascii="Times New Roman" w:hAnsi="Times New Roman" w:cs="Times New Roman"/>
          <w:color w:val="FF0000"/>
          <w:sz w:val="24"/>
          <w:szCs w:val="24"/>
        </w:rPr>
        <w:t xml:space="preserve"> </w:t>
      </w:r>
      <w:r w:rsidRPr="002E0696">
        <w:rPr>
          <w:rFonts w:ascii="Times New Roman" w:hAnsi="Times New Roman" w:cs="Times New Roman"/>
          <w:sz w:val="24"/>
          <w:szCs w:val="24"/>
        </w:rPr>
        <w:t>Excepto en Japón y la zona del euro, donde los tipos de interés ya se encontraban en territorio negativo, las tipos se han reducido para alcanzar su límite inferior en menos de un mes, mucho</w:t>
      </w:r>
      <w:r>
        <w:rPr>
          <w:rFonts w:ascii="Times New Roman" w:hAnsi="Times New Roman" w:cs="Times New Roman"/>
          <w:sz w:val="24"/>
          <w:szCs w:val="24"/>
        </w:rPr>
        <w:t xml:space="preserve"> más rápido que durante el GFC.</w:t>
      </w:r>
    </w:p>
    <w:p w:rsidR="00EB02F3" w:rsidRPr="002E0696" w:rsidRDefault="00EB02F3" w:rsidP="00EB02F3">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 xml:space="preserve">... Después inyecciones teledirigidas </w:t>
      </w:r>
    </w:p>
    <w:p w:rsidR="00EB02F3" w:rsidRPr="002E0696" w:rsidRDefault="00EB02F3" w:rsidP="00EB02F3">
      <w:pPr>
        <w:spacing w:line="240" w:lineRule="auto"/>
        <w:jc w:val="both"/>
        <w:rPr>
          <w:rFonts w:ascii="Times New Roman" w:hAnsi="Times New Roman" w:cs="Times New Roman"/>
          <w:sz w:val="24"/>
          <w:szCs w:val="24"/>
        </w:rPr>
      </w:pPr>
      <w:r w:rsidRPr="00951820">
        <w:rPr>
          <w:rFonts w:ascii="Times New Roman" w:hAnsi="Times New Roman" w:cs="Times New Roman"/>
          <w:color w:val="FF0000"/>
          <w:sz w:val="24"/>
          <w:szCs w:val="24"/>
          <w:u w:val="single"/>
        </w:rPr>
        <w:t>Además, estos recortes de tipos han venido acompañados de grandes inyecciones de liquidez teledirigidas hacia la economía real, en un intento por evitar que estas operaciones se quedaran atascadas en los canales de transmisión (la banca principalmente) como ocurrió en el pasado.</w:t>
      </w:r>
      <w:r w:rsidRPr="00951820">
        <w:rPr>
          <w:rFonts w:ascii="Times New Roman" w:hAnsi="Times New Roman" w:cs="Times New Roman"/>
          <w:color w:val="FF0000"/>
          <w:sz w:val="24"/>
          <w:szCs w:val="24"/>
        </w:rPr>
        <w:t xml:space="preserve"> </w:t>
      </w:r>
      <w:r w:rsidRPr="002E0696">
        <w:rPr>
          <w:rFonts w:ascii="Times New Roman" w:hAnsi="Times New Roman" w:cs="Times New Roman"/>
          <w:sz w:val="24"/>
          <w:szCs w:val="24"/>
        </w:rPr>
        <w:t xml:space="preserve">Estas políticas han venido acompañadas por los vastos sistemas de avales de crédito de los gobiernos, que han animado a que los préstamos fluyesen </w:t>
      </w:r>
      <w:r>
        <w:rPr>
          <w:rFonts w:ascii="Times New Roman" w:hAnsi="Times New Roman" w:cs="Times New Roman"/>
          <w:sz w:val="24"/>
          <w:szCs w:val="24"/>
        </w:rPr>
        <w:t>hacia donde era más necesarios.</w:t>
      </w:r>
    </w:p>
    <w:p w:rsidR="00EB02F3" w:rsidRDefault="00EB02F3" w:rsidP="00EB02F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E0696">
        <w:rPr>
          <w:rFonts w:ascii="Times New Roman" w:hAnsi="Times New Roman" w:cs="Times New Roman"/>
          <w:sz w:val="24"/>
          <w:szCs w:val="24"/>
        </w:rPr>
        <w:t xml:space="preserve">La gran diferencia en la respuesta de los bancos centrales al Covid-19 ha sido el uso de medidas diseñadas para apoyar el flujo de crédito a los hogares y empresas. </w:t>
      </w:r>
      <w:r w:rsidRPr="00132BD6">
        <w:rPr>
          <w:rFonts w:ascii="Times New Roman" w:hAnsi="Times New Roman" w:cs="Times New Roman"/>
          <w:sz w:val="24"/>
          <w:szCs w:val="24"/>
          <w:u w:val="single"/>
        </w:rPr>
        <w:t>Su despliegue ha sido más directo y de mayor alcance que durante el GFC</w:t>
      </w:r>
      <w:r w:rsidRPr="002E0696">
        <w:rPr>
          <w:rFonts w:ascii="Times New Roman" w:hAnsi="Times New Roman" w:cs="Times New Roman"/>
          <w:sz w:val="24"/>
          <w:szCs w:val="24"/>
        </w:rPr>
        <w:t xml:space="preserve">. </w:t>
      </w:r>
      <w:r w:rsidRPr="00132BD6">
        <w:rPr>
          <w:rFonts w:ascii="Times New Roman" w:hAnsi="Times New Roman" w:cs="Times New Roman"/>
          <w:sz w:val="24"/>
          <w:szCs w:val="24"/>
          <w:u w:val="single"/>
        </w:rPr>
        <w:t>Por el contrario, aunque el apoyo con liquidez al sector financiero fue considerable durante el GFC, ha desempeñado un papel más limitado hasta el momento durante la pandemia de Covid-19</w:t>
      </w:r>
      <w:r>
        <w:rPr>
          <w:rFonts w:ascii="Times New Roman" w:hAnsi="Times New Roman" w:cs="Times New Roman"/>
          <w:sz w:val="24"/>
          <w:szCs w:val="24"/>
        </w:rPr>
        <w:t>”</w:t>
      </w:r>
      <w:r w:rsidRPr="002E0696">
        <w:rPr>
          <w:rFonts w:ascii="Times New Roman" w:hAnsi="Times New Roman" w:cs="Times New Roman"/>
          <w:sz w:val="24"/>
          <w:szCs w:val="24"/>
        </w:rPr>
        <w:t>, comentan Paolo Cavallino y Fiorella De Fiore, economistas del BiS.</w:t>
      </w:r>
    </w:p>
    <w:p w:rsidR="00EB02F3" w:rsidRPr="002E0696" w:rsidRDefault="00EB02F3" w:rsidP="00EB02F3">
      <w:pPr>
        <w:spacing w:line="240" w:lineRule="auto"/>
        <w:jc w:val="both"/>
        <w:rPr>
          <w:rFonts w:ascii="Times New Roman" w:hAnsi="Times New Roman" w:cs="Times New Roman"/>
          <w:sz w:val="24"/>
          <w:szCs w:val="24"/>
        </w:rPr>
      </w:pPr>
      <w:r>
        <w:rPr>
          <w:noProof/>
          <w:lang w:eastAsia="es-ES"/>
        </w:rPr>
        <w:drawing>
          <wp:inline distT="0" distB="0" distL="0" distR="0" wp14:anchorId="102E3F49" wp14:editId="593E9E86">
            <wp:extent cx="5732802" cy="2494429"/>
            <wp:effectExtent l="0" t="0" r="1270" b="1270"/>
            <wp:docPr id="78" name="Imagen 78" descr="https://s03.s3c.es/imag/_v0/770x504/e/6/a/crecimiento-agregado-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504/e/6/a/crecimiento-agregado-M3.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31510" cy="2493867"/>
                    </a:xfrm>
                    <a:prstGeom prst="rect">
                      <a:avLst/>
                    </a:prstGeom>
                    <a:noFill/>
                    <a:ln>
                      <a:noFill/>
                    </a:ln>
                  </pic:spPr>
                </pic:pic>
              </a:graphicData>
            </a:graphic>
          </wp:inline>
        </w:drawing>
      </w:r>
    </w:p>
    <w:p w:rsidR="00EB02F3" w:rsidRPr="002E0696" w:rsidRDefault="00EB02F3" w:rsidP="00EB02F3">
      <w:pPr>
        <w:spacing w:line="240" w:lineRule="auto"/>
        <w:jc w:val="both"/>
        <w:rPr>
          <w:rFonts w:ascii="Times New Roman" w:hAnsi="Times New Roman" w:cs="Times New Roman"/>
          <w:sz w:val="24"/>
          <w:szCs w:val="24"/>
        </w:rPr>
      </w:pPr>
      <w:r w:rsidRPr="00132BD6">
        <w:rPr>
          <w:rFonts w:ascii="Times New Roman" w:hAnsi="Times New Roman" w:cs="Times New Roman"/>
          <w:b/>
          <w:color w:val="FF0000"/>
          <w:sz w:val="24"/>
          <w:szCs w:val="24"/>
          <w:u w:val="single"/>
        </w:rPr>
        <w:lastRenderedPageBreak/>
        <w:t>Teniendo en cuenta los movimientos del Banco Central Europeo, el Banco de Japón, el de Inglaterra, Canadá y la Reserva Federal de EEUU y el Banco, se espera que las medidas diseñadas para proporcionar crédito al sector privado (no financiero) durante la pandemia del Covid-19 incrementen los balances de los bancos centrales en un 6,3% del PIB de media, frente al 2,5% de la GFC</w:t>
      </w:r>
      <w:r w:rsidRPr="002E0696">
        <w:rPr>
          <w:rFonts w:ascii="Times New Roman" w:hAnsi="Times New Roman" w:cs="Times New Roman"/>
          <w:sz w:val="24"/>
          <w:szCs w:val="24"/>
        </w:rPr>
        <w:t>. Hasta ahora, los préstamos de liquidez de emergencia a los bancos, que representan la función tradicional de prestamista de último recurso de los bancos centrales, han sido en m</w:t>
      </w:r>
      <w:r>
        <w:rPr>
          <w:rFonts w:ascii="Times New Roman" w:hAnsi="Times New Roman" w:cs="Times New Roman"/>
          <w:sz w:val="24"/>
          <w:szCs w:val="24"/>
        </w:rPr>
        <w:t>enor escala que durante el GFC.</w:t>
      </w:r>
    </w:p>
    <w:p w:rsidR="00EB02F3" w:rsidRPr="002E0696" w:rsidRDefault="00EB02F3" w:rsidP="00EB02F3">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Coordinación en Europa</w:t>
      </w:r>
    </w:p>
    <w:p w:rsidR="00EB02F3" w:rsidRPr="002E0696" w:rsidRDefault="00EB02F3" w:rsidP="00EB02F3">
      <w:pPr>
        <w:spacing w:line="240" w:lineRule="auto"/>
        <w:jc w:val="both"/>
        <w:rPr>
          <w:rFonts w:ascii="Times New Roman" w:hAnsi="Times New Roman" w:cs="Times New Roman"/>
          <w:sz w:val="24"/>
          <w:szCs w:val="24"/>
        </w:rPr>
      </w:pPr>
      <w:r w:rsidRPr="00132BD6">
        <w:rPr>
          <w:rFonts w:ascii="Times New Roman" w:hAnsi="Times New Roman" w:cs="Times New Roman"/>
          <w:sz w:val="24"/>
          <w:szCs w:val="24"/>
          <w:u w:val="single"/>
        </w:rPr>
        <w:t>Los gobiernos de Europa, por ejemplo, han aprobado vastos sistemas de trabajo a corto plazo (en España a través de los ERTE) para mantener el empleo. El leve aumento de la tasa de paro en Europa se debe al uso coordinado de estos esquemas para reducir las horas de trabajo de forma temporal en las economías más grandes de la región</w:t>
      </w:r>
      <w:r w:rsidRPr="002E0696">
        <w:rPr>
          <w:rFonts w:ascii="Times New Roman" w:hAnsi="Times New Roman" w:cs="Times New Roman"/>
          <w:sz w:val="24"/>
          <w:szCs w:val="24"/>
        </w:rPr>
        <w:t xml:space="preserve">. Los países europeos se han coordinado para poner en marcha estos esquemas como una alternativa a los despidos masivos que se están produciendo en otros países. </w:t>
      </w:r>
      <w:r w:rsidRPr="00132BD6">
        <w:rPr>
          <w:rFonts w:ascii="Times New Roman" w:hAnsi="Times New Roman" w:cs="Times New Roman"/>
          <w:sz w:val="24"/>
          <w:szCs w:val="24"/>
          <w:u w:val="single"/>
        </w:rPr>
        <w:t>De esta forma, los gobiernos tienen que asumir una parte importante del coste (un porcentaje de la reducción de horas trabajadas), pero se garantiza que los trabajadores volverán a sus puestos cuando la situación haya mejorado. Esto ha permitido que millones de personas mantengan sus trabajos, lo que podría estar impulsando el consumo ahora que la economía comienza a reabrir sus puertas</w:t>
      </w:r>
      <w:r w:rsidRPr="002E0696">
        <w:rPr>
          <w:rFonts w:ascii="Times New Roman" w:hAnsi="Times New Roman" w:cs="Times New Roman"/>
          <w:sz w:val="24"/>
          <w:szCs w:val="24"/>
        </w:rPr>
        <w:t>. Estas políticas coordinadas pueden impulsar la recuperación económica y disminuir los daños en el mercado la</w:t>
      </w:r>
      <w:r>
        <w:rPr>
          <w:rFonts w:ascii="Times New Roman" w:hAnsi="Times New Roman" w:cs="Times New Roman"/>
          <w:sz w:val="24"/>
          <w:szCs w:val="24"/>
        </w:rPr>
        <w:t>boral y la economía en general.</w:t>
      </w:r>
    </w:p>
    <w:p w:rsidR="00EB02F3" w:rsidRPr="00132BD6" w:rsidRDefault="00EB02F3" w:rsidP="00EB02F3">
      <w:pPr>
        <w:spacing w:line="240" w:lineRule="auto"/>
        <w:jc w:val="both"/>
        <w:rPr>
          <w:rFonts w:ascii="Times New Roman" w:hAnsi="Times New Roman" w:cs="Times New Roman"/>
          <w:color w:val="FF0000"/>
          <w:sz w:val="24"/>
          <w:szCs w:val="24"/>
          <w:u w:val="single"/>
        </w:rPr>
      </w:pPr>
      <w:r w:rsidRPr="00132BD6">
        <w:rPr>
          <w:rFonts w:ascii="Times New Roman" w:hAnsi="Times New Roman" w:cs="Times New Roman"/>
          <w:color w:val="FF0000"/>
          <w:sz w:val="24"/>
          <w:szCs w:val="24"/>
          <w:u w:val="single"/>
        </w:rPr>
        <w:t>Los bancos centrales a su vez ha apoyado, aunque sea de forma indirecta (mercado secundario), la expansión fiscal de muchos gobiernos, a través de las medidas adoptadas que pretenden garantizar el logro de sus objetivos (inflación y pleno empleo) han reducido los costes para pagar la deuda pública y privada</w:t>
      </w:r>
      <w:r w:rsidRPr="00132BD6">
        <w:rPr>
          <w:rFonts w:ascii="Times New Roman" w:hAnsi="Times New Roman" w:cs="Times New Roman"/>
          <w:sz w:val="24"/>
          <w:szCs w:val="24"/>
        </w:rPr>
        <w:t xml:space="preserve">. </w:t>
      </w:r>
      <w:r>
        <w:rPr>
          <w:rFonts w:ascii="Times New Roman" w:hAnsi="Times New Roman" w:cs="Times New Roman"/>
          <w:color w:val="FF0000"/>
          <w:sz w:val="24"/>
          <w:szCs w:val="24"/>
          <w:u w:val="single"/>
        </w:rPr>
        <w:t>“</w:t>
      </w:r>
      <w:r w:rsidRPr="00132BD6">
        <w:rPr>
          <w:rFonts w:ascii="Times New Roman" w:hAnsi="Times New Roman" w:cs="Times New Roman"/>
          <w:color w:val="FF0000"/>
          <w:sz w:val="24"/>
          <w:szCs w:val="24"/>
          <w:u w:val="single"/>
        </w:rPr>
        <w:t xml:space="preserve">Los recortes de los tipos de interés, las operaciones de préstamo y los programas de compra de activos públicos han sido fundamentales a este respecto. Estas medidas también han asegurado que la emisión a gran escala de bonos soberanos se produzca sin perjudicar el funcionamiento adecuado de estos mercados. En general, la política fiscal y monetaria se han apoyado mutuamente en la búsqueda de la estabilidad macroeconómica, un objetivo que generalmente se encuentra en el centro del </w:t>
      </w:r>
      <w:r>
        <w:rPr>
          <w:rFonts w:ascii="Times New Roman" w:hAnsi="Times New Roman" w:cs="Times New Roman"/>
          <w:color w:val="FF0000"/>
          <w:sz w:val="24"/>
          <w:szCs w:val="24"/>
          <w:u w:val="single"/>
        </w:rPr>
        <w:t>mandato de los bancos centrales”</w:t>
      </w:r>
      <w:r w:rsidRPr="00132BD6">
        <w:rPr>
          <w:rFonts w:ascii="Times New Roman" w:hAnsi="Times New Roman" w:cs="Times New Roman"/>
          <w:color w:val="FF0000"/>
          <w:sz w:val="24"/>
          <w:szCs w:val="24"/>
          <w:u w:val="single"/>
        </w:rPr>
        <w:t>, destaca el BiS.</w:t>
      </w:r>
    </w:p>
    <w:p w:rsidR="00EB02F3" w:rsidRPr="00132BD6" w:rsidRDefault="00EB02F3" w:rsidP="00EB02F3">
      <w:pPr>
        <w:spacing w:line="240" w:lineRule="auto"/>
        <w:jc w:val="both"/>
        <w:rPr>
          <w:rFonts w:ascii="Times New Roman" w:hAnsi="Times New Roman" w:cs="Times New Roman"/>
          <w:color w:val="FF0000"/>
          <w:sz w:val="24"/>
          <w:szCs w:val="24"/>
          <w:u w:val="single"/>
        </w:rPr>
      </w:pPr>
      <w:r w:rsidRPr="002E0696">
        <w:rPr>
          <w:rFonts w:ascii="Times New Roman" w:hAnsi="Times New Roman" w:cs="Times New Roman"/>
          <w:sz w:val="24"/>
          <w:szCs w:val="24"/>
        </w:rPr>
        <w:t>Todas estas políticas están teniendo repercusión en la oferta monetaria, que llevaba años presentando un crecimiento anormalmente bajo. Este indicador se suele analizar por el agregado monetario M3 en la zona euro, que es el más amplio de todos. Para comprender un poco mejor cómo funcionan estos agregados, desde el Ban</w:t>
      </w:r>
      <w:r>
        <w:rPr>
          <w:rFonts w:ascii="Times New Roman" w:hAnsi="Times New Roman" w:cs="Times New Roman"/>
          <w:sz w:val="24"/>
          <w:szCs w:val="24"/>
        </w:rPr>
        <w:t xml:space="preserve">co de España explican que el </w:t>
      </w:r>
      <w:r w:rsidRPr="002E0696">
        <w:rPr>
          <w:rFonts w:ascii="Times New Roman" w:hAnsi="Times New Roman" w:cs="Times New Roman"/>
          <w:sz w:val="24"/>
          <w:szCs w:val="24"/>
        </w:rPr>
        <w:t xml:space="preserve">M1 está compuesto por los billetes y monedas en circulación (efectivo en circulación) y por los depósitos a la vista; el M2 es el M1, más los depósitos a plazo de hasta dos años y los depósitos disponibles con preaviso de hasta tres meses; y el M3 es el M2 más las cesiones temporales, las participaciones en fondos del mercado monetario e instrumentos del mercado monetario y los valores de renta fija de hasta dos años, emitidos por las instituciones financieras monetarias. </w:t>
      </w:r>
      <w:r w:rsidRPr="00132BD6">
        <w:rPr>
          <w:rFonts w:ascii="Times New Roman" w:hAnsi="Times New Roman" w:cs="Times New Roman"/>
          <w:color w:val="FF0000"/>
          <w:sz w:val="24"/>
          <w:szCs w:val="24"/>
          <w:u w:val="single"/>
        </w:rPr>
        <w:t>El agregado monetario M3 es el más estable, por ello, ha sido el elegido por el Eurosistema, dentro de su estrategia de política monetaria, para definir un valor de referencia para el crecimiento del dinero.</w:t>
      </w:r>
    </w:p>
    <w:p w:rsidR="00EB02F3" w:rsidRPr="002E0696" w:rsidRDefault="00EB02F3" w:rsidP="00EB02F3">
      <w:pPr>
        <w:spacing w:line="240" w:lineRule="auto"/>
        <w:jc w:val="both"/>
        <w:rPr>
          <w:rFonts w:ascii="Times New Roman" w:hAnsi="Times New Roman" w:cs="Times New Roman"/>
          <w:sz w:val="24"/>
          <w:szCs w:val="24"/>
        </w:rPr>
      </w:pPr>
      <w:r w:rsidRPr="002E0696">
        <w:rPr>
          <w:rFonts w:ascii="Times New Roman" w:hAnsi="Times New Roman" w:cs="Times New Roman"/>
          <w:sz w:val="24"/>
          <w:szCs w:val="24"/>
        </w:rPr>
        <w:t>El fuerte crecimiento del M3</w:t>
      </w:r>
    </w:p>
    <w:p w:rsidR="00EB02F3" w:rsidRPr="00132BD6" w:rsidRDefault="00EB02F3" w:rsidP="00EB02F3">
      <w:pPr>
        <w:spacing w:line="240" w:lineRule="auto"/>
        <w:jc w:val="both"/>
        <w:rPr>
          <w:rFonts w:ascii="Times New Roman" w:hAnsi="Times New Roman" w:cs="Times New Roman"/>
          <w:sz w:val="24"/>
          <w:szCs w:val="24"/>
          <w:u w:val="single"/>
        </w:rPr>
      </w:pPr>
      <w:r w:rsidRPr="00132BD6">
        <w:rPr>
          <w:rFonts w:ascii="Times New Roman" w:hAnsi="Times New Roman" w:cs="Times New Roman"/>
          <w:b/>
          <w:color w:val="FF0000"/>
          <w:sz w:val="24"/>
          <w:szCs w:val="24"/>
          <w:u w:val="single"/>
        </w:rPr>
        <w:t>Este agregado ha presentado un crecimiento interanual del 8,3% en abril, el más elevado desde septiembre de 2008</w:t>
      </w:r>
      <w:r w:rsidRPr="002E0696">
        <w:rPr>
          <w:rFonts w:ascii="Times New Roman" w:hAnsi="Times New Roman" w:cs="Times New Roman"/>
          <w:sz w:val="24"/>
          <w:szCs w:val="24"/>
        </w:rPr>
        <w:t xml:space="preserve">. Esto es una buena señal aunque parte del crecimiento se debe a las fuertes demandas de créditos blandos de las empresas durante lo peor de la crisis </w:t>
      </w:r>
      <w:r w:rsidRPr="002E0696">
        <w:rPr>
          <w:rFonts w:ascii="Times New Roman" w:hAnsi="Times New Roman" w:cs="Times New Roman"/>
          <w:sz w:val="24"/>
          <w:szCs w:val="24"/>
        </w:rPr>
        <w:lastRenderedPageBreak/>
        <w:t xml:space="preserve">para sobrevivir. </w:t>
      </w:r>
      <w:r w:rsidRPr="00132BD6">
        <w:rPr>
          <w:rFonts w:ascii="Times New Roman" w:hAnsi="Times New Roman" w:cs="Times New Roman"/>
          <w:sz w:val="24"/>
          <w:szCs w:val="24"/>
          <w:u w:val="single"/>
        </w:rPr>
        <w:t>No obstante, también indica que el crédito ha llegado a la economía real, frente a 2008 que se quedó en el sistema bancario, también porque la naturaleza de aquella crisis fue bancaria y financiera.</w:t>
      </w:r>
    </w:p>
    <w:p w:rsidR="00EB02F3" w:rsidRPr="00132BD6" w:rsidRDefault="00EB02F3" w:rsidP="00EB02F3">
      <w:pPr>
        <w:spacing w:line="240" w:lineRule="auto"/>
        <w:jc w:val="both"/>
        <w:rPr>
          <w:rFonts w:ascii="Times New Roman" w:hAnsi="Times New Roman" w:cs="Times New Roman"/>
          <w:sz w:val="24"/>
          <w:szCs w:val="24"/>
          <w:u w:val="single"/>
        </w:rPr>
      </w:pPr>
      <w:r w:rsidRPr="002E0696">
        <w:rPr>
          <w:rFonts w:ascii="Times New Roman" w:hAnsi="Times New Roman" w:cs="Times New Roman"/>
          <w:sz w:val="24"/>
          <w:szCs w:val="24"/>
        </w:rPr>
        <w:t xml:space="preserve">La tasa de crecimiento de este agregado era de alrededor del 5% en los años previos a la pandemia. </w:t>
      </w:r>
      <w:r w:rsidRPr="00132BD6">
        <w:rPr>
          <w:rFonts w:ascii="Times New Roman" w:hAnsi="Times New Roman" w:cs="Times New Roman"/>
          <w:sz w:val="24"/>
          <w:szCs w:val="24"/>
          <w:u w:val="single"/>
        </w:rPr>
        <w:t>Hay tres razones para la recuperación del crecimiento de la oferta monetaria, que explica Jörg Krämer, economista de Commerzbank.</w:t>
      </w:r>
    </w:p>
    <w:p w:rsidR="00EB02F3" w:rsidRPr="002E0696" w:rsidRDefault="00EB02F3" w:rsidP="00EB02F3">
      <w:pPr>
        <w:spacing w:line="240" w:lineRule="auto"/>
        <w:jc w:val="both"/>
        <w:rPr>
          <w:rFonts w:ascii="Times New Roman" w:hAnsi="Times New Roman" w:cs="Times New Roman"/>
          <w:sz w:val="24"/>
          <w:szCs w:val="24"/>
        </w:rPr>
      </w:pPr>
      <w:r w:rsidRPr="00132BD6">
        <w:rPr>
          <w:rFonts w:ascii="Times New Roman" w:hAnsi="Times New Roman" w:cs="Times New Roman"/>
          <w:color w:val="FF0000"/>
          <w:sz w:val="24"/>
          <w:szCs w:val="24"/>
        </w:rPr>
        <w:t>-Más préstamos a empresas</w:t>
      </w:r>
      <w:r w:rsidRPr="002E0696">
        <w:rPr>
          <w:rFonts w:ascii="Times New Roman" w:hAnsi="Times New Roman" w:cs="Times New Roman"/>
          <w:sz w:val="24"/>
          <w:szCs w:val="24"/>
        </w:rPr>
        <w:t>: para sobrevivir a la recesión económica, las empresas de la zona euro necesitan más préstamos bancarios. La tasa de crecimiento de los préstamos a empresas aumentó al 6,6% en abril, después de fluctuar alrededor del 3% antes de la crisis. Si las empresas usan el dinero para pagar facturas, entra en circulación</w:t>
      </w:r>
      <w:r>
        <w:rPr>
          <w:rFonts w:ascii="Times New Roman" w:hAnsi="Times New Roman" w:cs="Times New Roman"/>
          <w:sz w:val="24"/>
          <w:szCs w:val="24"/>
        </w:rPr>
        <w:t xml:space="preserve"> y la oferta de dinero aumenta.</w:t>
      </w:r>
    </w:p>
    <w:p w:rsidR="00EB02F3" w:rsidRPr="002E0696" w:rsidRDefault="00EB02F3" w:rsidP="00EB02F3">
      <w:pPr>
        <w:spacing w:line="240" w:lineRule="auto"/>
        <w:jc w:val="both"/>
        <w:rPr>
          <w:rFonts w:ascii="Times New Roman" w:hAnsi="Times New Roman" w:cs="Times New Roman"/>
          <w:sz w:val="24"/>
          <w:szCs w:val="24"/>
        </w:rPr>
      </w:pPr>
      <w:r w:rsidRPr="00132BD6">
        <w:rPr>
          <w:rFonts w:ascii="Times New Roman" w:hAnsi="Times New Roman" w:cs="Times New Roman"/>
          <w:color w:val="FF0000"/>
          <w:sz w:val="24"/>
          <w:szCs w:val="24"/>
        </w:rPr>
        <w:t>-Mayores déficits públicos</w:t>
      </w:r>
      <w:r w:rsidRPr="002E0696">
        <w:rPr>
          <w:rFonts w:ascii="Times New Roman" w:hAnsi="Times New Roman" w:cs="Times New Roman"/>
          <w:sz w:val="24"/>
          <w:szCs w:val="24"/>
        </w:rPr>
        <w:t xml:space="preserve">: no solo las necesidades de crédito de las empresas, sino también las de los estados están aumentando enormemente debido a la crisis. </w:t>
      </w:r>
      <w:r w:rsidRPr="00132BD6">
        <w:rPr>
          <w:rFonts w:ascii="Times New Roman" w:hAnsi="Times New Roman" w:cs="Times New Roman"/>
          <w:sz w:val="24"/>
          <w:szCs w:val="24"/>
          <w:u w:val="single"/>
        </w:rPr>
        <w:t>Es probable que los déficits presupuestarios de los Estados miembros del euro aumenten este año del 0,8% a casi el 10% del PIB</w:t>
      </w:r>
      <w:r w:rsidRPr="002E0696">
        <w:rPr>
          <w:rFonts w:ascii="Times New Roman" w:hAnsi="Times New Roman" w:cs="Times New Roman"/>
          <w:sz w:val="24"/>
          <w:szCs w:val="24"/>
        </w:rPr>
        <w:t xml:space="preserve">. Algunos de los déficits están siendo financiados por los bancos, por ejemplo comprando bonos de los estados y transfiriendo esa liquidez equivalente a las cuentas públicas. Si los estados gastan el dinero (pagos de prestaciones, por ejemplo), la oferta de </w:t>
      </w:r>
      <w:r>
        <w:rPr>
          <w:rFonts w:ascii="Times New Roman" w:hAnsi="Times New Roman" w:cs="Times New Roman"/>
          <w:sz w:val="24"/>
          <w:szCs w:val="24"/>
        </w:rPr>
        <w:t>dinero aumenta. “</w:t>
      </w:r>
      <w:r w:rsidRPr="002E0696">
        <w:rPr>
          <w:rFonts w:ascii="Times New Roman" w:hAnsi="Times New Roman" w:cs="Times New Roman"/>
          <w:sz w:val="24"/>
          <w:szCs w:val="24"/>
        </w:rPr>
        <w:t>El BCE fomenta estos préstamos de los bancos a los gobiernos porque compra bonos del gobierno a los bancos como parte de sus programas de compras, asumiendo así el ries</w:t>
      </w:r>
      <w:r>
        <w:rPr>
          <w:rFonts w:ascii="Times New Roman" w:hAnsi="Times New Roman" w:cs="Times New Roman"/>
          <w:sz w:val="24"/>
          <w:szCs w:val="24"/>
        </w:rPr>
        <w:t>go de incumplimiento crediticio”</w:t>
      </w:r>
      <w:r w:rsidRPr="002E0696">
        <w:rPr>
          <w:rFonts w:ascii="Times New Roman" w:hAnsi="Times New Roman" w:cs="Times New Roman"/>
          <w:sz w:val="24"/>
          <w:szCs w:val="24"/>
        </w:rPr>
        <w:t>, sost</w:t>
      </w:r>
      <w:r>
        <w:rPr>
          <w:rFonts w:ascii="Times New Roman" w:hAnsi="Times New Roman" w:cs="Times New Roman"/>
          <w:sz w:val="24"/>
          <w:szCs w:val="24"/>
        </w:rPr>
        <w:t>iene Kramer.</w:t>
      </w:r>
    </w:p>
    <w:p w:rsidR="00EB02F3" w:rsidRPr="00132BD6" w:rsidRDefault="00EB02F3" w:rsidP="00EB02F3">
      <w:pPr>
        <w:spacing w:line="240" w:lineRule="auto"/>
        <w:jc w:val="both"/>
        <w:rPr>
          <w:rFonts w:ascii="Times New Roman" w:hAnsi="Times New Roman" w:cs="Times New Roman"/>
          <w:sz w:val="24"/>
          <w:szCs w:val="24"/>
          <w:u w:val="single"/>
        </w:rPr>
      </w:pPr>
      <w:r w:rsidRPr="00132BD6">
        <w:rPr>
          <w:rFonts w:ascii="Times New Roman" w:hAnsi="Times New Roman" w:cs="Times New Roman"/>
          <w:color w:val="FF0000"/>
          <w:sz w:val="24"/>
          <w:szCs w:val="24"/>
        </w:rPr>
        <w:t>-Movimientos en las carteras</w:t>
      </w:r>
      <w:r w:rsidRPr="002E0696">
        <w:rPr>
          <w:rFonts w:ascii="Times New Roman" w:hAnsi="Times New Roman" w:cs="Times New Roman"/>
          <w:sz w:val="24"/>
          <w:szCs w:val="24"/>
        </w:rPr>
        <w:t xml:space="preserve">: el crecimiento de la oferta monetaria no solo está siendo impulsado por el aumento del crédito a empresas y estados, sino también por el llamado reequilibrio de la cartera. De hecho, </w:t>
      </w:r>
      <w:r w:rsidRPr="00132BD6">
        <w:rPr>
          <w:rFonts w:ascii="Times New Roman" w:hAnsi="Times New Roman" w:cs="Times New Roman"/>
          <w:sz w:val="24"/>
          <w:szCs w:val="24"/>
          <w:u w:val="single"/>
        </w:rPr>
        <w:t>debido a los bajos tipos de interés y al alto nivel de incertidumbre, muchos clientes están llevando su riqueza hacia activos más líquidos que forman parte del agregado M3.</w:t>
      </w:r>
    </w:p>
    <w:p w:rsidR="00EB02F3" w:rsidRPr="00132BD6" w:rsidRDefault="00EB02F3" w:rsidP="00EB02F3">
      <w:pPr>
        <w:spacing w:line="240" w:lineRule="auto"/>
        <w:jc w:val="both"/>
        <w:rPr>
          <w:rFonts w:ascii="Times New Roman" w:hAnsi="Times New Roman" w:cs="Times New Roman"/>
          <w:b/>
          <w:color w:val="FF0000"/>
          <w:sz w:val="24"/>
          <w:szCs w:val="24"/>
          <w:u w:val="single"/>
        </w:rPr>
      </w:pPr>
      <w:r w:rsidRPr="002E0696">
        <w:rPr>
          <w:rFonts w:ascii="Times New Roman" w:hAnsi="Times New Roman" w:cs="Times New Roman"/>
          <w:sz w:val="24"/>
          <w:szCs w:val="24"/>
        </w:rPr>
        <w:t xml:space="preserve">Aunque el crecimiento de este agregado monetario suele ir ligado a la inflación (se suele relacionar el bajo IPC de los últimos años al escaso crecimiento de la oferta monetaria), Kramer explica que para que eso ocurra todo ese dinero debe transformarse en una mayor demanda de bienes y servicios, algo que por ahora no está ocurriendo. Sin embargo, la actuación de bancos centrales y gobiernos está poniendo la primera piedra para que la recuperación sea fuerte y el consumo y la inversión vuelvan lo antes posibles. </w:t>
      </w:r>
      <w:r w:rsidRPr="00132BD6">
        <w:rPr>
          <w:rFonts w:ascii="Times New Roman" w:hAnsi="Times New Roman" w:cs="Times New Roman"/>
          <w:b/>
          <w:color w:val="FF0000"/>
          <w:sz w:val="24"/>
          <w:szCs w:val="24"/>
          <w:u w:val="single"/>
        </w:rPr>
        <w:t>Por ahora, los balances de los bancos centrales han aumentado de media en un 10% del PIB durante los primeros tres meses de la crisis. Los escenarios razonables implican un aumento general de entre el 15 y el 23% del PIB antes de finales de 2020", sentencian los expertos del BiS.</w:t>
      </w:r>
    </w:p>
    <w:p w:rsidR="00752F7B" w:rsidRPr="003B186B" w:rsidRDefault="00752F7B" w:rsidP="00752F7B">
      <w:pPr>
        <w:spacing w:line="240" w:lineRule="auto"/>
        <w:jc w:val="both"/>
        <w:rPr>
          <w:rFonts w:ascii="Times New Roman" w:hAnsi="Times New Roman" w:cs="Times New Roman"/>
          <w:sz w:val="24"/>
          <w:szCs w:val="24"/>
          <w:lang w:val="en-US"/>
        </w:rPr>
      </w:pPr>
      <w:r w:rsidRPr="003B186B">
        <w:rPr>
          <w:rFonts w:ascii="Times New Roman" w:hAnsi="Times New Roman" w:cs="Times New Roman"/>
          <w:sz w:val="24"/>
          <w:szCs w:val="24"/>
          <w:lang w:val="en-US"/>
        </w:rPr>
        <w:t xml:space="preserve">- </w:t>
      </w:r>
      <w:r w:rsidRPr="003B186B">
        <w:rPr>
          <w:rFonts w:ascii="Times New Roman" w:hAnsi="Times New Roman" w:cs="Times New Roman"/>
          <w:sz w:val="24"/>
          <w:szCs w:val="24"/>
          <w:u w:val="single"/>
          <w:lang w:val="en-US"/>
        </w:rPr>
        <w:t>Fed Officials Project No Rate Increases Through 2022</w:t>
      </w:r>
      <w:r>
        <w:rPr>
          <w:rFonts w:ascii="Times New Roman" w:hAnsi="Times New Roman" w:cs="Times New Roman"/>
          <w:sz w:val="24"/>
          <w:szCs w:val="24"/>
          <w:lang w:val="en-US"/>
        </w:rPr>
        <w:t xml:space="preserve"> (The Wall Street Journal - </w:t>
      </w:r>
      <w:r w:rsidRPr="00C7040B">
        <w:rPr>
          <w:rFonts w:ascii="Times New Roman" w:hAnsi="Times New Roman" w:cs="Times New Roman"/>
          <w:b/>
          <w:sz w:val="24"/>
          <w:szCs w:val="24"/>
          <w:lang w:val="en-US"/>
        </w:rPr>
        <w:t>10/6/20</w:t>
      </w:r>
      <w:r>
        <w:rPr>
          <w:rFonts w:ascii="Times New Roman" w:hAnsi="Times New Roman" w:cs="Times New Roman"/>
          <w:sz w:val="24"/>
          <w:szCs w:val="24"/>
          <w:lang w:val="en-US"/>
        </w:rPr>
        <w:t>)</w:t>
      </w:r>
    </w:p>
    <w:p w:rsidR="00752F7B" w:rsidRDefault="00752F7B" w:rsidP="00752F7B">
      <w:pPr>
        <w:spacing w:line="240" w:lineRule="auto"/>
        <w:jc w:val="both"/>
        <w:rPr>
          <w:rFonts w:ascii="Times New Roman" w:hAnsi="Times New Roman" w:cs="Times New Roman"/>
          <w:sz w:val="24"/>
          <w:szCs w:val="24"/>
          <w:lang w:val="en-US"/>
        </w:rPr>
      </w:pPr>
      <w:r w:rsidRPr="003B186B">
        <w:rPr>
          <w:rFonts w:ascii="Times New Roman" w:hAnsi="Times New Roman" w:cs="Times New Roman"/>
          <w:sz w:val="24"/>
          <w:szCs w:val="24"/>
          <w:lang w:val="en-US"/>
        </w:rPr>
        <w:t>Central bank says it will maintain current pace of asset purchases to sustain growth</w:t>
      </w:r>
    </w:p>
    <w:p w:rsidR="00752F7B" w:rsidRPr="003B186B" w:rsidRDefault="00752F7B" w:rsidP="00752F7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Washington.- </w:t>
      </w:r>
      <w:r w:rsidRPr="003B186B">
        <w:rPr>
          <w:rFonts w:ascii="Times New Roman" w:hAnsi="Times New Roman" w:cs="Times New Roman"/>
          <w:sz w:val="24"/>
          <w:szCs w:val="24"/>
          <w:lang w:val="en-US"/>
        </w:rPr>
        <w:t>Federal Reserve officials signaled plans to keep interest rates near zero for years and said they were studying how to provide more support to a U.S. economy battered by the cor</w:t>
      </w:r>
      <w:r>
        <w:rPr>
          <w:rFonts w:ascii="Times New Roman" w:hAnsi="Times New Roman" w:cs="Times New Roman"/>
          <w:sz w:val="24"/>
          <w:szCs w:val="24"/>
          <w:lang w:val="en-US"/>
        </w:rPr>
        <w:t>onavirus and related shutdowns.</w:t>
      </w:r>
    </w:p>
    <w:p w:rsidR="00752F7B" w:rsidRDefault="00752F7B" w:rsidP="00752F7B">
      <w:pPr>
        <w:spacing w:line="240" w:lineRule="auto"/>
        <w:jc w:val="both"/>
        <w:rPr>
          <w:rFonts w:ascii="Times New Roman" w:hAnsi="Times New Roman" w:cs="Times New Roman"/>
          <w:sz w:val="24"/>
          <w:szCs w:val="24"/>
          <w:lang w:val="en-US"/>
        </w:rPr>
      </w:pPr>
      <w:r w:rsidRPr="003B186B">
        <w:rPr>
          <w:rFonts w:ascii="Times New Roman" w:hAnsi="Times New Roman" w:cs="Times New Roman"/>
          <w:sz w:val="24"/>
          <w:szCs w:val="24"/>
          <w:lang w:val="en-US"/>
        </w:rPr>
        <w:t>“We are strongly committed to using our tools to do whatever we can and for as long as it takes to pro</w:t>
      </w:r>
      <w:r>
        <w:rPr>
          <w:rFonts w:ascii="Times New Roman" w:hAnsi="Times New Roman" w:cs="Times New Roman"/>
          <w:sz w:val="24"/>
          <w:szCs w:val="24"/>
          <w:lang w:val="en-US"/>
        </w:rPr>
        <w:t>vide some relief and stability”,</w:t>
      </w:r>
      <w:r w:rsidRPr="003B186B">
        <w:rPr>
          <w:rFonts w:ascii="Times New Roman" w:hAnsi="Times New Roman" w:cs="Times New Roman"/>
          <w:sz w:val="24"/>
          <w:szCs w:val="24"/>
          <w:lang w:val="en-US"/>
        </w:rPr>
        <w:t xml:space="preserve"> Fed Chairman Jerome Powell said Wednesday at a virtual news conference after a two-day policy meeting</w:t>
      </w:r>
      <w:r>
        <w:rPr>
          <w:rFonts w:ascii="Times New Roman" w:hAnsi="Times New Roman" w:cs="Times New Roman"/>
          <w:sz w:val="24"/>
          <w:szCs w:val="24"/>
          <w:lang w:val="en-US"/>
        </w:rPr>
        <w:t>…</w:t>
      </w:r>
    </w:p>
    <w:p w:rsidR="00752F7B" w:rsidRPr="00752F7B" w:rsidRDefault="00752F7B" w:rsidP="00752F7B">
      <w:pPr>
        <w:spacing w:line="240" w:lineRule="auto"/>
        <w:jc w:val="both"/>
        <w:rPr>
          <w:rFonts w:ascii="Times New Roman" w:hAnsi="Times New Roman" w:cs="Times New Roman"/>
          <w:sz w:val="24"/>
          <w:szCs w:val="24"/>
        </w:rPr>
      </w:pPr>
      <w:r w:rsidRPr="00752F7B">
        <w:rPr>
          <w:rFonts w:ascii="Times New Roman" w:hAnsi="Times New Roman" w:cs="Times New Roman"/>
          <w:sz w:val="24"/>
          <w:szCs w:val="24"/>
        </w:rPr>
        <w:lastRenderedPageBreak/>
        <w:t>La crisis del coronavirus Covid-19 deja las peores previsiones económicas presentadas por la Organización para la Cooperación y el Desarrollo Económicos (OCDE) en sus 60 años de historia, según reconoció este miércoles su secretario general, Ángel Gurría, al presentar la actualización de sus estimaciones de impacto de la pandemia.</w:t>
      </w:r>
    </w:p>
    <w:p w:rsidR="00752F7B" w:rsidRPr="00752F7B" w:rsidRDefault="00752F7B" w:rsidP="00752F7B">
      <w:pPr>
        <w:spacing w:line="240" w:lineRule="auto"/>
        <w:jc w:val="both"/>
        <w:rPr>
          <w:rFonts w:ascii="Times New Roman" w:hAnsi="Times New Roman" w:cs="Times New Roman"/>
          <w:sz w:val="24"/>
          <w:szCs w:val="24"/>
        </w:rPr>
      </w:pPr>
      <w:r w:rsidRPr="00752F7B">
        <w:rPr>
          <w:rFonts w:ascii="Times New Roman" w:hAnsi="Times New Roman" w:cs="Times New Roman"/>
          <w:sz w:val="24"/>
          <w:szCs w:val="24"/>
        </w:rPr>
        <w:t xml:space="preserve">Los cálculos de la OCDE incluyen dos escenarios, “igualmente probables”, uno en el que el golpe del coronavirus se limita al acontecido hasta la fecha y otro en el que contempla un nuevo rebrote a finales de año que intensificaría la hecatombe. De recobrar fuerza la pandemia en otoño, alerta la OCDE, la de España será la más golpeada de todas las economías desarrolladas como consecuencia de la crisis del coronavirus. (Cinco Días - </w:t>
      </w:r>
      <w:r w:rsidRPr="00752F7B">
        <w:rPr>
          <w:rFonts w:ascii="Times New Roman" w:hAnsi="Times New Roman" w:cs="Times New Roman"/>
          <w:b/>
          <w:sz w:val="24"/>
          <w:szCs w:val="24"/>
        </w:rPr>
        <w:t>10/6/20</w:t>
      </w:r>
      <w:r w:rsidRPr="00752F7B">
        <w:rPr>
          <w:rFonts w:ascii="Times New Roman" w:hAnsi="Times New Roman" w:cs="Times New Roman"/>
          <w:sz w:val="24"/>
          <w:szCs w:val="24"/>
        </w:rPr>
        <w:t>)</w:t>
      </w:r>
    </w:p>
    <w:p w:rsidR="00752F7B" w:rsidRPr="00752F7B" w:rsidRDefault="00752F7B" w:rsidP="00752F7B">
      <w:pPr>
        <w:spacing w:line="240" w:lineRule="auto"/>
        <w:jc w:val="both"/>
        <w:rPr>
          <w:rFonts w:ascii="Times New Roman" w:hAnsi="Times New Roman" w:cs="Times New Roman"/>
          <w:color w:val="FF0000"/>
          <w:sz w:val="24"/>
          <w:szCs w:val="24"/>
          <w:lang w:val="en-US"/>
        </w:rPr>
      </w:pPr>
      <w:r>
        <w:rPr>
          <w:noProof/>
          <w:lang w:eastAsia="es-ES"/>
        </w:rPr>
        <w:drawing>
          <wp:inline distT="0" distB="0" distL="0" distR="0" wp14:anchorId="7EDCE9D4" wp14:editId="7C0371EF">
            <wp:extent cx="5732614" cy="6642847"/>
            <wp:effectExtent l="0" t="0" r="1905" b="5715"/>
            <wp:docPr id="79" name="Imagen 79" descr="OC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CDE"/>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2614" cy="6642847"/>
                    </a:xfrm>
                    <a:prstGeom prst="rect">
                      <a:avLst/>
                    </a:prstGeom>
                    <a:noFill/>
                    <a:ln>
                      <a:noFill/>
                    </a:ln>
                  </pic:spPr>
                </pic:pic>
              </a:graphicData>
            </a:graphic>
          </wp:inline>
        </w:drawing>
      </w:r>
    </w:p>
    <w:p w:rsidR="00752F7B" w:rsidRPr="000A17B6" w:rsidRDefault="00752F7B" w:rsidP="00752F7B">
      <w:pPr>
        <w:shd w:val="clear" w:color="auto" w:fill="FFFFFF"/>
        <w:spacing w:after="0" w:line="240" w:lineRule="auto"/>
        <w:textAlignment w:val="baseline"/>
        <w:rPr>
          <w:rFonts w:ascii="Open Sans" w:eastAsia="Times New Roman" w:hAnsi="Open Sans" w:cs="Open Sans"/>
          <w:color w:val="000000"/>
          <w:sz w:val="23"/>
          <w:szCs w:val="23"/>
        </w:rPr>
      </w:pPr>
      <w:r>
        <w:rPr>
          <w:rFonts w:ascii="Open Sans" w:eastAsia="Times New Roman" w:hAnsi="Open Sans" w:cs="Open Sans"/>
          <w:noProof/>
          <w:color w:val="0BB2FF"/>
          <w:sz w:val="23"/>
          <w:szCs w:val="23"/>
          <w:bdr w:val="none" w:sz="0" w:space="0" w:color="auto" w:frame="1"/>
          <w:lang w:eastAsia="es-ES"/>
        </w:rPr>
        <w:lastRenderedPageBreak/>
        <w:drawing>
          <wp:inline distT="0" distB="0" distL="0" distR="0" wp14:anchorId="7CD2BCC8" wp14:editId="3BA13952">
            <wp:extent cx="5715000" cy="3274060"/>
            <wp:effectExtent l="0" t="0" r="0" b="2540"/>
            <wp:docPr id="80" name="Imagen 80" descr="https://nadaesgratis.es/wp-content/uploads/medidas-fiscales-25-de-mayo-2020.jpg">
              <a:hlinkClick xmlns:a="http://schemas.openxmlformats.org/drawingml/2006/main" r:id="rId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adaesgratis.es/wp-content/uploads/medidas-fiscales-25-de-mayo-2020.jpg">
                      <a:hlinkClick r:id="rId87"/>
                    </pic:cNvPr>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15000" cy="3274060"/>
                    </a:xfrm>
                    <a:prstGeom prst="rect">
                      <a:avLst/>
                    </a:prstGeom>
                    <a:noFill/>
                    <a:ln>
                      <a:noFill/>
                    </a:ln>
                  </pic:spPr>
                </pic:pic>
              </a:graphicData>
            </a:graphic>
          </wp:inline>
        </w:drawing>
      </w:r>
    </w:p>
    <w:p w:rsidR="00752F7B" w:rsidRPr="00C7040B" w:rsidRDefault="00752F7B" w:rsidP="00C7040B">
      <w:pPr>
        <w:shd w:val="clear" w:color="auto" w:fill="FFFFFF"/>
        <w:spacing w:after="396" w:line="240" w:lineRule="auto"/>
        <w:textAlignment w:val="baseline"/>
        <w:rPr>
          <w:rFonts w:ascii="Times New Roman" w:eastAsia="Times New Roman" w:hAnsi="Times New Roman" w:cs="Times New Roman"/>
          <w:color w:val="000000"/>
          <w:sz w:val="24"/>
          <w:szCs w:val="24"/>
        </w:rPr>
      </w:pPr>
      <w:r w:rsidRPr="00C7040B">
        <w:rPr>
          <w:rFonts w:ascii="Times New Roman" w:eastAsia="Times New Roman" w:hAnsi="Times New Roman" w:cs="Times New Roman"/>
          <w:color w:val="000000"/>
          <w:sz w:val="24"/>
          <w:szCs w:val="24"/>
        </w:rPr>
        <w:t xml:space="preserve">Medidas fiscales adoptadas a </w:t>
      </w:r>
      <w:r w:rsidRPr="003E12E8">
        <w:rPr>
          <w:rFonts w:ascii="Times New Roman" w:eastAsia="Times New Roman" w:hAnsi="Times New Roman" w:cs="Times New Roman"/>
          <w:b/>
          <w:color w:val="000000"/>
          <w:sz w:val="24"/>
          <w:szCs w:val="24"/>
        </w:rPr>
        <w:t>25 de mayo de 2020</w:t>
      </w:r>
      <w:r w:rsidRPr="00C7040B">
        <w:rPr>
          <w:rFonts w:ascii="Times New Roman" w:eastAsia="Times New Roman" w:hAnsi="Times New Roman" w:cs="Times New Roman"/>
          <w:color w:val="000000"/>
          <w:sz w:val="24"/>
          <w:szCs w:val="24"/>
        </w:rPr>
        <w:t>, Bruegel Institute</w:t>
      </w:r>
    </w:p>
    <w:p w:rsidR="00C7040B" w:rsidRPr="00C7040B" w:rsidRDefault="00C7040B" w:rsidP="00C7040B">
      <w:pPr>
        <w:shd w:val="clear" w:color="auto" w:fill="FFFFFF"/>
        <w:spacing w:after="396" w:line="240" w:lineRule="auto"/>
        <w:textAlignment w:val="baseline"/>
        <w:rPr>
          <w:rFonts w:ascii="Times New Roman" w:hAnsi="Times New Roman" w:cs="Times New Roman"/>
          <w:color w:val="1A1A1A"/>
          <w:sz w:val="24"/>
          <w:szCs w:val="24"/>
          <w:shd w:val="clear" w:color="auto" w:fill="FFFFFF"/>
        </w:rPr>
      </w:pPr>
      <w:r>
        <w:rPr>
          <w:noProof/>
          <w:lang w:eastAsia="es-ES"/>
        </w:rPr>
        <w:drawing>
          <wp:inline distT="0" distB="0" distL="0" distR="0" wp14:anchorId="7B210E97" wp14:editId="3E39BB8E">
            <wp:extent cx="5726714" cy="4450976"/>
            <wp:effectExtent l="0" t="0" r="7620" b="6985"/>
            <wp:docPr id="29" name="Imagen 29" descr="Parámetros fiscales en la eurozona. (Fuente: JP Morg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rámetros fiscales en la eurozona. (Fuente: JP Morgan)"/>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31510" cy="4454703"/>
                    </a:xfrm>
                    <a:prstGeom prst="rect">
                      <a:avLst/>
                    </a:prstGeom>
                    <a:noFill/>
                    <a:ln>
                      <a:noFill/>
                    </a:ln>
                  </pic:spPr>
                </pic:pic>
              </a:graphicData>
            </a:graphic>
          </wp:inline>
        </w:drawing>
      </w:r>
      <w:r w:rsidRPr="00074CF6">
        <w:rPr>
          <w:rFonts w:ascii="Times New Roman" w:hAnsi="Times New Roman" w:cs="Times New Roman"/>
          <w:color w:val="1A1A1A"/>
          <w:sz w:val="24"/>
          <w:szCs w:val="24"/>
          <w:shd w:val="clear" w:color="auto" w:fill="FFFFFF"/>
        </w:rPr>
        <w:t>Parámetros fiscales en la eurozona. (Fuente: JP Morgan</w:t>
      </w:r>
      <w:r>
        <w:rPr>
          <w:rFonts w:ascii="Times New Roman" w:hAnsi="Times New Roman" w:cs="Times New Roman"/>
          <w:color w:val="1A1A1A"/>
          <w:sz w:val="24"/>
          <w:szCs w:val="24"/>
          <w:shd w:val="clear" w:color="auto" w:fill="FFFFFF"/>
        </w:rPr>
        <w:t xml:space="preserve"> - </w:t>
      </w:r>
      <w:r w:rsidRPr="00FA411F">
        <w:rPr>
          <w:rFonts w:ascii="Times New Roman" w:hAnsi="Times New Roman" w:cs="Times New Roman"/>
          <w:b/>
          <w:color w:val="1A1A1A"/>
          <w:sz w:val="24"/>
          <w:szCs w:val="24"/>
          <w:shd w:val="clear" w:color="auto" w:fill="FFFFFF"/>
        </w:rPr>
        <w:t>17/6/20</w:t>
      </w:r>
      <w:r w:rsidRPr="00074CF6">
        <w:rPr>
          <w:rFonts w:ascii="Times New Roman" w:hAnsi="Times New Roman" w:cs="Times New Roman"/>
          <w:color w:val="1A1A1A"/>
          <w:sz w:val="24"/>
          <w:szCs w:val="24"/>
          <w:shd w:val="clear" w:color="auto" w:fill="FFFFFF"/>
        </w:rPr>
        <w:t>)</w:t>
      </w:r>
    </w:p>
    <w:p w:rsidR="00C7040B" w:rsidRDefault="00C7040B" w:rsidP="00752F7B">
      <w:pPr>
        <w:shd w:val="clear" w:color="auto" w:fill="FFFFFF"/>
        <w:spacing w:after="396" w:line="240" w:lineRule="auto"/>
        <w:jc w:val="center"/>
        <w:textAlignment w:val="baseline"/>
        <w:rPr>
          <w:rFonts w:ascii="Open Sans" w:eastAsia="Times New Roman" w:hAnsi="Open Sans" w:cs="Open Sans"/>
          <w:color w:val="000000"/>
          <w:sz w:val="23"/>
          <w:szCs w:val="23"/>
        </w:rPr>
      </w:pPr>
    </w:p>
    <w:p w:rsidR="00C7040B" w:rsidRDefault="00C7040B" w:rsidP="00752F7B">
      <w:pPr>
        <w:spacing w:line="240" w:lineRule="auto"/>
        <w:jc w:val="both"/>
        <w:rPr>
          <w:rFonts w:ascii="Times New Roman" w:hAnsi="Times New Roman" w:cs="Times New Roman"/>
          <w:sz w:val="24"/>
          <w:szCs w:val="24"/>
        </w:rPr>
      </w:pPr>
    </w:p>
    <w:p w:rsidR="00752F7B" w:rsidRPr="00193BAC" w:rsidRDefault="00752F7B" w:rsidP="00752F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45CE7">
        <w:rPr>
          <w:rFonts w:ascii="Times New Roman" w:hAnsi="Times New Roman" w:cs="Times New Roman"/>
          <w:sz w:val="24"/>
          <w:szCs w:val="24"/>
          <w:u w:val="single"/>
        </w:rPr>
        <w:t>Las FAANG sacan 19 puntos de rentabilidad en bolsa a sus homólogas chinas</w:t>
      </w:r>
      <w:r>
        <w:rPr>
          <w:rFonts w:ascii="Times New Roman" w:hAnsi="Times New Roman" w:cs="Times New Roman"/>
          <w:sz w:val="24"/>
          <w:szCs w:val="24"/>
        </w:rPr>
        <w:t xml:space="preserve"> (El Economista - </w:t>
      </w:r>
      <w:r w:rsidRPr="00145CE7">
        <w:rPr>
          <w:rFonts w:ascii="Times New Roman" w:hAnsi="Times New Roman" w:cs="Times New Roman"/>
          <w:b/>
          <w:sz w:val="24"/>
          <w:szCs w:val="24"/>
        </w:rPr>
        <w:t>13/6/20</w:t>
      </w:r>
      <w:r>
        <w:rPr>
          <w:rFonts w:ascii="Times New Roman" w:hAnsi="Times New Roman" w:cs="Times New Roman"/>
          <w:sz w:val="24"/>
          <w:szCs w:val="24"/>
        </w:rPr>
        <w:t>)</w:t>
      </w:r>
    </w:p>
    <w:p w:rsidR="00752F7B" w:rsidRDefault="00752F7B" w:rsidP="00752F7B">
      <w:pPr>
        <w:spacing w:line="240" w:lineRule="auto"/>
        <w:jc w:val="both"/>
        <w:rPr>
          <w:rFonts w:ascii="Times New Roman" w:hAnsi="Times New Roman" w:cs="Times New Roman"/>
          <w:sz w:val="24"/>
          <w:szCs w:val="24"/>
        </w:rPr>
      </w:pPr>
      <w:r w:rsidRPr="00193BAC">
        <w:rPr>
          <w:rFonts w:ascii="Times New Roman" w:hAnsi="Times New Roman" w:cs="Times New Roman"/>
          <w:sz w:val="24"/>
          <w:szCs w:val="24"/>
        </w:rPr>
        <w:t>Mientras Amazon y Netflix se anotan alzas de más del</w:t>
      </w:r>
      <w:r w:rsidR="00D7645D">
        <w:rPr>
          <w:rFonts w:ascii="Times New Roman" w:hAnsi="Times New Roman" w:cs="Times New Roman"/>
          <w:sz w:val="24"/>
          <w:szCs w:val="24"/>
        </w:rPr>
        <w:t xml:space="preserve"> 30%, Baidu </w:t>
      </w:r>
      <w:r w:rsidR="00C93CC1">
        <w:rPr>
          <w:rFonts w:ascii="Times New Roman" w:hAnsi="Times New Roman" w:cs="Times New Roman"/>
          <w:sz w:val="24"/>
          <w:szCs w:val="24"/>
        </w:rPr>
        <w:t>e</w:t>
      </w:r>
      <w:r w:rsidR="00D7645D">
        <w:rPr>
          <w:rFonts w:ascii="Times New Roman" w:hAnsi="Times New Roman" w:cs="Times New Roman"/>
          <w:sz w:val="24"/>
          <w:szCs w:val="24"/>
        </w:rPr>
        <w:t xml:space="preserve"> Iqiyi cotizan en “rojo”</w:t>
      </w:r>
    </w:p>
    <w:p w:rsidR="00752F7B" w:rsidRDefault="00752F7B" w:rsidP="00752F7B">
      <w:pPr>
        <w:spacing w:line="240" w:lineRule="auto"/>
        <w:jc w:val="both"/>
        <w:rPr>
          <w:rFonts w:ascii="Times New Roman" w:hAnsi="Times New Roman" w:cs="Times New Roman"/>
          <w:sz w:val="24"/>
          <w:szCs w:val="24"/>
        </w:rPr>
      </w:pPr>
      <w:r>
        <w:rPr>
          <w:noProof/>
          <w:lang w:eastAsia="es-ES"/>
        </w:rPr>
        <w:drawing>
          <wp:inline distT="0" distB="0" distL="0" distR="0" wp14:anchorId="0C3D1938" wp14:editId="1EFD3164">
            <wp:extent cx="5728039" cy="3126441"/>
            <wp:effectExtent l="0" t="0" r="6350" b="0"/>
            <wp:docPr id="81" name="Imagen 81" descr="https://s03.s3c.es/imag/_v0/770x515/9/b/3/110620-tecnologica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515/9/b/3/110620-tecnologicas.gif"/>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31510" cy="3128336"/>
                    </a:xfrm>
                    <a:prstGeom prst="rect">
                      <a:avLst/>
                    </a:prstGeom>
                    <a:noFill/>
                    <a:ln>
                      <a:noFill/>
                    </a:ln>
                  </pic:spPr>
                </pic:pic>
              </a:graphicData>
            </a:graphic>
          </wp:inline>
        </w:drawing>
      </w:r>
    </w:p>
    <w:p w:rsidR="00752F7B" w:rsidRPr="007005A3" w:rsidRDefault="004C62D2" w:rsidP="004C62D2">
      <w:pPr>
        <w:shd w:val="clear" w:color="auto" w:fill="FFFFFF"/>
        <w:spacing w:after="396" w:line="240" w:lineRule="auto"/>
        <w:jc w:val="both"/>
        <w:textAlignment w:val="baseline"/>
        <w:rPr>
          <w:rFonts w:ascii="Times New Roman" w:eastAsia="Times New Roman" w:hAnsi="Times New Roman" w:cs="Times New Roman"/>
          <w:b/>
          <w:sz w:val="24"/>
          <w:szCs w:val="24"/>
        </w:rPr>
      </w:pPr>
      <w:r w:rsidRPr="007005A3">
        <w:rPr>
          <w:rFonts w:ascii="Times New Roman" w:eastAsia="Times New Roman" w:hAnsi="Times New Roman" w:cs="Times New Roman"/>
          <w:b/>
          <w:sz w:val="24"/>
          <w:szCs w:val="24"/>
        </w:rPr>
        <w:t>Nota al margen (dedicada a los mayores -si no únicos- beneficiarios de la globalización)</w:t>
      </w:r>
    </w:p>
    <w:p w:rsidR="004C62D2" w:rsidRPr="007005A3" w:rsidRDefault="004C62D2" w:rsidP="004C62D2">
      <w:pPr>
        <w:spacing w:line="240" w:lineRule="auto"/>
        <w:jc w:val="both"/>
        <w:rPr>
          <w:rFonts w:ascii="Times New Roman" w:hAnsi="Times New Roman" w:cs="Times New Roman"/>
          <w:sz w:val="24"/>
          <w:szCs w:val="24"/>
        </w:rPr>
      </w:pPr>
      <w:r w:rsidRPr="007005A3">
        <w:rPr>
          <w:rFonts w:ascii="Times New Roman" w:hAnsi="Times New Roman" w:cs="Times New Roman"/>
          <w:sz w:val="24"/>
          <w:szCs w:val="24"/>
        </w:rPr>
        <w:t>Podrán seguir “dibujando” el futuro, pero ya no podrán “borrar” el pasado… para el cual habrá que buscar las razones y los responsables del declive: mal liderazgo, prioridades equivocadas y decisiones políticas ineptas.</w:t>
      </w:r>
    </w:p>
    <w:p w:rsidR="004C62D2" w:rsidRPr="007005A3" w:rsidRDefault="004C62D2" w:rsidP="004C62D2">
      <w:pPr>
        <w:spacing w:line="240" w:lineRule="auto"/>
        <w:jc w:val="both"/>
        <w:rPr>
          <w:rFonts w:ascii="Times New Roman" w:hAnsi="Times New Roman" w:cs="Times New Roman"/>
          <w:sz w:val="24"/>
          <w:szCs w:val="24"/>
        </w:rPr>
      </w:pPr>
      <w:r w:rsidRPr="007005A3">
        <w:rPr>
          <w:rFonts w:ascii="Times New Roman" w:hAnsi="Times New Roman" w:cs="Times New Roman"/>
          <w:sz w:val="24"/>
          <w:szCs w:val="24"/>
        </w:rPr>
        <w:t>Aunque los “curanderos académicos” se encarguen d</w:t>
      </w:r>
      <w:r w:rsidR="00C93CC1">
        <w:rPr>
          <w:rFonts w:ascii="Times New Roman" w:hAnsi="Times New Roman" w:cs="Times New Roman"/>
          <w:sz w:val="24"/>
          <w:szCs w:val="24"/>
        </w:rPr>
        <w:t>e decir (con pago revertido, of</w:t>
      </w:r>
      <w:r w:rsidRPr="007005A3">
        <w:rPr>
          <w:rFonts w:ascii="Times New Roman" w:hAnsi="Times New Roman" w:cs="Times New Roman"/>
          <w:sz w:val="24"/>
          <w:szCs w:val="24"/>
        </w:rPr>
        <w:t xml:space="preserve"> course) que han sido “externalidades negativas”, o “daños colaterales”, no deseados del modelo económico de globalización, librecambio, financierización, desregulación, privatización…</w:t>
      </w:r>
    </w:p>
    <w:p w:rsidR="004C62D2" w:rsidRPr="007005A3" w:rsidRDefault="004C62D2" w:rsidP="004C62D2">
      <w:pPr>
        <w:spacing w:line="240" w:lineRule="auto"/>
        <w:jc w:val="both"/>
        <w:rPr>
          <w:rFonts w:ascii="Times New Roman" w:hAnsi="Times New Roman" w:cs="Times New Roman"/>
          <w:sz w:val="24"/>
          <w:szCs w:val="24"/>
        </w:rPr>
      </w:pPr>
      <w:r w:rsidRPr="007005A3">
        <w:rPr>
          <w:rFonts w:ascii="Times New Roman" w:hAnsi="Times New Roman" w:cs="Times New Roman"/>
          <w:sz w:val="24"/>
          <w:szCs w:val="24"/>
        </w:rPr>
        <w:t>La hipocresía y el cinismo de los “borradores de cabeza” no tiene límite, pero les va a resultar difícil (muy difícil) continuar negando la evidencia, arreando la manada, empujando la soga.</w:t>
      </w:r>
    </w:p>
    <w:p w:rsidR="004C62D2" w:rsidRPr="007005A3" w:rsidRDefault="004C62D2" w:rsidP="004C62D2">
      <w:pPr>
        <w:spacing w:line="240" w:lineRule="auto"/>
        <w:jc w:val="both"/>
        <w:rPr>
          <w:rFonts w:ascii="Times New Roman" w:hAnsi="Times New Roman" w:cs="Times New Roman"/>
          <w:sz w:val="24"/>
          <w:szCs w:val="24"/>
        </w:rPr>
      </w:pPr>
      <w:r w:rsidRPr="007005A3">
        <w:rPr>
          <w:rFonts w:ascii="Times New Roman" w:hAnsi="Times New Roman" w:cs="Times New Roman"/>
          <w:sz w:val="24"/>
          <w:szCs w:val="24"/>
        </w:rPr>
        <w:t xml:space="preserve">Los daños que ha ocasionado la globalización en el tejido económico (productivo) y social (laboral), de los países avanzados (ahora, en vías de subdesarrollo), son más profundos y extensos que los perjuicios de la depresión de 1929, y las dos guerras mundiales. La crisis financiera de 2008 y sanitaria de 2020 quedarán en el recuerdo de varias generaciones. Y eso no lo podrán manipular con “algoritmos”, disimular con el “big data”, u ocultar en la “nube”. </w:t>
      </w:r>
    </w:p>
    <w:p w:rsidR="004C62D2" w:rsidRPr="003E12E8" w:rsidRDefault="004C62D2" w:rsidP="004C62D2">
      <w:pPr>
        <w:spacing w:line="240" w:lineRule="auto"/>
        <w:jc w:val="both"/>
        <w:rPr>
          <w:rFonts w:ascii="Times New Roman" w:hAnsi="Times New Roman" w:cs="Times New Roman"/>
          <w:sz w:val="24"/>
          <w:szCs w:val="24"/>
        </w:rPr>
      </w:pPr>
      <w:r w:rsidRPr="003E12E8">
        <w:rPr>
          <w:rFonts w:ascii="Times New Roman" w:hAnsi="Times New Roman" w:cs="Times New Roman"/>
          <w:sz w:val="24"/>
          <w:szCs w:val="24"/>
        </w:rPr>
        <w:t>Ya que han fracasado en el credo smithsoniano (de falsos liberales, pasaron a tenebrosos liberticidas, en una fórmula de capitalismo autoritario), deberían intentarlo con uno hipocrático (en estas épocas de pandemia, al menos): “primero, no hacer daño”.</w:t>
      </w:r>
    </w:p>
    <w:p w:rsidR="004C62D2" w:rsidRPr="007005A3" w:rsidRDefault="004C62D2" w:rsidP="004C62D2">
      <w:pPr>
        <w:spacing w:line="240" w:lineRule="auto"/>
        <w:jc w:val="both"/>
        <w:rPr>
          <w:rFonts w:ascii="Times New Roman" w:hAnsi="Times New Roman" w:cs="Times New Roman"/>
          <w:sz w:val="24"/>
          <w:szCs w:val="24"/>
        </w:rPr>
      </w:pPr>
    </w:p>
    <w:p w:rsidR="004C62D2" w:rsidRPr="007005A3" w:rsidRDefault="004C62D2" w:rsidP="0087418D">
      <w:pPr>
        <w:spacing w:line="240" w:lineRule="auto"/>
        <w:jc w:val="both"/>
        <w:rPr>
          <w:rFonts w:ascii="Open Sans" w:eastAsia="Times New Roman" w:hAnsi="Open Sans" w:cs="Open Sans"/>
          <w:sz w:val="23"/>
          <w:szCs w:val="23"/>
        </w:rPr>
      </w:pPr>
    </w:p>
    <w:p w:rsidR="0087418D" w:rsidRDefault="0087418D" w:rsidP="0087418D">
      <w:pPr>
        <w:spacing w:line="240" w:lineRule="auto"/>
        <w:jc w:val="both"/>
        <w:rPr>
          <w:rFonts w:ascii="Times New Roman" w:hAnsi="Times New Roman" w:cs="Times New Roman"/>
          <w:b/>
          <w:sz w:val="24"/>
          <w:szCs w:val="24"/>
        </w:rPr>
      </w:pPr>
      <w:r w:rsidRPr="0087418D">
        <w:rPr>
          <w:rFonts w:ascii="Times New Roman" w:hAnsi="Times New Roman" w:cs="Times New Roman"/>
          <w:b/>
          <w:sz w:val="24"/>
          <w:szCs w:val="24"/>
        </w:rPr>
        <w:lastRenderedPageBreak/>
        <w:t>- Cálculo del “precio” de la globalización (al “costo” de los factores)</w:t>
      </w:r>
    </w:p>
    <w:p w:rsidR="0087418D" w:rsidRDefault="0087418D" w:rsidP="0087418D">
      <w:pPr>
        <w:spacing w:line="240" w:lineRule="auto"/>
        <w:jc w:val="both"/>
        <w:rPr>
          <w:rFonts w:ascii="Times New Roman" w:hAnsi="Times New Roman" w:cs="Times New Roman"/>
          <w:b/>
          <w:sz w:val="24"/>
          <w:szCs w:val="24"/>
        </w:rPr>
      </w:pPr>
      <w:r>
        <w:rPr>
          <w:noProof/>
          <w:lang w:eastAsia="es-ES"/>
        </w:rPr>
        <w:drawing>
          <wp:inline distT="0" distB="0" distL="0" distR="0" wp14:anchorId="3B70B547" wp14:editId="6DE73257">
            <wp:extent cx="5731510" cy="2956520"/>
            <wp:effectExtent l="0" t="0" r="2540" b="0"/>
            <wp:docPr id="224" name="Imagen 224" descr="sinking cargo 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nking cargo ship"/>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31510" cy="2956520"/>
                    </a:xfrm>
                    <a:prstGeom prst="rect">
                      <a:avLst/>
                    </a:prstGeom>
                    <a:noFill/>
                    <a:ln>
                      <a:noFill/>
                    </a:ln>
                  </pic:spPr>
                </pic:pic>
              </a:graphicData>
            </a:graphic>
          </wp:inline>
        </w:drawing>
      </w:r>
    </w:p>
    <w:p w:rsidR="0087418D" w:rsidRPr="00FF3C6F" w:rsidRDefault="0087418D" w:rsidP="0087418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Es una evidencia que algunos países avanzados, tan poderosos en lo económico, en lo administrativo e, incluso, en lo militar, han demostrado una grandiosa </w:t>
      </w:r>
      <w:r w:rsidRPr="00FF3C6F">
        <w:rPr>
          <w:rStyle w:val="Textoennegrita"/>
          <w:rFonts w:ascii="Times New Roman" w:hAnsi="Times New Roman" w:cs="Times New Roman"/>
          <w:b w:val="0"/>
          <w:sz w:val="24"/>
          <w:szCs w:val="24"/>
          <w:bdr w:val="none" w:sz="0" w:space="0" w:color="auto" w:frame="1"/>
          <w:shd w:val="clear" w:color="auto" w:fill="FFFFFF"/>
        </w:rPr>
        <w:t>vulnerabilidad</w:t>
      </w:r>
      <w:r w:rsidRPr="00FF3C6F">
        <w:rPr>
          <w:rStyle w:val="Textoennegrita"/>
          <w:rFonts w:ascii="Times New Roman" w:hAnsi="Times New Roman" w:cs="Times New Roman"/>
          <w:sz w:val="24"/>
          <w:szCs w:val="24"/>
          <w:bdr w:val="none" w:sz="0" w:space="0" w:color="auto" w:frame="1"/>
          <w:shd w:val="clear" w:color="auto" w:fill="FFFFFF"/>
        </w:rPr>
        <w:t> </w:t>
      </w:r>
      <w:r w:rsidRPr="00FF3C6F">
        <w:rPr>
          <w:rFonts w:ascii="Times New Roman" w:hAnsi="Times New Roman" w:cs="Times New Roman"/>
          <w:sz w:val="24"/>
          <w:szCs w:val="24"/>
          <w:shd w:val="clear" w:color="auto" w:fill="FFFFFF"/>
        </w:rPr>
        <w:t>ante la </w:t>
      </w:r>
      <w:hyperlink r:id="rId92" w:history="1">
        <w:r w:rsidRPr="00FF3C6F">
          <w:rPr>
            <w:rStyle w:val="Hipervnculo"/>
            <w:rFonts w:ascii="Times New Roman" w:hAnsi="Times New Roman" w:cs="Times New Roman"/>
            <w:bCs/>
            <w:color w:val="auto"/>
            <w:sz w:val="24"/>
            <w:szCs w:val="24"/>
            <w:u w:val="none"/>
            <w:shd w:val="clear" w:color="auto" w:fill="FFFFFF"/>
          </w:rPr>
          <w:t>globalización</w:t>
        </w:r>
      </w:hyperlink>
      <w:r w:rsidRPr="00FF3C6F">
        <w:rPr>
          <w:rFonts w:ascii="Times New Roman" w:hAnsi="Times New Roman" w:cs="Times New Roman"/>
          <w:sz w:val="24"/>
          <w:szCs w:val="24"/>
          <w:shd w:val="clear" w:color="auto" w:fill="FFFFFF"/>
        </w:rPr>
        <w:t> y  que los ha</w:t>
      </w:r>
      <w:r w:rsidR="0053737A" w:rsidRPr="00FF3C6F">
        <w:rPr>
          <w:rFonts w:ascii="Times New Roman" w:hAnsi="Times New Roman" w:cs="Times New Roman"/>
          <w:sz w:val="24"/>
          <w:szCs w:val="24"/>
          <w:shd w:val="clear" w:color="auto" w:fill="FFFFFF"/>
        </w:rPr>
        <w:t>n</w:t>
      </w:r>
      <w:r w:rsidRPr="00FF3C6F">
        <w:rPr>
          <w:rFonts w:ascii="Times New Roman" w:hAnsi="Times New Roman" w:cs="Times New Roman"/>
          <w:sz w:val="24"/>
          <w:szCs w:val="24"/>
          <w:shd w:val="clear" w:color="auto" w:fill="FFFFFF"/>
        </w:rPr>
        <w:t xml:space="preserve"> dejado inermes antes las crisis devenidas.</w:t>
      </w:r>
    </w:p>
    <w:p w:rsidR="0087418D" w:rsidRPr="00FF3C6F" w:rsidRDefault="0087418D" w:rsidP="0087418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O, al menos, seriamente</w:t>
      </w:r>
      <w:r w:rsidRPr="00FF3C6F">
        <w:rPr>
          <w:rStyle w:val="Textoennegrita"/>
          <w:rFonts w:ascii="Times New Roman" w:hAnsi="Times New Roman" w:cs="Times New Roman"/>
          <w:sz w:val="24"/>
          <w:szCs w:val="24"/>
          <w:bdr w:val="none" w:sz="0" w:space="0" w:color="auto" w:frame="1"/>
          <w:shd w:val="clear" w:color="auto" w:fill="FFFFFF"/>
        </w:rPr>
        <w:t> </w:t>
      </w:r>
      <w:r w:rsidRPr="00FF3C6F">
        <w:rPr>
          <w:rStyle w:val="Textoennegrita"/>
          <w:rFonts w:ascii="Times New Roman" w:hAnsi="Times New Roman" w:cs="Times New Roman"/>
          <w:b w:val="0"/>
          <w:sz w:val="24"/>
          <w:szCs w:val="24"/>
          <w:bdr w:val="none" w:sz="0" w:space="0" w:color="auto" w:frame="1"/>
          <w:shd w:val="clear" w:color="auto" w:fill="FFFFFF"/>
        </w:rPr>
        <w:t>indefensos</w:t>
      </w:r>
      <w:r w:rsidRPr="00FF3C6F">
        <w:rPr>
          <w:rFonts w:ascii="Times New Roman" w:hAnsi="Times New Roman" w:cs="Times New Roman"/>
          <w:sz w:val="24"/>
          <w:szCs w:val="24"/>
          <w:shd w:val="clear" w:color="auto" w:fill="FFFFFF"/>
        </w:rPr>
        <w:t> ante un problema grave de </w:t>
      </w:r>
      <w:hyperlink r:id="rId93" w:history="1">
        <w:r w:rsidRPr="00FF3C6F">
          <w:rPr>
            <w:rStyle w:val="Hipervnculo"/>
            <w:rFonts w:ascii="Times New Roman" w:hAnsi="Times New Roman" w:cs="Times New Roman"/>
            <w:bCs/>
            <w:color w:val="auto"/>
            <w:sz w:val="24"/>
            <w:szCs w:val="24"/>
            <w:u w:val="none"/>
            <w:shd w:val="clear" w:color="auto" w:fill="FFFFFF"/>
          </w:rPr>
          <w:t>salud pública</w:t>
        </w:r>
      </w:hyperlink>
      <w:r w:rsidRPr="00FF3C6F">
        <w:rPr>
          <w:rFonts w:ascii="Times New Roman" w:hAnsi="Times New Roman" w:cs="Times New Roman"/>
          <w:sz w:val="24"/>
          <w:szCs w:val="24"/>
          <w:shd w:val="clear" w:color="auto" w:fill="FFFFFF"/>
        </w:rPr>
        <w:t> como consecuencia de décadas de un modelo de crecimiento arrogante que </w:t>
      </w:r>
      <w:hyperlink r:id="rId94" w:history="1">
        <w:r w:rsidRPr="00FF3C6F">
          <w:rPr>
            <w:rStyle w:val="Hipervnculo"/>
            <w:rFonts w:ascii="Times New Roman" w:hAnsi="Times New Roman" w:cs="Times New Roman"/>
            <w:bCs/>
            <w:color w:val="auto"/>
            <w:sz w:val="24"/>
            <w:szCs w:val="24"/>
            <w:u w:val="none"/>
            <w:shd w:val="clear" w:color="auto" w:fill="FFFFFF"/>
          </w:rPr>
          <w:t>ha arrinconado</w:t>
        </w:r>
      </w:hyperlink>
      <w:r w:rsidRPr="00FF3C6F">
        <w:rPr>
          <w:rFonts w:ascii="Times New Roman" w:hAnsi="Times New Roman" w:cs="Times New Roman"/>
          <w:sz w:val="24"/>
          <w:szCs w:val="24"/>
          <w:shd w:val="clear" w:color="auto" w:fill="FFFFFF"/>
        </w:rPr>
        <w:t> lo verdaderamente público en cuestiones esenciales, y que ha hecho añicos el Estado de Bienestar y, de imposible en cumplimiento, el Contrato Social.</w:t>
      </w:r>
    </w:p>
    <w:p w:rsidR="00653483" w:rsidRPr="00FF3C6F" w:rsidRDefault="00653483" w:rsidP="00653483">
      <w:pPr>
        <w:spacing w:line="240" w:lineRule="auto"/>
        <w:jc w:val="both"/>
        <w:rPr>
          <w:rFonts w:ascii="Times New Roman" w:hAnsi="Times New Roman" w:cs="Times New Roman"/>
          <w:sz w:val="24"/>
          <w:szCs w:val="24"/>
        </w:rPr>
      </w:pPr>
      <w:r w:rsidRPr="00FF3C6F">
        <w:rPr>
          <w:rFonts w:ascii="Times New Roman" w:hAnsi="Times New Roman" w:cs="Times New Roman"/>
          <w:sz w:val="24"/>
          <w:szCs w:val="24"/>
        </w:rPr>
        <w:t>Para mantener el imperio del Mercado han entregado su economía productiva al imperio del Estado. Han criado al tigre que se los va a terminar comiendo. El 5G es apenas un aperitivo.</w:t>
      </w:r>
    </w:p>
    <w:p w:rsidR="00653483" w:rsidRPr="00FF3C6F" w:rsidRDefault="00653483" w:rsidP="00653483">
      <w:pPr>
        <w:spacing w:line="240" w:lineRule="auto"/>
        <w:jc w:val="both"/>
        <w:rPr>
          <w:rFonts w:ascii="Times New Roman" w:hAnsi="Times New Roman" w:cs="Times New Roman"/>
          <w:sz w:val="24"/>
          <w:szCs w:val="24"/>
        </w:rPr>
      </w:pPr>
      <w:r w:rsidRPr="00FF3C6F">
        <w:rPr>
          <w:rFonts w:ascii="Times New Roman" w:hAnsi="Times New Roman" w:cs="Times New Roman"/>
          <w:sz w:val="24"/>
          <w:szCs w:val="24"/>
        </w:rPr>
        <w:t xml:space="preserve">La “deslocalización” de la clase media, es uno de los actos económicos (éticos, morales, sociales y políticos) más irracionales (e imperdonables) del modelo neoliberal de globalización y financierización. Aunque los ligeros de escrúpulos, con ambición desmedida, dispuestos a casi todo, hábiles en la intriga y buenos para casi nada, hayan proclamado (prometido y jurado) que en las “nuevas tecnologías” (servicios) encontrarían el empleo que perdieron en las “viejas tecnologías” (industria). </w:t>
      </w:r>
    </w:p>
    <w:p w:rsidR="00653483" w:rsidRPr="00FF3C6F" w:rsidRDefault="00653483" w:rsidP="00653483">
      <w:pPr>
        <w:spacing w:line="240" w:lineRule="auto"/>
        <w:jc w:val="both"/>
        <w:rPr>
          <w:rFonts w:ascii="Times New Roman" w:hAnsi="Times New Roman" w:cs="Times New Roman"/>
          <w:sz w:val="24"/>
          <w:szCs w:val="24"/>
        </w:rPr>
      </w:pPr>
      <w:r w:rsidRPr="00FF3C6F">
        <w:rPr>
          <w:rFonts w:ascii="Times New Roman" w:hAnsi="Times New Roman" w:cs="Times New Roman"/>
          <w:sz w:val="24"/>
          <w:szCs w:val="24"/>
        </w:rPr>
        <w:t>Sin reparo ni titubeos, en esa línea constructiva y edificante, iniciaron los globalizadores el sendero más adecuado para revitalizar la economía e imprimir un nuevo estímulo a la economía maltrecha, obsoleta, con baja competitividad, y poco competitiva.</w:t>
      </w:r>
    </w:p>
    <w:p w:rsidR="00653483" w:rsidRPr="00FF3C6F" w:rsidRDefault="00653483" w:rsidP="00653483">
      <w:pPr>
        <w:spacing w:line="240" w:lineRule="auto"/>
        <w:jc w:val="both"/>
        <w:rPr>
          <w:rFonts w:ascii="Times New Roman" w:hAnsi="Times New Roman" w:cs="Times New Roman"/>
          <w:sz w:val="24"/>
          <w:szCs w:val="24"/>
        </w:rPr>
      </w:pPr>
      <w:r w:rsidRPr="00FF3C6F">
        <w:rPr>
          <w:rFonts w:ascii="Times New Roman" w:hAnsi="Times New Roman" w:cs="Times New Roman"/>
          <w:sz w:val="24"/>
          <w:szCs w:val="24"/>
        </w:rPr>
        <w:t>Al final… los “nuevos” pobres, en estado de precariado permanente, terminaron poblando las calles de los países avanzados, sin empleo en el sector industrial (cerrado por deslocalización) y sin opción en el sector servicios (nuevas tecnologías), porque también sus productos elaborados (chucherías, pendejadas, gadgets, o estupideces), también se fabricaron en los países emergentes (para bajar costos y aumentar la rentabilidad de las hight tech).</w:t>
      </w:r>
    </w:p>
    <w:p w:rsidR="00653483" w:rsidRPr="00FF3C6F" w:rsidRDefault="00653483" w:rsidP="00653483">
      <w:pPr>
        <w:spacing w:line="240" w:lineRule="auto"/>
        <w:jc w:val="both"/>
        <w:rPr>
          <w:rFonts w:ascii="Times New Roman" w:hAnsi="Times New Roman" w:cs="Times New Roman"/>
          <w:sz w:val="24"/>
          <w:szCs w:val="24"/>
        </w:rPr>
      </w:pPr>
      <w:r w:rsidRPr="00FF3C6F">
        <w:rPr>
          <w:rFonts w:ascii="Times New Roman" w:hAnsi="Times New Roman" w:cs="Times New Roman"/>
          <w:sz w:val="24"/>
          <w:szCs w:val="24"/>
        </w:rPr>
        <w:t xml:space="preserve">Nunca se quisieron enterar del riesgo, optaron por no escuchar las advertencias de peligro. Nadie quiere contar a los “nuevos” pobres. Le encargan al gurú mediático de moda que manosee las cifras, que oculte los datos, que manipule la estadística. En la economía </w:t>
      </w:r>
      <w:r w:rsidRPr="00FF3C6F">
        <w:rPr>
          <w:rFonts w:ascii="Times New Roman" w:hAnsi="Times New Roman" w:cs="Times New Roman"/>
          <w:sz w:val="24"/>
          <w:szCs w:val="24"/>
        </w:rPr>
        <w:lastRenderedPageBreak/>
        <w:t>globalizada, la mentira no pasa factura, está amortizada. Después de dos grandes depresiones mundiales (2008 y 2020), después de meses de encierro, engaños y alarma, siguen de fiesta.</w:t>
      </w:r>
    </w:p>
    <w:p w:rsidR="00653483" w:rsidRPr="00FF3C6F" w:rsidRDefault="00653483" w:rsidP="00653483">
      <w:pPr>
        <w:spacing w:line="240" w:lineRule="auto"/>
        <w:jc w:val="both"/>
        <w:rPr>
          <w:rFonts w:ascii="Times New Roman" w:hAnsi="Times New Roman" w:cs="Times New Roman"/>
          <w:sz w:val="24"/>
          <w:szCs w:val="24"/>
        </w:rPr>
      </w:pPr>
      <w:r w:rsidRPr="00FF3C6F">
        <w:rPr>
          <w:rFonts w:ascii="Times New Roman" w:hAnsi="Times New Roman" w:cs="Times New Roman"/>
          <w:sz w:val="24"/>
          <w:szCs w:val="24"/>
        </w:rPr>
        <w:t>Buena parte de todo ello se mantiene y hasta ha crecido con el añadido de las nuevas esclavitudes que ha traído la globalización económica. Pero esas quedan lejos (en China) y están amparadas por el PCCH… mientras, sigue la fiesta (en Wall Street, en Silicon Valley y en China, of course).  Un hatajo de cínicos barnizados de petulancia, bailando en el Titanic.</w:t>
      </w:r>
    </w:p>
    <w:p w:rsidR="00653483" w:rsidRPr="00FF3C6F" w:rsidRDefault="00FF3C6F" w:rsidP="0087418D">
      <w:pPr>
        <w:spacing w:line="240" w:lineRule="auto"/>
        <w:jc w:val="both"/>
        <w:rPr>
          <w:rFonts w:ascii="Times New Roman" w:hAnsi="Times New Roman" w:cs="Times New Roman"/>
          <w:sz w:val="24"/>
          <w:szCs w:val="24"/>
        </w:rPr>
      </w:pPr>
      <w:r w:rsidRPr="00FF3C6F">
        <w:rPr>
          <w:rFonts w:ascii="Times New Roman" w:hAnsi="Times New Roman" w:cs="Times New Roman"/>
          <w:sz w:val="24"/>
          <w:szCs w:val="24"/>
        </w:rPr>
        <w:t>¿Qué más necedades</w:t>
      </w:r>
      <w:r w:rsidR="00653483" w:rsidRPr="00FF3C6F">
        <w:rPr>
          <w:rFonts w:ascii="Times New Roman" w:hAnsi="Times New Roman" w:cs="Times New Roman"/>
          <w:sz w:val="24"/>
          <w:szCs w:val="24"/>
        </w:rPr>
        <w:t xml:space="preserve"> pueden alumbrar para adecentar este presente sin futuro?</w:t>
      </w:r>
      <w:r w:rsidRPr="00FF3C6F">
        <w:rPr>
          <w:rFonts w:ascii="Times New Roman" w:hAnsi="Times New Roman" w:cs="Times New Roman"/>
          <w:sz w:val="24"/>
          <w:szCs w:val="24"/>
        </w:rPr>
        <w:t xml:space="preserve"> Una</w:t>
      </w:r>
      <w:r w:rsidR="00653483" w:rsidRPr="00FF3C6F">
        <w:rPr>
          <w:rFonts w:ascii="Times New Roman" w:hAnsi="Times New Roman" w:cs="Times New Roman"/>
          <w:sz w:val="24"/>
          <w:szCs w:val="24"/>
        </w:rPr>
        <w:t xml:space="preserve"> “economía globalizada”</w:t>
      </w:r>
      <w:r w:rsidRPr="00FF3C6F">
        <w:rPr>
          <w:rFonts w:ascii="Times New Roman" w:hAnsi="Times New Roman" w:cs="Times New Roman"/>
          <w:sz w:val="24"/>
          <w:szCs w:val="24"/>
        </w:rPr>
        <w:t xml:space="preserve"> que</w:t>
      </w:r>
      <w:r w:rsidR="00653483" w:rsidRPr="00FF3C6F">
        <w:rPr>
          <w:rFonts w:ascii="Times New Roman" w:hAnsi="Times New Roman" w:cs="Times New Roman"/>
          <w:sz w:val="24"/>
          <w:szCs w:val="24"/>
        </w:rPr>
        <w:t xml:space="preserve"> se alimenta de la estupidez, pero no de la suya, que está blindada, sino de la nuestra, que no acaba de entender que nos van enterrar en la miseria y </w:t>
      </w:r>
      <w:r w:rsidRPr="00FF3C6F">
        <w:rPr>
          <w:rFonts w:ascii="Times New Roman" w:hAnsi="Times New Roman" w:cs="Times New Roman"/>
          <w:sz w:val="24"/>
          <w:szCs w:val="24"/>
        </w:rPr>
        <w:t xml:space="preserve">la </w:t>
      </w:r>
      <w:r w:rsidR="00653483" w:rsidRPr="00FF3C6F">
        <w:rPr>
          <w:rFonts w:ascii="Times New Roman" w:hAnsi="Times New Roman" w:cs="Times New Roman"/>
          <w:sz w:val="24"/>
          <w:szCs w:val="24"/>
        </w:rPr>
        <w:t xml:space="preserve">falta de libertad.  </w:t>
      </w:r>
    </w:p>
    <w:p w:rsidR="0087418D" w:rsidRPr="00FF3C6F" w:rsidRDefault="0087418D" w:rsidP="0087418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En las próximas páginas intentaré realizar un cálculo aproximado (políticamente incorrecto) de las ganancias y pérdidas, que ha generado en Estados Unidos, y la Unión Europea, el proceso de globalización económica , que ha tenido en China a su claro ganador (si no único).</w:t>
      </w:r>
    </w:p>
    <w:p w:rsidR="0053737A" w:rsidRPr="00FF3C6F" w:rsidRDefault="0053737A" w:rsidP="0087418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Como metodología de cálculo propongo la siguiente:</w:t>
      </w:r>
    </w:p>
    <w:p w:rsidR="0053737A" w:rsidRPr="00FF3C6F" w:rsidRDefault="0053737A" w:rsidP="0087418D">
      <w:pPr>
        <w:spacing w:line="240" w:lineRule="auto"/>
        <w:jc w:val="both"/>
        <w:rPr>
          <w:rFonts w:ascii="Times New Roman" w:hAnsi="Times New Roman" w:cs="Times New Roman"/>
          <w:b/>
          <w:sz w:val="24"/>
          <w:szCs w:val="24"/>
          <w:shd w:val="clear" w:color="auto" w:fill="FFFFFF"/>
        </w:rPr>
      </w:pPr>
      <w:r w:rsidRPr="00FF3C6F">
        <w:rPr>
          <w:rFonts w:ascii="Times New Roman" w:hAnsi="Times New Roman" w:cs="Times New Roman"/>
          <w:b/>
          <w:sz w:val="24"/>
          <w:szCs w:val="24"/>
          <w:shd w:val="clear" w:color="auto" w:fill="FFFFFF"/>
        </w:rPr>
        <w:t>Del lado de las “ganancias” (o ganadores)</w:t>
      </w:r>
    </w:p>
    <w:p w:rsidR="0053737A" w:rsidRPr="00FF3C6F" w:rsidRDefault="003E72ED" w:rsidP="0087418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Aumento de las exportaciones durante</w:t>
      </w:r>
      <w:r w:rsidR="0053737A" w:rsidRPr="00FF3C6F">
        <w:rPr>
          <w:rFonts w:ascii="Times New Roman" w:hAnsi="Times New Roman" w:cs="Times New Roman"/>
          <w:sz w:val="24"/>
          <w:szCs w:val="24"/>
          <w:shd w:val="clear" w:color="auto" w:fill="FFFFFF"/>
        </w:rPr>
        <w:t xml:space="preserve"> el proceso de globalización.</w:t>
      </w:r>
    </w:p>
    <w:p w:rsidR="0053075D" w:rsidRPr="00FF3C6F" w:rsidRDefault="0053075D" w:rsidP="0053075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Menor gasto de los consumidores por la adquisición de productos a menor precio.</w:t>
      </w:r>
    </w:p>
    <w:p w:rsidR="0053075D" w:rsidRPr="00FF3C6F" w:rsidRDefault="0053075D" w:rsidP="0087418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Disminución del Índice de Precios al Consumidor.</w:t>
      </w:r>
    </w:p>
    <w:p w:rsidR="0053737A" w:rsidRPr="00FF3C6F" w:rsidRDefault="0053737A" w:rsidP="0087418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Mayor rentabilidad de las empresas por la importación de productos a menor costo.</w:t>
      </w:r>
    </w:p>
    <w:p w:rsidR="0053737A" w:rsidRPr="00FF3C6F" w:rsidRDefault="0053737A" w:rsidP="0087418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Mayor valor en bolsa de las acciones de las empresas que importan productos a menor costo.</w:t>
      </w:r>
    </w:p>
    <w:p w:rsidR="0053075D" w:rsidRPr="00FF3C6F" w:rsidRDefault="0053075D" w:rsidP="0053075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Mayores dividendos pagados por las empresas que importan productos a menor costo.</w:t>
      </w:r>
    </w:p>
    <w:p w:rsidR="004115C1" w:rsidRPr="00FF3C6F" w:rsidRDefault="004115C1" w:rsidP="0087418D">
      <w:pPr>
        <w:spacing w:line="240" w:lineRule="auto"/>
        <w:jc w:val="both"/>
        <w:rPr>
          <w:rFonts w:ascii="Times New Roman" w:hAnsi="Times New Roman" w:cs="Times New Roman"/>
          <w:b/>
          <w:sz w:val="24"/>
          <w:szCs w:val="24"/>
          <w:shd w:val="clear" w:color="auto" w:fill="FFFFFF"/>
        </w:rPr>
      </w:pPr>
      <w:r w:rsidRPr="00FF3C6F">
        <w:rPr>
          <w:rFonts w:ascii="Times New Roman" w:hAnsi="Times New Roman" w:cs="Times New Roman"/>
          <w:b/>
          <w:sz w:val="24"/>
          <w:szCs w:val="24"/>
          <w:shd w:val="clear" w:color="auto" w:fill="FFFFFF"/>
        </w:rPr>
        <w:t>Del lado de las “pérdidas” (o perdedores)</w:t>
      </w:r>
    </w:p>
    <w:p w:rsidR="004115C1" w:rsidRPr="00FF3C6F" w:rsidRDefault="003E72ED" w:rsidP="004115C1">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Aumento de las importaciones durante</w:t>
      </w:r>
      <w:r w:rsidR="004115C1" w:rsidRPr="00FF3C6F">
        <w:rPr>
          <w:rFonts w:ascii="Times New Roman" w:hAnsi="Times New Roman" w:cs="Times New Roman"/>
          <w:sz w:val="24"/>
          <w:szCs w:val="24"/>
          <w:shd w:val="clear" w:color="auto" w:fill="FFFFFF"/>
        </w:rPr>
        <w:t xml:space="preserve"> el proceso de globalización.</w:t>
      </w:r>
    </w:p>
    <w:p w:rsidR="004115C1" w:rsidRPr="00FF3C6F" w:rsidRDefault="004115C1" w:rsidP="0087418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Impacto en el nivel de empleo.</w:t>
      </w:r>
    </w:p>
    <w:p w:rsidR="004115C1" w:rsidRPr="00FF3C6F" w:rsidRDefault="004115C1" w:rsidP="0087418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Aumento del nivel de desempleo.</w:t>
      </w:r>
    </w:p>
    <w:p w:rsidR="004115C1" w:rsidRPr="00FF3C6F" w:rsidRDefault="004115C1" w:rsidP="0087418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Disminución de los ingresos de los trabajadores</w:t>
      </w:r>
      <w:r w:rsidR="00C45DE5" w:rsidRPr="00FF3C6F">
        <w:rPr>
          <w:rFonts w:ascii="Times New Roman" w:hAnsi="Times New Roman" w:cs="Times New Roman"/>
          <w:sz w:val="24"/>
          <w:szCs w:val="24"/>
          <w:shd w:val="clear" w:color="auto" w:fill="FFFFFF"/>
        </w:rPr>
        <w:t>.</w:t>
      </w:r>
    </w:p>
    <w:p w:rsidR="00C45DE5" w:rsidRPr="00FF3C6F" w:rsidRDefault="00C45DE5" w:rsidP="0087418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Alteración en la distribución de los ingresos.</w:t>
      </w:r>
    </w:p>
    <w:p w:rsidR="004115C1" w:rsidRPr="00FF3C6F" w:rsidRDefault="004115C1" w:rsidP="0087418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Aumento de la pobreza</w:t>
      </w:r>
      <w:r w:rsidR="00C45DE5" w:rsidRPr="00FF3C6F">
        <w:rPr>
          <w:rFonts w:ascii="Times New Roman" w:hAnsi="Times New Roman" w:cs="Times New Roman"/>
          <w:sz w:val="24"/>
          <w:szCs w:val="24"/>
          <w:shd w:val="clear" w:color="auto" w:fill="FFFFFF"/>
        </w:rPr>
        <w:t>.</w:t>
      </w:r>
    </w:p>
    <w:p w:rsidR="004115C1" w:rsidRPr="00FF3C6F" w:rsidRDefault="004115C1" w:rsidP="0087418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Variación del coeficiente Gini</w:t>
      </w:r>
      <w:r w:rsidR="00C45DE5" w:rsidRPr="00FF3C6F">
        <w:rPr>
          <w:rFonts w:ascii="Times New Roman" w:hAnsi="Times New Roman" w:cs="Times New Roman"/>
          <w:sz w:val="24"/>
          <w:szCs w:val="24"/>
          <w:shd w:val="clear" w:color="auto" w:fill="FFFFFF"/>
        </w:rPr>
        <w:t>.</w:t>
      </w:r>
    </w:p>
    <w:p w:rsidR="00F3013E" w:rsidRPr="00FF3C6F" w:rsidRDefault="00F3013E" w:rsidP="00F3013E">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Inyección masiva de liquidez al sistema financiero por los bancos centrales y aumento descomunal del gasto público para resolver las crisis devenidas (2008 y 2020).</w:t>
      </w:r>
    </w:p>
    <w:p w:rsidR="00FF3C6F" w:rsidRPr="00FF3C6F" w:rsidRDefault="00C45DE5" w:rsidP="0087418D">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Represión financiera.</w:t>
      </w:r>
    </w:p>
    <w:p w:rsidR="00FF3C6F" w:rsidRPr="00FF3C6F" w:rsidRDefault="003607D4" w:rsidP="009D023F">
      <w:pPr>
        <w:spacing w:line="240" w:lineRule="auto"/>
        <w:jc w:val="both"/>
        <w:rPr>
          <w:rFonts w:ascii="Times New Roman" w:hAnsi="Times New Roman" w:cs="Times New Roman"/>
          <w:sz w:val="24"/>
          <w:szCs w:val="24"/>
          <w:shd w:val="clear" w:color="auto" w:fill="FFFFFF"/>
        </w:rPr>
      </w:pPr>
      <w:r w:rsidRPr="00FF3C6F">
        <w:rPr>
          <w:rFonts w:ascii="Times New Roman" w:hAnsi="Times New Roman" w:cs="Times New Roman"/>
          <w:sz w:val="24"/>
          <w:szCs w:val="24"/>
          <w:shd w:val="clear" w:color="auto" w:fill="FFFFFF"/>
        </w:rPr>
        <w:t>Nota: para</w:t>
      </w:r>
      <w:r w:rsidR="00C45DE5" w:rsidRPr="00FF3C6F">
        <w:rPr>
          <w:rFonts w:ascii="Times New Roman" w:hAnsi="Times New Roman" w:cs="Times New Roman"/>
          <w:sz w:val="24"/>
          <w:szCs w:val="24"/>
          <w:shd w:val="clear" w:color="auto" w:fill="FFFFFF"/>
        </w:rPr>
        <w:t xml:space="preserve"> aquellos casos en que no se puede calcular el “costo de los factores”</w:t>
      </w:r>
      <w:r w:rsidRPr="00FF3C6F">
        <w:rPr>
          <w:rFonts w:ascii="Times New Roman" w:hAnsi="Times New Roman" w:cs="Times New Roman"/>
          <w:sz w:val="24"/>
          <w:szCs w:val="24"/>
          <w:shd w:val="clear" w:color="auto" w:fill="FFFFFF"/>
        </w:rPr>
        <w:t>,</w:t>
      </w:r>
      <w:r w:rsidR="00C45DE5" w:rsidRPr="00FF3C6F">
        <w:rPr>
          <w:rFonts w:ascii="Times New Roman" w:hAnsi="Times New Roman" w:cs="Times New Roman"/>
          <w:sz w:val="24"/>
          <w:szCs w:val="24"/>
          <w:shd w:val="clear" w:color="auto" w:fill="FFFFFF"/>
        </w:rPr>
        <w:t xml:space="preserve"> se intenta</w:t>
      </w:r>
      <w:r w:rsidRPr="00FF3C6F">
        <w:rPr>
          <w:rFonts w:ascii="Times New Roman" w:hAnsi="Times New Roman" w:cs="Times New Roman"/>
          <w:sz w:val="24"/>
          <w:szCs w:val="24"/>
          <w:shd w:val="clear" w:color="auto" w:fill="FFFFFF"/>
        </w:rPr>
        <w:t>n</w:t>
      </w:r>
      <w:r w:rsidR="00C45DE5" w:rsidRPr="00FF3C6F">
        <w:rPr>
          <w:rFonts w:ascii="Times New Roman" w:hAnsi="Times New Roman" w:cs="Times New Roman"/>
          <w:sz w:val="24"/>
          <w:szCs w:val="24"/>
          <w:shd w:val="clear" w:color="auto" w:fill="FFFFFF"/>
        </w:rPr>
        <w:t xml:space="preserve"> presentar </w:t>
      </w:r>
      <w:r w:rsidRPr="00FF3C6F">
        <w:rPr>
          <w:rFonts w:ascii="Times New Roman" w:hAnsi="Times New Roman" w:cs="Times New Roman"/>
          <w:sz w:val="24"/>
          <w:szCs w:val="24"/>
          <w:shd w:val="clear" w:color="auto" w:fill="FFFFFF"/>
        </w:rPr>
        <w:t>dato</w:t>
      </w:r>
      <w:r w:rsidR="00C45DE5" w:rsidRPr="00FF3C6F">
        <w:rPr>
          <w:rFonts w:ascii="Times New Roman" w:hAnsi="Times New Roman" w:cs="Times New Roman"/>
          <w:sz w:val="24"/>
          <w:szCs w:val="24"/>
          <w:shd w:val="clear" w:color="auto" w:fill="FFFFFF"/>
        </w:rPr>
        <w:t>s</w:t>
      </w:r>
      <w:r w:rsidRPr="00FF3C6F">
        <w:rPr>
          <w:rFonts w:ascii="Times New Roman" w:hAnsi="Times New Roman" w:cs="Times New Roman"/>
          <w:sz w:val="24"/>
          <w:szCs w:val="24"/>
          <w:shd w:val="clear" w:color="auto" w:fill="FFFFFF"/>
        </w:rPr>
        <w:t>, o representaciones</w:t>
      </w:r>
      <w:r w:rsidR="00C45DE5" w:rsidRPr="00FF3C6F">
        <w:rPr>
          <w:rFonts w:ascii="Times New Roman" w:hAnsi="Times New Roman" w:cs="Times New Roman"/>
          <w:sz w:val="24"/>
          <w:szCs w:val="24"/>
          <w:shd w:val="clear" w:color="auto" w:fill="FFFFFF"/>
        </w:rPr>
        <w:t xml:space="preserve"> gráfica</w:t>
      </w:r>
      <w:r w:rsidRPr="00FF3C6F">
        <w:rPr>
          <w:rFonts w:ascii="Times New Roman" w:hAnsi="Times New Roman" w:cs="Times New Roman"/>
          <w:sz w:val="24"/>
          <w:szCs w:val="24"/>
          <w:shd w:val="clear" w:color="auto" w:fill="FFFFFF"/>
        </w:rPr>
        <w:t xml:space="preserve">s, que permitan </w:t>
      </w:r>
      <w:r w:rsidR="00C45DE5" w:rsidRPr="00FF3C6F">
        <w:rPr>
          <w:rFonts w:ascii="Times New Roman" w:hAnsi="Times New Roman" w:cs="Times New Roman"/>
          <w:sz w:val="24"/>
          <w:szCs w:val="24"/>
          <w:shd w:val="clear" w:color="auto" w:fill="FFFFFF"/>
        </w:rPr>
        <w:t>visualizar la tendencia.</w:t>
      </w:r>
    </w:p>
    <w:p w:rsidR="009D023F" w:rsidRPr="00FF3C6F" w:rsidRDefault="009D023F" w:rsidP="009D023F">
      <w:pPr>
        <w:spacing w:line="240" w:lineRule="auto"/>
        <w:jc w:val="both"/>
        <w:rPr>
          <w:rFonts w:ascii="Times New Roman" w:hAnsi="Times New Roman" w:cs="Times New Roman"/>
          <w:color w:val="FF0000"/>
          <w:sz w:val="24"/>
          <w:szCs w:val="24"/>
          <w:shd w:val="clear" w:color="auto" w:fill="FFFFFF"/>
        </w:rPr>
      </w:pPr>
      <w:r w:rsidRPr="0048576B">
        <w:rPr>
          <w:rFonts w:ascii="Times New Roman" w:hAnsi="Times New Roman" w:cs="Times New Roman"/>
          <w:b/>
          <w:sz w:val="24"/>
          <w:szCs w:val="24"/>
        </w:rPr>
        <w:lastRenderedPageBreak/>
        <w:t>Cálculos sobre “El “precio” de la globalización (al “costo” de los factores)</w:t>
      </w:r>
      <w:r>
        <w:rPr>
          <w:rFonts w:ascii="Times New Roman" w:hAnsi="Times New Roman" w:cs="Times New Roman"/>
          <w:b/>
          <w:sz w:val="24"/>
          <w:szCs w:val="24"/>
        </w:rPr>
        <w:t>”</w:t>
      </w:r>
    </w:p>
    <w:p w:rsidR="009D023F" w:rsidRDefault="009D023F" w:rsidP="009D023F">
      <w:pPr>
        <w:spacing w:line="240" w:lineRule="auto"/>
        <w:jc w:val="both"/>
        <w:rPr>
          <w:rFonts w:ascii="Times New Roman" w:hAnsi="Times New Roman" w:cs="Times New Roman"/>
          <w:sz w:val="20"/>
          <w:szCs w:val="20"/>
        </w:rPr>
      </w:pPr>
    </w:p>
    <w:p w:rsidR="009D023F" w:rsidRDefault="009D023F" w:rsidP="009D023F">
      <w:pPr>
        <w:spacing w:line="240" w:lineRule="auto"/>
        <w:jc w:val="both"/>
        <w:rPr>
          <w:rFonts w:ascii="Times New Roman" w:hAnsi="Times New Roman" w:cs="Times New Roman"/>
          <w:sz w:val="20"/>
          <w:szCs w:val="20"/>
        </w:rPr>
      </w:pPr>
      <w:r w:rsidRPr="00666EF0">
        <w:rPr>
          <w:rFonts w:ascii="Times New Roman" w:hAnsi="Times New Roman" w:cs="Times New Roman"/>
          <w:noProof/>
          <w:sz w:val="20"/>
          <w:szCs w:val="20"/>
          <w:lang w:eastAsia="es-ES"/>
        </w:rPr>
        <w:drawing>
          <wp:inline distT="0" distB="0" distL="0" distR="0" wp14:anchorId="7C8A3692" wp14:editId="5D5C7AF8">
            <wp:extent cx="5731510" cy="5213470"/>
            <wp:effectExtent l="0" t="0" r="254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5213470"/>
                    </a:xfrm>
                    <a:prstGeom prst="rect">
                      <a:avLst/>
                    </a:prstGeom>
                  </pic:spPr>
                </pic:pic>
              </a:graphicData>
            </a:graphic>
          </wp:inline>
        </w:drawing>
      </w:r>
    </w:p>
    <w:p w:rsidR="009D023F" w:rsidRDefault="009D023F" w:rsidP="009D023F">
      <w:pPr>
        <w:spacing w:line="240" w:lineRule="auto"/>
        <w:jc w:val="both"/>
        <w:rPr>
          <w:rFonts w:ascii="Times New Roman" w:hAnsi="Times New Roman" w:cs="Times New Roman"/>
          <w:sz w:val="20"/>
          <w:szCs w:val="20"/>
        </w:rPr>
      </w:pPr>
      <w:r w:rsidRPr="00666EF0">
        <w:rPr>
          <w:rFonts w:ascii="Times New Roman" w:hAnsi="Times New Roman" w:cs="Times New Roman"/>
          <w:noProof/>
          <w:sz w:val="20"/>
          <w:szCs w:val="20"/>
          <w:lang w:eastAsia="es-ES"/>
        </w:rPr>
        <w:drawing>
          <wp:inline distT="0" distB="0" distL="0" distR="0" wp14:anchorId="3FE666B8" wp14:editId="04FF6688">
            <wp:extent cx="5731510" cy="2536316"/>
            <wp:effectExtent l="0" t="0" r="254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2536316"/>
                    </a:xfrm>
                    <a:prstGeom prst="rect">
                      <a:avLst/>
                    </a:prstGeom>
                  </pic:spPr>
                </pic:pic>
              </a:graphicData>
            </a:graphic>
          </wp:inline>
        </w:drawing>
      </w:r>
    </w:p>
    <w:p w:rsidR="009D023F" w:rsidRDefault="009D023F" w:rsidP="009D023F">
      <w:pPr>
        <w:spacing w:line="240" w:lineRule="auto"/>
        <w:jc w:val="both"/>
        <w:rPr>
          <w:rFonts w:ascii="Times New Roman" w:hAnsi="Times New Roman" w:cs="Times New Roman"/>
          <w:sz w:val="20"/>
          <w:szCs w:val="20"/>
        </w:rPr>
      </w:pPr>
      <w:r w:rsidRPr="00666EF0">
        <w:rPr>
          <w:rFonts w:ascii="Times New Roman" w:hAnsi="Times New Roman" w:cs="Times New Roman"/>
          <w:noProof/>
          <w:sz w:val="20"/>
          <w:szCs w:val="20"/>
          <w:lang w:eastAsia="es-ES"/>
        </w:rPr>
        <w:lastRenderedPageBreak/>
        <w:drawing>
          <wp:inline distT="0" distB="0" distL="0" distR="0" wp14:anchorId="550D2009" wp14:editId="7392CEAF">
            <wp:extent cx="5731510" cy="4882806"/>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4882806"/>
                    </a:xfrm>
                    <a:prstGeom prst="rect">
                      <a:avLst/>
                    </a:prstGeom>
                  </pic:spPr>
                </pic:pic>
              </a:graphicData>
            </a:graphic>
          </wp:inline>
        </w:drawing>
      </w:r>
    </w:p>
    <w:p w:rsidR="009D023F" w:rsidRDefault="009D023F" w:rsidP="009D023F">
      <w:pPr>
        <w:spacing w:line="240" w:lineRule="auto"/>
        <w:jc w:val="both"/>
        <w:rPr>
          <w:rFonts w:ascii="Times New Roman" w:hAnsi="Times New Roman" w:cs="Times New Roman"/>
          <w:sz w:val="20"/>
          <w:szCs w:val="20"/>
        </w:rPr>
      </w:pPr>
    </w:p>
    <w:p w:rsidR="009D023F" w:rsidRDefault="009D023F" w:rsidP="009D023F">
      <w:pPr>
        <w:spacing w:line="240" w:lineRule="auto"/>
        <w:jc w:val="both"/>
        <w:rPr>
          <w:rFonts w:ascii="Times New Roman" w:hAnsi="Times New Roman" w:cs="Times New Roman"/>
          <w:sz w:val="20"/>
          <w:szCs w:val="20"/>
        </w:rPr>
      </w:pPr>
      <w:r w:rsidRPr="00167E7D">
        <w:rPr>
          <w:rFonts w:ascii="Times New Roman" w:hAnsi="Times New Roman" w:cs="Times New Roman"/>
          <w:noProof/>
          <w:sz w:val="20"/>
          <w:szCs w:val="20"/>
          <w:lang w:eastAsia="es-ES"/>
        </w:rPr>
        <w:drawing>
          <wp:inline distT="0" distB="0" distL="0" distR="0" wp14:anchorId="62101279" wp14:editId="1DA19263">
            <wp:extent cx="5731510" cy="3117427"/>
            <wp:effectExtent l="0" t="0" r="2540" b="6985"/>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3117427"/>
                    </a:xfrm>
                    <a:prstGeom prst="rect">
                      <a:avLst/>
                    </a:prstGeom>
                  </pic:spPr>
                </pic:pic>
              </a:graphicData>
            </a:graphic>
          </wp:inline>
        </w:drawing>
      </w:r>
    </w:p>
    <w:p w:rsidR="009D023F" w:rsidRPr="0048576B" w:rsidRDefault="009D023F" w:rsidP="009D023F">
      <w:pPr>
        <w:spacing w:line="240" w:lineRule="auto"/>
        <w:jc w:val="both"/>
        <w:rPr>
          <w:rFonts w:ascii="Times New Roman" w:hAnsi="Times New Roman" w:cs="Times New Roman"/>
          <w:sz w:val="20"/>
          <w:szCs w:val="20"/>
        </w:rPr>
      </w:pPr>
      <w:r w:rsidRPr="00167E7D">
        <w:rPr>
          <w:rFonts w:ascii="Times New Roman" w:hAnsi="Times New Roman" w:cs="Times New Roman"/>
          <w:noProof/>
          <w:sz w:val="20"/>
          <w:szCs w:val="20"/>
          <w:lang w:eastAsia="es-ES"/>
        </w:rPr>
        <w:lastRenderedPageBreak/>
        <w:drawing>
          <wp:inline distT="0" distB="0" distL="0" distR="0" wp14:anchorId="5A799F0E" wp14:editId="06D7B3AE">
            <wp:extent cx="5731510" cy="2464672"/>
            <wp:effectExtent l="0" t="0" r="254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2464672"/>
                    </a:xfrm>
                    <a:prstGeom prst="rect">
                      <a:avLst/>
                    </a:prstGeom>
                  </pic:spPr>
                </pic:pic>
              </a:graphicData>
            </a:graphic>
          </wp:inline>
        </w:drawing>
      </w:r>
    </w:p>
    <w:p w:rsidR="009D023F" w:rsidRDefault="009D023F" w:rsidP="009D023F">
      <w:pPr>
        <w:rPr>
          <w:rFonts w:ascii="Times New Roman" w:hAnsi="Times New Roman" w:cs="Times New Roman"/>
          <w:sz w:val="24"/>
          <w:szCs w:val="24"/>
        </w:rPr>
      </w:pPr>
      <w:r w:rsidRPr="0048576B">
        <w:rPr>
          <w:rFonts w:ascii="Times New Roman" w:hAnsi="Times New Roman" w:cs="Times New Roman"/>
          <w:sz w:val="24"/>
          <w:szCs w:val="24"/>
        </w:rPr>
        <w:t xml:space="preserve"> </w:t>
      </w:r>
      <w:r w:rsidRPr="00167E7D">
        <w:rPr>
          <w:rFonts w:ascii="Times New Roman" w:hAnsi="Times New Roman" w:cs="Times New Roman"/>
          <w:noProof/>
          <w:sz w:val="24"/>
          <w:szCs w:val="24"/>
          <w:lang w:eastAsia="es-ES"/>
        </w:rPr>
        <w:drawing>
          <wp:inline distT="0" distB="0" distL="0" distR="0" wp14:anchorId="1C14DAA7" wp14:editId="6714F43C">
            <wp:extent cx="5731510" cy="1986434"/>
            <wp:effectExtent l="0" t="0" r="254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1986434"/>
                    </a:xfrm>
                    <a:prstGeom prst="rect">
                      <a:avLst/>
                    </a:prstGeom>
                  </pic:spPr>
                </pic:pic>
              </a:graphicData>
            </a:graphic>
          </wp:inline>
        </w:drawing>
      </w: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r w:rsidRPr="006109CD">
        <w:rPr>
          <w:rFonts w:ascii="Times New Roman" w:hAnsi="Times New Roman" w:cs="Times New Roman"/>
          <w:noProof/>
          <w:sz w:val="24"/>
          <w:szCs w:val="24"/>
          <w:lang w:eastAsia="es-ES"/>
        </w:rPr>
        <w:drawing>
          <wp:inline distT="0" distB="0" distL="0" distR="0" wp14:anchorId="29EA8B26" wp14:editId="25E8F31E">
            <wp:extent cx="5731510" cy="3278817"/>
            <wp:effectExtent l="0" t="0" r="254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3278817"/>
                    </a:xfrm>
                    <a:prstGeom prst="rect">
                      <a:avLst/>
                    </a:prstGeom>
                  </pic:spPr>
                </pic:pic>
              </a:graphicData>
            </a:graphic>
          </wp:inline>
        </w:drawing>
      </w:r>
    </w:p>
    <w:p w:rsidR="009D023F" w:rsidRDefault="009D023F" w:rsidP="009D023F">
      <w:pPr>
        <w:rPr>
          <w:rFonts w:ascii="Times New Roman" w:hAnsi="Times New Roman" w:cs="Times New Roman"/>
          <w:sz w:val="24"/>
          <w:szCs w:val="24"/>
        </w:rPr>
        <w:sectPr w:rsidR="009D023F" w:rsidSect="001E6FAE">
          <w:pgSz w:w="11906" w:h="16838"/>
          <w:pgMar w:top="1440" w:right="1440" w:bottom="1440" w:left="1440" w:header="709" w:footer="709" w:gutter="0"/>
          <w:cols w:space="708"/>
          <w:docGrid w:linePitch="360"/>
        </w:sectPr>
      </w:pPr>
    </w:p>
    <w:p w:rsidR="009D023F" w:rsidRDefault="009D023F" w:rsidP="009D023F">
      <w:pPr>
        <w:rPr>
          <w:rFonts w:ascii="Times New Roman" w:hAnsi="Times New Roman" w:cs="Times New Roman"/>
          <w:sz w:val="24"/>
          <w:szCs w:val="24"/>
        </w:rPr>
      </w:pPr>
      <w:r w:rsidRPr="006109CD">
        <w:rPr>
          <w:rFonts w:ascii="Times New Roman" w:hAnsi="Times New Roman" w:cs="Times New Roman"/>
          <w:noProof/>
          <w:sz w:val="20"/>
          <w:szCs w:val="20"/>
          <w:lang w:eastAsia="es-ES"/>
        </w:rPr>
        <w:lastRenderedPageBreak/>
        <w:drawing>
          <wp:inline distT="0" distB="0" distL="0" distR="0" wp14:anchorId="26C5EA1A" wp14:editId="11B2B227">
            <wp:extent cx="7391400" cy="946150"/>
            <wp:effectExtent l="0" t="0" r="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7415767" cy="949269"/>
                    </a:xfrm>
                    <a:prstGeom prst="rect">
                      <a:avLst/>
                    </a:prstGeom>
                  </pic:spPr>
                </pic:pic>
              </a:graphicData>
            </a:graphic>
          </wp:inline>
        </w:drawing>
      </w: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r w:rsidRPr="00167E7D">
        <w:rPr>
          <w:rFonts w:ascii="Times New Roman" w:hAnsi="Times New Roman" w:cs="Times New Roman"/>
          <w:noProof/>
          <w:sz w:val="20"/>
          <w:szCs w:val="20"/>
          <w:lang w:eastAsia="es-ES"/>
        </w:rPr>
        <w:drawing>
          <wp:inline distT="0" distB="0" distL="0" distR="0" wp14:anchorId="0F693952" wp14:editId="52C8A647">
            <wp:extent cx="7391400" cy="29527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7388414" cy="2951557"/>
                    </a:xfrm>
                    <a:prstGeom prst="rect">
                      <a:avLst/>
                    </a:prstGeom>
                  </pic:spPr>
                </pic:pic>
              </a:graphicData>
            </a:graphic>
          </wp:inline>
        </w:drawing>
      </w:r>
    </w:p>
    <w:p w:rsidR="009D023F" w:rsidRDefault="009D023F" w:rsidP="009D023F">
      <w:pPr>
        <w:rPr>
          <w:rFonts w:ascii="Times New Roman" w:hAnsi="Times New Roman" w:cs="Times New Roman"/>
          <w:sz w:val="24"/>
          <w:szCs w:val="24"/>
        </w:rPr>
        <w:sectPr w:rsidR="009D023F" w:rsidSect="001E6FAE">
          <w:pgSz w:w="16838" w:h="11906" w:orient="landscape"/>
          <w:pgMar w:top="1440" w:right="1440" w:bottom="1440" w:left="1440" w:header="709" w:footer="709" w:gutter="0"/>
          <w:cols w:space="708"/>
          <w:docGrid w:linePitch="360"/>
        </w:sectPr>
      </w:pPr>
    </w:p>
    <w:p w:rsidR="009D023F" w:rsidRDefault="009D023F" w:rsidP="009D023F">
      <w:pPr>
        <w:rPr>
          <w:rFonts w:ascii="Times New Roman" w:hAnsi="Times New Roman" w:cs="Times New Roman"/>
          <w:sz w:val="24"/>
          <w:szCs w:val="24"/>
        </w:rPr>
      </w:pPr>
      <w:r w:rsidRPr="006109CD">
        <w:rPr>
          <w:rFonts w:ascii="Times New Roman" w:hAnsi="Times New Roman" w:cs="Times New Roman"/>
          <w:noProof/>
          <w:sz w:val="24"/>
          <w:szCs w:val="24"/>
          <w:lang w:eastAsia="es-ES"/>
        </w:rPr>
        <w:lastRenderedPageBreak/>
        <w:drawing>
          <wp:inline distT="0" distB="0" distL="0" distR="0" wp14:anchorId="4C0C22F4" wp14:editId="08A5D44B">
            <wp:extent cx="5696745" cy="5877746"/>
            <wp:effectExtent l="0" t="0" r="0"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696745" cy="5877746"/>
                    </a:xfrm>
                    <a:prstGeom prst="rect">
                      <a:avLst/>
                    </a:prstGeom>
                  </pic:spPr>
                </pic:pic>
              </a:graphicData>
            </a:graphic>
          </wp:inline>
        </w:drawing>
      </w:r>
    </w:p>
    <w:p w:rsidR="009D023F" w:rsidRDefault="009D023F" w:rsidP="009D023F">
      <w:pPr>
        <w:rPr>
          <w:rFonts w:ascii="Times New Roman" w:hAnsi="Times New Roman" w:cs="Times New Roman"/>
          <w:sz w:val="24"/>
          <w:szCs w:val="24"/>
        </w:rPr>
      </w:pPr>
      <w:r w:rsidRPr="006109CD">
        <w:rPr>
          <w:rFonts w:ascii="Times New Roman" w:hAnsi="Times New Roman" w:cs="Times New Roman"/>
          <w:noProof/>
          <w:sz w:val="24"/>
          <w:szCs w:val="24"/>
          <w:lang w:eastAsia="es-ES"/>
        </w:rPr>
        <w:drawing>
          <wp:inline distT="0" distB="0" distL="0" distR="0" wp14:anchorId="5CCDF911" wp14:editId="64D8E760">
            <wp:extent cx="5695950" cy="863600"/>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17689" cy="866896"/>
                    </a:xfrm>
                    <a:prstGeom prst="rect">
                      <a:avLst/>
                    </a:prstGeom>
                  </pic:spPr>
                </pic:pic>
              </a:graphicData>
            </a:graphic>
          </wp:inline>
        </w:drawing>
      </w: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sectPr w:rsidR="009D023F" w:rsidSect="001E6FAE">
          <w:pgSz w:w="11906" w:h="16838"/>
          <w:pgMar w:top="1440" w:right="1440" w:bottom="1440" w:left="1440" w:header="709" w:footer="709" w:gutter="0"/>
          <w:cols w:space="708"/>
          <w:docGrid w:linePitch="360"/>
        </w:sectPr>
      </w:pP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r w:rsidRPr="006C0E5C">
        <w:rPr>
          <w:rFonts w:ascii="Times New Roman" w:hAnsi="Times New Roman" w:cs="Times New Roman"/>
          <w:noProof/>
          <w:sz w:val="24"/>
          <w:szCs w:val="24"/>
          <w:lang w:eastAsia="es-ES"/>
        </w:rPr>
        <w:drawing>
          <wp:inline distT="0" distB="0" distL="0" distR="0" wp14:anchorId="35A934DB" wp14:editId="375D8E80">
            <wp:extent cx="7245350" cy="2603500"/>
            <wp:effectExtent l="0" t="0" r="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7254058" cy="2606629"/>
                    </a:xfrm>
                    <a:prstGeom prst="rect">
                      <a:avLst/>
                    </a:prstGeom>
                  </pic:spPr>
                </pic:pic>
              </a:graphicData>
            </a:graphic>
          </wp:inline>
        </w:drawing>
      </w:r>
    </w:p>
    <w:p w:rsidR="009D023F" w:rsidRDefault="009D023F" w:rsidP="009D023F">
      <w:pPr>
        <w:rPr>
          <w:rFonts w:ascii="Times New Roman" w:hAnsi="Times New Roman" w:cs="Times New Roman"/>
          <w:sz w:val="24"/>
          <w:szCs w:val="24"/>
        </w:rPr>
      </w:pPr>
      <w:r w:rsidRPr="006C0E5C">
        <w:rPr>
          <w:rFonts w:ascii="Times New Roman" w:hAnsi="Times New Roman" w:cs="Times New Roman"/>
          <w:noProof/>
          <w:sz w:val="24"/>
          <w:szCs w:val="24"/>
          <w:lang w:eastAsia="es-ES"/>
        </w:rPr>
        <w:drawing>
          <wp:inline distT="0" distB="0" distL="0" distR="0" wp14:anchorId="1B308F48" wp14:editId="30F57B46">
            <wp:extent cx="7245350" cy="26352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7245350" cy="2635250"/>
                    </a:xfrm>
                    <a:prstGeom prst="rect">
                      <a:avLst/>
                    </a:prstGeom>
                  </pic:spPr>
                </pic:pic>
              </a:graphicData>
            </a:graphic>
          </wp:inline>
        </w:drawing>
      </w: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r w:rsidRPr="00BE5C71">
        <w:rPr>
          <w:rFonts w:ascii="Times New Roman" w:hAnsi="Times New Roman" w:cs="Times New Roman"/>
          <w:noProof/>
          <w:sz w:val="24"/>
          <w:szCs w:val="24"/>
          <w:lang w:eastAsia="es-ES"/>
        </w:rPr>
        <w:drawing>
          <wp:inline distT="0" distB="0" distL="0" distR="0" wp14:anchorId="5486F628" wp14:editId="589E528B">
            <wp:extent cx="7245350" cy="261429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7245350" cy="2614295"/>
                    </a:xfrm>
                    <a:prstGeom prst="rect">
                      <a:avLst/>
                    </a:prstGeom>
                  </pic:spPr>
                </pic:pic>
              </a:graphicData>
            </a:graphic>
          </wp:inline>
        </w:drawing>
      </w:r>
    </w:p>
    <w:p w:rsidR="009D023F" w:rsidRDefault="009D023F" w:rsidP="009D023F">
      <w:pPr>
        <w:rPr>
          <w:rFonts w:ascii="Times New Roman" w:hAnsi="Times New Roman" w:cs="Times New Roman"/>
          <w:sz w:val="24"/>
          <w:szCs w:val="24"/>
        </w:rPr>
      </w:pPr>
      <w:r w:rsidRPr="001B069C">
        <w:rPr>
          <w:rFonts w:ascii="Times New Roman" w:hAnsi="Times New Roman" w:cs="Times New Roman"/>
          <w:noProof/>
          <w:sz w:val="24"/>
          <w:szCs w:val="24"/>
          <w:lang w:eastAsia="es-ES"/>
        </w:rPr>
        <w:drawing>
          <wp:inline distT="0" distB="0" distL="0" distR="0" wp14:anchorId="4CD17B8E" wp14:editId="1B7DE75B">
            <wp:extent cx="7296150" cy="165100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7299242" cy="1651700"/>
                    </a:xfrm>
                    <a:prstGeom prst="rect">
                      <a:avLst/>
                    </a:prstGeom>
                  </pic:spPr>
                </pic:pic>
              </a:graphicData>
            </a:graphic>
          </wp:inline>
        </w:drawing>
      </w: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r w:rsidRPr="001B069C">
        <w:rPr>
          <w:rFonts w:ascii="Times New Roman" w:hAnsi="Times New Roman" w:cs="Times New Roman"/>
          <w:noProof/>
          <w:sz w:val="24"/>
          <w:szCs w:val="24"/>
          <w:lang w:eastAsia="es-ES"/>
        </w:rPr>
        <w:drawing>
          <wp:inline distT="0" distB="0" distL="0" distR="0" wp14:anchorId="48214FB2" wp14:editId="40FB3E00">
            <wp:extent cx="7105650" cy="3422650"/>
            <wp:effectExtent l="0" t="0" r="0" b="635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7105650" cy="3422650"/>
                    </a:xfrm>
                    <a:prstGeom prst="rect">
                      <a:avLst/>
                    </a:prstGeom>
                  </pic:spPr>
                </pic:pic>
              </a:graphicData>
            </a:graphic>
          </wp:inline>
        </w:drawing>
      </w:r>
    </w:p>
    <w:p w:rsidR="009D023F" w:rsidRDefault="009D023F" w:rsidP="009D023F">
      <w:pPr>
        <w:rPr>
          <w:rFonts w:ascii="Times New Roman" w:hAnsi="Times New Roman" w:cs="Times New Roman"/>
          <w:sz w:val="24"/>
          <w:szCs w:val="24"/>
        </w:rPr>
      </w:pPr>
      <w:r w:rsidRPr="001B069C">
        <w:rPr>
          <w:rFonts w:ascii="Times New Roman" w:hAnsi="Times New Roman" w:cs="Times New Roman"/>
          <w:noProof/>
          <w:sz w:val="24"/>
          <w:szCs w:val="24"/>
          <w:lang w:eastAsia="es-ES"/>
        </w:rPr>
        <w:drawing>
          <wp:inline distT="0" distB="0" distL="0" distR="0" wp14:anchorId="018653C8" wp14:editId="1948C19A">
            <wp:extent cx="7073900" cy="7874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7073900" cy="787400"/>
                    </a:xfrm>
                    <a:prstGeom prst="rect">
                      <a:avLst/>
                    </a:prstGeom>
                  </pic:spPr>
                </pic:pic>
              </a:graphicData>
            </a:graphic>
          </wp:inline>
        </w:drawing>
      </w: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r w:rsidRPr="00FF4B46">
        <w:rPr>
          <w:rFonts w:ascii="Times New Roman" w:hAnsi="Times New Roman" w:cs="Times New Roman"/>
          <w:noProof/>
          <w:sz w:val="24"/>
          <w:szCs w:val="24"/>
          <w:lang w:eastAsia="es-ES"/>
        </w:rPr>
        <w:drawing>
          <wp:inline distT="0" distB="0" distL="0" distR="0" wp14:anchorId="1737EF4A" wp14:editId="57E3ADA8">
            <wp:extent cx="7099300" cy="3625850"/>
            <wp:effectExtent l="0" t="0" r="635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7099300" cy="3625850"/>
                    </a:xfrm>
                    <a:prstGeom prst="rect">
                      <a:avLst/>
                    </a:prstGeom>
                  </pic:spPr>
                </pic:pic>
              </a:graphicData>
            </a:graphic>
          </wp:inline>
        </w:drawing>
      </w: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sectPr w:rsidR="009D023F" w:rsidSect="009D023F">
          <w:pgSz w:w="16838" w:h="11906" w:orient="landscape"/>
          <w:pgMar w:top="1440" w:right="1440" w:bottom="1440" w:left="1440" w:header="709" w:footer="709" w:gutter="0"/>
          <w:cols w:space="708"/>
          <w:docGrid w:linePitch="360"/>
        </w:sectPr>
      </w:pP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r w:rsidRPr="002C2719">
        <w:rPr>
          <w:rFonts w:ascii="Times New Roman" w:hAnsi="Times New Roman" w:cs="Times New Roman"/>
          <w:noProof/>
          <w:sz w:val="24"/>
          <w:szCs w:val="24"/>
          <w:lang w:eastAsia="es-ES"/>
        </w:rPr>
        <w:drawing>
          <wp:inline distT="0" distB="0" distL="0" distR="0" wp14:anchorId="5FF3E4BE" wp14:editId="2A9B303B">
            <wp:extent cx="5731510" cy="4449268"/>
            <wp:effectExtent l="0" t="0" r="2540" b="889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4449268"/>
                    </a:xfrm>
                    <a:prstGeom prst="rect">
                      <a:avLst/>
                    </a:prstGeom>
                  </pic:spPr>
                </pic:pic>
              </a:graphicData>
            </a:graphic>
          </wp:inline>
        </w:drawing>
      </w: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pPr>
    </w:p>
    <w:p w:rsidR="009D023F" w:rsidRDefault="009D023F" w:rsidP="009D023F">
      <w:pPr>
        <w:rPr>
          <w:rFonts w:ascii="Times New Roman" w:hAnsi="Times New Roman" w:cs="Times New Roman"/>
          <w:sz w:val="24"/>
          <w:szCs w:val="24"/>
        </w:rPr>
        <w:sectPr w:rsidR="009D023F" w:rsidSect="001E6FAE">
          <w:pgSz w:w="11906" w:h="16838"/>
          <w:pgMar w:top="1440" w:right="1440" w:bottom="1440" w:left="1440" w:header="709" w:footer="709" w:gutter="0"/>
          <w:cols w:space="708"/>
          <w:docGrid w:linePitch="360"/>
        </w:sectPr>
      </w:pPr>
    </w:p>
    <w:p w:rsidR="009D023F" w:rsidRDefault="009D023F" w:rsidP="009D023F">
      <w:pPr>
        <w:rPr>
          <w:rFonts w:ascii="Times New Roman" w:hAnsi="Times New Roman" w:cs="Times New Roman"/>
          <w:sz w:val="24"/>
          <w:szCs w:val="24"/>
        </w:rPr>
      </w:pPr>
      <w:r w:rsidRPr="002C2719">
        <w:rPr>
          <w:rFonts w:ascii="Times New Roman" w:hAnsi="Times New Roman" w:cs="Times New Roman"/>
          <w:noProof/>
          <w:sz w:val="24"/>
          <w:szCs w:val="24"/>
          <w:lang w:eastAsia="es-ES"/>
        </w:rPr>
        <w:lastRenderedPageBreak/>
        <w:drawing>
          <wp:inline distT="0" distB="0" distL="0" distR="0" wp14:anchorId="0670ECF1" wp14:editId="353E81F0">
            <wp:extent cx="7188200" cy="2260600"/>
            <wp:effectExtent l="0" t="0" r="0" b="635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7197660" cy="2263575"/>
                    </a:xfrm>
                    <a:prstGeom prst="rect">
                      <a:avLst/>
                    </a:prstGeom>
                  </pic:spPr>
                </pic:pic>
              </a:graphicData>
            </a:graphic>
          </wp:inline>
        </w:drawing>
      </w:r>
    </w:p>
    <w:p w:rsidR="009D023F" w:rsidRDefault="009D023F" w:rsidP="009D023F">
      <w:pPr>
        <w:rPr>
          <w:rFonts w:ascii="Times New Roman" w:hAnsi="Times New Roman" w:cs="Times New Roman"/>
          <w:sz w:val="24"/>
          <w:szCs w:val="24"/>
        </w:rPr>
      </w:pPr>
      <w:r w:rsidRPr="009F0C86">
        <w:rPr>
          <w:rFonts w:ascii="Times New Roman" w:hAnsi="Times New Roman" w:cs="Times New Roman"/>
          <w:noProof/>
          <w:sz w:val="24"/>
          <w:szCs w:val="24"/>
          <w:lang w:eastAsia="es-ES"/>
        </w:rPr>
        <w:drawing>
          <wp:inline distT="0" distB="0" distL="0" distR="0" wp14:anchorId="3A0BAA5B" wp14:editId="6C933A8D">
            <wp:extent cx="7112000" cy="327660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7114757" cy="3277870"/>
                    </a:xfrm>
                    <a:prstGeom prst="rect">
                      <a:avLst/>
                    </a:prstGeom>
                  </pic:spPr>
                </pic:pic>
              </a:graphicData>
            </a:graphic>
          </wp:inline>
        </w:drawing>
      </w:r>
    </w:p>
    <w:p w:rsidR="009D023F" w:rsidRDefault="001E6FAE" w:rsidP="009D023F">
      <w:pPr>
        <w:rPr>
          <w:rFonts w:ascii="Times New Roman" w:hAnsi="Times New Roman" w:cs="Times New Roman"/>
          <w:sz w:val="24"/>
          <w:szCs w:val="24"/>
        </w:rPr>
      </w:pPr>
      <w:r>
        <w:rPr>
          <w:rFonts w:ascii="Times New Roman" w:hAnsi="Times New Roman" w:cs="Times New Roman"/>
          <w:sz w:val="24"/>
          <w:szCs w:val="24"/>
        </w:rPr>
        <w:object w:dxaOrig="24266" w:dyaOrig="161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9.75pt;height:418.75pt" o:ole="">
            <v:imagedata r:id="rId116" o:title=""/>
          </v:shape>
          <o:OLEObject Type="Embed" ProgID="Excel.Sheet.12" ShapeID="_x0000_i1025" DrawAspect="Content" ObjectID="_1655285636" r:id="rId117"/>
        </w:object>
      </w:r>
    </w:p>
    <w:p w:rsidR="001E6FAE" w:rsidRDefault="001E6FAE" w:rsidP="001E6FAE">
      <w:pPr>
        <w:spacing w:line="240" w:lineRule="auto"/>
        <w:jc w:val="both"/>
        <w:rPr>
          <w:rFonts w:ascii="Times New Roman" w:hAnsi="Times New Roman" w:cs="Times New Roman"/>
          <w:b/>
          <w:sz w:val="24"/>
          <w:szCs w:val="24"/>
        </w:rPr>
      </w:pPr>
    </w:p>
    <w:p w:rsidR="001E6FAE" w:rsidRDefault="00E3686F" w:rsidP="001E6FA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1E6FAE">
        <w:rPr>
          <w:rFonts w:ascii="Times New Roman" w:hAnsi="Times New Roman" w:cs="Times New Roman"/>
          <w:b/>
          <w:sz w:val="24"/>
          <w:szCs w:val="24"/>
        </w:rPr>
        <w:t>Base de datos y detalle de los cálculos sobre e</w:t>
      </w:r>
      <w:r w:rsidR="001E6FAE" w:rsidRPr="00780DE3">
        <w:rPr>
          <w:rFonts w:ascii="Times New Roman" w:hAnsi="Times New Roman" w:cs="Times New Roman"/>
          <w:b/>
          <w:sz w:val="24"/>
          <w:szCs w:val="24"/>
        </w:rPr>
        <w:t xml:space="preserve">l </w:t>
      </w:r>
      <w:r w:rsidR="001E6FAE">
        <w:rPr>
          <w:rFonts w:ascii="Times New Roman" w:hAnsi="Times New Roman" w:cs="Times New Roman"/>
          <w:b/>
          <w:sz w:val="24"/>
          <w:szCs w:val="24"/>
        </w:rPr>
        <w:t>“</w:t>
      </w:r>
      <w:r w:rsidR="001E6FAE" w:rsidRPr="00780DE3">
        <w:rPr>
          <w:rFonts w:ascii="Times New Roman" w:hAnsi="Times New Roman" w:cs="Times New Roman"/>
          <w:b/>
          <w:sz w:val="24"/>
          <w:szCs w:val="24"/>
        </w:rPr>
        <w:t>precio</w:t>
      </w:r>
      <w:r w:rsidR="001E6FAE">
        <w:rPr>
          <w:rFonts w:ascii="Times New Roman" w:hAnsi="Times New Roman" w:cs="Times New Roman"/>
          <w:b/>
          <w:sz w:val="24"/>
          <w:szCs w:val="24"/>
        </w:rPr>
        <w:t>”</w:t>
      </w:r>
      <w:r w:rsidR="001E6FAE" w:rsidRPr="00780DE3">
        <w:rPr>
          <w:rFonts w:ascii="Times New Roman" w:hAnsi="Times New Roman" w:cs="Times New Roman"/>
          <w:b/>
          <w:sz w:val="24"/>
          <w:szCs w:val="24"/>
        </w:rPr>
        <w:t xml:space="preserve"> de la globalización</w:t>
      </w:r>
      <w:r w:rsidR="001E6FAE">
        <w:rPr>
          <w:rFonts w:ascii="Times New Roman" w:hAnsi="Times New Roman" w:cs="Times New Roman"/>
          <w:b/>
          <w:sz w:val="24"/>
          <w:szCs w:val="24"/>
        </w:rPr>
        <w:t xml:space="preserve"> (al “costo” de los factores)</w:t>
      </w:r>
    </w:p>
    <w:p w:rsidR="001E6FAE" w:rsidRPr="00C655CF" w:rsidRDefault="00C655CF" w:rsidP="001E6FAE">
      <w:pPr>
        <w:spacing w:line="240" w:lineRule="auto"/>
        <w:jc w:val="both"/>
        <w:rPr>
          <w:rFonts w:ascii="Times New Roman" w:hAnsi="Times New Roman" w:cs="Times New Roman"/>
          <w:b/>
          <w:sz w:val="24"/>
          <w:szCs w:val="24"/>
          <w:shd w:val="clear" w:color="auto" w:fill="FFFFFF"/>
        </w:rPr>
      </w:pPr>
      <w:r w:rsidRPr="00797BBF">
        <w:rPr>
          <w:rFonts w:ascii="Times New Roman" w:hAnsi="Times New Roman" w:cs="Times New Roman"/>
          <w:b/>
          <w:sz w:val="24"/>
          <w:szCs w:val="24"/>
          <w:shd w:val="clear" w:color="auto" w:fill="FFFFFF"/>
        </w:rPr>
        <w:t>C</w:t>
      </w:r>
      <w:r>
        <w:rPr>
          <w:rFonts w:ascii="Times New Roman" w:hAnsi="Times New Roman" w:cs="Times New Roman"/>
          <w:b/>
          <w:sz w:val="24"/>
          <w:szCs w:val="24"/>
          <w:shd w:val="clear" w:color="auto" w:fill="FFFFFF"/>
        </w:rPr>
        <w:t>álculo de las “ganancias” (o ganadores) en el proceso de globalización</w:t>
      </w:r>
    </w:p>
    <w:p w:rsidR="001E6FAE" w:rsidRPr="000F77F7" w:rsidRDefault="001E6FAE" w:rsidP="001E6FAE">
      <w:pPr>
        <w:spacing w:line="240" w:lineRule="auto"/>
        <w:jc w:val="both"/>
        <w:rPr>
          <w:rFonts w:ascii="Times New Roman" w:hAnsi="Times New Roman" w:cs="Times New Roman"/>
          <w:b/>
          <w:color w:val="FF0000"/>
          <w:sz w:val="24"/>
          <w:szCs w:val="24"/>
          <w:shd w:val="clear" w:color="auto" w:fill="FFFFFF"/>
        </w:rPr>
      </w:pPr>
      <w:r w:rsidRPr="000F77F7">
        <w:rPr>
          <w:rFonts w:ascii="Times New Roman" w:hAnsi="Times New Roman" w:cs="Times New Roman"/>
          <w:b/>
          <w:color w:val="FF0000"/>
          <w:sz w:val="24"/>
          <w:szCs w:val="24"/>
          <w:shd w:val="clear" w:color="auto" w:fill="FFFFFF"/>
        </w:rPr>
        <w:t xml:space="preserve">(+) Aumento de las exportaciones </w:t>
      </w:r>
      <w:r>
        <w:rPr>
          <w:rFonts w:ascii="Times New Roman" w:hAnsi="Times New Roman" w:cs="Times New Roman"/>
          <w:b/>
          <w:color w:val="FF0000"/>
          <w:sz w:val="24"/>
          <w:szCs w:val="24"/>
          <w:shd w:val="clear" w:color="auto" w:fill="FFFFFF"/>
        </w:rPr>
        <w:t>durante</w:t>
      </w:r>
      <w:r w:rsidRPr="000F77F7">
        <w:rPr>
          <w:rFonts w:ascii="Times New Roman" w:hAnsi="Times New Roman" w:cs="Times New Roman"/>
          <w:b/>
          <w:color w:val="FF0000"/>
          <w:sz w:val="24"/>
          <w:szCs w:val="24"/>
          <w:shd w:val="clear" w:color="auto" w:fill="FFFFFF"/>
        </w:rPr>
        <w:t xml:space="preserve"> el proceso de globalización</w:t>
      </w:r>
    </w:p>
    <w:p w:rsidR="001E6FAE" w:rsidRDefault="001E6FAE" w:rsidP="001E6FAE">
      <w:pPr>
        <w:spacing w:line="240" w:lineRule="auto"/>
        <w:jc w:val="both"/>
        <w:rPr>
          <w:rFonts w:ascii="Times New Roman" w:hAnsi="Times New Roman" w:cs="Times New Roman"/>
          <w:color w:val="FF0000"/>
          <w:sz w:val="24"/>
          <w:szCs w:val="24"/>
          <w:shd w:val="clear" w:color="auto" w:fill="FFFFFF"/>
        </w:rPr>
      </w:pPr>
      <w:r w:rsidRPr="00780DE3">
        <w:rPr>
          <w:rFonts w:ascii="Times New Roman" w:hAnsi="Times New Roman" w:cs="Times New Roman"/>
          <w:b/>
          <w:noProof/>
          <w:sz w:val="24"/>
          <w:szCs w:val="24"/>
          <w:lang w:eastAsia="es-ES"/>
        </w:rPr>
        <w:drawing>
          <wp:inline distT="0" distB="0" distL="0" distR="0" wp14:anchorId="13294287" wp14:editId="30E9F75B">
            <wp:extent cx="7953935" cy="3704664"/>
            <wp:effectExtent l="0" t="0" r="9525"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7958189" cy="3706645"/>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2000, 228,6 miles de millones de dólares; Año 2018, 1.859,9 miles de millones de dólares; Var. 714 % </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2000, 1.179,8 miles de millones de dólares; Año 2018, 2.484,5 miles de millones de dólares; Var. 111 %</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2000, 1.889,4 miles de millones de dólares; Año 2018, 4.717,8 miles de millones de dólares; Var. 150 %</w:t>
      </w:r>
    </w:p>
    <w:p w:rsidR="001E6FAE" w:rsidRPr="000F77F7" w:rsidRDefault="001E6FAE" w:rsidP="001E6FAE">
      <w:pPr>
        <w:spacing w:line="240" w:lineRule="auto"/>
        <w:jc w:val="both"/>
        <w:rPr>
          <w:rFonts w:ascii="Times New Roman" w:hAnsi="Times New Roman" w:cs="Times New Roman"/>
          <w:sz w:val="24"/>
          <w:szCs w:val="24"/>
          <w:shd w:val="clear" w:color="auto" w:fill="FFFFFF"/>
        </w:rPr>
      </w:pPr>
    </w:p>
    <w:p w:rsidR="001E6FAE" w:rsidRDefault="001E6FAE" w:rsidP="001E6FAE">
      <w:pPr>
        <w:spacing w:line="240" w:lineRule="auto"/>
        <w:jc w:val="both"/>
        <w:rPr>
          <w:rFonts w:ascii="Times New Roman" w:hAnsi="Times New Roman" w:cs="Times New Roman"/>
          <w:color w:val="FF0000"/>
          <w:sz w:val="24"/>
          <w:szCs w:val="24"/>
          <w:shd w:val="clear" w:color="auto" w:fill="FFFFFF"/>
        </w:rPr>
      </w:pPr>
    </w:p>
    <w:p w:rsidR="001E6FAE" w:rsidRPr="00F40786" w:rsidRDefault="001E6FAE" w:rsidP="001E6FAE">
      <w:pPr>
        <w:spacing w:line="240" w:lineRule="auto"/>
        <w:jc w:val="both"/>
        <w:rPr>
          <w:rFonts w:ascii="Times New Roman" w:hAnsi="Times New Roman" w:cs="Times New Roman"/>
          <w:b/>
          <w:color w:val="FF0000"/>
          <w:sz w:val="24"/>
          <w:szCs w:val="24"/>
          <w:shd w:val="clear" w:color="auto" w:fill="FFFFFF"/>
        </w:rPr>
      </w:pPr>
      <w:r w:rsidRPr="00F40786">
        <w:rPr>
          <w:rFonts w:ascii="Times New Roman" w:hAnsi="Times New Roman" w:cs="Times New Roman"/>
          <w:b/>
          <w:color w:val="FF0000"/>
          <w:sz w:val="24"/>
          <w:szCs w:val="24"/>
          <w:shd w:val="clear" w:color="auto" w:fill="FFFFFF"/>
        </w:rPr>
        <w:t>(-) Aumento de las importaciones durante el proceso de globalización.</w:t>
      </w:r>
    </w:p>
    <w:p w:rsidR="001E6FAE" w:rsidRDefault="001E6FAE" w:rsidP="001E6FAE">
      <w:pPr>
        <w:spacing w:line="240" w:lineRule="auto"/>
        <w:jc w:val="both"/>
        <w:rPr>
          <w:rFonts w:ascii="Times New Roman" w:hAnsi="Times New Roman" w:cs="Times New Roman"/>
          <w:color w:val="FF0000"/>
          <w:sz w:val="24"/>
          <w:szCs w:val="24"/>
          <w:shd w:val="clear" w:color="auto" w:fill="FFFFFF"/>
        </w:rPr>
      </w:pPr>
      <w:r w:rsidRPr="00780DE3">
        <w:rPr>
          <w:rFonts w:ascii="Times New Roman" w:hAnsi="Times New Roman" w:cs="Times New Roman"/>
          <w:b/>
          <w:noProof/>
          <w:sz w:val="24"/>
          <w:szCs w:val="24"/>
          <w:lang w:eastAsia="es-ES"/>
        </w:rPr>
        <w:drawing>
          <wp:inline distT="0" distB="0" distL="0" distR="0" wp14:anchorId="59B94451" wp14:editId="337EB2FD">
            <wp:extent cx="7832912" cy="1976717"/>
            <wp:effectExtent l="0" t="0" r="0" b="508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7838622" cy="1978158"/>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2000, 405,4 miles de millones de dólares; Año 2018, 2.830,8 miles de millones de dólares; Var. 598 % </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2000, 829,2 miles de millones de dólares; Año 2018, 1.832,3 miles de millones de dólares; Var. 121 %</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2000, 1.829,4 miles de millones de dólares; Año 2018, 4.874,0 miles de millones de dólares; Var. 166 %</w:t>
      </w:r>
    </w:p>
    <w:p w:rsidR="001E6FAE" w:rsidRDefault="001E6FAE" w:rsidP="001E6FAE">
      <w:pPr>
        <w:spacing w:line="240" w:lineRule="auto"/>
        <w:jc w:val="both"/>
        <w:rPr>
          <w:rFonts w:ascii="Times New Roman" w:hAnsi="Times New Roman" w:cs="Times New Roman"/>
          <w:sz w:val="24"/>
          <w:szCs w:val="24"/>
          <w:shd w:val="clear" w:color="auto" w:fill="FFFFFF"/>
        </w:rPr>
      </w:pPr>
    </w:p>
    <w:p w:rsidR="00151BFC" w:rsidRDefault="00151BFC" w:rsidP="001E6FAE">
      <w:pPr>
        <w:spacing w:line="240" w:lineRule="auto"/>
        <w:jc w:val="both"/>
        <w:rPr>
          <w:rFonts w:ascii="Times New Roman" w:hAnsi="Times New Roman" w:cs="Times New Roman"/>
          <w:sz w:val="24"/>
          <w:szCs w:val="24"/>
          <w:shd w:val="clear" w:color="auto" w:fill="FFFFFF"/>
        </w:rPr>
      </w:pPr>
    </w:p>
    <w:p w:rsidR="00151BFC" w:rsidRDefault="00151BFC" w:rsidP="003E12E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Nota: el apartado sobre el aumento de las importaciones durante el proceso de globalización se vuelve a tr</w:t>
      </w:r>
      <w:r w:rsidR="003E12E8">
        <w:rPr>
          <w:rFonts w:ascii="Times New Roman" w:hAnsi="Times New Roman" w:cs="Times New Roman"/>
          <w:sz w:val="24"/>
          <w:szCs w:val="24"/>
          <w:shd w:val="clear" w:color="auto" w:fill="FFFFFF"/>
        </w:rPr>
        <w:t xml:space="preserve">atar más adelante. Ahora solo se lo </w:t>
      </w:r>
      <w:r>
        <w:rPr>
          <w:rFonts w:ascii="Times New Roman" w:hAnsi="Times New Roman" w:cs="Times New Roman"/>
          <w:sz w:val="24"/>
          <w:szCs w:val="24"/>
          <w:shd w:val="clear" w:color="auto" w:fill="FFFFFF"/>
        </w:rPr>
        <w:t>señala par</w:t>
      </w:r>
      <w:r w:rsidR="00642E5A">
        <w:rPr>
          <w:rFonts w:ascii="Times New Roman" w:hAnsi="Times New Roman" w:cs="Times New Roman"/>
          <w:sz w:val="24"/>
          <w:szCs w:val="24"/>
          <w:shd w:val="clear" w:color="auto" w:fill="FFFFFF"/>
        </w:rPr>
        <w:t>a que el lector pueda observar</w:t>
      </w:r>
      <w:r>
        <w:rPr>
          <w:rFonts w:ascii="Times New Roman" w:hAnsi="Times New Roman" w:cs="Times New Roman"/>
          <w:sz w:val="24"/>
          <w:szCs w:val="24"/>
          <w:shd w:val="clear" w:color="auto" w:fill="FFFFFF"/>
        </w:rPr>
        <w:t xml:space="preserve"> los diferenciales de crecimiento</w:t>
      </w:r>
      <w:r w:rsidR="00642E5A">
        <w:rPr>
          <w:rFonts w:ascii="Times New Roman" w:hAnsi="Times New Roman" w:cs="Times New Roman"/>
          <w:sz w:val="24"/>
          <w:szCs w:val="24"/>
          <w:shd w:val="clear" w:color="auto" w:fill="FFFFFF"/>
        </w:rPr>
        <w:t xml:space="preserve"> con respecto a</w:t>
      </w:r>
      <w:r w:rsidR="003E12E8">
        <w:rPr>
          <w:rFonts w:ascii="Times New Roman" w:hAnsi="Times New Roman" w:cs="Times New Roman"/>
          <w:sz w:val="24"/>
          <w:szCs w:val="24"/>
          <w:shd w:val="clear" w:color="auto" w:fill="FFFFFF"/>
        </w:rPr>
        <w:t>l aumento de las exportaciones</w:t>
      </w:r>
    </w:p>
    <w:p w:rsidR="00151BFC" w:rsidRDefault="00151BFC" w:rsidP="001E6FAE">
      <w:pPr>
        <w:spacing w:line="240" w:lineRule="auto"/>
        <w:jc w:val="both"/>
        <w:rPr>
          <w:rFonts w:ascii="Times New Roman" w:hAnsi="Times New Roman" w:cs="Times New Roman"/>
          <w:sz w:val="24"/>
          <w:szCs w:val="24"/>
          <w:shd w:val="clear" w:color="auto" w:fill="FFFFFF"/>
        </w:rPr>
        <w:sectPr w:rsidR="00151BFC" w:rsidSect="001E6FAE">
          <w:pgSz w:w="16838" w:h="11906" w:orient="landscape"/>
          <w:pgMar w:top="1440" w:right="1440" w:bottom="1440" w:left="1440" w:header="709" w:footer="709" w:gutter="0"/>
          <w:cols w:space="708"/>
          <w:docGrid w:linePitch="360"/>
        </w:sectPr>
      </w:pPr>
    </w:p>
    <w:p w:rsidR="001E6FAE" w:rsidRPr="00F40786" w:rsidRDefault="001E6FAE" w:rsidP="001E6FAE">
      <w:pPr>
        <w:spacing w:line="240" w:lineRule="auto"/>
        <w:jc w:val="both"/>
        <w:rPr>
          <w:rFonts w:ascii="Times New Roman" w:hAnsi="Times New Roman" w:cs="Times New Roman"/>
          <w:b/>
          <w:sz w:val="24"/>
          <w:szCs w:val="24"/>
          <w:lang w:val="en-US"/>
        </w:rPr>
      </w:pPr>
      <w:r w:rsidRPr="00105A2A">
        <w:rPr>
          <w:rFonts w:ascii="Times New Roman" w:eastAsia="Times New Roman" w:hAnsi="Times New Roman" w:cs="Times New Roman"/>
          <w:b/>
          <w:bCs/>
          <w:color w:val="111111"/>
          <w:kern w:val="36"/>
          <w:sz w:val="24"/>
          <w:szCs w:val="24"/>
          <w:lang w:val="en-US" w:eastAsia="es-ES"/>
        </w:rPr>
        <w:lastRenderedPageBreak/>
        <w:t>Global value chains and trade</w:t>
      </w:r>
      <w:r>
        <w:rPr>
          <w:rFonts w:ascii="Times New Roman" w:eastAsia="Times New Roman" w:hAnsi="Times New Roman" w:cs="Times New Roman"/>
          <w:b/>
          <w:bCs/>
          <w:color w:val="111111"/>
          <w:kern w:val="36"/>
          <w:sz w:val="24"/>
          <w:szCs w:val="24"/>
          <w:lang w:val="en-US" w:eastAsia="es-ES"/>
        </w:rPr>
        <w:t xml:space="preserve"> (</w:t>
      </w:r>
      <w:r w:rsidRPr="00F40786">
        <w:rPr>
          <w:rFonts w:ascii="Times New Roman" w:hAnsi="Times New Roman" w:cs="Times New Roman"/>
          <w:b/>
          <w:sz w:val="24"/>
          <w:szCs w:val="24"/>
          <w:lang w:val="en-US"/>
        </w:rPr>
        <w:t>OECD Economic Surveys: China 2019</w:t>
      </w:r>
      <w:r>
        <w:rPr>
          <w:rFonts w:ascii="Times New Roman" w:hAnsi="Times New Roman" w:cs="Times New Roman"/>
          <w:b/>
          <w:sz w:val="24"/>
          <w:szCs w:val="24"/>
          <w:lang w:val="en-US"/>
        </w:rPr>
        <w:t>)</w:t>
      </w:r>
    </w:p>
    <w:p w:rsidR="001E6FAE" w:rsidRDefault="001E6FAE" w:rsidP="001E6FAE">
      <w:pPr>
        <w:shd w:val="clear" w:color="auto" w:fill="FFFFFF"/>
        <w:spacing w:after="0" w:line="240" w:lineRule="auto"/>
        <w:jc w:val="both"/>
        <w:outlineLvl w:val="0"/>
        <w:rPr>
          <w:rFonts w:ascii="Times New Roman" w:eastAsia="Times New Roman" w:hAnsi="Times New Roman" w:cs="Times New Roman"/>
          <w:bCs/>
          <w:color w:val="111111"/>
          <w:kern w:val="36"/>
          <w:sz w:val="24"/>
          <w:szCs w:val="24"/>
          <w:lang w:val="en-US" w:eastAsia="es-ES"/>
        </w:rPr>
      </w:pPr>
    </w:p>
    <w:p w:rsidR="001E6FAE" w:rsidRDefault="001E6FAE" w:rsidP="001E6FAE">
      <w:pPr>
        <w:shd w:val="clear" w:color="auto" w:fill="FFFFFF"/>
        <w:spacing w:after="0" w:line="240" w:lineRule="auto"/>
        <w:jc w:val="both"/>
        <w:outlineLvl w:val="0"/>
        <w:rPr>
          <w:rFonts w:ascii="Times New Roman" w:eastAsia="Times New Roman" w:hAnsi="Times New Roman" w:cs="Times New Roman"/>
          <w:bCs/>
          <w:color w:val="111111"/>
          <w:kern w:val="36"/>
          <w:sz w:val="24"/>
          <w:szCs w:val="24"/>
          <w:lang w:val="en-US" w:eastAsia="es-ES"/>
        </w:rPr>
      </w:pPr>
      <w:r w:rsidRPr="00105A2A">
        <w:rPr>
          <w:rFonts w:ascii="Times New Roman" w:eastAsia="Times New Roman" w:hAnsi="Times New Roman" w:cs="Times New Roman"/>
          <w:bCs/>
          <w:color w:val="111111"/>
          <w:kern w:val="36"/>
          <w:sz w:val="24"/>
          <w:szCs w:val="24"/>
          <w:lang w:val="en-US" w:eastAsia="es-ES"/>
        </w:rPr>
        <w:t>The trade policy implications of global value chains</w:t>
      </w:r>
    </w:p>
    <w:p w:rsidR="001E6FAE" w:rsidRPr="00105A2A" w:rsidRDefault="001E6FAE" w:rsidP="001E6FAE">
      <w:pPr>
        <w:shd w:val="clear" w:color="auto" w:fill="FFFFFF"/>
        <w:spacing w:after="0" w:line="240" w:lineRule="auto"/>
        <w:jc w:val="both"/>
        <w:outlineLvl w:val="0"/>
        <w:rPr>
          <w:rFonts w:ascii="Times New Roman" w:eastAsia="Times New Roman" w:hAnsi="Times New Roman" w:cs="Times New Roman"/>
          <w:bCs/>
          <w:color w:val="111111"/>
          <w:kern w:val="36"/>
          <w:sz w:val="24"/>
          <w:szCs w:val="24"/>
          <w:lang w:val="en-US" w:eastAsia="es-ES"/>
        </w:rPr>
      </w:pPr>
    </w:p>
    <w:p w:rsidR="001E6FAE" w:rsidRPr="00F40786" w:rsidRDefault="001E6FAE" w:rsidP="001E6FAE">
      <w:pPr>
        <w:shd w:val="clear" w:color="auto" w:fill="FFFFFF"/>
        <w:spacing w:after="360" w:line="240" w:lineRule="auto"/>
        <w:jc w:val="both"/>
        <w:rPr>
          <w:rFonts w:ascii="Times New Roman" w:eastAsia="Times New Roman" w:hAnsi="Times New Roman" w:cs="Times New Roman"/>
          <w:color w:val="FF0000"/>
          <w:sz w:val="24"/>
          <w:szCs w:val="24"/>
          <w:u w:val="single"/>
          <w:lang w:val="en-US" w:eastAsia="es-ES"/>
        </w:rPr>
      </w:pPr>
      <w:r w:rsidRPr="00F40786">
        <w:rPr>
          <w:rFonts w:ascii="Times New Roman" w:eastAsia="Times New Roman" w:hAnsi="Times New Roman" w:cs="Times New Roman"/>
          <w:color w:val="FF0000"/>
          <w:sz w:val="24"/>
          <w:szCs w:val="24"/>
          <w:u w:val="single"/>
          <w:lang w:val="en-US" w:eastAsia="es-ES"/>
        </w:rPr>
        <w:t>The traditional view of international trade is that each country produces goods and offers services that are exported as final products to consumers abroad. However, in today’s global economy, this type of trade only represents around 30% of all trade in goods and services.</w:t>
      </w:r>
    </w:p>
    <w:p w:rsidR="001E6FAE" w:rsidRPr="00F40786" w:rsidRDefault="001E6FAE" w:rsidP="001E6FAE">
      <w:pPr>
        <w:shd w:val="clear" w:color="auto" w:fill="FFFFFF"/>
        <w:spacing w:after="360" w:line="240" w:lineRule="auto"/>
        <w:jc w:val="both"/>
        <w:rPr>
          <w:rFonts w:ascii="Times New Roman" w:eastAsia="Times New Roman" w:hAnsi="Times New Roman" w:cs="Times New Roman"/>
          <w:color w:val="FF0000"/>
          <w:sz w:val="24"/>
          <w:szCs w:val="24"/>
          <w:u w:val="single"/>
          <w:lang w:val="en-US" w:eastAsia="es-ES"/>
        </w:rPr>
      </w:pPr>
      <w:r w:rsidRPr="00F40786">
        <w:rPr>
          <w:rFonts w:ascii="Times New Roman" w:eastAsia="Times New Roman" w:hAnsi="Times New Roman" w:cs="Times New Roman"/>
          <w:color w:val="FF0000"/>
          <w:sz w:val="24"/>
          <w:szCs w:val="24"/>
          <w:u w:val="single"/>
          <w:lang w:val="en-US" w:eastAsia="es-ES"/>
        </w:rPr>
        <w:t>In reality, about 70% of international trade today involves global value chains (GVCs), as services, raw materials, parts</w:t>
      </w:r>
      <w:r>
        <w:rPr>
          <w:rFonts w:ascii="Times New Roman" w:eastAsia="Times New Roman" w:hAnsi="Times New Roman" w:cs="Times New Roman"/>
          <w:color w:val="FF0000"/>
          <w:sz w:val="24"/>
          <w:szCs w:val="24"/>
          <w:u w:val="single"/>
          <w:lang w:val="en-US" w:eastAsia="es-ES"/>
        </w:rPr>
        <w:t>, and components cross borders -</w:t>
      </w:r>
      <w:r w:rsidRPr="00F40786">
        <w:rPr>
          <w:rFonts w:ascii="Times New Roman" w:eastAsia="Times New Roman" w:hAnsi="Times New Roman" w:cs="Times New Roman"/>
          <w:color w:val="FF0000"/>
          <w:sz w:val="24"/>
          <w:szCs w:val="24"/>
          <w:u w:val="single"/>
          <w:lang w:val="en-US" w:eastAsia="es-ES"/>
        </w:rPr>
        <w:t xml:space="preserve"> often numerous times. Once incorporated into final products they are shipped to consumers all over the world.</w:t>
      </w:r>
    </w:p>
    <w:p w:rsidR="001E6FAE" w:rsidRPr="00105A2A" w:rsidRDefault="001E6FAE" w:rsidP="001E6FAE">
      <w:pPr>
        <w:shd w:val="clear" w:color="auto" w:fill="FFFFFF"/>
        <w:spacing w:after="360" w:line="240" w:lineRule="auto"/>
        <w:jc w:val="both"/>
        <w:rPr>
          <w:rFonts w:ascii="Times New Roman" w:eastAsia="Times New Roman" w:hAnsi="Times New Roman" w:cs="Times New Roman"/>
          <w:color w:val="000000"/>
          <w:sz w:val="24"/>
          <w:szCs w:val="24"/>
          <w:lang w:val="en-US" w:eastAsia="es-ES"/>
        </w:rPr>
      </w:pPr>
      <w:r w:rsidRPr="00105A2A">
        <w:rPr>
          <w:rFonts w:ascii="Times New Roman" w:eastAsia="Times New Roman" w:hAnsi="Times New Roman" w:cs="Times New Roman"/>
          <w:color w:val="000000"/>
          <w:sz w:val="24"/>
          <w:szCs w:val="24"/>
          <w:lang w:val="en-US" w:eastAsia="es-ES"/>
        </w:rPr>
        <w:t>Exports from one country to another often involve complex interactions among a variety of domestic and foreign suppliers. Even more than before, trade is determined by strategic decisions of firms to outsource, invest, and carry out activities wherever the necessary skills and materials are available at competitive cost and quality.</w:t>
      </w:r>
    </w:p>
    <w:p w:rsidR="001E6FAE" w:rsidRPr="00105A2A" w:rsidRDefault="001E6FAE" w:rsidP="001E6FAE">
      <w:pPr>
        <w:shd w:val="clear" w:color="auto" w:fill="FFFFFF"/>
        <w:spacing w:after="360" w:line="240" w:lineRule="auto"/>
        <w:jc w:val="both"/>
        <w:rPr>
          <w:rFonts w:ascii="Times New Roman" w:eastAsia="Times New Roman" w:hAnsi="Times New Roman" w:cs="Times New Roman"/>
          <w:color w:val="000000"/>
          <w:sz w:val="24"/>
          <w:szCs w:val="24"/>
          <w:lang w:val="en-US" w:eastAsia="es-ES"/>
        </w:rPr>
      </w:pPr>
      <w:r w:rsidRPr="00105A2A">
        <w:rPr>
          <w:rFonts w:ascii="Times New Roman" w:eastAsia="Times New Roman" w:hAnsi="Times New Roman" w:cs="Times New Roman"/>
          <w:color w:val="000000"/>
          <w:sz w:val="24"/>
          <w:szCs w:val="24"/>
          <w:lang w:val="en-US" w:eastAsia="es-ES"/>
        </w:rPr>
        <w:t>For example, a smart phone assembled in China might include graphic design elements from the United States, computer code from France, silicone chips from Singapore, and precious metals from Bolivia. Throughout this process, all countries involved retain some value and benefit from the export of the final product. But much of this value added throughout the international supply chain is invisible in traditional trade statistics, which attribute the full value of a good or service to the last country in the chain that finalised production.</w:t>
      </w:r>
    </w:p>
    <w:p w:rsidR="001E6FAE" w:rsidRPr="00105A2A" w:rsidRDefault="001E6FAE" w:rsidP="001E6FAE">
      <w:pPr>
        <w:shd w:val="clear" w:color="auto" w:fill="FFFFFF"/>
        <w:spacing w:before="150" w:after="300" w:line="240" w:lineRule="auto"/>
        <w:jc w:val="both"/>
        <w:outlineLvl w:val="3"/>
        <w:rPr>
          <w:rFonts w:ascii="Times New Roman" w:eastAsia="Times New Roman" w:hAnsi="Times New Roman" w:cs="Times New Roman"/>
          <w:color w:val="111111"/>
          <w:sz w:val="24"/>
          <w:szCs w:val="24"/>
          <w:lang w:val="en-US" w:eastAsia="es-ES"/>
        </w:rPr>
      </w:pPr>
      <w:r w:rsidRPr="00B871EB">
        <w:rPr>
          <w:rFonts w:ascii="Times New Roman" w:eastAsia="Times New Roman" w:hAnsi="Times New Roman" w:cs="Times New Roman"/>
          <w:bCs/>
          <w:color w:val="111111"/>
          <w:sz w:val="24"/>
          <w:szCs w:val="24"/>
          <w:lang w:val="en-US" w:eastAsia="es-ES"/>
        </w:rPr>
        <w:t>Better measurement leads to better policies</w:t>
      </w:r>
    </w:p>
    <w:p w:rsidR="001E6FAE" w:rsidRPr="00105A2A" w:rsidRDefault="001E6FAE" w:rsidP="001E6FAE">
      <w:pPr>
        <w:shd w:val="clear" w:color="auto" w:fill="FFFFFF"/>
        <w:spacing w:after="360" w:line="240" w:lineRule="auto"/>
        <w:jc w:val="both"/>
        <w:rPr>
          <w:rFonts w:ascii="Times New Roman" w:eastAsia="Times New Roman" w:hAnsi="Times New Roman" w:cs="Times New Roman"/>
          <w:color w:val="000000"/>
          <w:sz w:val="24"/>
          <w:szCs w:val="24"/>
          <w:lang w:val="en-US" w:eastAsia="es-ES"/>
        </w:rPr>
      </w:pPr>
      <w:r w:rsidRPr="00105A2A">
        <w:rPr>
          <w:rFonts w:ascii="Times New Roman" w:eastAsia="Times New Roman" w:hAnsi="Times New Roman" w:cs="Times New Roman"/>
          <w:color w:val="000000"/>
          <w:sz w:val="24"/>
          <w:szCs w:val="24"/>
          <w:lang w:val="en-US" w:eastAsia="es-ES"/>
        </w:rPr>
        <w:t>To begin providing the evidence needed to respond to policy questions raised by the growing importance of GVCs for trade and investment, the OECD launched an initiative to measure trade in value added (TiVA) terms to provide a more accurate view of the underlying economic importance of trade.</w:t>
      </w:r>
    </w:p>
    <w:p w:rsidR="001E6FAE" w:rsidRPr="00F40786" w:rsidRDefault="001E6FAE" w:rsidP="001E6FAE">
      <w:pPr>
        <w:shd w:val="clear" w:color="auto" w:fill="FFFFFF"/>
        <w:spacing w:after="360" w:line="240" w:lineRule="auto"/>
        <w:jc w:val="both"/>
        <w:rPr>
          <w:rFonts w:ascii="Times New Roman" w:eastAsia="Times New Roman" w:hAnsi="Times New Roman" w:cs="Times New Roman"/>
          <w:sz w:val="24"/>
          <w:szCs w:val="24"/>
          <w:lang w:val="en-US" w:eastAsia="es-ES"/>
        </w:rPr>
      </w:pPr>
      <w:r w:rsidRPr="00105A2A">
        <w:rPr>
          <w:rFonts w:ascii="Times New Roman" w:eastAsia="Times New Roman" w:hAnsi="Times New Roman" w:cs="Times New Roman"/>
          <w:color w:val="000000"/>
          <w:sz w:val="24"/>
          <w:szCs w:val="24"/>
          <w:lang w:val="en-US" w:eastAsia="es-ES"/>
        </w:rPr>
        <w:t>With TiVA, we are able to better identify where value is added along the supply chain, to estimate where income and jobs are created, and to provide a new perspective on bilateral trade imbalances. This is a critical undertaking to </w:t>
      </w:r>
      <w:hyperlink r:id="rId120" w:history="1">
        <w:r w:rsidRPr="00F40786">
          <w:rPr>
            <w:rFonts w:ascii="Times New Roman" w:eastAsia="Times New Roman" w:hAnsi="Times New Roman" w:cs="Times New Roman"/>
            <w:sz w:val="24"/>
            <w:szCs w:val="24"/>
            <w:bdr w:val="none" w:sz="0" w:space="0" w:color="auto" w:frame="1"/>
            <w:lang w:val="en-US" w:eastAsia="es-ES"/>
          </w:rPr>
          <w:t>establish a better understanding of the links between trade and jobs</w:t>
        </w:r>
      </w:hyperlink>
      <w:r w:rsidRPr="00F40786">
        <w:rPr>
          <w:rFonts w:ascii="Times New Roman" w:eastAsia="Times New Roman" w:hAnsi="Times New Roman" w:cs="Times New Roman"/>
          <w:sz w:val="24"/>
          <w:szCs w:val="24"/>
          <w:lang w:val="en-US" w:eastAsia="es-ES"/>
        </w:rPr>
        <w:t>.</w:t>
      </w:r>
    </w:p>
    <w:p w:rsidR="001E6FAE" w:rsidRPr="00105A2A" w:rsidRDefault="001E6FAE" w:rsidP="001E6FAE">
      <w:pPr>
        <w:shd w:val="clear" w:color="auto" w:fill="FFFFFF"/>
        <w:spacing w:after="360" w:line="240" w:lineRule="auto"/>
        <w:jc w:val="both"/>
        <w:rPr>
          <w:rFonts w:ascii="Times New Roman" w:eastAsia="Times New Roman" w:hAnsi="Times New Roman" w:cs="Times New Roman"/>
          <w:color w:val="000000"/>
          <w:sz w:val="24"/>
          <w:szCs w:val="24"/>
          <w:lang w:val="en-US" w:eastAsia="es-ES"/>
        </w:rPr>
      </w:pPr>
      <w:r w:rsidRPr="00105A2A">
        <w:rPr>
          <w:rFonts w:ascii="Times New Roman" w:eastAsia="Times New Roman" w:hAnsi="Times New Roman" w:cs="Times New Roman"/>
          <w:color w:val="000000"/>
          <w:sz w:val="24"/>
          <w:szCs w:val="24"/>
          <w:lang w:val="en-US" w:eastAsia="es-ES"/>
        </w:rPr>
        <w:t>In a world of GVCs, trade policy cannot solely focus on impediments to trade with direct trade partners. The whole value chain and bottlenecks upstream and downstream among third countries have to be considered in order to boost exports and improve economic performance.</w:t>
      </w:r>
    </w:p>
    <w:p w:rsidR="001E6FAE" w:rsidRPr="00105A2A" w:rsidRDefault="001E6FAE" w:rsidP="001E6FAE">
      <w:pPr>
        <w:shd w:val="clear" w:color="auto" w:fill="FFFFFF"/>
        <w:spacing w:after="360" w:line="240" w:lineRule="auto"/>
        <w:jc w:val="both"/>
        <w:rPr>
          <w:rFonts w:ascii="Times New Roman" w:eastAsia="Times New Roman" w:hAnsi="Times New Roman" w:cs="Times New Roman"/>
          <w:color w:val="000000"/>
          <w:sz w:val="24"/>
          <w:szCs w:val="24"/>
          <w:lang w:val="en-US" w:eastAsia="es-ES"/>
        </w:rPr>
      </w:pPr>
      <w:r w:rsidRPr="00105A2A">
        <w:rPr>
          <w:rFonts w:ascii="Times New Roman" w:eastAsia="Times New Roman" w:hAnsi="Times New Roman" w:cs="Times New Roman"/>
          <w:color w:val="000000"/>
          <w:sz w:val="24"/>
          <w:szCs w:val="24"/>
          <w:lang w:val="en-US" w:eastAsia="es-ES"/>
        </w:rPr>
        <w:t>Critically, as the competitiveness of a country’s exports can depend on imported inputs (inputs which can also include their own previous exports)</w:t>
      </w:r>
      <w:r w:rsidR="00C93CC1" w:rsidRPr="00105A2A">
        <w:rPr>
          <w:rFonts w:ascii="Times New Roman" w:eastAsia="Times New Roman" w:hAnsi="Times New Roman" w:cs="Times New Roman"/>
          <w:color w:val="000000"/>
          <w:sz w:val="24"/>
          <w:szCs w:val="24"/>
          <w:lang w:val="en-US" w:eastAsia="es-ES"/>
        </w:rPr>
        <w:t>;</w:t>
      </w:r>
      <w:r w:rsidRPr="00105A2A">
        <w:rPr>
          <w:rFonts w:ascii="Times New Roman" w:eastAsia="Times New Roman" w:hAnsi="Times New Roman" w:cs="Times New Roman"/>
          <w:color w:val="000000"/>
          <w:sz w:val="24"/>
          <w:szCs w:val="24"/>
          <w:lang w:val="en-US" w:eastAsia="es-ES"/>
        </w:rPr>
        <w:t xml:space="preserve"> countries also need to address their own barriers to trade if they are to reap the benefits of participating in GVC trade.</w:t>
      </w:r>
    </w:p>
    <w:p w:rsidR="001E6FAE" w:rsidRDefault="001E6FAE" w:rsidP="001E6FAE">
      <w:pPr>
        <w:shd w:val="clear" w:color="auto" w:fill="FFFFFF"/>
        <w:spacing w:before="150" w:after="300" w:line="240" w:lineRule="auto"/>
        <w:jc w:val="both"/>
        <w:outlineLvl w:val="3"/>
        <w:rPr>
          <w:rFonts w:ascii="Times New Roman" w:eastAsia="Times New Roman" w:hAnsi="Times New Roman" w:cs="Times New Roman"/>
          <w:bCs/>
          <w:color w:val="111111"/>
          <w:sz w:val="24"/>
          <w:szCs w:val="24"/>
          <w:lang w:val="en-US" w:eastAsia="es-ES"/>
        </w:rPr>
      </w:pPr>
    </w:p>
    <w:p w:rsidR="001E6FAE" w:rsidRDefault="001E6FAE" w:rsidP="001E6FAE">
      <w:pPr>
        <w:shd w:val="clear" w:color="auto" w:fill="FFFFFF"/>
        <w:spacing w:before="150" w:after="300" w:line="240" w:lineRule="auto"/>
        <w:jc w:val="both"/>
        <w:outlineLvl w:val="3"/>
        <w:rPr>
          <w:rFonts w:ascii="Times New Roman" w:eastAsia="Times New Roman" w:hAnsi="Times New Roman" w:cs="Times New Roman"/>
          <w:bCs/>
          <w:color w:val="111111"/>
          <w:sz w:val="24"/>
          <w:szCs w:val="24"/>
          <w:lang w:val="en-US" w:eastAsia="es-ES"/>
        </w:rPr>
      </w:pPr>
    </w:p>
    <w:p w:rsidR="001E6FAE" w:rsidRPr="00105A2A" w:rsidRDefault="001E6FAE" w:rsidP="001E6FAE">
      <w:pPr>
        <w:shd w:val="clear" w:color="auto" w:fill="FFFFFF"/>
        <w:spacing w:before="150" w:after="300" w:line="240" w:lineRule="auto"/>
        <w:jc w:val="both"/>
        <w:outlineLvl w:val="3"/>
        <w:rPr>
          <w:rFonts w:ascii="Times New Roman" w:eastAsia="Times New Roman" w:hAnsi="Times New Roman" w:cs="Times New Roman"/>
          <w:color w:val="111111"/>
          <w:sz w:val="24"/>
          <w:szCs w:val="24"/>
          <w:lang w:val="en-US" w:eastAsia="es-ES"/>
        </w:rPr>
      </w:pPr>
      <w:r w:rsidRPr="00B871EB">
        <w:rPr>
          <w:rFonts w:ascii="Times New Roman" w:eastAsia="Times New Roman" w:hAnsi="Times New Roman" w:cs="Times New Roman"/>
          <w:bCs/>
          <w:color w:val="111111"/>
          <w:sz w:val="24"/>
          <w:szCs w:val="24"/>
          <w:lang w:val="en-US" w:eastAsia="es-ES"/>
        </w:rPr>
        <w:lastRenderedPageBreak/>
        <w:t>Countries at all levels of development can benefit from engaging in global value chains</w:t>
      </w:r>
    </w:p>
    <w:p w:rsidR="001E6FAE" w:rsidRPr="00105A2A" w:rsidRDefault="001E6FAE" w:rsidP="001E6FAE">
      <w:pPr>
        <w:shd w:val="clear" w:color="auto" w:fill="FFFFFF"/>
        <w:spacing w:after="360" w:line="240" w:lineRule="auto"/>
        <w:jc w:val="both"/>
        <w:rPr>
          <w:rFonts w:ascii="Times New Roman" w:eastAsia="Times New Roman" w:hAnsi="Times New Roman" w:cs="Times New Roman"/>
          <w:color w:val="000000"/>
          <w:sz w:val="24"/>
          <w:szCs w:val="24"/>
          <w:lang w:val="en-US" w:eastAsia="es-ES"/>
        </w:rPr>
      </w:pPr>
      <w:r w:rsidRPr="00105A2A">
        <w:rPr>
          <w:rFonts w:ascii="Times New Roman" w:eastAsia="Times New Roman" w:hAnsi="Times New Roman" w:cs="Times New Roman"/>
          <w:color w:val="000000"/>
          <w:sz w:val="24"/>
          <w:szCs w:val="24"/>
          <w:lang w:val="en-US" w:eastAsia="es-ES"/>
        </w:rPr>
        <w:t>For developing countries seeking to enter or engage in GVCs, there can be pressure to move up the value chain into higher value-adding activities. But the gains from participating in GVCs can come from any stage of the value chain: what matters is doing more of what you’re good at. That is, countries that become efficient at the assembly or production stage can generate greater total value from becoming a globally competitive supplier of these activities, than they can by carrying out higher value-adding activities in which they are less competitive. Ultimately, what actually matters is the total value that the economic activities within the value chain can generate.</w:t>
      </w:r>
    </w:p>
    <w:p w:rsidR="001E6FAE" w:rsidRPr="00105A2A" w:rsidRDefault="001E6FAE" w:rsidP="001E6FAE">
      <w:pPr>
        <w:shd w:val="clear" w:color="auto" w:fill="FFFFFF"/>
        <w:spacing w:after="360" w:line="240" w:lineRule="auto"/>
        <w:jc w:val="both"/>
        <w:rPr>
          <w:rFonts w:ascii="Times New Roman" w:eastAsia="Times New Roman" w:hAnsi="Times New Roman" w:cs="Times New Roman"/>
          <w:color w:val="000000"/>
          <w:sz w:val="24"/>
          <w:szCs w:val="24"/>
          <w:lang w:val="en-US" w:eastAsia="es-ES"/>
        </w:rPr>
      </w:pPr>
      <w:r w:rsidRPr="00105A2A">
        <w:rPr>
          <w:rFonts w:ascii="Times New Roman" w:eastAsia="Times New Roman" w:hAnsi="Times New Roman" w:cs="Times New Roman"/>
          <w:color w:val="000000"/>
          <w:sz w:val="24"/>
          <w:szCs w:val="24"/>
          <w:lang w:val="en-US" w:eastAsia="es-ES"/>
        </w:rPr>
        <w:t>From a policy perspective then, the focus should be on the total value that firms are generating and not the share value-added that is being performed domestically. In Viet Nam, for example, the share of domestic value added in exports fell from 64% to 53% between 2005 and 2016, but at the same time, the total domestic value-added exported was multiplied by 4. So Viet Nam gained more and exported more overall.</w:t>
      </w:r>
    </w:p>
    <w:p w:rsidR="001E6FAE" w:rsidRPr="00D062A9" w:rsidRDefault="001E6FAE" w:rsidP="001E6FAE">
      <w:pPr>
        <w:shd w:val="clear" w:color="auto" w:fill="FFFFFF"/>
        <w:spacing w:before="150" w:after="300" w:line="240" w:lineRule="auto"/>
        <w:jc w:val="both"/>
        <w:outlineLvl w:val="3"/>
        <w:rPr>
          <w:rFonts w:ascii="Times New Roman" w:eastAsia="Times New Roman" w:hAnsi="Times New Roman" w:cs="Times New Roman"/>
          <w:color w:val="111111"/>
          <w:sz w:val="24"/>
          <w:szCs w:val="24"/>
          <w:u w:val="single"/>
          <w:lang w:val="en-US" w:eastAsia="es-ES"/>
        </w:rPr>
      </w:pPr>
      <w:r w:rsidRPr="00D062A9">
        <w:rPr>
          <w:rFonts w:ascii="Times New Roman" w:eastAsia="Times New Roman" w:hAnsi="Times New Roman" w:cs="Times New Roman"/>
          <w:bCs/>
          <w:color w:val="111111"/>
          <w:sz w:val="24"/>
          <w:szCs w:val="24"/>
          <w:u w:val="single"/>
          <w:lang w:val="en-US" w:eastAsia="es-ES"/>
        </w:rPr>
        <w:t>Trade-related policy insights from TiVA in a global value chain world</w:t>
      </w:r>
    </w:p>
    <w:p w:rsidR="001E6FAE" w:rsidRPr="00D062A9" w:rsidRDefault="001E6FAE" w:rsidP="001E6FAE">
      <w:pPr>
        <w:shd w:val="clear" w:color="auto" w:fill="FFFFFF"/>
        <w:spacing w:after="360" w:line="240" w:lineRule="auto"/>
        <w:jc w:val="both"/>
        <w:rPr>
          <w:rFonts w:ascii="Times New Roman" w:eastAsia="Times New Roman" w:hAnsi="Times New Roman" w:cs="Times New Roman"/>
          <w:color w:val="000000"/>
          <w:sz w:val="24"/>
          <w:szCs w:val="24"/>
          <w:u w:val="single"/>
          <w:lang w:val="en-US" w:eastAsia="es-ES"/>
        </w:rPr>
      </w:pPr>
      <w:r w:rsidRPr="00D062A9">
        <w:rPr>
          <w:rFonts w:ascii="Times New Roman" w:eastAsia="Times New Roman" w:hAnsi="Times New Roman" w:cs="Times New Roman"/>
          <w:color w:val="000000"/>
          <w:sz w:val="24"/>
          <w:szCs w:val="24"/>
          <w:u w:val="single"/>
          <w:lang w:val="en-US" w:eastAsia="es-ES"/>
        </w:rPr>
        <w:t>The emergence and persistence of GVCs challenges the conventional wisdom of how we develop trade policy. Success in international markets today depends as much on the capacity to import world class inputs as it does on the capacity to export. TiVA data reveals the way that GVCs magnify the costs of tariff protection, since tariffs are cumulative when intermediate inputs are traded across borders multiple times.</w:t>
      </w:r>
    </w:p>
    <w:p w:rsidR="001E6FAE" w:rsidRPr="00F40786" w:rsidRDefault="001E6FAE" w:rsidP="001E6FAE">
      <w:pPr>
        <w:shd w:val="clear" w:color="auto" w:fill="FFFFFF"/>
        <w:spacing w:after="360" w:line="240" w:lineRule="auto"/>
        <w:jc w:val="both"/>
        <w:rPr>
          <w:rFonts w:ascii="Times New Roman" w:eastAsia="Times New Roman" w:hAnsi="Times New Roman" w:cs="Times New Roman"/>
          <w:sz w:val="24"/>
          <w:szCs w:val="24"/>
          <w:u w:val="single"/>
          <w:lang w:val="en-US" w:eastAsia="es-ES"/>
        </w:rPr>
      </w:pPr>
      <w:r w:rsidRPr="00D062A9">
        <w:rPr>
          <w:rFonts w:ascii="Times New Roman" w:eastAsia="Times New Roman" w:hAnsi="Times New Roman" w:cs="Times New Roman"/>
          <w:color w:val="000000"/>
          <w:sz w:val="24"/>
          <w:szCs w:val="24"/>
          <w:u w:val="single"/>
          <w:lang w:val="en-US" w:eastAsia="es-ES"/>
        </w:rPr>
        <w:t>The evidence also points therefore to the need to pursue </w:t>
      </w:r>
      <w:hyperlink r:id="rId121" w:history="1">
        <w:r w:rsidRPr="00F40786">
          <w:rPr>
            <w:rFonts w:ascii="Times New Roman" w:eastAsia="Times New Roman" w:hAnsi="Times New Roman" w:cs="Times New Roman"/>
            <w:sz w:val="24"/>
            <w:szCs w:val="24"/>
            <w:u w:val="single"/>
            <w:bdr w:val="none" w:sz="0" w:space="0" w:color="auto" w:frame="1"/>
            <w:lang w:val="en-US" w:eastAsia="es-ES"/>
          </w:rPr>
          <w:t>trade-facilitating measures</w:t>
        </w:r>
      </w:hyperlink>
      <w:r w:rsidRPr="00F40786">
        <w:rPr>
          <w:rFonts w:ascii="Times New Roman" w:eastAsia="Times New Roman" w:hAnsi="Times New Roman" w:cs="Times New Roman"/>
          <w:sz w:val="24"/>
          <w:szCs w:val="24"/>
          <w:u w:val="single"/>
          <w:lang w:val="en-US" w:eastAsia="es-ES"/>
        </w:rPr>
        <w:t>, such as the convergence or interoperability of standards and certification requirements, as a way to reduce border bottlenecks and facilitate supply chains.</w:t>
      </w:r>
    </w:p>
    <w:p w:rsidR="001E6FAE" w:rsidRPr="00F40786" w:rsidRDefault="001E6FAE" w:rsidP="001E6FAE">
      <w:pPr>
        <w:shd w:val="clear" w:color="auto" w:fill="FFFFFF"/>
        <w:spacing w:after="360" w:line="240" w:lineRule="auto"/>
        <w:jc w:val="both"/>
        <w:rPr>
          <w:rFonts w:ascii="Times New Roman" w:eastAsia="Times New Roman" w:hAnsi="Times New Roman" w:cs="Times New Roman"/>
          <w:sz w:val="24"/>
          <w:szCs w:val="24"/>
          <w:u w:val="single"/>
          <w:lang w:val="en-US" w:eastAsia="es-ES"/>
        </w:rPr>
      </w:pPr>
      <w:r w:rsidRPr="00F40786">
        <w:rPr>
          <w:rFonts w:ascii="Times New Roman" w:eastAsia="Times New Roman" w:hAnsi="Times New Roman" w:cs="Times New Roman"/>
          <w:sz w:val="24"/>
          <w:szCs w:val="24"/>
          <w:u w:val="single"/>
          <w:lang w:val="en-US" w:eastAsia="es-ES"/>
        </w:rPr>
        <w:t>You can learn more about the OECD’s work on global value chains and </w:t>
      </w:r>
      <w:hyperlink r:id="rId122" w:history="1">
        <w:r w:rsidRPr="00F40786">
          <w:rPr>
            <w:rFonts w:ascii="Times New Roman" w:eastAsia="Times New Roman" w:hAnsi="Times New Roman" w:cs="Times New Roman"/>
            <w:sz w:val="24"/>
            <w:szCs w:val="24"/>
            <w:u w:val="single"/>
            <w:bdr w:val="none" w:sz="0" w:space="0" w:color="auto" w:frame="1"/>
            <w:lang w:val="en-US" w:eastAsia="es-ES"/>
          </w:rPr>
          <w:t>Trade in Value-Added</w:t>
        </w:r>
      </w:hyperlink>
      <w:r w:rsidRPr="00F40786">
        <w:rPr>
          <w:rFonts w:ascii="Times New Roman" w:eastAsia="Times New Roman" w:hAnsi="Times New Roman" w:cs="Times New Roman"/>
          <w:sz w:val="24"/>
          <w:szCs w:val="24"/>
          <w:u w:val="single"/>
          <w:lang w:val="en-US" w:eastAsia="es-ES"/>
        </w:rPr>
        <w:t> by reading our books, papers, and policy briefs, or by digging into </w:t>
      </w:r>
      <w:hyperlink r:id="rId123" w:history="1">
        <w:r w:rsidRPr="00F40786">
          <w:rPr>
            <w:rFonts w:ascii="Times New Roman" w:eastAsia="Times New Roman" w:hAnsi="Times New Roman" w:cs="Times New Roman"/>
            <w:sz w:val="24"/>
            <w:szCs w:val="24"/>
            <w:u w:val="single"/>
            <w:bdr w:val="none" w:sz="0" w:space="0" w:color="auto" w:frame="1"/>
            <w:lang w:val="en-US" w:eastAsia="es-ES"/>
          </w:rPr>
          <w:t>the raw TiVA data</w:t>
        </w:r>
      </w:hyperlink>
      <w:r w:rsidRPr="00F40786">
        <w:rPr>
          <w:rFonts w:ascii="Times New Roman" w:eastAsia="Times New Roman" w:hAnsi="Times New Roman" w:cs="Times New Roman"/>
          <w:sz w:val="24"/>
          <w:szCs w:val="24"/>
          <w:u w:val="single"/>
          <w:lang w:val="en-US" w:eastAsia="es-ES"/>
        </w:rPr>
        <w:t>.</w:t>
      </w:r>
    </w:p>
    <w:p w:rsidR="001E6FAE" w:rsidRPr="00F40786" w:rsidRDefault="001E6FAE" w:rsidP="001E6FAE">
      <w:pPr>
        <w:spacing w:line="240" w:lineRule="auto"/>
        <w:jc w:val="both"/>
        <w:rPr>
          <w:rFonts w:ascii="Times New Roman" w:hAnsi="Times New Roman" w:cs="Times New Roman"/>
          <w:b/>
          <w:sz w:val="24"/>
          <w:szCs w:val="24"/>
          <w:lang w:val="en-US"/>
        </w:rPr>
      </w:pPr>
      <w:r w:rsidRPr="00F40786">
        <w:rPr>
          <w:rFonts w:ascii="Times New Roman" w:hAnsi="Times New Roman" w:cs="Times New Roman"/>
          <w:b/>
          <w:sz w:val="24"/>
          <w:szCs w:val="24"/>
          <w:lang w:val="en-US"/>
        </w:rPr>
        <w:t>Trade in Value Added</w:t>
      </w:r>
    </w:p>
    <w:p w:rsidR="001E6FAE" w:rsidRPr="00D062A9" w:rsidRDefault="001E6FAE" w:rsidP="001E6FAE">
      <w:pPr>
        <w:shd w:val="clear" w:color="auto" w:fill="F9F9F9"/>
        <w:spacing w:before="75" w:after="75" w:line="240" w:lineRule="auto"/>
        <w:jc w:val="both"/>
        <w:rPr>
          <w:rFonts w:ascii="Times New Roman" w:eastAsia="Times New Roman" w:hAnsi="Times New Roman" w:cs="Times New Roman"/>
          <w:sz w:val="24"/>
          <w:szCs w:val="24"/>
          <w:u w:val="single"/>
          <w:lang w:val="en-US" w:eastAsia="es-ES"/>
        </w:rPr>
      </w:pPr>
      <w:r w:rsidRPr="00D062A9">
        <w:rPr>
          <w:rFonts w:ascii="Times New Roman" w:eastAsia="Times New Roman" w:hAnsi="Times New Roman" w:cs="Times New Roman"/>
          <w:sz w:val="24"/>
          <w:szCs w:val="24"/>
          <w:u w:val="single"/>
          <w:lang w:val="en-US" w:eastAsia="es-ES"/>
        </w:rPr>
        <w:t>The goods and services we buy are composed of inputs from various countries around the world. However, the flows of goods and services within these global production chains are not always reflected in conventional measures of international trade.</w:t>
      </w:r>
    </w:p>
    <w:p w:rsidR="001E6FAE" w:rsidRPr="00D062A9" w:rsidRDefault="001E6FAE" w:rsidP="001E6FAE">
      <w:pPr>
        <w:shd w:val="clear" w:color="auto" w:fill="F9F9F9"/>
        <w:spacing w:before="75" w:after="75" w:line="240" w:lineRule="auto"/>
        <w:jc w:val="both"/>
        <w:rPr>
          <w:rFonts w:ascii="Times New Roman" w:eastAsia="Times New Roman" w:hAnsi="Times New Roman" w:cs="Times New Roman"/>
          <w:sz w:val="24"/>
          <w:szCs w:val="24"/>
          <w:u w:val="single"/>
          <w:lang w:val="en-US" w:eastAsia="es-ES"/>
        </w:rPr>
      </w:pPr>
    </w:p>
    <w:p w:rsidR="001E6FAE" w:rsidRPr="00D062A9" w:rsidRDefault="001E6FAE" w:rsidP="001E6FAE">
      <w:pPr>
        <w:shd w:val="clear" w:color="auto" w:fill="F9F9F9"/>
        <w:spacing w:before="75" w:after="75" w:line="240" w:lineRule="auto"/>
        <w:jc w:val="both"/>
        <w:rPr>
          <w:rFonts w:ascii="Times New Roman" w:eastAsia="Times New Roman" w:hAnsi="Times New Roman" w:cs="Times New Roman"/>
          <w:sz w:val="24"/>
          <w:szCs w:val="24"/>
          <w:u w:val="single"/>
          <w:lang w:val="en-US" w:eastAsia="es-ES"/>
        </w:rPr>
      </w:pPr>
      <w:r w:rsidRPr="00D062A9">
        <w:rPr>
          <w:rFonts w:ascii="Times New Roman" w:eastAsia="Times New Roman" w:hAnsi="Times New Roman" w:cs="Times New Roman"/>
          <w:sz w:val="24"/>
          <w:szCs w:val="24"/>
          <w:u w:val="single"/>
          <w:lang w:val="en-US" w:eastAsia="es-ES"/>
        </w:rPr>
        <w:t>The development of Trade in Value-Added (TiVA) addresses this issue by considering the value added by each country in the production of goods and services that are consumed worldwide. TiVA indicators are designed to better inform policy makers by providing new insights into the commercial relations between nations.</w:t>
      </w:r>
    </w:p>
    <w:p w:rsidR="001E6FAE" w:rsidRPr="00D062A9" w:rsidRDefault="001E6FAE" w:rsidP="001E6FAE">
      <w:pPr>
        <w:shd w:val="clear" w:color="auto" w:fill="F9F9F9"/>
        <w:spacing w:before="75" w:after="75" w:line="240" w:lineRule="auto"/>
        <w:jc w:val="both"/>
        <w:rPr>
          <w:rFonts w:ascii="Times New Roman" w:eastAsia="Times New Roman" w:hAnsi="Times New Roman" w:cs="Times New Roman"/>
          <w:sz w:val="24"/>
          <w:szCs w:val="24"/>
          <w:u w:val="single"/>
          <w:lang w:val="en-US" w:eastAsia="es-ES"/>
        </w:rPr>
      </w:pPr>
    </w:p>
    <w:p w:rsidR="001E6FAE" w:rsidRDefault="001E6FAE" w:rsidP="001E6FAE">
      <w:pPr>
        <w:shd w:val="clear" w:color="auto" w:fill="F9F9F9"/>
        <w:spacing w:before="75" w:after="75" w:line="240" w:lineRule="auto"/>
        <w:jc w:val="both"/>
        <w:rPr>
          <w:rFonts w:ascii="Times New Roman" w:eastAsia="Times New Roman" w:hAnsi="Times New Roman" w:cs="Times New Roman"/>
          <w:sz w:val="24"/>
          <w:szCs w:val="24"/>
          <w:u w:val="single"/>
          <w:lang w:val="en-US" w:eastAsia="es-ES"/>
        </w:rPr>
      </w:pPr>
      <w:r w:rsidRPr="00D062A9">
        <w:rPr>
          <w:rFonts w:ascii="Times New Roman" w:eastAsia="Times New Roman" w:hAnsi="Times New Roman" w:cs="Times New Roman"/>
          <w:sz w:val="24"/>
          <w:szCs w:val="24"/>
          <w:u w:val="single"/>
          <w:lang w:val="en-US" w:eastAsia="es-ES"/>
        </w:rPr>
        <w:t>The indicators are expressed in USD millions at current prices, in case of values, or in percent, in case of shares.</w:t>
      </w:r>
    </w:p>
    <w:p w:rsidR="001E6FAE" w:rsidRPr="00D062A9" w:rsidRDefault="001E6FAE" w:rsidP="001E6FAE">
      <w:pPr>
        <w:shd w:val="clear" w:color="auto" w:fill="F9F9F9"/>
        <w:spacing w:before="75" w:after="75" w:line="240" w:lineRule="auto"/>
        <w:jc w:val="both"/>
        <w:rPr>
          <w:rFonts w:ascii="Times New Roman" w:eastAsia="Times New Roman" w:hAnsi="Times New Roman" w:cs="Times New Roman"/>
          <w:sz w:val="24"/>
          <w:szCs w:val="24"/>
          <w:u w:val="single"/>
          <w:lang w:val="en-US" w:eastAsia="es-ES"/>
        </w:rPr>
      </w:pPr>
    </w:p>
    <w:p w:rsidR="001E6FAE" w:rsidRPr="00D062A9" w:rsidRDefault="001E6FAE" w:rsidP="001E6FAE">
      <w:pPr>
        <w:shd w:val="clear" w:color="auto" w:fill="F9F9F9"/>
        <w:spacing w:before="75" w:after="75" w:line="240" w:lineRule="auto"/>
        <w:jc w:val="both"/>
        <w:rPr>
          <w:rFonts w:ascii="Times New Roman" w:eastAsia="Times New Roman" w:hAnsi="Times New Roman" w:cs="Times New Roman"/>
          <w:sz w:val="24"/>
          <w:szCs w:val="24"/>
          <w:u w:val="single"/>
          <w:lang w:val="en-US" w:eastAsia="es-ES"/>
        </w:rPr>
      </w:pPr>
    </w:p>
    <w:p w:rsidR="001E6FAE" w:rsidRPr="00D062A9" w:rsidRDefault="001E6FAE" w:rsidP="001E6FAE">
      <w:pPr>
        <w:shd w:val="clear" w:color="auto" w:fill="F9F9F9"/>
        <w:spacing w:before="75" w:after="75" w:line="240" w:lineRule="auto"/>
        <w:jc w:val="both"/>
        <w:rPr>
          <w:rFonts w:ascii="Times New Roman" w:eastAsia="Times New Roman" w:hAnsi="Times New Roman" w:cs="Times New Roman"/>
          <w:sz w:val="24"/>
          <w:szCs w:val="24"/>
          <w:lang w:val="en-US" w:eastAsia="es-ES"/>
        </w:rPr>
      </w:pPr>
      <w:r w:rsidRPr="00F40786">
        <w:rPr>
          <w:rFonts w:ascii="Times New Roman" w:eastAsia="Times New Roman" w:hAnsi="Times New Roman" w:cs="Times New Roman"/>
          <w:sz w:val="24"/>
          <w:szCs w:val="24"/>
          <w:lang w:val="en-US" w:eastAsia="es-ES"/>
        </w:rPr>
        <w:lastRenderedPageBreak/>
        <w:t>Data</w:t>
      </w:r>
      <w:r w:rsidRPr="00D062A9">
        <w:rPr>
          <w:rFonts w:ascii="Times New Roman" w:eastAsia="Times New Roman" w:hAnsi="Times New Roman" w:cs="Times New Roman"/>
          <w:sz w:val="24"/>
          <w:szCs w:val="24"/>
          <w:lang w:val="en-US" w:eastAsia="es-ES"/>
        </w:rPr>
        <w:t xml:space="preserve"> presented in the TiVA database provide insights into:</w:t>
      </w:r>
    </w:p>
    <w:p w:rsidR="001E6FAE" w:rsidRPr="00D062A9" w:rsidRDefault="001E6FAE" w:rsidP="001E6FAE">
      <w:pPr>
        <w:numPr>
          <w:ilvl w:val="0"/>
          <w:numId w:val="11"/>
        </w:numPr>
        <w:shd w:val="clear" w:color="auto" w:fill="F9F9F9"/>
        <w:spacing w:before="100" w:beforeAutospacing="1" w:after="100" w:afterAutospacing="1" w:line="240" w:lineRule="auto"/>
        <w:ind w:left="360" w:right="360"/>
        <w:jc w:val="both"/>
        <w:rPr>
          <w:rFonts w:ascii="Times New Roman" w:eastAsia="Times New Roman" w:hAnsi="Times New Roman" w:cs="Times New Roman"/>
          <w:sz w:val="24"/>
          <w:szCs w:val="24"/>
          <w:lang w:val="en-US" w:eastAsia="es-ES"/>
        </w:rPr>
      </w:pPr>
      <w:r w:rsidRPr="00D062A9">
        <w:rPr>
          <w:rFonts w:ascii="Times New Roman" w:eastAsia="Times New Roman" w:hAnsi="Times New Roman" w:cs="Times New Roman"/>
          <w:sz w:val="24"/>
          <w:szCs w:val="24"/>
          <w:lang w:val="en-US" w:eastAsia="es-ES"/>
        </w:rPr>
        <w:t>Domestic and foreign value added content of gross exports by exporting industry</w:t>
      </w:r>
    </w:p>
    <w:p w:rsidR="001E6FAE" w:rsidRPr="00D062A9" w:rsidRDefault="001E6FAE" w:rsidP="001E6FAE">
      <w:pPr>
        <w:numPr>
          <w:ilvl w:val="0"/>
          <w:numId w:val="11"/>
        </w:numPr>
        <w:shd w:val="clear" w:color="auto" w:fill="F9F9F9"/>
        <w:spacing w:before="100" w:beforeAutospacing="1" w:after="100" w:afterAutospacing="1" w:line="240" w:lineRule="auto"/>
        <w:ind w:left="360" w:right="360"/>
        <w:jc w:val="both"/>
        <w:rPr>
          <w:rFonts w:ascii="Times New Roman" w:eastAsia="Times New Roman" w:hAnsi="Times New Roman" w:cs="Times New Roman"/>
          <w:sz w:val="24"/>
          <w:szCs w:val="24"/>
          <w:lang w:val="en-US" w:eastAsia="es-ES"/>
        </w:rPr>
      </w:pPr>
      <w:r w:rsidRPr="00D062A9">
        <w:rPr>
          <w:rFonts w:ascii="Times New Roman" w:eastAsia="Times New Roman" w:hAnsi="Times New Roman" w:cs="Times New Roman"/>
          <w:sz w:val="24"/>
          <w:szCs w:val="24"/>
          <w:lang w:val="en-US" w:eastAsia="es-ES"/>
        </w:rPr>
        <w:t>Services content of gross exports by exporting industry, by type of service and value added origin</w:t>
      </w:r>
    </w:p>
    <w:p w:rsidR="001E6FAE" w:rsidRPr="00D062A9" w:rsidRDefault="001E6FAE" w:rsidP="001E6FAE">
      <w:pPr>
        <w:numPr>
          <w:ilvl w:val="0"/>
          <w:numId w:val="11"/>
        </w:numPr>
        <w:shd w:val="clear" w:color="auto" w:fill="F9F9F9"/>
        <w:spacing w:before="100" w:beforeAutospacing="1" w:after="100" w:afterAutospacing="1" w:line="240" w:lineRule="auto"/>
        <w:ind w:left="360" w:right="360"/>
        <w:jc w:val="both"/>
        <w:rPr>
          <w:rFonts w:ascii="Times New Roman" w:eastAsia="Times New Roman" w:hAnsi="Times New Roman" w:cs="Times New Roman"/>
          <w:sz w:val="24"/>
          <w:szCs w:val="24"/>
          <w:lang w:val="en-US" w:eastAsia="es-ES"/>
        </w:rPr>
      </w:pPr>
      <w:r w:rsidRPr="00D062A9">
        <w:rPr>
          <w:rFonts w:ascii="Times New Roman" w:eastAsia="Times New Roman" w:hAnsi="Times New Roman" w:cs="Times New Roman"/>
          <w:sz w:val="24"/>
          <w:szCs w:val="24"/>
          <w:lang w:val="en-US" w:eastAsia="es-ES"/>
        </w:rPr>
        <w:t>Participation in global value chains (GVCs) via intermediate imports embodied in exports (backward linkages) and domestic value added in partners’ exports and final demand (forward linkages)</w:t>
      </w:r>
    </w:p>
    <w:p w:rsidR="001E6FAE" w:rsidRPr="00D062A9" w:rsidRDefault="001E6FAE" w:rsidP="001E6FAE">
      <w:pPr>
        <w:numPr>
          <w:ilvl w:val="0"/>
          <w:numId w:val="11"/>
        </w:numPr>
        <w:shd w:val="clear" w:color="auto" w:fill="F9F9F9"/>
        <w:spacing w:before="100" w:beforeAutospacing="1" w:after="100" w:afterAutospacing="1" w:line="240" w:lineRule="auto"/>
        <w:ind w:left="360" w:right="360"/>
        <w:jc w:val="both"/>
        <w:rPr>
          <w:rFonts w:ascii="Times New Roman" w:eastAsia="Times New Roman" w:hAnsi="Times New Roman" w:cs="Times New Roman"/>
          <w:sz w:val="24"/>
          <w:szCs w:val="24"/>
          <w:lang w:val="en-US" w:eastAsia="es-ES"/>
        </w:rPr>
      </w:pPr>
      <w:r w:rsidRPr="00D062A9">
        <w:rPr>
          <w:rFonts w:ascii="Times New Roman" w:eastAsia="Times New Roman" w:hAnsi="Times New Roman" w:cs="Times New Roman"/>
          <w:sz w:val="24"/>
          <w:szCs w:val="24"/>
          <w:lang w:val="en-US" w:eastAsia="es-ES"/>
        </w:rPr>
        <w:t>'Global orientation' of industrial activity, i.e. share of industry valued added that meets foreign final demand</w:t>
      </w:r>
    </w:p>
    <w:p w:rsidR="001E6FAE" w:rsidRPr="00D062A9" w:rsidRDefault="001E6FAE" w:rsidP="001E6FAE">
      <w:pPr>
        <w:numPr>
          <w:ilvl w:val="0"/>
          <w:numId w:val="11"/>
        </w:numPr>
        <w:shd w:val="clear" w:color="auto" w:fill="F9F9F9"/>
        <w:spacing w:before="100" w:beforeAutospacing="1" w:after="100" w:afterAutospacing="1" w:line="240" w:lineRule="auto"/>
        <w:ind w:left="360" w:right="360"/>
        <w:jc w:val="both"/>
        <w:rPr>
          <w:rFonts w:ascii="Times New Roman" w:eastAsia="Times New Roman" w:hAnsi="Times New Roman" w:cs="Times New Roman"/>
          <w:sz w:val="24"/>
          <w:szCs w:val="24"/>
          <w:lang w:val="en-US" w:eastAsia="es-ES"/>
        </w:rPr>
      </w:pPr>
      <w:r w:rsidRPr="00D062A9">
        <w:rPr>
          <w:rFonts w:ascii="Times New Roman" w:eastAsia="Times New Roman" w:hAnsi="Times New Roman" w:cs="Times New Roman"/>
          <w:sz w:val="24"/>
          <w:szCs w:val="24"/>
          <w:lang w:val="en-US" w:eastAsia="es-ES"/>
        </w:rPr>
        <w:t>Country and industry origins of value added in final demand, including the origin of value added in final consumption (by households and government) and in GFCF (investment by businesses)</w:t>
      </w:r>
    </w:p>
    <w:p w:rsidR="001E6FAE" w:rsidRPr="00D062A9" w:rsidRDefault="001E6FAE" w:rsidP="001E6FAE">
      <w:pPr>
        <w:numPr>
          <w:ilvl w:val="0"/>
          <w:numId w:val="11"/>
        </w:numPr>
        <w:shd w:val="clear" w:color="auto" w:fill="F9F9F9"/>
        <w:spacing w:before="100" w:beforeAutospacing="1" w:after="100" w:afterAutospacing="1" w:line="240" w:lineRule="auto"/>
        <w:ind w:left="360" w:right="360"/>
        <w:jc w:val="both"/>
        <w:rPr>
          <w:rFonts w:ascii="Times New Roman" w:eastAsia="Times New Roman" w:hAnsi="Times New Roman" w:cs="Times New Roman"/>
          <w:sz w:val="24"/>
          <w:szCs w:val="24"/>
          <w:lang w:val="en-US" w:eastAsia="es-ES"/>
        </w:rPr>
      </w:pPr>
      <w:r w:rsidRPr="00D062A9">
        <w:rPr>
          <w:rFonts w:ascii="Times New Roman" w:eastAsia="Times New Roman" w:hAnsi="Times New Roman" w:cs="Times New Roman"/>
          <w:sz w:val="24"/>
          <w:szCs w:val="24"/>
          <w:lang w:val="en-US" w:eastAsia="es-ES"/>
        </w:rPr>
        <w:t>Bilateral trade relationships based on flows of value added embodied in domestic final demand</w:t>
      </w:r>
    </w:p>
    <w:p w:rsidR="001E6FAE" w:rsidRPr="00D062A9" w:rsidRDefault="001E6FAE" w:rsidP="001E6FAE">
      <w:pPr>
        <w:numPr>
          <w:ilvl w:val="0"/>
          <w:numId w:val="11"/>
        </w:numPr>
        <w:shd w:val="clear" w:color="auto" w:fill="F9F9F9"/>
        <w:spacing w:before="100" w:beforeAutospacing="1" w:after="100" w:afterAutospacing="1" w:line="240" w:lineRule="auto"/>
        <w:ind w:left="360" w:right="360"/>
        <w:jc w:val="both"/>
        <w:rPr>
          <w:rFonts w:ascii="Times New Roman" w:eastAsia="Times New Roman" w:hAnsi="Times New Roman" w:cs="Times New Roman"/>
          <w:sz w:val="24"/>
          <w:szCs w:val="24"/>
          <w:lang w:val="en-US" w:eastAsia="es-ES"/>
        </w:rPr>
      </w:pPr>
      <w:r w:rsidRPr="00D062A9">
        <w:rPr>
          <w:rFonts w:ascii="Times New Roman" w:eastAsia="Times New Roman" w:hAnsi="Times New Roman" w:cs="Times New Roman"/>
          <w:sz w:val="24"/>
          <w:szCs w:val="24"/>
          <w:lang w:val="en-US" w:eastAsia="es-ES"/>
        </w:rPr>
        <w:t>Inter-regional and intra-regional relationships</w:t>
      </w:r>
    </w:p>
    <w:p w:rsidR="001E6FAE" w:rsidRPr="00D062A9" w:rsidRDefault="001E6FAE" w:rsidP="001E6FAE">
      <w:pPr>
        <w:numPr>
          <w:ilvl w:val="0"/>
          <w:numId w:val="11"/>
        </w:numPr>
        <w:shd w:val="clear" w:color="auto" w:fill="F9F9F9"/>
        <w:spacing w:before="100" w:beforeAutospacing="1" w:after="100" w:afterAutospacing="1" w:line="240" w:lineRule="auto"/>
        <w:ind w:left="360" w:right="360"/>
        <w:jc w:val="both"/>
        <w:rPr>
          <w:rFonts w:ascii="Times New Roman" w:eastAsia="Times New Roman" w:hAnsi="Times New Roman" w:cs="Times New Roman"/>
          <w:sz w:val="24"/>
          <w:szCs w:val="24"/>
          <w:lang w:val="en-US" w:eastAsia="es-ES"/>
        </w:rPr>
      </w:pPr>
      <w:r w:rsidRPr="00D062A9">
        <w:rPr>
          <w:rFonts w:ascii="Times New Roman" w:eastAsia="Times New Roman" w:hAnsi="Times New Roman" w:cs="Times New Roman"/>
          <w:sz w:val="24"/>
          <w:szCs w:val="24"/>
          <w:bdr w:val="none" w:sz="0" w:space="0" w:color="auto" w:frame="1"/>
          <w:lang w:val="en-US" w:eastAsia="es-ES"/>
        </w:rPr>
        <w:t>Domestic value added content of imports</w:t>
      </w:r>
    </w:p>
    <w:p w:rsidR="001E6FAE" w:rsidRPr="00D062A9" w:rsidRDefault="001E6FAE" w:rsidP="001E6FAE">
      <w:pPr>
        <w:spacing w:line="240" w:lineRule="auto"/>
        <w:jc w:val="both"/>
        <w:rPr>
          <w:rFonts w:ascii="Times New Roman" w:hAnsi="Times New Roman" w:cs="Times New Roman"/>
          <w:sz w:val="24"/>
          <w:szCs w:val="24"/>
          <w:lang w:val="en-US"/>
        </w:rPr>
      </w:pPr>
      <w:r w:rsidRPr="00D062A9">
        <w:rPr>
          <w:rFonts w:ascii="Times New Roman" w:hAnsi="Times New Roman" w:cs="Times New Roman"/>
          <w:b/>
          <w:sz w:val="24"/>
          <w:szCs w:val="24"/>
          <w:lang w:val="en-US"/>
        </w:rPr>
        <w:t xml:space="preserve">The Trade in Value Added (TiVA) </w:t>
      </w:r>
      <w:r w:rsidRPr="00D062A9">
        <w:rPr>
          <w:rFonts w:ascii="Times New Roman" w:hAnsi="Times New Roman" w:cs="Times New Roman"/>
          <w:sz w:val="24"/>
          <w:szCs w:val="24"/>
          <w:lang w:val="en-US"/>
        </w:rPr>
        <w:t>database is a collection of measures that can provide insights into global production networks and supply chains beyond what is possible with conventional trade statistics. The TiVA database presented here contains a selection of principal indicators that track the origins of value added in exports, imports and final demand for the years 2005-2015.</w:t>
      </w:r>
    </w:p>
    <w:p w:rsidR="001E6FAE" w:rsidRPr="00D062A9" w:rsidRDefault="001E6FAE" w:rsidP="001E6FAE">
      <w:pPr>
        <w:spacing w:line="240" w:lineRule="auto"/>
        <w:jc w:val="both"/>
        <w:rPr>
          <w:rFonts w:ascii="Times New Roman" w:hAnsi="Times New Roman" w:cs="Times New Roman"/>
          <w:sz w:val="24"/>
          <w:szCs w:val="24"/>
          <w:lang w:val="en-US"/>
        </w:rPr>
      </w:pPr>
      <w:r w:rsidRPr="00D062A9">
        <w:rPr>
          <w:rFonts w:ascii="Times New Roman" w:hAnsi="Times New Roman" w:cs="Times New Roman"/>
          <w:sz w:val="24"/>
          <w:szCs w:val="24"/>
          <w:lang w:val="en-US"/>
        </w:rPr>
        <w:t>The current 2018 edition covers 64 economies (including all OECD, EU and G20 countries and most East and Southeast Asian economies) as well as region aggregates. Indicators are available for 36 industries within a hierarchy based on ISIC Rev. 4.</w:t>
      </w:r>
    </w:p>
    <w:p w:rsidR="001E6FAE" w:rsidRPr="00D062A9" w:rsidRDefault="001E6FAE" w:rsidP="001E6FAE">
      <w:pPr>
        <w:spacing w:line="240" w:lineRule="auto"/>
        <w:jc w:val="both"/>
        <w:rPr>
          <w:rFonts w:ascii="Times New Roman" w:hAnsi="Times New Roman" w:cs="Times New Roman"/>
          <w:sz w:val="24"/>
          <w:szCs w:val="24"/>
          <w:lang w:val="en-US"/>
        </w:rPr>
      </w:pPr>
      <w:r w:rsidRPr="00D062A9">
        <w:rPr>
          <w:rFonts w:ascii="Times New Roman" w:hAnsi="Times New Roman" w:cs="Times New Roman"/>
          <w:sz w:val="24"/>
          <w:szCs w:val="24"/>
          <w:lang w:val="en-US"/>
        </w:rPr>
        <w:t>For certain indicators, preliminary estimates for the year 2016 are provided.</w:t>
      </w:r>
    </w:p>
    <w:p w:rsidR="001E6FAE" w:rsidRPr="00D062A9" w:rsidRDefault="001E6FAE" w:rsidP="001E6FAE">
      <w:pPr>
        <w:spacing w:line="240" w:lineRule="auto"/>
        <w:jc w:val="both"/>
        <w:rPr>
          <w:rFonts w:ascii="Times New Roman" w:hAnsi="Times New Roman" w:cs="Times New Roman"/>
          <w:sz w:val="24"/>
          <w:szCs w:val="24"/>
          <w:lang w:val="en-US"/>
        </w:rPr>
      </w:pPr>
      <w:r w:rsidRPr="00D062A9">
        <w:rPr>
          <w:rFonts w:ascii="Times New Roman" w:hAnsi="Times New Roman" w:cs="Times New Roman"/>
          <w:sz w:val="24"/>
          <w:szCs w:val="24"/>
          <w:lang w:val="en-US"/>
        </w:rPr>
        <w:t>The indicators are derived from the 2018 version of OECD's Inter-Country Input-Output (ICIO) Database (see web page http://oe.cd/icio).</w:t>
      </w:r>
    </w:p>
    <w:p w:rsidR="001E6FAE" w:rsidRDefault="001E6FAE" w:rsidP="001E6FAE">
      <w:pPr>
        <w:spacing w:line="240" w:lineRule="auto"/>
        <w:jc w:val="both"/>
        <w:rPr>
          <w:rFonts w:ascii="Times New Roman" w:hAnsi="Times New Roman" w:cs="Times New Roman"/>
          <w:sz w:val="24"/>
          <w:szCs w:val="24"/>
          <w:lang w:val="en-US"/>
        </w:rPr>
        <w:sectPr w:rsidR="001E6FAE" w:rsidSect="001E6FAE">
          <w:pgSz w:w="11906" w:h="16838"/>
          <w:pgMar w:top="1440" w:right="1440" w:bottom="1440" w:left="1440" w:header="709" w:footer="709" w:gutter="0"/>
          <w:cols w:space="708"/>
          <w:docGrid w:linePitch="360"/>
        </w:sectPr>
      </w:pPr>
      <w:r w:rsidRPr="00D062A9">
        <w:rPr>
          <w:rFonts w:ascii="Times New Roman" w:hAnsi="Times New Roman" w:cs="Times New Roman"/>
          <w:sz w:val="24"/>
          <w:szCs w:val="24"/>
          <w:lang w:val="en-US"/>
        </w:rPr>
        <w:t>To construct ICIO tables, national Supply and Use tables (SUTs) and Input-Output tables (IOTs) are transformed (or harmonised) to standard formats and classifications, combined with bilateral trade in goods and services statistics from international sources, and then balanced under constraints based on official (SNA08) National Accounts by economic activity and National Accounts main aggregates time series. Prior to balancing, many data gaps need to be filled using a variety of estimation techniques. For more details, see http://oe.cd/icio where the underlying OECD ICIO tables are freely available for download.</w:t>
      </w:r>
    </w:p>
    <w:p w:rsidR="001E6FAE" w:rsidRDefault="001E6FAE" w:rsidP="001E6FAE">
      <w:pPr>
        <w:spacing w:line="240" w:lineRule="auto"/>
        <w:jc w:val="both"/>
        <w:rPr>
          <w:rFonts w:ascii="Times New Roman" w:hAnsi="Times New Roman" w:cs="Times New Roman"/>
          <w:sz w:val="24"/>
          <w:szCs w:val="24"/>
          <w:lang w:val="en-US"/>
        </w:rPr>
      </w:pPr>
      <w:r w:rsidRPr="0031730F">
        <w:rPr>
          <w:rFonts w:ascii="Times New Roman" w:hAnsi="Times New Roman" w:cs="Times New Roman"/>
          <w:noProof/>
          <w:sz w:val="24"/>
          <w:szCs w:val="24"/>
          <w:lang w:eastAsia="es-ES"/>
        </w:rPr>
        <w:lastRenderedPageBreak/>
        <w:drawing>
          <wp:inline distT="0" distB="0" distL="0" distR="0" wp14:anchorId="2B0735D4" wp14:editId="4EA8D92F">
            <wp:extent cx="7711884" cy="1546412"/>
            <wp:effectExtent l="0" t="0" r="381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7727231" cy="1549489"/>
                    </a:xfrm>
                    <a:prstGeom prst="rect">
                      <a:avLst/>
                    </a:prstGeom>
                  </pic:spPr>
                </pic:pic>
              </a:graphicData>
            </a:graphic>
          </wp:inline>
        </w:drawing>
      </w:r>
      <w:r w:rsidRPr="0031730F">
        <w:rPr>
          <w:rFonts w:ascii="Times New Roman" w:hAnsi="Times New Roman" w:cs="Times New Roman"/>
          <w:noProof/>
          <w:sz w:val="24"/>
          <w:szCs w:val="24"/>
          <w:lang w:eastAsia="es-ES"/>
        </w:rPr>
        <w:drawing>
          <wp:inline distT="0" distB="0" distL="0" distR="0" wp14:anchorId="3EA0D1BE" wp14:editId="3A9B2E8E">
            <wp:extent cx="7711888" cy="127747"/>
            <wp:effectExtent l="0" t="0" r="0" b="571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7809440" cy="129363"/>
                    </a:xfrm>
                    <a:prstGeom prst="rect">
                      <a:avLst/>
                    </a:prstGeom>
                  </pic:spPr>
                </pic:pic>
              </a:graphicData>
            </a:graphic>
          </wp:inline>
        </w:drawing>
      </w:r>
      <w:r w:rsidRPr="0031730F">
        <w:rPr>
          <w:rFonts w:ascii="Times New Roman" w:hAnsi="Times New Roman" w:cs="Times New Roman"/>
          <w:noProof/>
          <w:sz w:val="24"/>
          <w:szCs w:val="24"/>
          <w:lang w:eastAsia="es-ES"/>
        </w:rPr>
        <w:drawing>
          <wp:inline distT="0" distB="0" distL="0" distR="0" wp14:anchorId="6E55D0D4" wp14:editId="6D394DA6">
            <wp:extent cx="7711888" cy="114300"/>
            <wp:effectExtent l="0" t="0" r="381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7711905" cy="114300"/>
                    </a:xfrm>
                    <a:prstGeom prst="rect">
                      <a:avLst/>
                    </a:prstGeom>
                  </pic:spPr>
                </pic:pic>
              </a:graphicData>
            </a:graphic>
          </wp:inline>
        </w:drawing>
      </w:r>
      <w:r w:rsidRPr="0031730F">
        <w:rPr>
          <w:rFonts w:ascii="Times New Roman" w:hAnsi="Times New Roman" w:cs="Times New Roman"/>
          <w:noProof/>
          <w:sz w:val="24"/>
          <w:szCs w:val="24"/>
          <w:lang w:eastAsia="es-ES"/>
        </w:rPr>
        <w:drawing>
          <wp:inline distT="0" distB="0" distL="0" distR="0" wp14:anchorId="4A64C43A" wp14:editId="16C8C6B4">
            <wp:extent cx="7711888" cy="793376"/>
            <wp:effectExtent l="0" t="0" r="3810" b="6985"/>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7711888" cy="793376"/>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r w:rsidRPr="00026A23">
        <w:rPr>
          <w:rFonts w:ascii="Times New Roman" w:hAnsi="Times New Roman" w:cs="Times New Roman"/>
          <w:noProof/>
          <w:sz w:val="24"/>
          <w:szCs w:val="24"/>
          <w:lang w:eastAsia="es-ES"/>
        </w:rPr>
        <w:drawing>
          <wp:inline distT="0" distB="0" distL="0" distR="0" wp14:anchorId="37D67B72" wp14:editId="3A4A933D">
            <wp:extent cx="7799294" cy="1438836"/>
            <wp:effectExtent l="0" t="0" r="0" b="9525"/>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7829649" cy="1444436"/>
                    </a:xfrm>
                    <a:prstGeom prst="rect">
                      <a:avLst/>
                    </a:prstGeom>
                  </pic:spPr>
                </pic:pic>
              </a:graphicData>
            </a:graphic>
          </wp:inline>
        </w:drawing>
      </w:r>
      <w:r w:rsidRPr="00026A23">
        <w:rPr>
          <w:rFonts w:ascii="Times New Roman" w:hAnsi="Times New Roman" w:cs="Times New Roman"/>
          <w:noProof/>
          <w:sz w:val="24"/>
          <w:szCs w:val="24"/>
          <w:lang w:eastAsia="es-ES"/>
        </w:rPr>
        <w:drawing>
          <wp:inline distT="0" distB="0" distL="0" distR="0" wp14:anchorId="59FF684B" wp14:editId="3650FCFB">
            <wp:extent cx="7799294" cy="188259"/>
            <wp:effectExtent l="0" t="0" r="0" b="254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7799294" cy="188259"/>
                    </a:xfrm>
                    <a:prstGeom prst="rect">
                      <a:avLst/>
                    </a:prstGeom>
                  </pic:spPr>
                </pic:pic>
              </a:graphicData>
            </a:graphic>
          </wp:inline>
        </w:drawing>
      </w:r>
      <w:r w:rsidRPr="00026A23">
        <w:rPr>
          <w:rFonts w:ascii="Times New Roman" w:hAnsi="Times New Roman" w:cs="Times New Roman"/>
          <w:noProof/>
          <w:sz w:val="24"/>
          <w:szCs w:val="24"/>
          <w:lang w:eastAsia="es-ES"/>
        </w:rPr>
        <w:drawing>
          <wp:inline distT="0" distB="0" distL="0" distR="0" wp14:anchorId="5C060D10" wp14:editId="6F2FFD85">
            <wp:extent cx="7799294" cy="201706"/>
            <wp:effectExtent l="0" t="0" r="0" b="8255"/>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7799294" cy="201706"/>
                    </a:xfrm>
                    <a:prstGeom prst="rect">
                      <a:avLst/>
                    </a:prstGeom>
                  </pic:spPr>
                </pic:pic>
              </a:graphicData>
            </a:graphic>
          </wp:inline>
        </w:drawing>
      </w:r>
      <w:r w:rsidRPr="00026A23">
        <w:rPr>
          <w:rFonts w:ascii="Times New Roman" w:hAnsi="Times New Roman" w:cs="Times New Roman"/>
          <w:noProof/>
          <w:sz w:val="24"/>
          <w:szCs w:val="24"/>
          <w:lang w:eastAsia="es-ES"/>
        </w:rPr>
        <w:drawing>
          <wp:inline distT="0" distB="0" distL="0" distR="0" wp14:anchorId="1F1DC7F0" wp14:editId="548BF5F6">
            <wp:extent cx="7799294" cy="853888"/>
            <wp:effectExtent l="0" t="0" r="0" b="381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7799303" cy="853889"/>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p>
    <w:p w:rsidR="001E6FAE" w:rsidRDefault="001E6FAE" w:rsidP="001E6FAE">
      <w:pPr>
        <w:spacing w:line="240" w:lineRule="auto"/>
        <w:jc w:val="both"/>
        <w:rPr>
          <w:rFonts w:ascii="Times New Roman" w:hAnsi="Times New Roman" w:cs="Times New Roman"/>
          <w:sz w:val="24"/>
          <w:szCs w:val="24"/>
          <w:lang w:val="en-US"/>
        </w:rPr>
      </w:pPr>
      <w:r w:rsidRPr="00026A23">
        <w:rPr>
          <w:rFonts w:ascii="Times New Roman" w:hAnsi="Times New Roman" w:cs="Times New Roman"/>
          <w:noProof/>
          <w:sz w:val="24"/>
          <w:szCs w:val="24"/>
          <w:lang w:eastAsia="es-ES"/>
        </w:rPr>
        <w:lastRenderedPageBreak/>
        <w:drawing>
          <wp:inline distT="0" distB="0" distL="0" distR="0" wp14:anchorId="552518BB" wp14:editId="0B32A1F7">
            <wp:extent cx="7705165" cy="1526241"/>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7714460" cy="1528082"/>
                    </a:xfrm>
                    <a:prstGeom prst="rect">
                      <a:avLst/>
                    </a:prstGeom>
                  </pic:spPr>
                </pic:pic>
              </a:graphicData>
            </a:graphic>
          </wp:inline>
        </w:drawing>
      </w:r>
      <w:r w:rsidRPr="00026A23">
        <w:rPr>
          <w:rFonts w:ascii="Times New Roman" w:hAnsi="Times New Roman" w:cs="Times New Roman"/>
          <w:noProof/>
          <w:sz w:val="24"/>
          <w:szCs w:val="24"/>
          <w:lang w:eastAsia="es-ES"/>
        </w:rPr>
        <w:drawing>
          <wp:inline distT="0" distB="0" distL="0" distR="0" wp14:anchorId="307C4704" wp14:editId="2ABD2677">
            <wp:extent cx="7705165" cy="147918"/>
            <wp:effectExtent l="0" t="0" r="0" b="508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7775533" cy="149269"/>
                    </a:xfrm>
                    <a:prstGeom prst="rect">
                      <a:avLst/>
                    </a:prstGeom>
                  </pic:spPr>
                </pic:pic>
              </a:graphicData>
            </a:graphic>
          </wp:inline>
        </w:drawing>
      </w:r>
      <w:r w:rsidRPr="00026A23">
        <w:rPr>
          <w:rFonts w:ascii="Times New Roman" w:hAnsi="Times New Roman" w:cs="Times New Roman"/>
          <w:noProof/>
          <w:sz w:val="24"/>
          <w:szCs w:val="24"/>
          <w:lang w:eastAsia="es-ES"/>
        </w:rPr>
        <w:drawing>
          <wp:inline distT="0" distB="0" distL="0" distR="0" wp14:anchorId="35797E0B" wp14:editId="10E54B88">
            <wp:extent cx="7745500" cy="154641"/>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7888280" cy="157492"/>
                    </a:xfrm>
                    <a:prstGeom prst="rect">
                      <a:avLst/>
                    </a:prstGeom>
                  </pic:spPr>
                </pic:pic>
              </a:graphicData>
            </a:graphic>
          </wp:inline>
        </w:drawing>
      </w:r>
      <w:r w:rsidRPr="002944EB">
        <w:rPr>
          <w:rFonts w:ascii="Times New Roman" w:hAnsi="Times New Roman" w:cs="Times New Roman"/>
          <w:noProof/>
          <w:sz w:val="24"/>
          <w:szCs w:val="24"/>
          <w:lang w:eastAsia="es-ES"/>
        </w:rPr>
        <w:drawing>
          <wp:inline distT="0" distB="0" distL="0" distR="0" wp14:anchorId="478F6A96" wp14:editId="63F8CF96">
            <wp:extent cx="7705165" cy="941294"/>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7705165" cy="941294"/>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r w:rsidRPr="002944EB">
        <w:rPr>
          <w:rFonts w:ascii="Times New Roman" w:hAnsi="Times New Roman" w:cs="Times New Roman"/>
          <w:noProof/>
          <w:sz w:val="24"/>
          <w:szCs w:val="24"/>
          <w:lang w:eastAsia="es-ES"/>
        </w:rPr>
        <w:drawing>
          <wp:inline distT="0" distB="0" distL="0" distR="0" wp14:anchorId="581B5C74" wp14:editId="2CB6A103">
            <wp:extent cx="7745506" cy="1371600"/>
            <wp:effectExtent l="0" t="0" r="825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7759336" cy="1374049"/>
                    </a:xfrm>
                    <a:prstGeom prst="rect">
                      <a:avLst/>
                    </a:prstGeom>
                  </pic:spPr>
                </pic:pic>
              </a:graphicData>
            </a:graphic>
          </wp:inline>
        </w:drawing>
      </w:r>
      <w:r w:rsidRPr="002944EB">
        <w:rPr>
          <w:rFonts w:ascii="Times New Roman" w:hAnsi="Times New Roman" w:cs="Times New Roman"/>
          <w:noProof/>
          <w:sz w:val="24"/>
          <w:szCs w:val="24"/>
          <w:lang w:eastAsia="es-ES"/>
        </w:rPr>
        <w:drawing>
          <wp:inline distT="0" distB="0" distL="0" distR="0" wp14:anchorId="754BC5E1" wp14:editId="76F3481D">
            <wp:extent cx="7745506" cy="181536"/>
            <wp:effectExtent l="0" t="0" r="0" b="9525"/>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7745506" cy="181536"/>
                    </a:xfrm>
                    <a:prstGeom prst="rect">
                      <a:avLst/>
                    </a:prstGeom>
                  </pic:spPr>
                </pic:pic>
              </a:graphicData>
            </a:graphic>
          </wp:inline>
        </w:drawing>
      </w:r>
      <w:r w:rsidRPr="002944EB">
        <w:rPr>
          <w:rFonts w:ascii="Times New Roman" w:hAnsi="Times New Roman" w:cs="Times New Roman"/>
          <w:noProof/>
          <w:sz w:val="24"/>
          <w:szCs w:val="24"/>
          <w:lang w:eastAsia="es-ES"/>
        </w:rPr>
        <w:drawing>
          <wp:inline distT="0" distB="0" distL="0" distR="0" wp14:anchorId="6E2278A5" wp14:editId="3B7B3260">
            <wp:extent cx="7745506" cy="168088"/>
            <wp:effectExtent l="0" t="0" r="0" b="381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7888280" cy="171186"/>
                    </a:xfrm>
                    <a:prstGeom prst="rect">
                      <a:avLst/>
                    </a:prstGeom>
                  </pic:spPr>
                </pic:pic>
              </a:graphicData>
            </a:graphic>
          </wp:inline>
        </w:drawing>
      </w:r>
      <w:r w:rsidRPr="002944EB">
        <w:rPr>
          <w:rFonts w:ascii="Times New Roman" w:hAnsi="Times New Roman" w:cs="Times New Roman"/>
          <w:noProof/>
          <w:sz w:val="24"/>
          <w:szCs w:val="24"/>
          <w:lang w:eastAsia="es-ES"/>
        </w:rPr>
        <w:drawing>
          <wp:inline distT="0" distB="0" distL="0" distR="0" wp14:anchorId="00485E07" wp14:editId="734BDB27">
            <wp:extent cx="7745506" cy="853888"/>
            <wp:effectExtent l="0" t="0" r="0" b="381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7745506" cy="853888"/>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r w:rsidRPr="002944EB">
        <w:rPr>
          <w:rFonts w:ascii="Times New Roman" w:hAnsi="Times New Roman" w:cs="Times New Roman"/>
          <w:noProof/>
          <w:sz w:val="24"/>
          <w:szCs w:val="24"/>
          <w:lang w:eastAsia="es-ES"/>
        </w:rPr>
        <w:lastRenderedPageBreak/>
        <w:drawing>
          <wp:inline distT="0" distB="0" distL="0" distR="0" wp14:anchorId="2616EC1E" wp14:editId="586CFB56">
            <wp:extent cx="7792571" cy="1526241"/>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7799885" cy="1527674"/>
                    </a:xfrm>
                    <a:prstGeom prst="rect">
                      <a:avLst/>
                    </a:prstGeom>
                  </pic:spPr>
                </pic:pic>
              </a:graphicData>
            </a:graphic>
          </wp:inline>
        </w:drawing>
      </w:r>
      <w:r w:rsidRPr="002944EB">
        <w:rPr>
          <w:rFonts w:ascii="Times New Roman" w:hAnsi="Times New Roman" w:cs="Times New Roman"/>
          <w:noProof/>
          <w:sz w:val="24"/>
          <w:szCs w:val="24"/>
          <w:lang w:eastAsia="es-ES"/>
        </w:rPr>
        <w:drawing>
          <wp:inline distT="0" distB="0" distL="0" distR="0" wp14:anchorId="67F2F42C" wp14:editId="6E8E2555">
            <wp:extent cx="7792571" cy="168089"/>
            <wp:effectExtent l="0" t="0" r="0" b="381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7792571" cy="168089"/>
                    </a:xfrm>
                    <a:prstGeom prst="rect">
                      <a:avLst/>
                    </a:prstGeom>
                  </pic:spPr>
                </pic:pic>
              </a:graphicData>
            </a:graphic>
          </wp:inline>
        </w:drawing>
      </w:r>
      <w:r w:rsidRPr="00002DC7">
        <w:rPr>
          <w:rFonts w:ascii="Times New Roman" w:hAnsi="Times New Roman" w:cs="Times New Roman"/>
          <w:noProof/>
          <w:sz w:val="24"/>
          <w:szCs w:val="24"/>
          <w:lang w:eastAsia="es-ES"/>
        </w:rPr>
        <w:drawing>
          <wp:inline distT="0" distB="0" distL="0" distR="0" wp14:anchorId="5E3B168D" wp14:editId="1BDD15FD">
            <wp:extent cx="7792571" cy="188259"/>
            <wp:effectExtent l="0" t="0" r="0" b="254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7792571" cy="188259"/>
                    </a:xfrm>
                    <a:prstGeom prst="rect">
                      <a:avLst/>
                    </a:prstGeom>
                  </pic:spPr>
                </pic:pic>
              </a:graphicData>
            </a:graphic>
          </wp:inline>
        </w:drawing>
      </w:r>
      <w:r w:rsidRPr="00002DC7">
        <w:rPr>
          <w:rFonts w:ascii="Times New Roman" w:hAnsi="Times New Roman" w:cs="Times New Roman"/>
          <w:noProof/>
          <w:sz w:val="24"/>
          <w:szCs w:val="24"/>
          <w:lang w:eastAsia="es-ES"/>
        </w:rPr>
        <w:drawing>
          <wp:inline distT="0" distB="0" distL="0" distR="0" wp14:anchorId="0BA13A91" wp14:editId="4350943C">
            <wp:extent cx="7792571" cy="867335"/>
            <wp:effectExtent l="0" t="0" r="0" b="9525"/>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7792571" cy="867335"/>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r w:rsidRPr="00002DC7">
        <w:rPr>
          <w:rFonts w:ascii="Times New Roman" w:hAnsi="Times New Roman" w:cs="Times New Roman"/>
          <w:noProof/>
          <w:sz w:val="24"/>
          <w:szCs w:val="24"/>
          <w:lang w:eastAsia="es-ES"/>
        </w:rPr>
        <w:drawing>
          <wp:inline distT="0" distB="0" distL="0" distR="0" wp14:anchorId="7075D131" wp14:editId="72E72AB3">
            <wp:extent cx="7873253" cy="1539688"/>
            <wp:effectExtent l="0" t="0" r="0" b="381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7888923" cy="1542752"/>
                    </a:xfrm>
                    <a:prstGeom prst="rect">
                      <a:avLst/>
                    </a:prstGeom>
                  </pic:spPr>
                </pic:pic>
              </a:graphicData>
            </a:graphic>
          </wp:inline>
        </w:drawing>
      </w:r>
      <w:r w:rsidRPr="00002DC7">
        <w:rPr>
          <w:rFonts w:ascii="Times New Roman" w:hAnsi="Times New Roman" w:cs="Times New Roman"/>
          <w:noProof/>
          <w:sz w:val="24"/>
          <w:szCs w:val="24"/>
          <w:lang w:eastAsia="es-ES"/>
        </w:rPr>
        <w:drawing>
          <wp:inline distT="0" distB="0" distL="0" distR="0" wp14:anchorId="295E166E" wp14:editId="198F481D">
            <wp:extent cx="7873253" cy="147917"/>
            <wp:effectExtent l="0" t="0" r="0" b="508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7972922" cy="149790"/>
                    </a:xfrm>
                    <a:prstGeom prst="rect">
                      <a:avLst/>
                    </a:prstGeom>
                  </pic:spPr>
                </pic:pic>
              </a:graphicData>
            </a:graphic>
          </wp:inline>
        </w:drawing>
      </w:r>
      <w:r w:rsidRPr="00002DC7">
        <w:rPr>
          <w:rFonts w:ascii="Times New Roman" w:hAnsi="Times New Roman" w:cs="Times New Roman"/>
          <w:noProof/>
          <w:sz w:val="24"/>
          <w:szCs w:val="24"/>
          <w:lang w:eastAsia="es-ES"/>
        </w:rPr>
        <w:drawing>
          <wp:inline distT="0" distB="0" distL="0" distR="0" wp14:anchorId="28CE4552" wp14:editId="0C462AE4">
            <wp:extent cx="7873253" cy="194982"/>
            <wp:effectExtent l="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7873253" cy="194982"/>
                    </a:xfrm>
                    <a:prstGeom prst="rect">
                      <a:avLst/>
                    </a:prstGeom>
                  </pic:spPr>
                </pic:pic>
              </a:graphicData>
            </a:graphic>
          </wp:inline>
        </w:drawing>
      </w:r>
      <w:r w:rsidRPr="00002DC7">
        <w:rPr>
          <w:rFonts w:ascii="Times New Roman" w:hAnsi="Times New Roman" w:cs="Times New Roman"/>
          <w:noProof/>
          <w:sz w:val="24"/>
          <w:szCs w:val="24"/>
          <w:lang w:eastAsia="es-ES"/>
        </w:rPr>
        <w:drawing>
          <wp:inline distT="0" distB="0" distL="0" distR="0" wp14:anchorId="7AE826F8" wp14:editId="372BF680">
            <wp:extent cx="7873253" cy="813547"/>
            <wp:effectExtent l="0" t="0" r="0" b="5715"/>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7873253" cy="813547"/>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r w:rsidRPr="00002DC7">
        <w:rPr>
          <w:rFonts w:ascii="Times New Roman" w:hAnsi="Times New Roman" w:cs="Times New Roman"/>
          <w:noProof/>
          <w:sz w:val="24"/>
          <w:szCs w:val="24"/>
          <w:lang w:eastAsia="es-ES"/>
        </w:rPr>
        <w:lastRenderedPageBreak/>
        <w:drawing>
          <wp:inline distT="0" distB="0" distL="0" distR="0" wp14:anchorId="03C78F0B" wp14:editId="19C75A1D">
            <wp:extent cx="7698441" cy="1385047"/>
            <wp:effectExtent l="0" t="0" r="0" b="5715"/>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7715896" cy="1388187"/>
                    </a:xfrm>
                    <a:prstGeom prst="rect">
                      <a:avLst/>
                    </a:prstGeom>
                  </pic:spPr>
                </pic:pic>
              </a:graphicData>
            </a:graphic>
          </wp:inline>
        </w:drawing>
      </w:r>
      <w:r w:rsidRPr="00002DC7">
        <w:rPr>
          <w:rFonts w:ascii="Times New Roman" w:hAnsi="Times New Roman" w:cs="Times New Roman"/>
          <w:noProof/>
          <w:sz w:val="24"/>
          <w:szCs w:val="24"/>
          <w:lang w:eastAsia="es-ES"/>
        </w:rPr>
        <w:drawing>
          <wp:inline distT="0" distB="0" distL="0" distR="0" wp14:anchorId="0FD8B818" wp14:editId="081B34FB">
            <wp:extent cx="7698441" cy="188259"/>
            <wp:effectExtent l="0" t="0" r="0" b="254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7698441" cy="188259"/>
                    </a:xfrm>
                    <a:prstGeom prst="rect">
                      <a:avLst/>
                    </a:prstGeom>
                  </pic:spPr>
                </pic:pic>
              </a:graphicData>
            </a:graphic>
          </wp:inline>
        </w:drawing>
      </w:r>
      <w:r w:rsidRPr="00002DC7">
        <w:rPr>
          <w:rFonts w:ascii="Times New Roman" w:hAnsi="Times New Roman" w:cs="Times New Roman"/>
          <w:noProof/>
          <w:sz w:val="24"/>
          <w:szCs w:val="24"/>
          <w:lang w:eastAsia="es-ES"/>
        </w:rPr>
        <w:drawing>
          <wp:inline distT="0" distB="0" distL="0" distR="0" wp14:anchorId="16CC46DF" wp14:editId="35C789A4">
            <wp:extent cx="7698435" cy="161365"/>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7733434" cy="162099"/>
                    </a:xfrm>
                    <a:prstGeom prst="rect">
                      <a:avLst/>
                    </a:prstGeom>
                  </pic:spPr>
                </pic:pic>
              </a:graphicData>
            </a:graphic>
          </wp:inline>
        </w:drawing>
      </w:r>
      <w:r w:rsidRPr="00866F5A">
        <w:rPr>
          <w:rFonts w:ascii="Times New Roman" w:hAnsi="Times New Roman" w:cs="Times New Roman"/>
          <w:noProof/>
          <w:sz w:val="24"/>
          <w:szCs w:val="24"/>
          <w:lang w:eastAsia="es-ES"/>
        </w:rPr>
        <w:drawing>
          <wp:inline distT="0" distB="0" distL="0" distR="0" wp14:anchorId="42F82DFF" wp14:editId="46096C2C">
            <wp:extent cx="7698431" cy="806824"/>
            <wp:effectExtent l="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7698441" cy="806825"/>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r w:rsidRPr="00866F5A">
        <w:rPr>
          <w:rFonts w:ascii="Times New Roman" w:hAnsi="Times New Roman" w:cs="Times New Roman"/>
          <w:noProof/>
          <w:sz w:val="24"/>
          <w:szCs w:val="24"/>
          <w:lang w:eastAsia="es-ES"/>
        </w:rPr>
        <w:drawing>
          <wp:inline distT="0" distB="0" distL="0" distR="0" wp14:anchorId="5C0453BA" wp14:editId="2D0CE25C">
            <wp:extent cx="7738782" cy="1398494"/>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7741565" cy="1398997"/>
                    </a:xfrm>
                    <a:prstGeom prst="rect">
                      <a:avLst/>
                    </a:prstGeom>
                  </pic:spPr>
                </pic:pic>
              </a:graphicData>
            </a:graphic>
          </wp:inline>
        </w:drawing>
      </w:r>
      <w:r w:rsidRPr="00866F5A">
        <w:rPr>
          <w:rFonts w:ascii="Times New Roman" w:hAnsi="Times New Roman" w:cs="Times New Roman"/>
          <w:noProof/>
          <w:sz w:val="24"/>
          <w:szCs w:val="24"/>
          <w:lang w:eastAsia="es-ES"/>
        </w:rPr>
        <w:drawing>
          <wp:inline distT="0" distB="0" distL="0" distR="0" wp14:anchorId="6254AA74" wp14:editId="651C0578">
            <wp:extent cx="7738782" cy="154641"/>
            <wp:effectExtent l="0" t="0" r="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7738782" cy="154641"/>
                    </a:xfrm>
                    <a:prstGeom prst="rect">
                      <a:avLst/>
                    </a:prstGeom>
                  </pic:spPr>
                </pic:pic>
              </a:graphicData>
            </a:graphic>
          </wp:inline>
        </w:drawing>
      </w:r>
      <w:r w:rsidRPr="00866F5A">
        <w:rPr>
          <w:rFonts w:ascii="Times New Roman" w:hAnsi="Times New Roman" w:cs="Times New Roman"/>
          <w:noProof/>
          <w:sz w:val="24"/>
          <w:szCs w:val="24"/>
          <w:lang w:eastAsia="es-ES"/>
        </w:rPr>
        <w:drawing>
          <wp:inline distT="0" distB="0" distL="0" distR="0" wp14:anchorId="7F0ACAEB" wp14:editId="5C17A303">
            <wp:extent cx="7738767" cy="168088"/>
            <wp:effectExtent l="0" t="0" r="0" b="381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7954748" cy="172779"/>
                    </a:xfrm>
                    <a:prstGeom prst="rect">
                      <a:avLst/>
                    </a:prstGeom>
                  </pic:spPr>
                </pic:pic>
              </a:graphicData>
            </a:graphic>
          </wp:inline>
        </w:drawing>
      </w:r>
      <w:r w:rsidRPr="00866F5A">
        <w:rPr>
          <w:rFonts w:ascii="Times New Roman" w:hAnsi="Times New Roman" w:cs="Times New Roman"/>
          <w:noProof/>
          <w:sz w:val="24"/>
          <w:szCs w:val="24"/>
          <w:lang w:eastAsia="es-ES"/>
        </w:rPr>
        <w:drawing>
          <wp:inline distT="0" distB="0" distL="0" distR="0" wp14:anchorId="11D59DDB" wp14:editId="4B15A663">
            <wp:extent cx="7738782" cy="786653"/>
            <wp:effectExtent l="0" t="0" r="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7738782" cy="786653"/>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r w:rsidRPr="00866F5A">
        <w:rPr>
          <w:rFonts w:ascii="Times New Roman" w:hAnsi="Times New Roman" w:cs="Times New Roman"/>
          <w:noProof/>
          <w:sz w:val="24"/>
          <w:szCs w:val="24"/>
          <w:lang w:eastAsia="es-ES"/>
        </w:rPr>
        <w:lastRenderedPageBreak/>
        <w:drawing>
          <wp:inline distT="0" distB="0" distL="0" distR="0" wp14:anchorId="58B92568" wp14:editId="51DCDBAD">
            <wp:extent cx="7469841" cy="1202690"/>
            <wp:effectExtent l="0" t="0" r="0"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7469841" cy="1202690"/>
                    </a:xfrm>
                    <a:prstGeom prst="rect">
                      <a:avLst/>
                    </a:prstGeom>
                  </pic:spPr>
                </pic:pic>
              </a:graphicData>
            </a:graphic>
          </wp:inline>
        </w:drawing>
      </w:r>
      <w:r w:rsidRPr="003C399C">
        <w:rPr>
          <w:rFonts w:ascii="Times New Roman" w:hAnsi="Times New Roman" w:cs="Times New Roman"/>
          <w:noProof/>
          <w:sz w:val="24"/>
          <w:szCs w:val="24"/>
          <w:lang w:eastAsia="es-ES"/>
        </w:rPr>
        <w:drawing>
          <wp:inline distT="0" distB="0" distL="0" distR="0" wp14:anchorId="20E44DF9" wp14:editId="718FFFED">
            <wp:extent cx="7469841" cy="141194"/>
            <wp:effectExtent l="0" t="0" r="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7609113" cy="143827"/>
                    </a:xfrm>
                    <a:prstGeom prst="rect">
                      <a:avLst/>
                    </a:prstGeom>
                  </pic:spPr>
                </pic:pic>
              </a:graphicData>
            </a:graphic>
          </wp:inline>
        </w:drawing>
      </w:r>
      <w:r w:rsidRPr="003C399C">
        <w:rPr>
          <w:rFonts w:ascii="Times New Roman" w:hAnsi="Times New Roman" w:cs="Times New Roman"/>
          <w:noProof/>
          <w:sz w:val="24"/>
          <w:szCs w:val="24"/>
          <w:lang w:eastAsia="es-ES"/>
        </w:rPr>
        <w:drawing>
          <wp:inline distT="0" distB="0" distL="0" distR="0" wp14:anchorId="3C5A2953" wp14:editId="69F0234D">
            <wp:extent cx="7469841" cy="692523"/>
            <wp:effectExtent l="0" t="0" r="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7469841" cy="692523"/>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r w:rsidRPr="003C399C">
        <w:rPr>
          <w:rFonts w:ascii="Times New Roman" w:hAnsi="Times New Roman" w:cs="Times New Roman"/>
          <w:noProof/>
          <w:sz w:val="24"/>
          <w:szCs w:val="24"/>
          <w:lang w:eastAsia="es-ES"/>
        </w:rPr>
        <w:drawing>
          <wp:inline distT="0" distB="0" distL="0" distR="0" wp14:anchorId="28B4715D" wp14:editId="2D6DB6EE">
            <wp:extent cx="7510182" cy="1391771"/>
            <wp:effectExtent l="0" t="0" r="0"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7510182" cy="1391771"/>
                    </a:xfrm>
                    <a:prstGeom prst="rect">
                      <a:avLst/>
                    </a:prstGeom>
                  </pic:spPr>
                </pic:pic>
              </a:graphicData>
            </a:graphic>
          </wp:inline>
        </w:drawing>
      </w:r>
      <w:r w:rsidRPr="003C399C">
        <w:rPr>
          <w:rFonts w:ascii="Times New Roman" w:hAnsi="Times New Roman" w:cs="Times New Roman"/>
          <w:noProof/>
          <w:sz w:val="24"/>
          <w:szCs w:val="24"/>
          <w:lang w:eastAsia="es-ES"/>
        </w:rPr>
        <w:drawing>
          <wp:inline distT="0" distB="0" distL="0" distR="0" wp14:anchorId="650FA080" wp14:editId="238D38C0">
            <wp:extent cx="7550524" cy="168088"/>
            <wp:effectExtent l="0" t="0" r="0" b="381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7550524" cy="168088"/>
                    </a:xfrm>
                    <a:prstGeom prst="rect">
                      <a:avLst/>
                    </a:prstGeom>
                  </pic:spPr>
                </pic:pic>
              </a:graphicData>
            </a:graphic>
          </wp:inline>
        </w:drawing>
      </w:r>
      <w:r w:rsidRPr="003C399C">
        <w:rPr>
          <w:rFonts w:ascii="Times New Roman" w:hAnsi="Times New Roman" w:cs="Times New Roman"/>
          <w:noProof/>
          <w:sz w:val="24"/>
          <w:szCs w:val="24"/>
          <w:lang w:eastAsia="es-ES"/>
        </w:rPr>
        <w:drawing>
          <wp:inline distT="0" distB="0" distL="0" distR="0" wp14:anchorId="7BC6E6F4" wp14:editId="18970A3E">
            <wp:extent cx="7550524" cy="679077"/>
            <wp:effectExtent l="0" t="0" r="0" b="698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7550524" cy="679077"/>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r w:rsidRPr="003C399C">
        <w:rPr>
          <w:rFonts w:ascii="Times New Roman" w:hAnsi="Times New Roman" w:cs="Times New Roman"/>
          <w:noProof/>
          <w:sz w:val="24"/>
          <w:szCs w:val="24"/>
          <w:lang w:eastAsia="es-ES"/>
        </w:rPr>
        <w:lastRenderedPageBreak/>
        <w:drawing>
          <wp:inline distT="0" distB="0" distL="0" distR="0" wp14:anchorId="7BC57C88" wp14:editId="62476E35">
            <wp:extent cx="7853082" cy="1223010"/>
            <wp:effectExtent l="0" t="0" r="0"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7853082" cy="1223010"/>
                    </a:xfrm>
                    <a:prstGeom prst="rect">
                      <a:avLst/>
                    </a:prstGeom>
                  </pic:spPr>
                </pic:pic>
              </a:graphicData>
            </a:graphic>
          </wp:inline>
        </w:drawing>
      </w:r>
      <w:r w:rsidRPr="003C399C">
        <w:rPr>
          <w:rFonts w:ascii="Times New Roman" w:hAnsi="Times New Roman" w:cs="Times New Roman"/>
          <w:noProof/>
          <w:sz w:val="24"/>
          <w:szCs w:val="24"/>
          <w:lang w:eastAsia="es-ES"/>
        </w:rPr>
        <w:drawing>
          <wp:inline distT="0" distB="0" distL="0" distR="0" wp14:anchorId="695BCA62" wp14:editId="016FF75C">
            <wp:extent cx="7853082" cy="188259"/>
            <wp:effectExtent l="0" t="0" r="0" b="254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7997839" cy="191729"/>
                    </a:xfrm>
                    <a:prstGeom prst="rect">
                      <a:avLst/>
                    </a:prstGeom>
                  </pic:spPr>
                </pic:pic>
              </a:graphicData>
            </a:graphic>
          </wp:inline>
        </w:drawing>
      </w:r>
      <w:r w:rsidRPr="003C399C">
        <w:rPr>
          <w:rFonts w:ascii="Times New Roman" w:hAnsi="Times New Roman" w:cs="Times New Roman"/>
          <w:noProof/>
          <w:sz w:val="24"/>
          <w:szCs w:val="24"/>
          <w:lang w:eastAsia="es-ES"/>
        </w:rPr>
        <w:drawing>
          <wp:inline distT="0" distB="0" distL="0" distR="0" wp14:anchorId="3F712B29" wp14:editId="73919A36">
            <wp:extent cx="7853082" cy="161365"/>
            <wp:effectExtent l="0" t="0" r="0" b="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7924801" cy="162839"/>
                    </a:xfrm>
                    <a:prstGeom prst="rect">
                      <a:avLst/>
                    </a:prstGeom>
                  </pic:spPr>
                </pic:pic>
              </a:graphicData>
            </a:graphic>
          </wp:inline>
        </w:drawing>
      </w:r>
    </w:p>
    <w:p w:rsidR="001E6FAE" w:rsidRPr="00105A2A" w:rsidRDefault="001E6FAE" w:rsidP="001E6FAE">
      <w:pPr>
        <w:spacing w:line="240" w:lineRule="auto"/>
        <w:jc w:val="both"/>
        <w:rPr>
          <w:rFonts w:ascii="Times New Roman" w:hAnsi="Times New Roman" w:cs="Times New Roman"/>
          <w:sz w:val="24"/>
          <w:szCs w:val="24"/>
          <w:lang w:val="en-US"/>
        </w:rPr>
      </w:pPr>
      <w:r w:rsidRPr="00105A2A">
        <w:rPr>
          <w:rFonts w:ascii="Times New Roman" w:hAnsi="Times New Roman" w:cs="Times New Roman"/>
          <w:sz w:val="24"/>
          <w:szCs w:val="24"/>
          <w:lang w:val="en-US"/>
        </w:rPr>
        <w:t>IMGRpSH (c,i,p) shows, for country c, gross imports from partner p, industry i, as a percentage of total imports from industry I, i.e. IMGR (c,i,p) / IMGR (c, i, total).</w:t>
      </w:r>
    </w:p>
    <w:p w:rsidR="001E6FAE" w:rsidRDefault="001E6FAE" w:rsidP="001E6FAE">
      <w:pPr>
        <w:spacing w:line="240" w:lineRule="auto"/>
        <w:jc w:val="both"/>
        <w:rPr>
          <w:rFonts w:ascii="Times New Roman" w:hAnsi="Times New Roman" w:cs="Times New Roman"/>
          <w:sz w:val="24"/>
          <w:szCs w:val="24"/>
          <w:lang w:val="en-US"/>
        </w:rPr>
      </w:pPr>
      <w:r w:rsidRPr="00105A2A">
        <w:rPr>
          <w:rFonts w:ascii="Times New Roman" w:hAnsi="Times New Roman" w:cs="Times New Roman"/>
          <w:sz w:val="24"/>
          <w:szCs w:val="24"/>
          <w:lang w:val="en-US"/>
        </w:rPr>
        <w:t>Rest of the world includes imports from unspecified trade partner.</w:t>
      </w:r>
    </w:p>
    <w:p w:rsidR="001E6FAE" w:rsidRDefault="001E6FAE" w:rsidP="001E6FAE">
      <w:pPr>
        <w:spacing w:line="240" w:lineRule="auto"/>
        <w:jc w:val="both"/>
        <w:rPr>
          <w:rFonts w:ascii="Times New Roman" w:hAnsi="Times New Roman" w:cs="Times New Roman"/>
          <w:sz w:val="24"/>
          <w:szCs w:val="24"/>
          <w:lang w:val="en-US"/>
        </w:rPr>
      </w:pPr>
    </w:p>
    <w:p w:rsidR="001E6FAE" w:rsidRDefault="001E6FAE" w:rsidP="001E6FAE">
      <w:pPr>
        <w:spacing w:line="240" w:lineRule="auto"/>
        <w:jc w:val="both"/>
        <w:rPr>
          <w:rFonts w:ascii="Times New Roman" w:hAnsi="Times New Roman" w:cs="Times New Roman"/>
          <w:sz w:val="24"/>
          <w:szCs w:val="24"/>
          <w:lang w:val="en-US"/>
        </w:rPr>
      </w:pPr>
      <w:r w:rsidRPr="00835C92">
        <w:rPr>
          <w:rFonts w:ascii="Times New Roman" w:hAnsi="Times New Roman" w:cs="Times New Roman"/>
          <w:noProof/>
          <w:sz w:val="24"/>
          <w:szCs w:val="24"/>
          <w:lang w:eastAsia="es-ES"/>
        </w:rPr>
        <w:drawing>
          <wp:inline distT="0" distB="0" distL="0" distR="0" wp14:anchorId="68237AFA" wp14:editId="3431C4E7">
            <wp:extent cx="7913594" cy="1079500"/>
            <wp:effectExtent l="0" t="0" r="0" b="635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7913594" cy="1079500"/>
                    </a:xfrm>
                    <a:prstGeom prst="rect">
                      <a:avLst/>
                    </a:prstGeom>
                  </pic:spPr>
                </pic:pic>
              </a:graphicData>
            </a:graphic>
          </wp:inline>
        </w:drawing>
      </w:r>
      <w:r w:rsidRPr="00835C92">
        <w:rPr>
          <w:rFonts w:ascii="Times New Roman" w:hAnsi="Times New Roman" w:cs="Times New Roman"/>
          <w:noProof/>
          <w:sz w:val="24"/>
          <w:szCs w:val="24"/>
          <w:lang w:eastAsia="es-ES"/>
        </w:rPr>
        <w:drawing>
          <wp:inline distT="0" distB="0" distL="0" distR="0" wp14:anchorId="745BA3F6" wp14:editId="7AAE1098">
            <wp:extent cx="7913594" cy="154642"/>
            <wp:effectExtent l="0" t="0" r="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7913594" cy="154642"/>
                    </a:xfrm>
                    <a:prstGeom prst="rect">
                      <a:avLst/>
                    </a:prstGeom>
                  </pic:spPr>
                </pic:pic>
              </a:graphicData>
            </a:graphic>
          </wp:inline>
        </w:drawing>
      </w:r>
      <w:r w:rsidRPr="00835C92">
        <w:rPr>
          <w:rFonts w:ascii="Times New Roman" w:hAnsi="Times New Roman" w:cs="Times New Roman"/>
          <w:noProof/>
          <w:sz w:val="24"/>
          <w:szCs w:val="24"/>
          <w:lang w:eastAsia="es-ES"/>
        </w:rPr>
        <w:drawing>
          <wp:inline distT="0" distB="0" distL="0" distR="0" wp14:anchorId="02BF9DB8" wp14:editId="0C12511F">
            <wp:extent cx="7913594" cy="672353"/>
            <wp:effectExtent l="0" t="0" r="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7913594" cy="672353"/>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p>
    <w:p w:rsidR="001E6FAE" w:rsidRDefault="001E6FAE" w:rsidP="001E6FAE">
      <w:pPr>
        <w:spacing w:line="240" w:lineRule="auto"/>
        <w:jc w:val="both"/>
        <w:rPr>
          <w:rFonts w:ascii="Times New Roman" w:hAnsi="Times New Roman" w:cs="Times New Roman"/>
          <w:sz w:val="24"/>
          <w:szCs w:val="24"/>
          <w:lang w:val="en-US"/>
        </w:rPr>
      </w:pPr>
    </w:p>
    <w:p w:rsidR="001E6FAE" w:rsidRDefault="001E6FAE" w:rsidP="001E6FAE">
      <w:pPr>
        <w:spacing w:line="240" w:lineRule="auto"/>
        <w:jc w:val="both"/>
        <w:rPr>
          <w:rFonts w:ascii="Times New Roman" w:hAnsi="Times New Roman" w:cs="Times New Roman"/>
          <w:sz w:val="24"/>
          <w:szCs w:val="24"/>
          <w:lang w:val="en-US"/>
        </w:rPr>
      </w:pPr>
    </w:p>
    <w:p w:rsidR="001E6FAE" w:rsidRDefault="001E6FAE" w:rsidP="001E6FAE">
      <w:pPr>
        <w:spacing w:line="240" w:lineRule="auto"/>
        <w:jc w:val="both"/>
        <w:rPr>
          <w:rFonts w:ascii="Times New Roman" w:hAnsi="Times New Roman" w:cs="Times New Roman"/>
          <w:sz w:val="24"/>
          <w:szCs w:val="24"/>
          <w:lang w:val="en-US"/>
        </w:rPr>
      </w:pPr>
    </w:p>
    <w:p w:rsidR="001E6FAE" w:rsidRDefault="001E6FAE" w:rsidP="001E6FAE">
      <w:pPr>
        <w:spacing w:line="240" w:lineRule="auto"/>
        <w:jc w:val="both"/>
        <w:rPr>
          <w:rFonts w:ascii="Times New Roman" w:hAnsi="Times New Roman" w:cs="Times New Roman"/>
          <w:sz w:val="24"/>
          <w:szCs w:val="24"/>
          <w:lang w:val="en-US"/>
        </w:rPr>
      </w:pPr>
      <w:r w:rsidRPr="00B93FC2">
        <w:rPr>
          <w:rFonts w:ascii="Times New Roman" w:hAnsi="Times New Roman" w:cs="Times New Roman"/>
          <w:noProof/>
          <w:sz w:val="24"/>
          <w:szCs w:val="24"/>
          <w:lang w:eastAsia="es-ES"/>
        </w:rPr>
        <w:drawing>
          <wp:inline distT="0" distB="0" distL="0" distR="0" wp14:anchorId="60B64214" wp14:editId="4B11F07A">
            <wp:extent cx="7516906" cy="1316990"/>
            <wp:effectExtent l="0" t="0" r="8255"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7516906" cy="1316990"/>
                    </a:xfrm>
                    <a:prstGeom prst="rect">
                      <a:avLst/>
                    </a:prstGeom>
                  </pic:spPr>
                </pic:pic>
              </a:graphicData>
            </a:graphic>
          </wp:inline>
        </w:drawing>
      </w:r>
      <w:r w:rsidRPr="00B93FC2">
        <w:rPr>
          <w:rFonts w:ascii="Times New Roman" w:hAnsi="Times New Roman" w:cs="Times New Roman"/>
          <w:noProof/>
          <w:sz w:val="24"/>
          <w:szCs w:val="24"/>
          <w:lang w:eastAsia="es-ES"/>
        </w:rPr>
        <w:drawing>
          <wp:inline distT="0" distB="0" distL="0" distR="0" wp14:anchorId="0A4351CA" wp14:editId="53A56136">
            <wp:extent cx="7516906" cy="161364"/>
            <wp:effectExtent l="0" t="0" r="0"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7516934" cy="161365"/>
                    </a:xfrm>
                    <a:prstGeom prst="rect">
                      <a:avLst/>
                    </a:prstGeom>
                  </pic:spPr>
                </pic:pic>
              </a:graphicData>
            </a:graphic>
          </wp:inline>
        </w:drawing>
      </w:r>
      <w:r w:rsidRPr="00B93FC2">
        <w:rPr>
          <w:rFonts w:ascii="Times New Roman" w:hAnsi="Times New Roman" w:cs="Times New Roman"/>
          <w:noProof/>
          <w:sz w:val="24"/>
          <w:szCs w:val="24"/>
          <w:lang w:eastAsia="es-ES"/>
        </w:rPr>
        <w:drawing>
          <wp:inline distT="0" distB="0" distL="0" distR="0" wp14:anchorId="0A8F429E" wp14:editId="34FB4D63">
            <wp:extent cx="7516906" cy="601980"/>
            <wp:effectExtent l="0" t="0" r="8255" b="762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7516906" cy="601980"/>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r w:rsidRPr="00B93FC2">
        <w:rPr>
          <w:rFonts w:ascii="Times New Roman" w:hAnsi="Times New Roman" w:cs="Times New Roman"/>
          <w:noProof/>
          <w:sz w:val="24"/>
          <w:szCs w:val="24"/>
          <w:lang w:eastAsia="es-ES"/>
        </w:rPr>
        <w:drawing>
          <wp:inline distT="0" distB="0" distL="0" distR="0" wp14:anchorId="24E3D26E" wp14:editId="530C9D7A">
            <wp:extent cx="7516906" cy="1116106"/>
            <wp:effectExtent l="0" t="0" r="0" b="8255"/>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7531245" cy="1118235"/>
                    </a:xfrm>
                    <a:prstGeom prst="rect">
                      <a:avLst/>
                    </a:prstGeom>
                  </pic:spPr>
                </pic:pic>
              </a:graphicData>
            </a:graphic>
          </wp:inline>
        </w:drawing>
      </w:r>
      <w:r w:rsidRPr="00B93FC2">
        <w:rPr>
          <w:rFonts w:ascii="Times New Roman" w:hAnsi="Times New Roman" w:cs="Times New Roman"/>
          <w:noProof/>
          <w:sz w:val="24"/>
          <w:szCs w:val="24"/>
          <w:lang w:eastAsia="es-ES"/>
        </w:rPr>
        <w:drawing>
          <wp:inline distT="0" distB="0" distL="0" distR="0" wp14:anchorId="26023128" wp14:editId="3D248B39">
            <wp:extent cx="7516902" cy="188258"/>
            <wp:effectExtent l="0" t="0" r="0" b="254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7655466" cy="191728"/>
                    </a:xfrm>
                    <a:prstGeom prst="rect">
                      <a:avLst/>
                    </a:prstGeom>
                  </pic:spPr>
                </pic:pic>
              </a:graphicData>
            </a:graphic>
          </wp:inline>
        </w:drawing>
      </w:r>
      <w:r w:rsidRPr="00B93FC2">
        <w:rPr>
          <w:rFonts w:ascii="Times New Roman" w:hAnsi="Times New Roman" w:cs="Times New Roman"/>
          <w:noProof/>
          <w:sz w:val="24"/>
          <w:szCs w:val="24"/>
          <w:lang w:eastAsia="es-ES"/>
        </w:rPr>
        <w:drawing>
          <wp:inline distT="0" distB="0" distL="0" distR="0" wp14:anchorId="3DFDCC52" wp14:editId="4C942B9F">
            <wp:extent cx="7516906" cy="134471"/>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7576904" cy="135544"/>
                    </a:xfrm>
                    <a:prstGeom prst="rect">
                      <a:avLst/>
                    </a:prstGeom>
                  </pic:spPr>
                </pic:pic>
              </a:graphicData>
            </a:graphic>
          </wp:inline>
        </w:drawing>
      </w:r>
    </w:p>
    <w:p w:rsidR="001E6FAE" w:rsidRPr="00B93FC2" w:rsidRDefault="001E6FAE" w:rsidP="001E6FAE">
      <w:pPr>
        <w:spacing w:line="240" w:lineRule="auto"/>
        <w:jc w:val="both"/>
        <w:rPr>
          <w:rFonts w:ascii="Times New Roman" w:hAnsi="Times New Roman" w:cs="Times New Roman"/>
          <w:sz w:val="24"/>
          <w:szCs w:val="24"/>
          <w:lang w:val="en-US"/>
        </w:rPr>
      </w:pPr>
      <w:r w:rsidRPr="00B93FC2">
        <w:rPr>
          <w:rFonts w:ascii="Times New Roman" w:hAnsi="Times New Roman" w:cs="Times New Roman"/>
          <w:sz w:val="24"/>
          <w:szCs w:val="24"/>
          <w:lang w:val="en-US"/>
        </w:rPr>
        <w:t>EXGRpSH (c,i,p) shows , for each industry i in country c, gross exports to partner p as a percentage of total exports by industry i., i.e. EXGR (c,i,p) / EXGR (c, i, total).</w:t>
      </w:r>
    </w:p>
    <w:p w:rsidR="001E6FAE" w:rsidRDefault="001E6FAE" w:rsidP="001E6FAE">
      <w:pPr>
        <w:spacing w:line="240" w:lineRule="auto"/>
        <w:jc w:val="both"/>
        <w:rPr>
          <w:rFonts w:ascii="Times New Roman" w:hAnsi="Times New Roman" w:cs="Times New Roman"/>
          <w:sz w:val="24"/>
          <w:szCs w:val="24"/>
          <w:lang w:val="en-US"/>
        </w:rPr>
      </w:pPr>
      <w:r w:rsidRPr="00B93FC2">
        <w:rPr>
          <w:rFonts w:ascii="Times New Roman" w:hAnsi="Times New Roman" w:cs="Times New Roman"/>
          <w:sz w:val="24"/>
          <w:szCs w:val="24"/>
          <w:lang w:val="en-US"/>
        </w:rPr>
        <w:t>“Unspecified export destination” (i.e. any discrepancy between exports and imports) is allocated to partner “Rest of the World”.</w:t>
      </w:r>
    </w:p>
    <w:p w:rsidR="001E6FAE" w:rsidRDefault="001E6FAE" w:rsidP="001E6FAE">
      <w:pPr>
        <w:spacing w:line="240" w:lineRule="auto"/>
        <w:jc w:val="both"/>
        <w:rPr>
          <w:rFonts w:ascii="Times New Roman" w:hAnsi="Times New Roman" w:cs="Times New Roman"/>
          <w:sz w:val="24"/>
          <w:szCs w:val="24"/>
          <w:lang w:val="en-US"/>
        </w:rPr>
        <w:sectPr w:rsidR="001E6FAE" w:rsidSect="001E6FAE">
          <w:pgSz w:w="16838" w:h="11906" w:orient="landscape"/>
          <w:pgMar w:top="1440" w:right="1440" w:bottom="1440" w:left="1440" w:header="709" w:footer="709" w:gutter="0"/>
          <w:cols w:space="708"/>
          <w:docGrid w:linePitch="360"/>
        </w:sectPr>
      </w:pPr>
    </w:p>
    <w:p w:rsidR="001E6FAE" w:rsidRDefault="001E6FAE" w:rsidP="001E6FAE">
      <w:pPr>
        <w:spacing w:line="240" w:lineRule="auto"/>
        <w:jc w:val="both"/>
        <w:rPr>
          <w:rFonts w:ascii="Times New Roman" w:hAnsi="Times New Roman" w:cs="Times New Roman"/>
          <w:b/>
          <w:sz w:val="24"/>
          <w:szCs w:val="24"/>
          <w:lang w:val="en-US"/>
        </w:rPr>
      </w:pPr>
      <w:r w:rsidRPr="00D062A9">
        <w:rPr>
          <w:rFonts w:ascii="Times New Roman" w:hAnsi="Times New Roman" w:cs="Times New Roman"/>
          <w:b/>
          <w:sz w:val="24"/>
          <w:szCs w:val="24"/>
          <w:lang w:val="en-US"/>
        </w:rPr>
        <w:lastRenderedPageBreak/>
        <w:t>The Trade in Value Added (TiVA)</w:t>
      </w:r>
      <w:r>
        <w:rPr>
          <w:rFonts w:ascii="Times New Roman" w:hAnsi="Times New Roman" w:cs="Times New Roman"/>
          <w:b/>
          <w:sz w:val="24"/>
          <w:szCs w:val="24"/>
          <w:lang w:val="en-US"/>
        </w:rPr>
        <w:t xml:space="preserve"> - Principal Indicators</w:t>
      </w:r>
    </w:p>
    <w:p w:rsidR="001E6FAE" w:rsidRPr="00FF3C6F" w:rsidRDefault="001E6FAE" w:rsidP="001E6FAE">
      <w:pPr>
        <w:spacing w:line="240" w:lineRule="auto"/>
        <w:jc w:val="both"/>
        <w:rPr>
          <w:rFonts w:ascii="Times New Roman" w:hAnsi="Times New Roman" w:cs="Times New Roman"/>
          <w:color w:val="FF0000"/>
          <w:sz w:val="24"/>
          <w:szCs w:val="24"/>
          <w:shd w:val="clear" w:color="auto" w:fill="FFFFFF"/>
        </w:rPr>
      </w:pPr>
      <w:r w:rsidRPr="00FF3C6F">
        <w:rPr>
          <w:rFonts w:ascii="Times New Roman" w:hAnsi="Times New Roman" w:cs="Times New Roman"/>
          <w:b/>
          <w:color w:val="FF0000"/>
          <w:sz w:val="24"/>
          <w:szCs w:val="24"/>
        </w:rPr>
        <w:t>Gross exports</w:t>
      </w:r>
    </w:p>
    <w:p w:rsidR="001E6FAE" w:rsidRDefault="001E6FAE" w:rsidP="001E6FAE">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698,1 miles de millones de dólares; Año 2016, 1.956,4 miles de millones de dólares; Var. 2,80 - Un incremento equivalente al 180% (2016-2005)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1.188,3 miles de millones de dólares; Año 2016, 2.006,2 miles de millones de dólares; Var. 1,69 - Un incremento equivalente al 69% (2016-2005)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1.705,3 miles de millones de dólares; Año 2016, 2.753,3 miles de millones de dólares; Var. 1,61 - Un incremento equivalente al 61% (2016-2005)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Euro Área: Año 2005,  1.808,6 miles de millones de dólares; Año 2016, 2.855,2 miles de millones de dólares; Var. 1,58 - Un incremento equivalente al 58% (2016-2005) </w:t>
      </w:r>
    </w:p>
    <w:p w:rsidR="001E6FAE" w:rsidRPr="00FF3C6F" w:rsidRDefault="001E6FAE" w:rsidP="001E6FAE">
      <w:pPr>
        <w:spacing w:line="240" w:lineRule="auto"/>
        <w:jc w:val="both"/>
        <w:rPr>
          <w:rFonts w:ascii="Times New Roman" w:hAnsi="Times New Roman" w:cs="Times New Roman"/>
          <w:color w:val="FF0000"/>
          <w:sz w:val="24"/>
          <w:szCs w:val="24"/>
          <w:shd w:val="clear" w:color="auto" w:fill="FFFFFF"/>
        </w:rPr>
      </w:pPr>
      <w:r w:rsidRPr="00FF3C6F">
        <w:rPr>
          <w:rFonts w:ascii="Times New Roman" w:hAnsi="Times New Roman" w:cs="Times New Roman"/>
          <w:b/>
          <w:color w:val="FF0000"/>
          <w:sz w:val="24"/>
          <w:szCs w:val="24"/>
        </w:rPr>
        <w:t>Gross imports</w:t>
      </w:r>
    </w:p>
    <w:p w:rsidR="001E6FAE" w:rsidRDefault="001E6FAE" w:rsidP="001E6FAE">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146,2 miles de millones de dólares; Año 2015, 557,5 miles de millones de dólares; Var. 3,81 - Un incremento equivalente al 281%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854,6 miles de millones de dólares; Año 2015, 1.254,4 miles de millones de dólares; Var. 1,47 - Un incremento equivalente al 47%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613,6 miles de millones de dólares; Año 2015, 888,9 miles de millones de dólares; Var. 1,45 - Un incremento equivalente al 45%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606,7 miles de millones de dólares; Año 2015, 849,3 miles de millones de dólares; Var. 1,40 - Un incremento equivalente al 40% (2015-2005)</w:t>
      </w:r>
    </w:p>
    <w:p w:rsidR="001E6FAE" w:rsidRPr="00FF3C6F" w:rsidRDefault="001E6FAE" w:rsidP="001E6FAE">
      <w:pPr>
        <w:spacing w:line="240" w:lineRule="auto"/>
        <w:jc w:val="both"/>
        <w:rPr>
          <w:rFonts w:ascii="Times New Roman" w:hAnsi="Times New Roman" w:cs="Times New Roman"/>
          <w:b/>
          <w:color w:val="FF0000"/>
          <w:sz w:val="24"/>
          <w:szCs w:val="24"/>
          <w:shd w:val="clear" w:color="auto" w:fill="FFFFFF"/>
          <w:lang w:val="en-US"/>
        </w:rPr>
      </w:pPr>
      <w:r w:rsidRPr="00FF3C6F">
        <w:rPr>
          <w:rFonts w:ascii="Times New Roman" w:hAnsi="Times New Roman" w:cs="Times New Roman"/>
          <w:b/>
          <w:color w:val="FF0000"/>
          <w:sz w:val="24"/>
          <w:szCs w:val="24"/>
          <w:shd w:val="clear" w:color="auto" w:fill="FFFFFF"/>
          <w:lang w:val="en-US"/>
        </w:rPr>
        <w:t>Foreign value added content of gross exports</w:t>
      </w:r>
    </w:p>
    <w:p w:rsidR="001E6FAE" w:rsidRDefault="001E6FAE" w:rsidP="001E6FAE">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183,4 miles de millones de dólares; Año 2016, 335,6 miles de millones de dólares; Var. 1,83 - Un incremento equivalente al 83% (2016-2005)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127,9 miles de millones de dólares; Año 2016, 181,4 miles de millones de dólares; Var. 1,42 - Un incremento equivalente al 42% (2016-2005)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177,5 miles de millones de dólares; Año 2016, 320,3 miles de millones de dólares; Var. 1,80 - Un incremento equivalente al 80% (2016-2005)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252,7 miles de millones de dólares; Año 2016, 451,5 miles de millones de dólares; Var. 1,79 - Un incremento equivalente al 79% (2016-2005)</w:t>
      </w:r>
    </w:p>
    <w:p w:rsidR="001E6FAE" w:rsidRPr="00FF3C6F" w:rsidRDefault="001E6FAE" w:rsidP="001E6FAE">
      <w:pPr>
        <w:spacing w:line="240" w:lineRule="auto"/>
        <w:jc w:val="both"/>
        <w:rPr>
          <w:rFonts w:ascii="Times New Roman" w:hAnsi="Times New Roman" w:cs="Times New Roman"/>
          <w:b/>
          <w:color w:val="FF0000"/>
          <w:sz w:val="24"/>
          <w:szCs w:val="24"/>
          <w:shd w:val="clear" w:color="auto" w:fill="FFFFFF"/>
          <w:lang w:val="en-US"/>
        </w:rPr>
      </w:pPr>
      <w:r w:rsidRPr="00FF3C6F">
        <w:rPr>
          <w:rFonts w:ascii="Times New Roman" w:hAnsi="Times New Roman" w:cs="Times New Roman"/>
          <w:b/>
          <w:color w:val="FF0000"/>
          <w:sz w:val="24"/>
          <w:szCs w:val="24"/>
          <w:shd w:val="clear" w:color="auto" w:fill="FFFFFF"/>
          <w:lang w:val="en-US"/>
        </w:rPr>
        <w:t xml:space="preserve">Domestic value added content of gross imports </w:t>
      </w:r>
    </w:p>
    <w:p w:rsidR="001E6FAE" w:rsidRDefault="001E6FAE" w:rsidP="001E6FAE">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2005, 11,9 miles de millones de dólares; Año 2015, 67,3 miles de millones de dólares; Var. 6,66 - Un incremento equivalente al 566% (2015-2005) </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87,6 miles de millones de dólares; Año 2015, 117,0 miles de millones de dólares; Var. 1,34 - Un incremento equivalente al 34%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78,9 miles de millones de dólares; Año 2015, 91,4 miles de millones de dólares; Var. 1,16 - Un incremento equivalente al 16%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Euro Área: Año 2005,  89,4 miles de millones de dólares; Año 2015, 113,0 miles de millones de dólares; Var. 1,26 - Un incremento equivalente al 26% (2015-2005)</w:t>
      </w:r>
    </w:p>
    <w:p w:rsidR="001E6FAE" w:rsidRPr="00FF3C6F" w:rsidRDefault="001E6FAE" w:rsidP="001E6FAE">
      <w:pPr>
        <w:spacing w:line="240" w:lineRule="auto"/>
        <w:jc w:val="both"/>
        <w:rPr>
          <w:rFonts w:ascii="Times New Roman" w:hAnsi="Times New Roman" w:cs="Times New Roman"/>
          <w:b/>
          <w:color w:val="FF0000"/>
          <w:sz w:val="24"/>
          <w:szCs w:val="24"/>
          <w:shd w:val="clear" w:color="auto" w:fill="FFFFFF"/>
        </w:rPr>
      </w:pPr>
      <w:r w:rsidRPr="00FF3C6F">
        <w:rPr>
          <w:rFonts w:ascii="Times New Roman" w:hAnsi="Times New Roman" w:cs="Times New Roman"/>
          <w:b/>
          <w:color w:val="FF0000"/>
          <w:sz w:val="24"/>
          <w:szCs w:val="24"/>
          <w:shd w:val="clear" w:color="auto" w:fill="FFFFFF"/>
        </w:rPr>
        <w:t>Production (gross output)</w:t>
      </w:r>
    </w:p>
    <w:p w:rsidR="001E6FAE" w:rsidRDefault="001E6FAE" w:rsidP="001E6FAE">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5.388,2 miles de millones de dólares; Año 2015,  27.183,0 miles de millones de dólares; Var. 6,04 - Un incremento equivalente al 504%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23.081,6 miles de millones de dólares; Año 2015, 30.820,8 miles de millones de dólares; Var. 1,34 - Un incremento equivalente al 34%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EU-28: Año 2005, 26.418,6 miles de millones de dólares; Año 2015, 30.028,8 miles de millones de dólares; Var. 1,14 - Un incremento equivalente al 14% (2015-2005) </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19.571,5  miles de millones de dólares; Año 2015, 21.545,1 miles de millones de dólares; Var. 1,10 - Un incremento equivalente al 10% (2015-2005)</w:t>
      </w:r>
    </w:p>
    <w:p w:rsidR="001E6FAE" w:rsidRPr="00FF3C6F" w:rsidRDefault="001E6FAE" w:rsidP="001E6FAE">
      <w:pPr>
        <w:spacing w:line="240" w:lineRule="auto"/>
        <w:jc w:val="both"/>
        <w:rPr>
          <w:rFonts w:ascii="Times New Roman" w:hAnsi="Times New Roman" w:cs="Times New Roman"/>
          <w:b/>
          <w:color w:val="FF0000"/>
          <w:sz w:val="24"/>
          <w:szCs w:val="24"/>
          <w:shd w:val="clear" w:color="auto" w:fill="FFFFFF"/>
        </w:rPr>
      </w:pPr>
      <w:r w:rsidRPr="00FF3C6F">
        <w:rPr>
          <w:rFonts w:ascii="Times New Roman" w:hAnsi="Times New Roman" w:cs="Times New Roman"/>
          <w:b/>
          <w:color w:val="FF0000"/>
          <w:sz w:val="24"/>
          <w:szCs w:val="24"/>
          <w:shd w:val="clear" w:color="auto" w:fill="FFFFFF"/>
        </w:rPr>
        <w:t>Value added</w:t>
      </w:r>
    </w:p>
    <w:p w:rsidR="001E6FAE" w:rsidRDefault="001E6FAE" w:rsidP="001E6FAE">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2005, 2.135,5 miles de millones de dólares; Año 2015, 10.485,7 miles de millones de dólares; Var. 4,91 - Un incremento equivalente al 391% (2015-2005) </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12.748,1 miles de millones de dólares; Año 2015, 17.662,3 miles de millones de dólares; Var. 1,39 - Un incremento equivalente al 39%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13.510,9 miles de millones de dólares; Año 2015, 15.473,2 miles de millones de dólares; Var. 1,15 - Un incremento equivalente al 15%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9.850,5 miles de millones de dólares; Año 2015, 11.005,7 miles de millones de dólares; Var. 1,12 - Un incremento equivalente al 12% (2015-2005)</w:t>
      </w:r>
    </w:p>
    <w:p w:rsidR="001E6FAE" w:rsidRPr="00FF3C6F" w:rsidRDefault="001E6FAE" w:rsidP="001E6FAE">
      <w:pPr>
        <w:spacing w:line="240" w:lineRule="auto"/>
        <w:jc w:val="both"/>
        <w:rPr>
          <w:rFonts w:ascii="Times New Roman" w:hAnsi="Times New Roman" w:cs="Times New Roman"/>
          <w:b/>
          <w:color w:val="FF0000"/>
          <w:sz w:val="24"/>
          <w:szCs w:val="24"/>
          <w:shd w:val="clear" w:color="auto" w:fill="FFFFFF"/>
          <w:lang w:val="en-US"/>
        </w:rPr>
      </w:pPr>
      <w:r w:rsidRPr="00FF3C6F">
        <w:rPr>
          <w:rFonts w:ascii="Times New Roman" w:hAnsi="Times New Roman" w:cs="Times New Roman"/>
          <w:b/>
          <w:color w:val="FF0000"/>
          <w:sz w:val="24"/>
          <w:szCs w:val="24"/>
          <w:shd w:val="clear" w:color="auto" w:fill="FFFFFF"/>
          <w:lang w:val="en-US"/>
        </w:rPr>
        <w:t>Foreign value added embodied in domestic final demand</w:t>
      </w:r>
    </w:p>
    <w:p w:rsidR="001E6FAE" w:rsidRDefault="001E6FAE" w:rsidP="001E6FAE">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405,9 miles de millones de dólares; Año 2015, 1.444,5 miles de millones de dólares; Var.  3,56 - Un incremento equivalente al 256%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1.673,6 miles de millones de dólares; Año 2015, 2.222,1 miles de millones de dólares; Var. 1,33 - Un incremento equivalente al 33%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1.358,8 miles de millones de dólares; Año 2015, 1.857,8 miles de millones de dólares; Var.  1,37 - Un incremento equivalente al 37%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1.293,4 miles de millones de dólares; Año 2015, 1.711,9 miles de millones de dólares; Var. 1,32 - Un incremento equivalente al 32% (2015-2005)</w:t>
      </w:r>
    </w:p>
    <w:p w:rsidR="001E6FAE" w:rsidRPr="00FF3C6F" w:rsidRDefault="001E6FAE" w:rsidP="001E6FAE">
      <w:pPr>
        <w:spacing w:line="240" w:lineRule="auto"/>
        <w:jc w:val="both"/>
        <w:rPr>
          <w:rFonts w:ascii="Times New Roman" w:hAnsi="Times New Roman" w:cs="Times New Roman"/>
          <w:b/>
          <w:color w:val="FF0000"/>
          <w:sz w:val="24"/>
          <w:szCs w:val="24"/>
          <w:shd w:val="clear" w:color="auto" w:fill="FFFFFF"/>
        </w:rPr>
      </w:pPr>
      <w:r w:rsidRPr="00FF3C6F">
        <w:rPr>
          <w:rFonts w:ascii="Times New Roman" w:hAnsi="Times New Roman" w:cs="Times New Roman"/>
          <w:b/>
          <w:color w:val="FF0000"/>
          <w:sz w:val="24"/>
          <w:szCs w:val="24"/>
          <w:shd w:val="clear" w:color="auto" w:fill="FFFFFF"/>
        </w:rPr>
        <w:t xml:space="preserve">Gross trade balance </w:t>
      </w:r>
    </w:p>
    <w:p w:rsidR="001E6FAE" w:rsidRDefault="001E6FAE" w:rsidP="001E6FAE">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2005, 96,9 miles de millones de dólares; Año 2015, 305,8  miles de millones de dólares; Var. 3,16 - Un incremento equivalente al 216% (2015-2005) </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(700,8) miles de millones de dólares; Año 2015, (507,0) miles de millones de dólares; Var. -0,28 - Una reducción equivalente al -28%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90.0 miles de millones de dólares; Año 2015, 476,1 miles de millones de dólares; Var. 5,29 - Un incremento equivalente al 429%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Euro Área: Año 2005, 144,5 miles de millones de dólares; Año 2015, 456,7 miles de millones de dólares; Var. 3,16 - Un incremento equivalente al 216% (2015-2005)</w:t>
      </w:r>
    </w:p>
    <w:p w:rsidR="001E6FAE" w:rsidRPr="00FF3C6F" w:rsidRDefault="001E6FAE" w:rsidP="001E6FAE">
      <w:pPr>
        <w:spacing w:line="240" w:lineRule="auto"/>
        <w:jc w:val="both"/>
        <w:rPr>
          <w:rFonts w:ascii="Times New Roman" w:hAnsi="Times New Roman" w:cs="Times New Roman"/>
          <w:b/>
          <w:color w:val="FF0000"/>
          <w:sz w:val="24"/>
          <w:szCs w:val="24"/>
          <w:shd w:val="clear" w:color="auto" w:fill="FFFFFF"/>
        </w:rPr>
      </w:pPr>
      <w:r w:rsidRPr="00FF3C6F">
        <w:rPr>
          <w:rFonts w:ascii="Times New Roman" w:hAnsi="Times New Roman" w:cs="Times New Roman"/>
          <w:b/>
          <w:color w:val="FF0000"/>
          <w:sz w:val="24"/>
          <w:szCs w:val="24"/>
          <w:shd w:val="clear" w:color="auto" w:fill="FFFFFF"/>
        </w:rPr>
        <w:t>Gross imports, partner shares</w:t>
      </w:r>
    </w:p>
    <w:p w:rsidR="001E6FAE" w:rsidRDefault="001E6FAE" w:rsidP="001E6FAE">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EEUU</w:t>
      </w:r>
    </w:p>
    <w:p w:rsidR="001E6FAE" w:rsidRDefault="001E6FAE" w:rsidP="001E6FAE">
      <w:pPr>
        <w:spacing w:line="240" w:lineRule="auto"/>
        <w:jc w:val="both"/>
        <w:rPr>
          <w:rFonts w:ascii="Times New Roman" w:hAnsi="Times New Roman" w:cs="Times New Roman"/>
          <w:sz w:val="24"/>
          <w:szCs w:val="24"/>
          <w:shd w:val="clear" w:color="auto" w:fill="FFFFFF"/>
        </w:rPr>
      </w:pPr>
      <w:r w:rsidRPr="0032247D">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8,7 %; Año 2015, 12,6 %; Var. 1,45 - Un incremento equivalente al 45%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19,4 %; Año 2015, 19,9 %; Var. 1,03 - Un incremento equivalente al 3%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13,4 %; Año 2015, 14,6 %; Var. 1,08 - Un incremento equivalente al 8% (2015-2005)</w:t>
      </w:r>
    </w:p>
    <w:p w:rsidR="001E6FAE" w:rsidRPr="005F016C" w:rsidRDefault="001E6FAE" w:rsidP="001E6FAE">
      <w:pPr>
        <w:spacing w:line="240" w:lineRule="auto"/>
        <w:jc w:val="both"/>
        <w:rPr>
          <w:rFonts w:ascii="Times New Roman" w:hAnsi="Times New Roman" w:cs="Times New Roman"/>
          <w:b/>
          <w:sz w:val="24"/>
          <w:szCs w:val="24"/>
          <w:shd w:val="clear" w:color="auto" w:fill="FFFFFF"/>
        </w:rPr>
      </w:pPr>
      <w:r w:rsidRPr="005F016C">
        <w:rPr>
          <w:rFonts w:ascii="Times New Roman" w:hAnsi="Times New Roman" w:cs="Times New Roman"/>
          <w:b/>
          <w:sz w:val="24"/>
          <w:szCs w:val="24"/>
          <w:shd w:val="clear" w:color="auto" w:fill="FFFFFF"/>
        </w:rPr>
        <w:t>China</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10,9 %; Año 2015,  19,3 %; Var. 1,77 - Un incremento equivalente al 77%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8,0 %; Año 2015, 15,4 %; Var. 1,93 - Un incremento equivalente al 93%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5,4 %; Año 2015, 10,3 %; Var. 1,91 - Un incremento equivalente al 91% (2015-2005)</w:t>
      </w:r>
    </w:p>
    <w:p w:rsidR="001E6FAE" w:rsidRPr="005F016C" w:rsidRDefault="001E6FAE" w:rsidP="001E6FAE">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Euro Área</w:t>
      </w:r>
    </w:p>
    <w:p w:rsidR="001E6FAE" w:rsidRDefault="001E6FAE" w:rsidP="001E6FAE">
      <w:pPr>
        <w:spacing w:line="240" w:lineRule="auto"/>
        <w:jc w:val="both"/>
        <w:rPr>
          <w:rFonts w:ascii="Times New Roman" w:hAnsi="Times New Roman" w:cs="Times New Roman"/>
          <w:sz w:val="24"/>
          <w:szCs w:val="24"/>
          <w:shd w:val="clear" w:color="auto" w:fill="FFFFFF"/>
        </w:rPr>
      </w:pPr>
      <w:r w:rsidRPr="0032247D">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17,0 %; Año 2015,  16,5 %; Var. -0,03 - Una reducción equivalente al -3%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11,3 %; Año 2015,  12,3 %; Var. 1,09 - Un incremento equivalente al 9% (2015-2005)</w:t>
      </w:r>
    </w:p>
    <w:p w:rsidR="001E6FAE" w:rsidRPr="00FF3C6F" w:rsidRDefault="001E6FAE" w:rsidP="001E6FAE">
      <w:pPr>
        <w:spacing w:line="240" w:lineRule="auto"/>
        <w:jc w:val="both"/>
        <w:rPr>
          <w:rFonts w:ascii="Times New Roman" w:hAnsi="Times New Roman" w:cs="Times New Roman"/>
          <w:b/>
          <w:color w:val="FF0000"/>
          <w:sz w:val="24"/>
          <w:szCs w:val="24"/>
          <w:shd w:val="clear" w:color="auto" w:fill="FFFFFF"/>
        </w:rPr>
      </w:pPr>
      <w:r w:rsidRPr="00FF3C6F">
        <w:rPr>
          <w:rFonts w:ascii="Times New Roman" w:hAnsi="Times New Roman" w:cs="Times New Roman"/>
          <w:b/>
          <w:color w:val="FF0000"/>
          <w:sz w:val="24"/>
          <w:szCs w:val="24"/>
          <w:shd w:val="clear" w:color="auto" w:fill="FFFFFF"/>
        </w:rPr>
        <w:t>Gross exports, partner shares</w:t>
      </w:r>
    </w:p>
    <w:p w:rsidR="001E6FAE" w:rsidRDefault="001E6FAE" w:rsidP="001E6FAE">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EEUU</w:t>
      </w:r>
    </w:p>
    <w:p w:rsidR="001E6FAE" w:rsidRDefault="001E6FAE" w:rsidP="001E6FAE">
      <w:pPr>
        <w:spacing w:line="240" w:lineRule="auto"/>
        <w:jc w:val="both"/>
        <w:rPr>
          <w:rFonts w:ascii="Times New Roman" w:hAnsi="Times New Roman" w:cs="Times New Roman"/>
          <w:sz w:val="24"/>
          <w:szCs w:val="24"/>
          <w:shd w:val="clear" w:color="auto" w:fill="FFFFFF"/>
        </w:rPr>
      </w:pPr>
      <w:r w:rsidRPr="0032247D">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29,6 %; Año 2015, 22,3 %; Var. -0,25 - Una reducción equivalente al -25%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26,7 %; Año 2015,  20,8 %; Var. -0,22 - Una reducción equivalente al -22%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18,0 %; Año 2015, 15,2  %; Var. -0,16 - Una reducción equivalente al -16% (2015-2005)</w:t>
      </w:r>
    </w:p>
    <w:p w:rsidR="001E6FAE" w:rsidRPr="005F016C" w:rsidRDefault="001E6FAE" w:rsidP="001E6FAE">
      <w:pPr>
        <w:spacing w:line="240" w:lineRule="auto"/>
        <w:jc w:val="both"/>
        <w:rPr>
          <w:rFonts w:ascii="Times New Roman" w:hAnsi="Times New Roman" w:cs="Times New Roman"/>
          <w:b/>
          <w:sz w:val="24"/>
          <w:szCs w:val="24"/>
          <w:shd w:val="clear" w:color="auto" w:fill="FFFFFF"/>
        </w:rPr>
      </w:pPr>
      <w:r w:rsidRPr="005F016C">
        <w:rPr>
          <w:rFonts w:ascii="Times New Roman" w:hAnsi="Times New Roman" w:cs="Times New Roman"/>
          <w:b/>
          <w:sz w:val="24"/>
          <w:szCs w:val="24"/>
          <w:shd w:val="clear" w:color="auto" w:fill="FFFFFF"/>
        </w:rPr>
        <w:t>China</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4,4 %; Año 2015, 11,7 %; Var. 2,69 - Un incremento equivalente al 169%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4,9 %; Año 2015, 10,8 %; Var. 2,20 - Un incremento equivalente al 120%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Euro Área: Año 2005, 3,8 %; Año 2015, 8,5 %; Var. 2,24 - Un incremento equivalente al 124% (2015-2005)</w:t>
      </w:r>
    </w:p>
    <w:p w:rsidR="001E6FAE" w:rsidRPr="005F016C" w:rsidRDefault="001E6FAE" w:rsidP="001E6FAE">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Euro Área</w:t>
      </w:r>
    </w:p>
    <w:p w:rsidR="001E6FAE" w:rsidRDefault="001E6FAE" w:rsidP="001E6FAE">
      <w:pPr>
        <w:spacing w:line="240" w:lineRule="auto"/>
        <w:jc w:val="both"/>
        <w:rPr>
          <w:rFonts w:ascii="Times New Roman" w:hAnsi="Times New Roman" w:cs="Times New Roman"/>
          <w:sz w:val="24"/>
          <w:szCs w:val="24"/>
          <w:shd w:val="clear" w:color="auto" w:fill="FFFFFF"/>
        </w:rPr>
      </w:pPr>
      <w:r w:rsidRPr="0032247D">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12,8 %; Año 2015, 10,7 %; Var. -0,16 - Una reducción equivalente al -16% (2015-2005)</w:t>
      </w:r>
    </w:p>
    <w:p w:rsidR="001E6FAE" w:rsidRDefault="001E6FAE" w:rsidP="001E6F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18,5 %; Año 2015, 16,5 %; Var. -0,11 - Una reducción equivalente al -11% (2015-2005)</w:t>
      </w:r>
    </w:p>
    <w:p w:rsidR="001E6FAE" w:rsidRPr="005875EE" w:rsidRDefault="001E6FAE" w:rsidP="001E6FAE">
      <w:pPr>
        <w:spacing w:line="240" w:lineRule="auto"/>
        <w:jc w:val="both"/>
        <w:rPr>
          <w:rFonts w:ascii="Times New Roman" w:hAnsi="Times New Roman" w:cs="Times New Roman"/>
          <w:b/>
          <w:color w:val="FF0000"/>
          <w:sz w:val="24"/>
          <w:szCs w:val="24"/>
          <w:shd w:val="clear" w:color="auto" w:fill="FFFFFF"/>
        </w:rPr>
      </w:pPr>
      <w:r w:rsidRPr="005875EE">
        <w:rPr>
          <w:rFonts w:ascii="Times New Roman" w:hAnsi="Times New Roman" w:cs="Times New Roman"/>
          <w:b/>
          <w:color w:val="FF0000"/>
          <w:sz w:val="24"/>
          <w:szCs w:val="24"/>
          <w:shd w:val="clear" w:color="auto" w:fill="FFFFFF"/>
        </w:rPr>
        <w:t>(+) Menor gasto de los consumidores por la adquisición de productos a menor precio.</w:t>
      </w:r>
    </w:p>
    <w:p w:rsidR="001E6FAE" w:rsidRPr="005875EE" w:rsidRDefault="001E6FAE" w:rsidP="001E6FAE">
      <w:pPr>
        <w:spacing w:line="240" w:lineRule="auto"/>
        <w:jc w:val="both"/>
        <w:rPr>
          <w:rFonts w:ascii="Times New Roman" w:hAnsi="Times New Roman" w:cs="Times New Roman"/>
          <w:b/>
          <w:color w:val="FF0000"/>
          <w:sz w:val="24"/>
          <w:szCs w:val="24"/>
          <w:shd w:val="clear" w:color="auto" w:fill="FFFFFF"/>
        </w:rPr>
      </w:pPr>
      <w:r w:rsidRPr="005875EE">
        <w:rPr>
          <w:rFonts w:ascii="Times New Roman" w:hAnsi="Times New Roman" w:cs="Times New Roman"/>
          <w:b/>
          <w:color w:val="FF0000"/>
          <w:sz w:val="24"/>
          <w:szCs w:val="24"/>
          <w:shd w:val="clear" w:color="auto" w:fill="FFFFFF"/>
        </w:rPr>
        <w:t>(+) Disminución del Índice de Precios al Consumidor.</w:t>
      </w:r>
    </w:p>
    <w:p w:rsidR="001E6FAE" w:rsidRPr="00A77801" w:rsidRDefault="001E6FAE" w:rsidP="001E6FAE">
      <w:pPr>
        <w:rPr>
          <w:rFonts w:ascii="Times New Roman" w:hAnsi="Times New Roman" w:cs="Times New Roman"/>
          <w:b/>
          <w:sz w:val="24"/>
          <w:szCs w:val="24"/>
          <w:lang w:val="en-US"/>
        </w:rPr>
      </w:pPr>
      <w:r w:rsidRPr="00A77801">
        <w:rPr>
          <w:rFonts w:ascii="Times New Roman" w:hAnsi="Times New Roman" w:cs="Times New Roman"/>
          <w:b/>
          <w:sz w:val="24"/>
          <w:szCs w:val="24"/>
          <w:lang w:val="en-US"/>
        </w:rPr>
        <w:t>United St</w:t>
      </w:r>
      <w:r>
        <w:rPr>
          <w:rFonts w:ascii="Times New Roman" w:hAnsi="Times New Roman" w:cs="Times New Roman"/>
          <w:b/>
          <w:sz w:val="24"/>
          <w:szCs w:val="24"/>
          <w:lang w:val="en-US"/>
        </w:rPr>
        <w:t xml:space="preserve">ates Census Bureau - </w:t>
      </w:r>
      <w:r w:rsidRPr="00081713">
        <w:rPr>
          <w:rFonts w:ascii="Times New Roman" w:hAnsi="Times New Roman" w:cs="Times New Roman"/>
          <w:b/>
          <w:sz w:val="24"/>
          <w:szCs w:val="24"/>
          <w:lang w:val="en-US"/>
        </w:rPr>
        <w:t>Last Revised: May 12, 2020</w:t>
      </w:r>
    </w:p>
    <w:tbl>
      <w:tblPr>
        <w:tblW w:w="5883" w:type="dxa"/>
        <w:tblInd w:w="55" w:type="dxa"/>
        <w:tblCellMar>
          <w:left w:w="70" w:type="dxa"/>
          <w:right w:w="70" w:type="dxa"/>
        </w:tblCellMar>
        <w:tblLook w:val="04A0" w:firstRow="1" w:lastRow="0" w:firstColumn="1" w:lastColumn="0" w:noHBand="0" w:noVBand="1"/>
      </w:tblPr>
      <w:tblGrid>
        <w:gridCol w:w="1773"/>
        <w:gridCol w:w="1370"/>
        <w:gridCol w:w="1370"/>
        <w:gridCol w:w="1370"/>
      </w:tblGrid>
      <w:tr w:rsidR="001E6FAE" w:rsidRPr="00D87818" w:rsidTr="00FF3C6F">
        <w:trPr>
          <w:trHeight w:val="580"/>
        </w:trPr>
        <w:tc>
          <w:tcPr>
            <w:tcW w:w="5882" w:type="dxa"/>
            <w:gridSpan w:val="4"/>
            <w:tcBorders>
              <w:top w:val="nil"/>
              <w:left w:val="nil"/>
              <w:bottom w:val="nil"/>
              <w:right w:val="nil"/>
            </w:tcBorders>
            <w:shd w:val="clear" w:color="000000" w:fill="FFFFFF"/>
            <w:vAlign w:val="bottom"/>
            <w:hideMark/>
          </w:tcPr>
          <w:p w:rsidR="001E6FAE" w:rsidRPr="00770B8D" w:rsidRDefault="001E6FAE" w:rsidP="001E6FAE">
            <w:pPr>
              <w:spacing w:after="0" w:line="240" w:lineRule="auto"/>
              <w:rPr>
                <w:rFonts w:ascii="Arial" w:eastAsia="Times New Roman" w:hAnsi="Arial" w:cs="Arial"/>
                <w:b/>
                <w:bCs/>
                <w:lang w:val="en-US" w:eastAsia="es-ES"/>
              </w:rPr>
            </w:pPr>
            <w:r w:rsidRPr="00770B8D">
              <w:rPr>
                <w:rFonts w:ascii="Arial" w:eastAsia="Times New Roman" w:hAnsi="Arial" w:cs="Arial"/>
                <w:b/>
                <w:bCs/>
                <w:lang w:val="en-US" w:eastAsia="es-ES"/>
              </w:rPr>
              <w:t>Table P-1. CPS Population and Per Capita Money Income, All Races: 1967 to 2018</w:t>
            </w:r>
          </w:p>
        </w:tc>
      </w:tr>
      <w:tr w:rsidR="001E6FAE" w:rsidRPr="00770B8D" w:rsidTr="00FF3C6F">
        <w:trPr>
          <w:trHeight w:val="433"/>
        </w:trPr>
        <w:tc>
          <w:tcPr>
            <w:tcW w:w="5882" w:type="dxa"/>
            <w:gridSpan w:val="4"/>
            <w:tcBorders>
              <w:top w:val="nil"/>
              <w:left w:val="nil"/>
              <w:bottom w:val="nil"/>
              <w:right w:val="nil"/>
            </w:tcBorders>
            <w:shd w:val="clear" w:color="000000" w:fill="FFFFFF"/>
            <w:vAlign w:val="bottom"/>
            <w:hideMark/>
          </w:tcPr>
          <w:p w:rsidR="001E6FAE" w:rsidRPr="00770B8D" w:rsidRDefault="001E6FAE" w:rsidP="001E6FAE">
            <w:pPr>
              <w:spacing w:after="0" w:line="240" w:lineRule="auto"/>
              <w:rPr>
                <w:rFonts w:ascii="Arial" w:eastAsia="Times New Roman" w:hAnsi="Arial" w:cs="Arial"/>
                <w:sz w:val="18"/>
                <w:szCs w:val="18"/>
                <w:lang w:eastAsia="es-ES"/>
              </w:rPr>
            </w:pPr>
            <w:r w:rsidRPr="00770B8D">
              <w:rPr>
                <w:rFonts w:ascii="Arial" w:eastAsia="Times New Roman" w:hAnsi="Arial" w:cs="Arial"/>
                <w:sz w:val="18"/>
                <w:szCs w:val="18"/>
                <w:lang w:val="en-US" w:eastAsia="es-ES"/>
              </w:rPr>
              <w:t xml:space="preserve">(Population as of March of the following year.  Income in current and 2018 CPI-U-RS adjusted dollars. </w:t>
            </w:r>
            <w:r w:rsidRPr="00770B8D">
              <w:rPr>
                <w:rFonts w:ascii="Arial" w:eastAsia="Times New Roman" w:hAnsi="Arial" w:cs="Arial"/>
                <w:sz w:val="18"/>
                <w:szCs w:val="18"/>
                <w:lang w:eastAsia="es-ES"/>
              </w:rPr>
              <w:t>(28))</w:t>
            </w:r>
          </w:p>
        </w:tc>
      </w:tr>
      <w:tr w:rsidR="001E6FAE" w:rsidRPr="00770B8D" w:rsidTr="00FF3C6F">
        <w:trPr>
          <w:trHeight w:val="433"/>
        </w:trPr>
        <w:tc>
          <w:tcPr>
            <w:tcW w:w="1773" w:type="dxa"/>
            <w:vMerge w:val="restart"/>
            <w:tcBorders>
              <w:top w:val="nil"/>
              <w:left w:val="nil"/>
              <w:bottom w:val="single" w:sz="4" w:space="0" w:color="AAC1D9"/>
              <w:right w:val="nil"/>
            </w:tcBorders>
            <w:shd w:val="clear" w:color="000000" w:fill="99CCFF"/>
            <w:vAlign w:val="center"/>
            <w:hideMark/>
          </w:tcPr>
          <w:p w:rsidR="001E6FAE" w:rsidRPr="00770B8D" w:rsidRDefault="001E6FAE" w:rsidP="001E6FAE">
            <w:pPr>
              <w:spacing w:after="0" w:line="240" w:lineRule="auto"/>
              <w:jc w:val="center"/>
              <w:rPr>
                <w:rFonts w:ascii="Arial" w:eastAsia="Times New Roman" w:hAnsi="Arial" w:cs="Arial"/>
                <w:b/>
                <w:bCs/>
                <w:color w:val="000000"/>
                <w:sz w:val="18"/>
                <w:szCs w:val="18"/>
                <w:lang w:eastAsia="es-ES"/>
              </w:rPr>
            </w:pPr>
            <w:r w:rsidRPr="00770B8D">
              <w:rPr>
                <w:rFonts w:ascii="Arial" w:eastAsia="Times New Roman" w:hAnsi="Arial" w:cs="Arial"/>
                <w:b/>
                <w:bCs/>
                <w:color w:val="000000"/>
                <w:sz w:val="18"/>
                <w:szCs w:val="18"/>
                <w:lang w:eastAsia="es-ES"/>
              </w:rPr>
              <w:t>Year</w:t>
            </w:r>
          </w:p>
        </w:tc>
        <w:tc>
          <w:tcPr>
            <w:tcW w:w="1370" w:type="dxa"/>
            <w:vMerge w:val="restart"/>
            <w:tcBorders>
              <w:top w:val="nil"/>
              <w:left w:val="single" w:sz="4" w:space="0" w:color="AAC1D9"/>
              <w:bottom w:val="single" w:sz="4" w:space="0" w:color="AAC1D9"/>
              <w:right w:val="single" w:sz="4" w:space="0" w:color="AAC1D9"/>
            </w:tcBorders>
            <w:shd w:val="clear" w:color="000000" w:fill="99CCFF"/>
            <w:vAlign w:val="center"/>
            <w:hideMark/>
          </w:tcPr>
          <w:p w:rsidR="001E6FAE" w:rsidRPr="00770B8D" w:rsidRDefault="001E6FAE" w:rsidP="001E6FAE">
            <w:pPr>
              <w:spacing w:after="0" w:line="240" w:lineRule="auto"/>
              <w:jc w:val="center"/>
              <w:rPr>
                <w:rFonts w:ascii="Arial" w:eastAsia="Times New Roman" w:hAnsi="Arial" w:cs="Arial"/>
                <w:b/>
                <w:bCs/>
                <w:color w:val="000000"/>
                <w:sz w:val="18"/>
                <w:szCs w:val="18"/>
                <w:lang w:eastAsia="es-ES"/>
              </w:rPr>
            </w:pPr>
            <w:r w:rsidRPr="00770B8D">
              <w:rPr>
                <w:rFonts w:ascii="Arial" w:eastAsia="Times New Roman" w:hAnsi="Arial" w:cs="Arial"/>
                <w:b/>
                <w:bCs/>
                <w:color w:val="000000"/>
                <w:sz w:val="18"/>
                <w:szCs w:val="18"/>
                <w:lang w:eastAsia="es-ES"/>
              </w:rPr>
              <w:t>Number</w:t>
            </w:r>
            <w:r w:rsidRPr="00770B8D">
              <w:rPr>
                <w:rFonts w:ascii="Arial" w:eastAsia="Times New Roman" w:hAnsi="Arial" w:cs="Arial"/>
                <w:b/>
                <w:bCs/>
                <w:color w:val="000000"/>
                <w:sz w:val="18"/>
                <w:szCs w:val="18"/>
                <w:lang w:eastAsia="es-ES"/>
              </w:rPr>
              <w:br/>
              <w:t>(thousands)</w:t>
            </w:r>
          </w:p>
        </w:tc>
        <w:tc>
          <w:tcPr>
            <w:tcW w:w="2740" w:type="dxa"/>
            <w:gridSpan w:val="2"/>
            <w:tcBorders>
              <w:top w:val="nil"/>
              <w:left w:val="nil"/>
              <w:bottom w:val="single" w:sz="4" w:space="0" w:color="AAC1D9"/>
              <w:right w:val="single" w:sz="4" w:space="0" w:color="AAC1D9"/>
            </w:tcBorders>
            <w:shd w:val="clear" w:color="000000" w:fill="99CCFF"/>
            <w:vAlign w:val="center"/>
            <w:hideMark/>
          </w:tcPr>
          <w:p w:rsidR="001E6FAE" w:rsidRPr="00770B8D" w:rsidRDefault="001E6FAE" w:rsidP="001E6FAE">
            <w:pPr>
              <w:spacing w:after="0" w:line="240" w:lineRule="auto"/>
              <w:jc w:val="center"/>
              <w:rPr>
                <w:rFonts w:ascii="Arial" w:eastAsia="Times New Roman" w:hAnsi="Arial" w:cs="Arial"/>
                <w:b/>
                <w:bCs/>
                <w:color w:val="000000"/>
                <w:sz w:val="18"/>
                <w:szCs w:val="18"/>
                <w:lang w:eastAsia="es-ES"/>
              </w:rPr>
            </w:pPr>
            <w:r w:rsidRPr="00770B8D">
              <w:rPr>
                <w:rFonts w:ascii="Arial" w:eastAsia="Times New Roman" w:hAnsi="Arial" w:cs="Arial"/>
                <w:b/>
                <w:bCs/>
                <w:color w:val="000000"/>
                <w:sz w:val="18"/>
                <w:szCs w:val="18"/>
                <w:lang w:eastAsia="es-ES"/>
              </w:rPr>
              <w:t>Per capita income</w:t>
            </w:r>
          </w:p>
        </w:tc>
      </w:tr>
      <w:tr w:rsidR="001E6FAE" w:rsidRPr="00770B8D" w:rsidTr="00FF3C6F">
        <w:trPr>
          <w:trHeight w:val="433"/>
        </w:trPr>
        <w:tc>
          <w:tcPr>
            <w:tcW w:w="1773" w:type="dxa"/>
            <w:vMerge/>
            <w:tcBorders>
              <w:top w:val="nil"/>
              <w:left w:val="nil"/>
              <w:bottom w:val="single" w:sz="4" w:space="0" w:color="AAC1D9"/>
              <w:right w:val="nil"/>
            </w:tcBorders>
            <w:vAlign w:val="center"/>
            <w:hideMark/>
          </w:tcPr>
          <w:p w:rsidR="001E6FAE" w:rsidRPr="00770B8D" w:rsidRDefault="001E6FAE" w:rsidP="001E6FAE">
            <w:pPr>
              <w:spacing w:after="0" w:line="240" w:lineRule="auto"/>
              <w:rPr>
                <w:rFonts w:ascii="Arial" w:eastAsia="Times New Roman" w:hAnsi="Arial" w:cs="Arial"/>
                <w:b/>
                <w:bCs/>
                <w:color w:val="000000"/>
                <w:sz w:val="18"/>
                <w:szCs w:val="18"/>
                <w:lang w:eastAsia="es-ES"/>
              </w:rPr>
            </w:pPr>
          </w:p>
        </w:tc>
        <w:tc>
          <w:tcPr>
            <w:tcW w:w="1370" w:type="dxa"/>
            <w:vMerge/>
            <w:tcBorders>
              <w:top w:val="nil"/>
              <w:left w:val="single" w:sz="4" w:space="0" w:color="AAC1D9"/>
              <w:bottom w:val="single" w:sz="4" w:space="0" w:color="AAC1D9"/>
              <w:right w:val="single" w:sz="4" w:space="0" w:color="AAC1D9"/>
            </w:tcBorders>
            <w:vAlign w:val="center"/>
            <w:hideMark/>
          </w:tcPr>
          <w:p w:rsidR="001E6FAE" w:rsidRPr="00770B8D" w:rsidRDefault="001E6FAE" w:rsidP="001E6FAE">
            <w:pPr>
              <w:spacing w:after="0" w:line="240" w:lineRule="auto"/>
              <w:rPr>
                <w:rFonts w:ascii="Arial" w:eastAsia="Times New Roman" w:hAnsi="Arial" w:cs="Arial"/>
                <w:b/>
                <w:bCs/>
                <w:color w:val="000000"/>
                <w:sz w:val="18"/>
                <w:szCs w:val="18"/>
                <w:lang w:eastAsia="es-ES"/>
              </w:rPr>
            </w:pPr>
          </w:p>
        </w:tc>
        <w:tc>
          <w:tcPr>
            <w:tcW w:w="1370" w:type="dxa"/>
            <w:tcBorders>
              <w:top w:val="nil"/>
              <w:left w:val="nil"/>
              <w:bottom w:val="single" w:sz="4" w:space="0" w:color="AAC1D9"/>
              <w:right w:val="single" w:sz="4" w:space="0" w:color="AAC1D9"/>
            </w:tcBorders>
            <w:shd w:val="clear" w:color="000000" w:fill="99CCFF"/>
            <w:vAlign w:val="center"/>
            <w:hideMark/>
          </w:tcPr>
          <w:p w:rsidR="001E6FAE" w:rsidRPr="00770B8D" w:rsidRDefault="001E6FAE" w:rsidP="001E6FAE">
            <w:pPr>
              <w:spacing w:after="0" w:line="240" w:lineRule="auto"/>
              <w:jc w:val="center"/>
              <w:rPr>
                <w:rFonts w:ascii="Arial" w:eastAsia="Times New Roman" w:hAnsi="Arial" w:cs="Arial"/>
                <w:b/>
                <w:bCs/>
                <w:color w:val="000000"/>
                <w:sz w:val="18"/>
                <w:szCs w:val="18"/>
                <w:lang w:eastAsia="es-ES"/>
              </w:rPr>
            </w:pPr>
            <w:r w:rsidRPr="00770B8D">
              <w:rPr>
                <w:rFonts w:ascii="Arial" w:eastAsia="Times New Roman" w:hAnsi="Arial" w:cs="Arial"/>
                <w:b/>
                <w:bCs/>
                <w:color w:val="000000"/>
                <w:sz w:val="18"/>
                <w:szCs w:val="18"/>
                <w:lang w:eastAsia="es-ES"/>
              </w:rPr>
              <w:t>Current</w:t>
            </w:r>
            <w:r w:rsidRPr="00770B8D">
              <w:rPr>
                <w:rFonts w:ascii="Arial" w:eastAsia="Times New Roman" w:hAnsi="Arial" w:cs="Arial"/>
                <w:b/>
                <w:bCs/>
                <w:color w:val="000000"/>
                <w:sz w:val="18"/>
                <w:szCs w:val="18"/>
                <w:lang w:eastAsia="es-ES"/>
              </w:rPr>
              <w:br/>
              <w:t>dollars</w:t>
            </w:r>
          </w:p>
        </w:tc>
        <w:tc>
          <w:tcPr>
            <w:tcW w:w="1370" w:type="dxa"/>
            <w:tcBorders>
              <w:top w:val="nil"/>
              <w:left w:val="nil"/>
              <w:bottom w:val="single" w:sz="4" w:space="0" w:color="AAC1D9"/>
              <w:right w:val="single" w:sz="4" w:space="0" w:color="AAC1D9"/>
            </w:tcBorders>
            <w:shd w:val="clear" w:color="000000" w:fill="99CCFF"/>
            <w:vAlign w:val="center"/>
            <w:hideMark/>
          </w:tcPr>
          <w:p w:rsidR="001E6FAE" w:rsidRPr="00770B8D" w:rsidRDefault="001E6FAE" w:rsidP="001E6FAE">
            <w:pPr>
              <w:spacing w:after="0" w:line="240" w:lineRule="auto"/>
              <w:jc w:val="center"/>
              <w:rPr>
                <w:rFonts w:ascii="Arial" w:eastAsia="Times New Roman" w:hAnsi="Arial" w:cs="Arial"/>
                <w:b/>
                <w:bCs/>
                <w:color w:val="000000"/>
                <w:sz w:val="18"/>
                <w:szCs w:val="18"/>
                <w:lang w:eastAsia="es-ES"/>
              </w:rPr>
            </w:pPr>
            <w:r w:rsidRPr="00770B8D">
              <w:rPr>
                <w:rFonts w:ascii="Arial" w:eastAsia="Times New Roman" w:hAnsi="Arial" w:cs="Arial"/>
                <w:b/>
                <w:bCs/>
                <w:color w:val="000000"/>
                <w:sz w:val="18"/>
                <w:szCs w:val="18"/>
                <w:lang w:eastAsia="es-ES"/>
              </w:rPr>
              <w:t>2018</w:t>
            </w:r>
            <w:r w:rsidRPr="00770B8D">
              <w:rPr>
                <w:rFonts w:ascii="Arial" w:eastAsia="Times New Roman" w:hAnsi="Arial" w:cs="Arial"/>
                <w:b/>
                <w:bCs/>
                <w:color w:val="000000"/>
                <w:sz w:val="18"/>
                <w:szCs w:val="18"/>
                <w:lang w:eastAsia="es-ES"/>
              </w:rPr>
              <w:br/>
              <w:t>dollars</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2018</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324.356</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36.080</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36.080</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2017 (40)</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323.144</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35.048</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35.902</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2017</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323.156</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34.489</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35.330</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2016</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320.372</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33.205</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34.746</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2015</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318.868</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31.653</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33.549</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2014</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316.168</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30.176</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32.039</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2013 (39)</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313.443</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30.027</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32.420</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2013 (38)</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313.395</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28.829</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31.127</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2012</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311.116</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28.281</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30.988</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2011</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308.827</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27.554</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30.830</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2010 (37)</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306.553</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26.558</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30.653</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2009 (36)</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304.280</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26.530</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31.126</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2008</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301.483</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26.964</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31.525</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2007</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299.106</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26.804</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32.541</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2006</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296.824</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26.352</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32.900</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2005</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293.834</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25.036</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32.270</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2004 (35)</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291.166</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23.857</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31.792</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2003</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288.280</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23.276</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31.856</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2002</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285.933</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22.794</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31.905</w:t>
            </w:r>
          </w:p>
        </w:tc>
      </w:tr>
      <w:tr w:rsidR="001E6FAE" w:rsidRPr="00770B8D" w:rsidTr="00FF3C6F">
        <w:trPr>
          <w:trHeight w:val="27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2001</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282.082</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22.851</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32.489</w:t>
            </w:r>
          </w:p>
        </w:tc>
      </w:tr>
      <w:tr w:rsidR="001E6FAE" w:rsidRPr="00770B8D" w:rsidTr="00FF3C6F">
        <w:trPr>
          <w:trHeight w:val="221"/>
        </w:trPr>
        <w:tc>
          <w:tcPr>
            <w:tcW w:w="1773"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2000 (30)</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279.517</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22.346</w:t>
            </w:r>
          </w:p>
        </w:tc>
        <w:tc>
          <w:tcPr>
            <w:tcW w:w="1370" w:type="dxa"/>
            <w:tcBorders>
              <w:top w:val="nil"/>
              <w:left w:val="nil"/>
              <w:bottom w:val="single" w:sz="4" w:space="0" w:color="AAC1D9"/>
              <w:right w:val="single" w:sz="4" w:space="0" w:color="AAC1D9"/>
            </w:tcBorders>
            <w:shd w:val="clear" w:color="000000" w:fill="FFFFFF"/>
            <w:vAlign w:val="bottom"/>
            <w:hideMark/>
          </w:tcPr>
          <w:p w:rsidR="001E6FAE" w:rsidRPr="00770B8D" w:rsidRDefault="001E6FAE" w:rsidP="001E6FAE">
            <w:pPr>
              <w:spacing w:after="0" w:line="240" w:lineRule="auto"/>
              <w:jc w:val="right"/>
              <w:rPr>
                <w:rFonts w:ascii="Arial" w:eastAsia="Times New Roman" w:hAnsi="Arial" w:cs="Arial"/>
                <w:color w:val="000000"/>
                <w:sz w:val="16"/>
                <w:szCs w:val="16"/>
                <w:lang w:eastAsia="es-ES"/>
              </w:rPr>
            </w:pPr>
            <w:r w:rsidRPr="00770B8D">
              <w:rPr>
                <w:rFonts w:ascii="Arial" w:eastAsia="Times New Roman" w:hAnsi="Arial" w:cs="Arial"/>
                <w:color w:val="000000"/>
                <w:sz w:val="16"/>
                <w:szCs w:val="16"/>
                <w:lang w:eastAsia="es-ES"/>
              </w:rPr>
              <w:t>32.675</w:t>
            </w:r>
          </w:p>
        </w:tc>
      </w:tr>
    </w:tbl>
    <w:p w:rsidR="00FF3C6F" w:rsidRDefault="00FF3C6F" w:rsidP="001E6FAE">
      <w:pPr>
        <w:rPr>
          <w:rFonts w:ascii="Times New Roman" w:hAnsi="Times New Roman" w:cs="Times New Roman"/>
          <w:b/>
          <w:sz w:val="24"/>
          <w:szCs w:val="24"/>
          <w:lang w:val="en-US"/>
        </w:rPr>
      </w:pPr>
    </w:p>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t>Employment - 2000</w:t>
      </w:r>
    </w:p>
    <w:tbl>
      <w:tblPr>
        <w:tblW w:w="5700" w:type="dxa"/>
        <w:tblInd w:w="55" w:type="dxa"/>
        <w:tblCellMar>
          <w:left w:w="70" w:type="dxa"/>
          <w:right w:w="70" w:type="dxa"/>
        </w:tblCellMar>
        <w:tblLook w:val="04A0" w:firstRow="1" w:lastRow="0" w:firstColumn="1" w:lastColumn="0" w:noHBand="0" w:noVBand="1"/>
      </w:tblPr>
      <w:tblGrid>
        <w:gridCol w:w="2180"/>
        <w:gridCol w:w="2180"/>
        <w:gridCol w:w="1340"/>
      </w:tblGrid>
      <w:tr w:rsidR="001E6FAE" w:rsidRPr="00D117D9" w:rsidTr="001E6FAE">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1E6FAE" w:rsidRPr="00D117D9" w:rsidRDefault="001E6FAE" w:rsidP="001E6FAE">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single" w:sz="4" w:space="0" w:color="auto"/>
              <w:left w:val="nil"/>
              <w:bottom w:val="nil"/>
              <w:right w:val="single" w:sz="4" w:space="0" w:color="auto"/>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1E6FAE" w:rsidRPr="00D117D9" w:rsidTr="001E6FAE">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1E6FAE" w:rsidRPr="00D117D9" w:rsidRDefault="001E6FAE" w:rsidP="001E6FAE">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nil"/>
              <w:left w:val="nil"/>
              <w:bottom w:val="nil"/>
              <w:right w:val="single" w:sz="4" w:space="0" w:color="auto"/>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1E6FAE" w:rsidRPr="00D117D9" w:rsidTr="001E6FAE">
        <w:trPr>
          <w:trHeight w:val="6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DATA TYPE</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D117D9" w:rsidRDefault="001E6FAE" w:rsidP="001E6FAE">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TOTAL</w:t>
            </w:r>
          </w:p>
        </w:tc>
      </w:tr>
      <w:tr w:rsidR="001E6FAE" w:rsidRPr="00D117D9" w:rsidTr="001E6FAE">
        <w:trPr>
          <w:trHeight w:val="225"/>
        </w:trPr>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Firms</w:t>
            </w:r>
          </w:p>
        </w:tc>
        <w:tc>
          <w:tcPr>
            <w:tcW w:w="134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5.652.544</w:t>
            </w:r>
          </w:p>
        </w:tc>
      </w:tr>
      <w:tr w:rsidR="001E6FAE" w:rsidRPr="00D117D9" w:rsidTr="001E6FAE">
        <w:trPr>
          <w:trHeight w:val="225"/>
        </w:trPr>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Establishments</w:t>
            </w:r>
          </w:p>
        </w:tc>
        <w:tc>
          <w:tcPr>
            <w:tcW w:w="134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7.070.048</w:t>
            </w:r>
          </w:p>
        </w:tc>
      </w:tr>
      <w:tr w:rsidR="001E6FAE" w:rsidRPr="00D117D9" w:rsidTr="001E6FAE">
        <w:trPr>
          <w:trHeight w:val="225"/>
        </w:trPr>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Employment</w:t>
            </w:r>
          </w:p>
        </w:tc>
        <w:tc>
          <w:tcPr>
            <w:tcW w:w="134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114.064.976</w:t>
            </w:r>
          </w:p>
        </w:tc>
      </w:tr>
      <w:tr w:rsidR="001E6FAE" w:rsidRPr="00D117D9" w:rsidTr="001E6FAE">
        <w:trPr>
          <w:trHeight w:val="225"/>
        </w:trPr>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Annual Payroll ($1,000)</w:t>
            </w:r>
          </w:p>
        </w:tc>
        <w:tc>
          <w:tcPr>
            <w:tcW w:w="134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3.879.430.052</w:t>
            </w:r>
          </w:p>
        </w:tc>
      </w:tr>
    </w:tbl>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t>Employment - 2001</w:t>
      </w:r>
    </w:p>
    <w:tbl>
      <w:tblPr>
        <w:tblW w:w="5700" w:type="dxa"/>
        <w:tblInd w:w="55" w:type="dxa"/>
        <w:tblCellMar>
          <w:left w:w="70" w:type="dxa"/>
          <w:right w:w="70" w:type="dxa"/>
        </w:tblCellMar>
        <w:tblLook w:val="04A0" w:firstRow="1" w:lastRow="0" w:firstColumn="1" w:lastColumn="0" w:noHBand="0" w:noVBand="1"/>
      </w:tblPr>
      <w:tblGrid>
        <w:gridCol w:w="2180"/>
        <w:gridCol w:w="2180"/>
        <w:gridCol w:w="1340"/>
      </w:tblGrid>
      <w:tr w:rsidR="001E6FAE" w:rsidRPr="00D117D9" w:rsidTr="001E6FAE">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1E6FAE" w:rsidRPr="00D117D9" w:rsidRDefault="001E6FAE" w:rsidP="001E6FAE">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nil"/>
              <w:left w:val="nil"/>
              <w:bottom w:val="nil"/>
              <w:right w:val="single" w:sz="4" w:space="0" w:color="auto"/>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1E6FAE" w:rsidRPr="00D117D9" w:rsidTr="001E6FAE">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DATA TYPE</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D117D9" w:rsidRDefault="001E6FAE" w:rsidP="001E6FAE">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TOTAL</w:t>
            </w:r>
          </w:p>
        </w:tc>
      </w:tr>
      <w:tr w:rsidR="001E6FAE" w:rsidRPr="00D117D9" w:rsidTr="001E6FAE">
        <w:trPr>
          <w:trHeight w:val="225"/>
        </w:trPr>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Firms</w:t>
            </w:r>
          </w:p>
        </w:tc>
        <w:tc>
          <w:tcPr>
            <w:tcW w:w="134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5.657.774</w:t>
            </w:r>
          </w:p>
        </w:tc>
      </w:tr>
      <w:tr w:rsidR="001E6FAE" w:rsidRPr="00D117D9" w:rsidTr="001E6FAE">
        <w:trPr>
          <w:trHeight w:val="225"/>
        </w:trPr>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Establishments</w:t>
            </w:r>
          </w:p>
        </w:tc>
        <w:tc>
          <w:tcPr>
            <w:tcW w:w="134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7.095.302</w:t>
            </w:r>
          </w:p>
        </w:tc>
      </w:tr>
      <w:tr w:rsidR="001E6FAE" w:rsidRPr="00D117D9" w:rsidTr="001E6FAE">
        <w:trPr>
          <w:trHeight w:val="225"/>
        </w:trPr>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Employment</w:t>
            </w:r>
          </w:p>
        </w:tc>
        <w:tc>
          <w:tcPr>
            <w:tcW w:w="134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115.061.184</w:t>
            </w:r>
          </w:p>
        </w:tc>
      </w:tr>
      <w:tr w:rsidR="001E6FAE" w:rsidRPr="00D117D9" w:rsidTr="001E6FAE">
        <w:trPr>
          <w:trHeight w:val="225"/>
        </w:trPr>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Annual Payroll ($1,000)</w:t>
            </w:r>
          </w:p>
        </w:tc>
        <w:tc>
          <w:tcPr>
            <w:tcW w:w="134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3.989.086.323</w:t>
            </w:r>
          </w:p>
        </w:tc>
      </w:tr>
    </w:tbl>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t>Employment - 2002</w:t>
      </w:r>
    </w:p>
    <w:tbl>
      <w:tblPr>
        <w:tblW w:w="6020" w:type="dxa"/>
        <w:tblInd w:w="55" w:type="dxa"/>
        <w:tblCellMar>
          <w:left w:w="70" w:type="dxa"/>
          <w:right w:w="70" w:type="dxa"/>
        </w:tblCellMar>
        <w:tblLook w:val="04A0" w:firstRow="1" w:lastRow="0" w:firstColumn="1" w:lastColumn="0" w:noHBand="0" w:noVBand="1"/>
      </w:tblPr>
      <w:tblGrid>
        <w:gridCol w:w="2180"/>
        <w:gridCol w:w="2180"/>
        <w:gridCol w:w="1660"/>
      </w:tblGrid>
      <w:tr w:rsidR="001E6FAE" w:rsidRPr="00A77801" w:rsidTr="001E6FAE">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1E6FAE" w:rsidRPr="00A77801" w:rsidRDefault="001E6FAE" w:rsidP="001E6FAE">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1660" w:type="dxa"/>
            <w:tcBorders>
              <w:top w:val="single" w:sz="4" w:space="0" w:color="auto"/>
              <w:left w:val="nil"/>
              <w:bottom w:val="nil"/>
              <w:right w:val="single" w:sz="4" w:space="0" w:color="auto"/>
            </w:tcBorders>
            <w:shd w:val="clear" w:color="auto" w:fill="auto"/>
            <w:noWrap/>
            <w:vAlign w:val="bottom"/>
            <w:hideMark/>
          </w:tcPr>
          <w:p w:rsidR="001E6FAE" w:rsidRPr="00A77801" w:rsidRDefault="001E6FAE" w:rsidP="001E6FAE">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 </w:t>
            </w:r>
          </w:p>
        </w:tc>
      </w:tr>
      <w:tr w:rsidR="001E6FAE" w:rsidRPr="00A77801" w:rsidTr="001E6FAE">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1E6FAE" w:rsidRPr="00A77801" w:rsidRDefault="001E6FAE" w:rsidP="001E6FAE">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1660" w:type="dxa"/>
            <w:tcBorders>
              <w:top w:val="nil"/>
              <w:left w:val="nil"/>
              <w:bottom w:val="nil"/>
              <w:right w:val="single" w:sz="4" w:space="0" w:color="auto"/>
            </w:tcBorders>
            <w:shd w:val="clear" w:color="auto" w:fill="auto"/>
            <w:noWrap/>
            <w:vAlign w:val="bottom"/>
            <w:hideMark/>
          </w:tcPr>
          <w:p w:rsidR="001E6FAE" w:rsidRPr="00A77801" w:rsidRDefault="001E6FAE" w:rsidP="001E6FAE">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 </w:t>
            </w:r>
          </w:p>
        </w:tc>
      </w:tr>
      <w:tr w:rsidR="001E6FAE" w:rsidRPr="00A77801" w:rsidTr="001E6FAE">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DATA TYPE</w:t>
            </w:r>
          </w:p>
        </w:tc>
        <w:tc>
          <w:tcPr>
            <w:tcW w:w="1660" w:type="dxa"/>
            <w:tcBorders>
              <w:top w:val="nil"/>
              <w:left w:val="nil"/>
              <w:bottom w:val="single" w:sz="4" w:space="0" w:color="auto"/>
              <w:right w:val="single" w:sz="4" w:space="0" w:color="auto"/>
            </w:tcBorders>
            <w:shd w:val="clear" w:color="auto" w:fill="auto"/>
            <w:noWrap/>
            <w:vAlign w:val="bottom"/>
            <w:hideMark/>
          </w:tcPr>
          <w:p w:rsidR="001E6FAE" w:rsidRPr="00A77801" w:rsidRDefault="001E6FAE" w:rsidP="001E6FAE">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TOTAL</w:t>
            </w:r>
          </w:p>
        </w:tc>
      </w:tr>
      <w:tr w:rsidR="001E6FAE" w:rsidRPr="00A77801" w:rsidTr="001E6FAE">
        <w:trPr>
          <w:trHeight w:val="225"/>
        </w:trPr>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Firms</w:t>
            </w:r>
          </w:p>
        </w:tc>
        <w:tc>
          <w:tcPr>
            <w:tcW w:w="166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5.697.759</w:t>
            </w:r>
          </w:p>
        </w:tc>
      </w:tr>
      <w:tr w:rsidR="001E6FAE" w:rsidRPr="00A77801" w:rsidTr="001E6FAE">
        <w:trPr>
          <w:trHeight w:val="225"/>
        </w:trPr>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Establishments</w:t>
            </w:r>
          </w:p>
        </w:tc>
        <w:tc>
          <w:tcPr>
            <w:tcW w:w="166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7.200.770</w:t>
            </w:r>
          </w:p>
        </w:tc>
      </w:tr>
      <w:tr w:rsidR="001E6FAE" w:rsidRPr="00A77801" w:rsidTr="001E6FAE">
        <w:trPr>
          <w:trHeight w:val="225"/>
        </w:trPr>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Employment</w:t>
            </w:r>
          </w:p>
        </w:tc>
        <w:tc>
          <w:tcPr>
            <w:tcW w:w="166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112.400.654</w:t>
            </w:r>
          </w:p>
        </w:tc>
      </w:tr>
      <w:tr w:rsidR="001E6FAE" w:rsidRPr="00A77801" w:rsidTr="001E6FAE">
        <w:trPr>
          <w:trHeight w:val="225"/>
        </w:trPr>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Annual Payroll ($1,000)</w:t>
            </w:r>
          </w:p>
        </w:tc>
        <w:tc>
          <w:tcPr>
            <w:tcW w:w="166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3.943.179.606</w:t>
            </w:r>
          </w:p>
        </w:tc>
      </w:tr>
      <w:tr w:rsidR="001E6FAE" w:rsidRPr="00A77801" w:rsidTr="001E6FAE">
        <w:trPr>
          <w:trHeight w:val="225"/>
        </w:trPr>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Receipts ($1,000)</w:t>
            </w:r>
          </w:p>
        </w:tc>
        <w:tc>
          <w:tcPr>
            <w:tcW w:w="166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22.062.528.196</w:t>
            </w:r>
          </w:p>
        </w:tc>
      </w:tr>
    </w:tbl>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t>Employment - 2003</w:t>
      </w:r>
    </w:p>
    <w:tbl>
      <w:tblPr>
        <w:tblW w:w="5700" w:type="dxa"/>
        <w:tblInd w:w="55" w:type="dxa"/>
        <w:tblCellMar>
          <w:left w:w="70" w:type="dxa"/>
          <w:right w:w="70" w:type="dxa"/>
        </w:tblCellMar>
        <w:tblLook w:val="04A0" w:firstRow="1" w:lastRow="0" w:firstColumn="1" w:lastColumn="0" w:noHBand="0" w:noVBand="1"/>
      </w:tblPr>
      <w:tblGrid>
        <w:gridCol w:w="2180"/>
        <w:gridCol w:w="2180"/>
        <w:gridCol w:w="1340"/>
      </w:tblGrid>
      <w:tr w:rsidR="001E6FAE" w:rsidRPr="00A77801" w:rsidTr="001E6FAE">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1E6FAE" w:rsidRPr="00A77801" w:rsidRDefault="001E6FAE" w:rsidP="001E6FAE">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1340" w:type="dxa"/>
            <w:tcBorders>
              <w:top w:val="single" w:sz="4" w:space="0" w:color="auto"/>
              <w:left w:val="nil"/>
              <w:bottom w:val="nil"/>
              <w:right w:val="single" w:sz="4" w:space="0" w:color="auto"/>
            </w:tcBorders>
            <w:shd w:val="clear" w:color="auto" w:fill="auto"/>
            <w:noWrap/>
            <w:vAlign w:val="bottom"/>
            <w:hideMark/>
          </w:tcPr>
          <w:p w:rsidR="001E6FAE" w:rsidRPr="00A77801" w:rsidRDefault="001E6FAE" w:rsidP="001E6FAE">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 </w:t>
            </w:r>
          </w:p>
        </w:tc>
      </w:tr>
      <w:tr w:rsidR="001E6FAE" w:rsidRPr="00A77801" w:rsidTr="001E6FAE">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1E6FAE" w:rsidRPr="00A77801" w:rsidRDefault="001E6FAE" w:rsidP="001E6FAE">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1340" w:type="dxa"/>
            <w:tcBorders>
              <w:top w:val="nil"/>
              <w:left w:val="nil"/>
              <w:bottom w:val="nil"/>
              <w:right w:val="single" w:sz="4" w:space="0" w:color="auto"/>
            </w:tcBorders>
            <w:shd w:val="clear" w:color="auto" w:fill="auto"/>
            <w:noWrap/>
            <w:vAlign w:val="bottom"/>
            <w:hideMark/>
          </w:tcPr>
          <w:p w:rsidR="001E6FAE" w:rsidRPr="00A77801" w:rsidRDefault="001E6FAE" w:rsidP="001E6FAE">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 </w:t>
            </w:r>
          </w:p>
        </w:tc>
      </w:tr>
      <w:tr w:rsidR="001E6FAE" w:rsidRPr="00A77801" w:rsidTr="001E6FAE">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DATA TYPE</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A77801" w:rsidRDefault="001E6FAE" w:rsidP="001E6FAE">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TOTAL</w:t>
            </w:r>
          </w:p>
        </w:tc>
      </w:tr>
      <w:tr w:rsidR="001E6FAE" w:rsidRPr="00A77801" w:rsidTr="001E6FAE">
        <w:trPr>
          <w:trHeight w:val="225"/>
        </w:trPr>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Firms</w:t>
            </w:r>
          </w:p>
        </w:tc>
        <w:tc>
          <w:tcPr>
            <w:tcW w:w="134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5.767.127</w:t>
            </w:r>
          </w:p>
        </w:tc>
      </w:tr>
      <w:tr w:rsidR="001E6FAE" w:rsidRPr="00A77801" w:rsidTr="001E6FAE">
        <w:trPr>
          <w:trHeight w:val="225"/>
        </w:trPr>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Establishments</w:t>
            </w:r>
          </w:p>
        </w:tc>
        <w:tc>
          <w:tcPr>
            <w:tcW w:w="134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7.254.745</w:t>
            </w:r>
          </w:p>
        </w:tc>
      </w:tr>
      <w:tr w:rsidR="001E6FAE" w:rsidRPr="00A77801" w:rsidTr="001E6FAE">
        <w:trPr>
          <w:trHeight w:val="225"/>
        </w:trPr>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Employment</w:t>
            </w:r>
          </w:p>
        </w:tc>
        <w:tc>
          <w:tcPr>
            <w:tcW w:w="134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113.398.043</w:t>
            </w:r>
          </w:p>
        </w:tc>
      </w:tr>
      <w:tr w:rsidR="001E6FAE" w:rsidRPr="00A77801" w:rsidTr="001E6FAE">
        <w:trPr>
          <w:trHeight w:val="225"/>
        </w:trPr>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Annual Payroll ($1,000)</w:t>
            </w:r>
          </w:p>
        </w:tc>
        <w:tc>
          <w:tcPr>
            <w:tcW w:w="1340" w:type="dxa"/>
            <w:tcBorders>
              <w:top w:val="nil"/>
              <w:left w:val="nil"/>
              <w:bottom w:val="nil"/>
              <w:right w:val="nil"/>
            </w:tcBorders>
            <w:shd w:val="clear" w:color="auto" w:fill="auto"/>
            <w:noWrap/>
            <w:vAlign w:val="bottom"/>
            <w:hideMark/>
          </w:tcPr>
          <w:p w:rsidR="001E6FAE" w:rsidRPr="00A77801" w:rsidRDefault="001E6FAE" w:rsidP="001E6FAE">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4.040.888.841</w:t>
            </w:r>
          </w:p>
        </w:tc>
      </w:tr>
    </w:tbl>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t>Employment - 2004</w:t>
      </w:r>
    </w:p>
    <w:tbl>
      <w:tblPr>
        <w:tblW w:w="5700" w:type="dxa"/>
        <w:tblInd w:w="55" w:type="dxa"/>
        <w:tblCellMar>
          <w:left w:w="70" w:type="dxa"/>
          <w:right w:w="70" w:type="dxa"/>
        </w:tblCellMar>
        <w:tblLook w:val="04A0" w:firstRow="1" w:lastRow="0" w:firstColumn="1" w:lastColumn="0" w:noHBand="0" w:noVBand="1"/>
      </w:tblPr>
      <w:tblGrid>
        <w:gridCol w:w="2180"/>
        <w:gridCol w:w="2180"/>
        <w:gridCol w:w="1340"/>
      </w:tblGrid>
      <w:tr w:rsidR="001E6FAE" w:rsidRPr="00D117D9" w:rsidTr="001E6FAE">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1E6FAE" w:rsidRPr="00D117D9" w:rsidRDefault="001E6FAE" w:rsidP="001E6FAE">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single" w:sz="4" w:space="0" w:color="auto"/>
              <w:left w:val="nil"/>
              <w:bottom w:val="nil"/>
              <w:right w:val="single" w:sz="4" w:space="0" w:color="auto"/>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1E6FAE" w:rsidRPr="00D117D9" w:rsidTr="001E6FAE">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1E6FAE" w:rsidRPr="00D117D9" w:rsidRDefault="001E6FAE" w:rsidP="001E6FAE">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nil"/>
              <w:left w:val="nil"/>
              <w:bottom w:val="nil"/>
              <w:right w:val="single" w:sz="4" w:space="0" w:color="auto"/>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1E6FAE" w:rsidRPr="00D117D9" w:rsidTr="001E6FAE">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DATA TYPE</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D117D9" w:rsidRDefault="001E6FAE" w:rsidP="001E6FAE">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TOTAL</w:t>
            </w:r>
          </w:p>
        </w:tc>
      </w:tr>
      <w:tr w:rsidR="001E6FAE" w:rsidRPr="00D117D9" w:rsidTr="001E6FAE">
        <w:trPr>
          <w:trHeight w:val="225"/>
        </w:trPr>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Firms</w:t>
            </w:r>
          </w:p>
        </w:tc>
        <w:tc>
          <w:tcPr>
            <w:tcW w:w="134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5.885.784</w:t>
            </w:r>
          </w:p>
        </w:tc>
      </w:tr>
      <w:tr w:rsidR="001E6FAE" w:rsidRPr="00D117D9" w:rsidTr="001E6FAE">
        <w:trPr>
          <w:trHeight w:val="225"/>
        </w:trPr>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Establishments</w:t>
            </w:r>
          </w:p>
        </w:tc>
        <w:tc>
          <w:tcPr>
            <w:tcW w:w="134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7.387.724</w:t>
            </w:r>
          </w:p>
        </w:tc>
      </w:tr>
      <w:tr w:rsidR="001E6FAE" w:rsidRPr="00D117D9" w:rsidTr="001E6FAE">
        <w:trPr>
          <w:trHeight w:val="225"/>
        </w:trPr>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Employment</w:t>
            </w:r>
          </w:p>
        </w:tc>
        <w:tc>
          <w:tcPr>
            <w:tcW w:w="134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115.074.924</w:t>
            </w:r>
          </w:p>
        </w:tc>
      </w:tr>
      <w:tr w:rsidR="001E6FAE" w:rsidRPr="00D117D9" w:rsidTr="001E6FAE">
        <w:trPr>
          <w:trHeight w:val="225"/>
        </w:trPr>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Annual Payroll ($1,000)</w:t>
            </w:r>
          </w:p>
        </w:tc>
        <w:tc>
          <w:tcPr>
            <w:tcW w:w="1340" w:type="dxa"/>
            <w:tcBorders>
              <w:top w:val="nil"/>
              <w:left w:val="nil"/>
              <w:bottom w:val="nil"/>
              <w:right w:val="nil"/>
            </w:tcBorders>
            <w:shd w:val="clear" w:color="auto" w:fill="auto"/>
            <w:noWrap/>
            <w:vAlign w:val="bottom"/>
            <w:hideMark/>
          </w:tcPr>
          <w:p w:rsidR="001E6FAE" w:rsidRPr="00D117D9" w:rsidRDefault="001E6FAE" w:rsidP="001E6FAE">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4.253.995.732</w:t>
            </w:r>
          </w:p>
        </w:tc>
      </w:tr>
    </w:tbl>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t>Employment - 2005</w:t>
      </w:r>
    </w:p>
    <w:tbl>
      <w:tblPr>
        <w:tblW w:w="5900" w:type="dxa"/>
        <w:tblInd w:w="55" w:type="dxa"/>
        <w:tblCellMar>
          <w:left w:w="70" w:type="dxa"/>
          <w:right w:w="70" w:type="dxa"/>
        </w:tblCellMar>
        <w:tblLook w:val="04A0" w:firstRow="1" w:lastRow="0" w:firstColumn="1" w:lastColumn="0" w:noHBand="0" w:noVBand="1"/>
      </w:tblPr>
      <w:tblGrid>
        <w:gridCol w:w="2180"/>
        <w:gridCol w:w="2180"/>
        <w:gridCol w:w="1540"/>
      </w:tblGrid>
      <w:tr w:rsidR="001E6FAE" w:rsidRPr="00F71F26" w:rsidTr="001E6FAE">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1E6FAE" w:rsidRPr="00F71F26" w:rsidRDefault="001E6FAE" w:rsidP="001E6FAE">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1540" w:type="dxa"/>
            <w:tcBorders>
              <w:top w:val="single" w:sz="4" w:space="0" w:color="auto"/>
              <w:left w:val="nil"/>
              <w:bottom w:val="nil"/>
              <w:right w:val="single" w:sz="4" w:space="0" w:color="auto"/>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 </w:t>
            </w:r>
          </w:p>
        </w:tc>
      </w:tr>
      <w:tr w:rsidR="001E6FAE" w:rsidRPr="00F71F26" w:rsidTr="001E6FAE">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1E6FAE" w:rsidRPr="00F71F26" w:rsidRDefault="001E6FAE" w:rsidP="001E6FAE">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1540" w:type="dxa"/>
            <w:tcBorders>
              <w:top w:val="nil"/>
              <w:left w:val="nil"/>
              <w:bottom w:val="nil"/>
              <w:right w:val="single" w:sz="4" w:space="0" w:color="auto"/>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 </w:t>
            </w:r>
          </w:p>
        </w:tc>
      </w:tr>
      <w:tr w:rsidR="001E6FAE" w:rsidRPr="00F71F26" w:rsidTr="001E6FAE">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DATA TYPE</w:t>
            </w:r>
          </w:p>
        </w:tc>
        <w:tc>
          <w:tcPr>
            <w:tcW w:w="1540" w:type="dxa"/>
            <w:tcBorders>
              <w:top w:val="nil"/>
              <w:left w:val="nil"/>
              <w:bottom w:val="single" w:sz="4" w:space="0" w:color="auto"/>
              <w:right w:val="single" w:sz="4" w:space="0" w:color="auto"/>
            </w:tcBorders>
            <w:shd w:val="clear" w:color="auto" w:fill="auto"/>
            <w:noWrap/>
            <w:vAlign w:val="bottom"/>
            <w:hideMark/>
          </w:tcPr>
          <w:p w:rsidR="001E6FAE" w:rsidRPr="00F71F26" w:rsidRDefault="001E6FAE" w:rsidP="001E6FAE">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TOTAL</w:t>
            </w:r>
          </w:p>
        </w:tc>
      </w:tr>
      <w:tr w:rsidR="001E6FAE" w:rsidRPr="00F71F26" w:rsidTr="001E6FAE">
        <w:trPr>
          <w:trHeight w:val="225"/>
        </w:trPr>
        <w:tc>
          <w:tcPr>
            <w:tcW w:w="218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Firms</w:t>
            </w:r>
          </w:p>
        </w:tc>
        <w:tc>
          <w:tcPr>
            <w:tcW w:w="154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5.983.546</w:t>
            </w:r>
          </w:p>
        </w:tc>
      </w:tr>
      <w:tr w:rsidR="001E6FAE" w:rsidRPr="00F71F26" w:rsidTr="001E6FAE">
        <w:trPr>
          <w:trHeight w:val="225"/>
        </w:trPr>
        <w:tc>
          <w:tcPr>
            <w:tcW w:w="218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Establishments</w:t>
            </w:r>
          </w:p>
        </w:tc>
        <w:tc>
          <w:tcPr>
            <w:tcW w:w="154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7.499.702</w:t>
            </w:r>
          </w:p>
        </w:tc>
      </w:tr>
      <w:tr w:rsidR="001E6FAE" w:rsidRPr="00F71F26" w:rsidTr="001E6FAE">
        <w:trPr>
          <w:trHeight w:val="225"/>
        </w:trPr>
        <w:tc>
          <w:tcPr>
            <w:tcW w:w="218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Employment</w:t>
            </w:r>
          </w:p>
        </w:tc>
        <w:tc>
          <w:tcPr>
            <w:tcW w:w="154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116.317.003</w:t>
            </w:r>
          </w:p>
        </w:tc>
      </w:tr>
      <w:tr w:rsidR="001E6FAE" w:rsidRPr="00F71F26" w:rsidTr="001E6FAE">
        <w:trPr>
          <w:trHeight w:val="225"/>
        </w:trPr>
        <w:tc>
          <w:tcPr>
            <w:tcW w:w="218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Annual Payroll ($1,000)</w:t>
            </w:r>
          </w:p>
        </w:tc>
        <w:tc>
          <w:tcPr>
            <w:tcW w:w="154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4.482.722.481</w:t>
            </w:r>
          </w:p>
        </w:tc>
      </w:tr>
    </w:tbl>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t>Empl</w:t>
      </w:r>
      <w:r w:rsidR="00C93CC1">
        <w:rPr>
          <w:rFonts w:ascii="Times New Roman" w:hAnsi="Times New Roman" w:cs="Times New Roman"/>
          <w:b/>
          <w:sz w:val="24"/>
          <w:szCs w:val="24"/>
          <w:lang w:val="en-US"/>
        </w:rPr>
        <w:t>o</w:t>
      </w:r>
      <w:r>
        <w:rPr>
          <w:rFonts w:ascii="Times New Roman" w:hAnsi="Times New Roman" w:cs="Times New Roman"/>
          <w:b/>
          <w:sz w:val="24"/>
          <w:szCs w:val="24"/>
          <w:lang w:val="en-US"/>
        </w:rPr>
        <w:t>yment - 2006</w:t>
      </w:r>
    </w:p>
    <w:tbl>
      <w:tblPr>
        <w:tblW w:w="5900" w:type="dxa"/>
        <w:tblInd w:w="55" w:type="dxa"/>
        <w:tblCellMar>
          <w:left w:w="70" w:type="dxa"/>
          <w:right w:w="70" w:type="dxa"/>
        </w:tblCellMar>
        <w:tblLook w:val="04A0" w:firstRow="1" w:lastRow="0" w:firstColumn="1" w:lastColumn="0" w:noHBand="0" w:noVBand="1"/>
      </w:tblPr>
      <w:tblGrid>
        <w:gridCol w:w="2180"/>
        <w:gridCol w:w="2180"/>
        <w:gridCol w:w="1540"/>
      </w:tblGrid>
      <w:tr w:rsidR="001E6FAE" w:rsidRPr="00F71F26" w:rsidTr="001E6FAE">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1E6FAE" w:rsidRPr="00F71F26" w:rsidRDefault="001E6FAE" w:rsidP="001E6FAE">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1540" w:type="dxa"/>
            <w:tcBorders>
              <w:top w:val="single" w:sz="4" w:space="0" w:color="auto"/>
              <w:left w:val="nil"/>
              <w:bottom w:val="nil"/>
              <w:right w:val="single" w:sz="4" w:space="0" w:color="auto"/>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 </w:t>
            </w:r>
          </w:p>
        </w:tc>
      </w:tr>
      <w:tr w:rsidR="001E6FAE" w:rsidRPr="00F71F26" w:rsidTr="001E6FAE">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1E6FAE" w:rsidRPr="00F71F26" w:rsidRDefault="001E6FAE" w:rsidP="001E6FAE">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1540" w:type="dxa"/>
            <w:tcBorders>
              <w:top w:val="nil"/>
              <w:left w:val="nil"/>
              <w:bottom w:val="nil"/>
              <w:right w:val="single" w:sz="4" w:space="0" w:color="auto"/>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 </w:t>
            </w:r>
          </w:p>
        </w:tc>
      </w:tr>
      <w:tr w:rsidR="001E6FAE" w:rsidRPr="00F71F26" w:rsidTr="001E6FAE">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1E6FAE" w:rsidRPr="00F71F26" w:rsidRDefault="001E6FAE" w:rsidP="001E6FAE">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DATA TYPE</w:t>
            </w:r>
          </w:p>
        </w:tc>
        <w:tc>
          <w:tcPr>
            <w:tcW w:w="1540" w:type="dxa"/>
            <w:tcBorders>
              <w:top w:val="nil"/>
              <w:left w:val="nil"/>
              <w:bottom w:val="single" w:sz="4" w:space="0" w:color="auto"/>
              <w:right w:val="single" w:sz="4" w:space="0" w:color="auto"/>
            </w:tcBorders>
            <w:shd w:val="clear" w:color="auto" w:fill="auto"/>
            <w:noWrap/>
            <w:vAlign w:val="bottom"/>
            <w:hideMark/>
          </w:tcPr>
          <w:p w:rsidR="001E6FAE" w:rsidRPr="00F71F26" w:rsidRDefault="001E6FAE" w:rsidP="001E6FAE">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TOTAL</w:t>
            </w:r>
          </w:p>
        </w:tc>
      </w:tr>
      <w:tr w:rsidR="001E6FAE" w:rsidRPr="00F71F26" w:rsidTr="001E6FAE">
        <w:trPr>
          <w:trHeight w:val="225"/>
        </w:trPr>
        <w:tc>
          <w:tcPr>
            <w:tcW w:w="218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Firms</w:t>
            </w:r>
          </w:p>
        </w:tc>
        <w:tc>
          <w:tcPr>
            <w:tcW w:w="154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6.022.127</w:t>
            </w:r>
          </w:p>
        </w:tc>
      </w:tr>
      <w:tr w:rsidR="001E6FAE" w:rsidRPr="00F71F26" w:rsidTr="001E6FAE">
        <w:trPr>
          <w:trHeight w:val="225"/>
        </w:trPr>
        <w:tc>
          <w:tcPr>
            <w:tcW w:w="218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Establishments</w:t>
            </w:r>
          </w:p>
        </w:tc>
        <w:tc>
          <w:tcPr>
            <w:tcW w:w="154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7.601.160</w:t>
            </w:r>
          </w:p>
        </w:tc>
      </w:tr>
      <w:tr w:rsidR="001E6FAE" w:rsidRPr="00F71F26" w:rsidTr="001E6FAE">
        <w:trPr>
          <w:trHeight w:val="225"/>
        </w:trPr>
        <w:tc>
          <w:tcPr>
            <w:tcW w:w="218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Employment</w:t>
            </w:r>
          </w:p>
        </w:tc>
        <w:tc>
          <w:tcPr>
            <w:tcW w:w="154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119.917.165</w:t>
            </w:r>
          </w:p>
        </w:tc>
      </w:tr>
      <w:tr w:rsidR="001E6FAE" w:rsidRPr="00F71F26" w:rsidTr="001E6FAE">
        <w:trPr>
          <w:trHeight w:val="225"/>
        </w:trPr>
        <w:tc>
          <w:tcPr>
            <w:tcW w:w="218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Annual Payroll ($1,000)</w:t>
            </w:r>
          </w:p>
        </w:tc>
        <w:tc>
          <w:tcPr>
            <w:tcW w:w="1540" w:type="dxa"/>
            <w:tcBorders>
              <w:top w:val="nil"/>
              <w:left w:val="nil"/>
              <w:bottom w:val="nil"/>
              <w:right w:val="nil"/>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4.792.429.911</w:t>
            </w:r>
          </w:p>
        </w:tc>
      </w:tr>
    </w:tbl>
    <w:p w:rsidR="001E6FAE" w:rsidRDefault="001E6FAE" w:rsidP="001E6FAE">
      <w:pPr>
        <w:rPr>
          <w:rFonts w:ascii="Times New Roman" w:hAnsi="Times New Roman" w:cs="Times New Roman"/>
          <w:b/>
          <w:sz w:val="24"/>
          <w:szCs w:val="24"/>
          <w:lang w:val="en-US"/>
        </w:rPr>
        <w:sectPr w:rsidR="001E6FAE" w:rsidSect="001E6FAE">
          <w:pgSz w:w="11906" w:h="16838"/>
          <w:pgMar w:top="1440" w:right="1440" w:bottom="1440" w:left="1440" w:header="709" w:footer="709" w:gutter="0"/>
          <w:cols w:space="708"/>
          <w:docGrid w:linePitch="360"/>
        </w:sectPr>
      </w:pPr>
    </w:p>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Employment - 2007</w:t>
      </w:r>
    </w:p>
    <w:tbl>
      <w:tblPr>
        <w:tblW w:w="1322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gridCol w:w="1340"/>
        <w:gridCol w:w="1340"/>
      </w:tblGrid>
      <w:tr w:rsidR="001E6FAE" w:rsidRPr="00F71F26" w:rsidTr="001E6FAE">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F71F26" w:rsidRDefault="001E6FAE" w:rsidP="001E6FAE">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F71F26" w:rsidRDefault="001E6FAE" w:rsidP="001E6FAE">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F71F26" w:rsidRDefault="001E6FAE" w:rsidP="001E6FAE">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F71F26" w:rsidRDefault="001E6FAE" w:rsidP="001E6FAE">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1E6FAE" w:rsidRPr="00F71F26" w:rsidRDefault="001E6FAE" w:rsidP="001E6FAE">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F71F26" w:rsidRDefault="001E6FAE" w:rsidP="001E6FAE">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F71F26" w:rsidRDefault="001E6FAE" w:rsidP="001E6FAE">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 xml:space="preserve">ANNUAL PAYROLL </w:t>
            </w:r>
            <w:r w:rsidRPr="00F71F26">
              <w:rPr>
                <w:rFonts w:ascii="Arial" w:eastAsia="Times New Roman" w:hAnsi="Arial" w:cs="Arial"/>
                <w:b/>
                <w:bCs/>
                <w:color w:val="FF0000"/>
                <w:sz w:val="16"/>
                <w:szCs w:val="16"/>
                <w:lang w:eastAsia="es-ES"/>
              </w:rPr>
              <w:t>($1,000)</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F71F26" w:rsidRDefault="001E6FAE" w:rsidP="001E6FAE">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ANNUAL PAYROLL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F71F26" w:rsidRDefault="001E6FAE" w:rsidP="001E6FAE">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 xml:space="preserve">RECEIPTS </w:t>
            </w:r>
            <w:r w:rsidRPr="00F71F26">
              <w:rPr>
                <w:rFonts w:ascii="Arial" w:eastAsia="Times New Roman" w:hAnsi="Arial" w:cs="Arial"/>
                <w:b/>
                <w:bCs/>
                <w:color w:val="FF0000"/>
                <w:sz w:val="16"/>
                <w:szCs w:val="16"/>
                <w:lang w:eastAsia="es-ES"/>
              </w:rPr>
              <w:t>($1,000)</w:t>
            </w:r>
          </w:p>
        </w:tc>
      </w:tr>
      <w:tr w:rsidR="001E6FAE" w:rsidRPr="00F71F26"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r>
      <w:tr w:rsidR="001E6FAE" w:rsidRPr="00F71F26"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F71F26" w:rsidRDefault="001E6FAE" w:rsidP="001E6FAE">
            <w:pPr>
              <w:spacing w:after="0" w:line="240" w:lineRule="auto"/>
              <w:rPr>
                <w:rFonts w:ascii="Arial" w:eastAsia="Times New Roman" w:hAnsi="Arial" w:cs="Arial"/>
                <w:b/>
                <w:bCs/>
                <w:color w:val="000000"/>
                <w:sz w:val="16"/>
                <w:szCs w:val="16"/>
                <w:lang w:eastAsia="es-ES"/>
              </w:rPr>
            </w:pPr>
          </w:p>
        </w:tc>
      </w:tr>
      <w:tr w:rsidR="001E6FAE" w:rsidRPr="00F71F26" w:rsidTr="001E6FAE">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F71F26" w:rsidRDefault="001E6FAE" w:rsidP="001E6FAE">
            <w:pPr>
              <w:spacing w:after="0" w:line="240" w:lineRule="auto"/>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1:   Total</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6.049.655</w:t>
            </w:r>
          </w:p>
        </w:tc>
        <w:tc>
          <w:tcPr>
            <w:tcW w:w="1660" w:type="dxa"/>
            <w:tcBorders>
              <w:top w:val="nil"/>
              <w:left w:val="nil"/>
              <w:bottom w:val="single" w:sz="4" w:space="0" w:color="auto"/>
              <w:right w:val="single" w:sz="4" w:space="0" w:color="auto"/>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7.705.018</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120.604.265</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F71F26" w:rsidRDefault="001E6FAE" w:rsidP="001E6FAE">
            <w:pPr>
              <w:spacing w:after="0" w:line="240" w:lineRule="auto"/>
              <w:jc w:val="center"/>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5.026.778.232</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F71F26" w:rsidRDefault="001E6FAE" w:rsidP="001E6FAE">
            <w:pPr>
              <w:spacing w:after="0" w:line="240" w:lineRule="auto"/>
              <w:jc w:val="center"/>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F71F26" w:rsidRDefault="001E6FAE" w:rsidP="001E6FAE">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29.746.741.904</w:t>
            </w:r>
          </w:p>
        </w:tc>
      </w:tr>
    </w:tbl>
    <w:p w:rsidR="001E6FAE" w:rsidRDefault="001E6FAE" w:rsidP="001E6FAE">
      <w:pPr>
        <w:rPr>
          <w:rFonts w:ascii="Times New Roman" w:hAnsi="Times New Roman" w:cs="Times New Roman"/>
          <w:b/>
          <w:sz w:val="24"/>
          <w:szCs w:val="24"/>
          <w:lang w:val="en-US"/>
        </w:rPr>
      </w:pPr>
    </w:p>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t>Employment - 2008</w:t>
      </w:r>
    </w:p>
    <w:tbl>
      <w:tblPr>
        <w:tblW w:w="1054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tblGrid>
      <w:tr w:rsidR="001E6FAE" w:rsidRPr="002D13DD" w:rsidTr="001E6FAE">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   Total</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5.930.132</w:t>
            </w:r>
          </w:p>
        </w:tc>
        <w:tc>
          <w:tcPr>
            <w:tcW w:w="166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7.601.169</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120.903.551</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5.130.509.178</w:t>
            </w:r>
          </w:p>
        </w:tc>
      </w:tr>
    </w:tbl>
    <w:p w:rsidR="001E6FAE" w:rsidRDefault="001E6FAE" w:rsidP="001E6FAE">
      <w:pPr>
        <w:rPr>
          <w:rFonts w:ascii="Times New Roman" w:hAnsi="Times New Roman" w:cs="Times New Roman"/>
          <w:b/>
          <w:sz w:val="24"/>
          <w:szCs w:val="24"/>
          <w:lang w:val="en-US"/>
        </w:rPr>
      </w:pPr>
    </w:p>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t>Employment - 2009</w:t>
      </w:r>
    </w:p>
    <w:tbl>
      <w:tblPr>
        <w:tblW w:w="1054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tblGrid>
      <w:tr w:rsidR="001E6FAE" w:rsidRPr="002D13DD" w:rsidTr="001E6FAE">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   Total</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5.767.306</w:t>
            </w:r>
          </w:p>
        </w:tc>
        <w:tc>
          <w:tcPr>
            <w:tcW w:w="166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7.433.465</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114.509.626</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4.855.545.239</w:t>
            </w:r>
          </w:p>
        </w:tc>
      </w:tr>
    </w:tbl>
    <w:p w:rsidR="001E6FAE" w:rsidRDefault="001E6FAE" w:rsidP="001E6FAE">
      <w:pPr>
        <w:rPr>
          <w:rFonts w:ascii="Times New Roman" w:hAnsi="Times New Roman" w:cs="Times New Roman"/>
          <w:b/>
          <w:sz w:val="24"/>
          <w:szCs w:val="24"/>
          <w:lang w:val="en-US"/>
        </w:rPr>
      </w:pPr>
    </w:p>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t>Employment - 2010</w:t>
      </w:r>
    </w:p>
    <w:tbl>
      <w:tblPr>
        <w:tblW w:w="1054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tblGrid>
      <w:tr w:rsidR="001E6FAE" w:rsidRPr="002D13DD" w:rsidTr="001E6FAE">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   Total</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5.734.538</w:t>
            </w:r>
          </w:p>
        </w:tc>
        <w:tc>
          <w:tcPr>
            <w:tcW w:w="166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7.396.628</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111.970.095</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4.940.983.369</w:t>
            </w:r>
          </w:p>
        </w:tc>
      </w:tr>
    </w:tbl>
    <w:p w:rsidR="001E6FAE" w:rsidRDefault="001E6FAE" w:rsidP="001E6FAE">
      <w:pPr>
        <w:rPr>
          <w:rFonts w:ascii="Times New Roman" w:hAnsi="Times New Roman" w:cs="Times New Roman"/>
          <w:b/>
          <w:sz w:val="24"/>
          <w:szCs w:val="24"/>
          <w:lang w:val="en-US"/>
        </w:rPr>
      </w:pPr>
    </w:p>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Employment - 2011</w:t>
      </w:r>
    </w:p>
    <w:tbl>
      <w:tblPr>
        <w:tblW w:w="1054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tblGrid>
      <w:tr w:rsidR="001E6FAE" w:rsidRPr="002D13DD" w:rsidTr="001E6FAE">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   Total</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5.684.424</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7.354.043</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113.425.965</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5.164.897.905</w:t>
            </w:r>
          </w:p>
        </w:tc>
      </w:tr>
    </w:tbl>
    <w:p w:rsidR="001E6FAE" w:rsidRDefault="001E6FAE" w:rsidP="001E6FAE">
      <w:pPr>
        <w:rPr>
          <w:rFonts w:ascii="Times New Roman" w:hAnsi="Times New Roman" w:cs="Times New Roman"/>
          <w:b/>
          <w:sz w:val="24"/>
          <w:szCs w:val="24"/>
          <w:lang w:val="en-US"/>
        </w:rPr>
      </w:pPr>
    </w:p>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t>Employment - 2012</w:t>
      </w:r>
    </w:p>
    <w:tbl>
      <w:tblPr>
        <w:tblW w:w="1322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gridCol w:w="1340"/>
        <w:gridCol w:w="1340"/>
      </w:tblGrid>
      <w:tr w:rsidR="001E6FAE" w:rsidRPr="002D13DD" w:rsidTr="001E6FAE">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ANNUAL PAYROLL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RECEIPTS </w:t>
            </w:r>
            <w:r w:rsidRPr="002D13DD">
              <w:rPr>
                <w:rFonts w:ascii="Arial" w:eastAsia="Times New Roman" w:hAnsi="Arial" w:cs="Arial"/>
                <w:b/>
                <w:bCs/>
                <w:color w:val="FF0000"/>
                <w:sz w:val="16"/>
                <w:szCs w:val="16"/>
                <w:lang w:eastAsia="es-ES"/>
              </w:rPr>
              <w:t>($1,000)</w:t>
            </w: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5.726.160</w:t>
            </w:r>
          </w:p>
        </w:tc>
        <w:tc>
          <w:tcPr>
            <w:tcW w:w="166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7.431.808</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115.938.468</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5.414.255.995</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32.637.809.977</w:t>
            </w:r>
          </w:p>
        </w:tc>
      </w:tr>
    </w:tbl>
    <w:p w:rsidR="001E6FAE" w:rsidRDefault="001E6FAE" w:rsidP="001E6FAE">
      <w:pPr>
        <w:rPr>
          <w:rFonts w:ascii="Times New Roman" w:hAnsi="Times New Roman" w:cs="Times New Roman"/>
          <w:b/>
          <w:sz w:val="24"/>
          <w:szCs w:val="24"/>
          <w:lang w:val="en-US"/>
        </w:rPr>
      </w:pPr>
    </w:p>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t>Employment - 2013</w:t>
      </w:r>
    </w:p>
    <w:tbl>
      <w:tblPr>
        <w:tblW w:w="1054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tblGrid>
      <w:tr w:rsidR="001E6FAE" w:rsidRPr="002D13DD" w:rsidTr="001E6FAE">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5.775.055</w:t>
            </w:r>
          </w:p>
        </w:tc>
        <w:tc>
          <w:tcPr>
            <w:tcW w:w="166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7.488.353</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118.266.253</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5.621.697.325</w:t>
            </w:r>
          </w:p>
        </w:tc>
      </w:tr>
    </w:tbl>
    <w:p w:rsidR="001E6FAE" w:rsidRDefault="001E6FAE" w:rsidP="001E6FAE">
      <w:pPr>
        <w:rPr>
          <w:rFonts w:ascii="Times New Roman" w:hAnsi="Times New Roman" w:cs="Times New Roman"/>
          <w:b/>
          <w:sz w:val="24"/>
          <w:szCs w:val="24"/>
          <w:lang w:val="en-US"/>
        </w:rPr>
      </w:pPr>
    </w:p>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t>Employment - 2014</w:t>
      </w:r>
    </w:p>
    <w:tbl>
      <w:tblPr>
        <w:tblW w:w="1054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tblGrid>
      <w:tr w:rsidR="001E6FAE" w:rsidRPr="002D13DD" w:rsidTr="001E6FAE">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5.825.458</w:t>
            </w:r>
          </w:p>
        </w:tc>
        <w:tc>
          <w:tcPr>
            <w:tcW w:w="166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7.563.084</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121.069.944</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5.940.186.911</w:t>
            </w:r>
          </w:p>
        </w:tc>
      </w:tr>
    </w:tbl>
    <w:p w:rsidR="001E6FAE" w:rsidRDefault="001E6FAE" w:rsidP="001E6FAE">
      <w:pPr>
        <w:rPr>
          <w:rFonts w:ascii="Times New Roman" w:hAnsi="Times New Roman" w:cs="Times New Roman"/>
          <w:b/>
          <w:sz w:val="24"/>
          <w:szCs w:val="24"/>
          <w:lang w:val="en-US"/>
        </w:rPr>
      </w:pPr>
    </w:p>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Employment - 2015</w:t>
      </w:r>
    </w:p>
    <w:tbl>
      <w:tblPr>
        <w:tblW w:w="1054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tblGrid>
      <w:tr w:rsidR="001E6FAE" w:rsidRPr="002D13DD" w:rsidTr="001E6FAE">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5.900.731</w:t>
            </w:r>
          </w:p>
        </w:tc>
        <w:tc>
          <w:tcPr>
            <w:tcW w:w="166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7.663.938</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124.085.947</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6.253.488.252</w:t>
            </w:r>
          </w:p>
        </w:tc>
      </w:tr>
    </w:tbl>
    <w:p w:rsidR="001E6FAE" w:rsidRDefault="001E6FAE" w:rsidP="001E6FAE">
      <w:pPr>
        <w:rPr>
          <w:rFonts w:ascii="Times New Roman" w:hAnsi="Times New Roman" w:cs="Times New Roman"/>
          <w:b/>
          <w:sz w:val="24"/>
          <w:szCs w:val="24"/>
          <w:lang w:val="en-US"/>
        </w:rPr>
      </w:pPr>
    </w:p>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t>Employment - 2016</w:t>
      </w:r>
    </w:p>
    <w:tbl>
      <w:tblPr>
        <w:tblW w:w="1054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tblGrid>
      <w:tr w:rsidR="001E6FAE" w:rsidRPr="002D13DD" w:rsidTr="001E6FAE">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5.954.684</w:t>
            </w:r>
          </w:p>
        </w:tc>
        <w:tc>
          <w:tcPr>
            <w:tcW w:w="166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7.757.807</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126.752.238</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6.435.142.055</w:t>
            </w:r>
          </w:p>
        </w:tc>
      </w:tr>
    </w:tbl>
    <w:p w:rsidR="001E6FAE" w:rsidRDefault="001E6FAE" w:rsidP="001E6FAE">
      <w:pPr>
        <w:rPr>
          <w:rFonts w:ascii="Times New Roman" w:hAnsi="Times New Roman" w:cs="Times New Roman"/>
          <w:b/>
          <w:sz w:val="24"/>
          <w:szCs w:val="24"/>
          <w:lang w:val="en-US"/>
        </w:rPr>
      </w:pPr>
    </w:p>
    <w:p w:rsidR="001E6FAE" w:rsidRDefault="001E6FAE" w:rsidP="001E6FAE">
      <w:pPr>
        <w:rPr>
          <w:rFonts w:ascii="Times New Roman" w:hAnsi="Times New Roman" w:cs="Times New Roman"/>
          <w:b/>
          <w:sz w:val="24"/>
          <w:szCs w:val="24"/>
          <w:lang w:val="en-US"/>
        </w:rPr>
      </w:pPr>
      <w:r>
        <w:rPr>
          <w:rFonts w:ascii="Times New Roman" w:hAnsi="Times New Roman" w:cs="Times New Roman"/>
          <w:b/>
          <w:sz w:val="24"/>
          <w:szCs w:val="24"/>
          <w:lang w:val="en-US"/>
        </w:rPr>
        <w:t>Employment - 2017</w:t>
      </w:r>
    </w:p>
    <w:tbl>
      <w:tblPr>
        <w:tblW w:w="11060" w:type="dxa"/>
        <w:tblInd w:w="55" w:type="dxa"/>
        <w:tblCellMar>
          <w:left w:w="70" w:type="dxa"/>
          <w:right w:w="70" w:type="dxa"/>
        </w:tblCellMar>
        <w:tblLook w:val="04A0" w:firstRow="1" w:lastRow="0" w:firstColumn="1" w:lastColumn="0" w:noHBand="0" w:noVBand="1"/>
      </w:tblPr>
      <w:tblGrid>
        <w:gridCol w:w="2120"/>
        <w:gridCol w:w="1480"/>
        <w:gridCol w:w="1200"/>
        <w:gridCol w:w="1900"/>
        <w:gridCol w:w="1440"/>
        <w:gridCol w:w="1480"/>
        <w:gridCol w:w="1440"/>
      </w:tblGrid>
      <w:tr w:rsidR="001E6FAE" w:rsidRPr="002D13DD" w:rsidTr="001E6FAE">
        <w:trPr>
          <w:trHeight w:val="300"/>
        </w:trPr>
        <w:tc>
          <w:tcPr>
            <w:tcW w:w="212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4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90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4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4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4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E6FAE" w:rsidRPr="002D13DD" w:rsidRDefault="001E6FAE" w:rsidP="001E6FAE">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1E6FAE" w:rsidRPr="002D13DD" w:rsidTr="001E6FAE">
        <w:trPr>
          <w:trHeight w:val="300"/>
        </w:trPr>
        <w:tc>
          <w:tcPr>
            <w:tcW w:w="212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4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90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4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4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4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2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4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90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4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48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c>
          <w:tcPr>
            <w:tcW w:w="1440" w:type="dxa"/>
            <w:vMerge/>
            <w:tcBorders>
              <w:top w:val="single" w:sz="4" w:space="0" w:color="auto"/>
              <w:left w:val="single" w:sz="4" w:space="0" w:color="auto"/>
              <w:bottom w:val="single" w:sz="4" w:space="0" w:color="000000"/>
              <w:right w:val="single" w:sz="4" w:space="0" w:color="auto"/>
            </w:tcBorders>
            <w:vAlign w:val="center"/>
            <w:hideMark/>
          </w:tcPr>
          <w:p w:rsidR="001E6FAE" w:rsidRPr="002D13DD" w:rsidRDefault="001E6FAE" w:rsidP="001E6FAE">
            <w:pPr>
              <w:spacing w:after="0" w:line="240" w:lineRule="auto"/>
              <w:rPr>
                <w:rFonts w:ascii="Arial" w:eastAsia="Times New Roman" w:hAnsi="Arial" w:cs="Arial"/>
                <w:b/>
                <w:bCs/>
                <w:color w:val="000000"/>
                <w:sz w:val="16"/>
                <w:szCs w:val="16"/>
                <w:lang w:eastAsia="es-ES"/>
              </w:rPr>
            </w:pPr>
          </w:p>
        </w:tc>
      </w:tr>
      <w:tr w:rsidR="001E6FAE" w:rsidRPr="002D13DD" w:rsidTr="001E6FAE">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48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20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5.996.900</w:t>
            </w:r>
          </w:p>
        </w:tc>
        <w:tc>
          <w:tcPr>
            <w:tcW w:w="190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7.860.674</w:t>
            </w:r>
          </w:p>
        </w:tc>
        <w:tc>
          <w:tcPr>
            <w:tcW w:w="14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128.591.812</w:t>
            </w:r>
          </w:p>
        </w:tc>
        <w:tc>
          <w:tcPr>
            <w:tcW w:w="148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440" w:type="dxa"/>
            <w:tcBorders>
              <w:top w:val="nil"/>
              <w:left w:val="nil"/>
              <w:bottom w:val="single" w:sz="4" w:space="0" w:color="auto"/>
              <w:right w:val="single" w:sz="4" w:space="0" w:color="auto"/>
            </w:tcBorders>
            <w:shd w:val="clear" w:color="auto" w:fill="auto"/>
            <w:noWrap/>
            <w:vAlign w:val="bottom"/>
            <w:hideMark/>
          </w:tcPr>
          <w:p w:rsidR="001E6FAE" w:rsidRPr="002D13DD" w:rsidRDefault="001E6FAE" w:rsidP="001E6FAE">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6.725.346.754</w:t>
            </w:r>
          </w:p>
        </w:tc>
      </w:tr>
    </w:tbl>
    <w:p w:rsidR="001E6FAE" w:rsidRDefault="001E6FAE" w:rsidP="001E6FAE">
      <w:pPr>
        <w:rPr>
          <w:rFonts w:ascii="Times New Roman" w:hAnsi="Times New Roman" w:cs="Times New Roman"/>
          <w:b/>
          <w:sz w:val="24"/>
          <w:szCs w:val="24"/>
          <w:lang w:val="en-US"/>
        </w:rPr>
      </w:pPr>
    </w:p>
    <w:p w:rsidR="001E6FAE" w:rsidRDefault="001E6FAE" w:rsidP="001E6FAE">
      <w:pPr>
        <w:rPr>
          <w:rFonts w:ascii="Times New Roman" w:hAnsi="Times New Roman" w:cs="Times New Roman"/>
          <w:b/>
          <w:sz w:val="24"/>
          <w:szCs w:val="24"/>
          <w:lang w:val="en-US"/>
        </w:rPr>
      </w:pPr>
    </w:p>
    <w:p w:rsidR="001E6FAE" w:rsidRDefault="001E6FAE" w:rsidP="001E6FAE">
      <w:pPr>
        <w:rPr>
          <w:rFonts w:ascii="Times New Roman" w:hAnsi="Times New Roman" w:cs="Times New Roman"/>
          <w:b/>
          <w:sz w:val="24"/>
          <w:szCs w:val="24"/>
          <w:lang w:val="en-US"/>
        </w:rPr>
      </w:pPr>
    </w:p>
    <w:p w:rsidR="001E6FAE" w:rsidRDefault="001E6FAE" w:rsidP="001E6FAE">
      <w:pPr>
        <w:rPr>
          <w:rFonts w:ascii="Times New Roman" w:hAnsi="Times New Roman" w:cs="Times New Roman"/>
          <w:b/>
          <w:sz w:val="24"/>
          <w:szCs w:val="24"/>
          <w:lang w:val="en-US"/>
        </w:rPr>
      </w:pPr>
    </w:p>
    <w:p w:rsidR="001E6FAE" w:rsidRDefault="001E6FAE" w:rsidP="001E6FAE">
      <w:pPr>
        <w:rPr>
          <w:rFonts w:ascii="Times New Roman" w:hAnsi="Times New Roman" w:cs="Times New Roman"/>
          <w:b/>
          <w:sz w:val="24"/>
          <w:szCs w:val="24"/>
          <w:lang w:val="en-US"/>
        </w:rPr>
      </w:pPr>
    </w:p>
    <w:tbl>
      <w:tblPr>
        <w:tblW w:w="14043" w:type="dxa"/>
        <w:tblInd w:w="55" w:type="dxa"/>
        <w:tblCellMar>
          <w:left w:w="70" w:type="dxa"/>
          <w:right w:w="70" w:type="dxa"/>
        </w:tblCellMar>
        <w:tblLook w:val="04A0" w:firstRow="1" w:lastRow="0" w:firstColumn="1" w:lastColumn="0" w:noHBand="0" w:noVBand="1"/>
      </w:tblPr>
      <w:tblGrid>
        <w:gridCol w:w="5393"/>
        <w:gridCol w:w="1097"/>
        <w:gridCol w:w="1097"/>
        <w:gridCol w:w="1096"/>
        <w:gridCol w:w="1096"/>
        <w:gridCol w:w="315"/>
        <w:gridCol w:w="653"/>
        <w:gridCol w:w="156"/>
        <w:gridCol w:w="756"/>
        <w:gridCol w:w="29"/>
        <w:gridCol w:w="785"/>
        <w:gridCol w:w="785"/>
        <w:gridCol w:w="785"/>
      </w:tblGrid>
      <w:tr w:rsidR="001E6FAE" w:rsidRPr="00D87818" w:rsidTr="001E6FAE">
        <w:trPr>
          <w:gridAfter w:val="4"/>
          <w:wAfter w:w="2783" w:type="dxa"/>
          <w:trHeight w:val="255"/>
        </w:trPr>
        <w:tc>
          <w:tcPr>
            <w:tcW w:w="10220" w:type="dxa"/>
            <w:gridSpan w:val="7"/>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b/>
                <w:bCs/>
                <w:color w:val="000000"/>
                <w:sz w:val="18"/>
                <w:szCs w:val="18"/>
                <w:lang w:val="en-US" w:eastAsia="es-ES"/>
              </w:rPr>
            </w:pPr>
            <w:r w:rsidRPr="00327D12">
              <w:rPr>
                <w:rFonts w:ascii="Arial" w:eastAsia="Times New Roman" w:hAnsi="Arial" w:cs="Arial"/>
                <w:b/>
                <w:bCs/>
                <w:color w:val="000000"/>
                <w:sz w:val="18"/>
                <w:szCs w:val="18"/>
                <w:lang w:val="en-US" w:eastAsia="es-ES"/>
              </w:rPr>
              <w:lastRenderedPageBreak/>
              <w:t xml:space="preserve">Average annual expenditures and characteristics of all consumer units, Consumer Expenditure Survey, 2000-2005 </w:t>
            </w:r>
          </w:p>
        </w:tc>
        <w:tc>
          <w:tcPr>
            <w:tcW w:w="1040" w:type="dxa"/>
            <w:gridSpan w:val="2"/>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color w:val="000000"/>
                <w:sz w:val="20"/>
                <w:szCs w:val="20"/>
                <w:lang w:val="en-US" w:eastAsia="es-ES"/>
              </w:rPr>
            </w:pPr>
          </w:p>
        </w:tc>
      </w:tr>
      <w:tr w:rsidR="001E6FAE" w:rsidRPr="00D87818" w:rsidTr="001E6FAE">
        <w:trPr>
          <w:gridAfter w:val="4"/>
          <w:wAfter w:w="2783" w:type="dxa"/>
          <w:trHeight w:val="255"/>
        </w:trPr>
        <w:tc>
          <w:tcPr>
            <w:tcW w:w="502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color w:val="000000"/>
                <w:sz w:val="20"/>
                <w:szCs w:val="20"/>
                <w:lang w:val="en-US" w:eastAsia="es-ES"/>
              </w:rPr>
            </w:pPr>
          </w:p>
        </w:tc>
        <w:tc>
          <w:tcPr>
            <w:tcW w:w="10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color w:val="000000"/>
                <w:sz w:val="20"/>
                <w:szCs w:val="20"/>
                <w:lang w:val="en-US" w:eastAsia="es-ES"/>
              </w:rPr>
            </w:pPr>
          </w:p>
        </w:tc>
        <w:tc>
          <w:tcPr>
            <w:tcW w:w="10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color w:val="000000"/>
                <w:sz w:val="20"/>
                <w:szCs w:val="20"/>
                <w:lang w:val="en-US" w:eastAsia="es-ES"/>
              </w:rPr>
            </w:pPr>
          </w:p>
        </w:tc>
        <w:tc>
          <w:tcPr>
            <w:tcW w:w="10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color w:val="000000"/>
                <w:sz w:val="20"/>
                <w:szCs w:val="20"/>
                <w:lang w:val="en-US" w:eastAsia="es-ES"/>
              </w:rPr>
            </w:pPr>
          </w:p>
        </w:tc>
        <w:tc>
          <w:tcPr>
            <w:tcW w:w="10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color w:val="000000"/>
                <w:sz w:val="20"/>
                <w:szCs w:val="20"/>
                <w:lang w:val="en-US" w:eastAsia="es-ES"/>
              </w:rPr>
            </w:pPr>
          </w:p>
        </w:tc>
        <w:tc>
          <w:tcPr>
            <w:tcW w:w="1040" w:type="dxa"/>
            <w:gridSpan w:val="2"/>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color w:val="000000"/>
                <w:sz w:val="20"/>
                <w:szCs w:val="20"/>
                <w:lang w:val="en-US" w:eastAsia="es-ES"/>
              </w:rPr>
            </w:pPr>
          </w:p>
        </w:tc>
        <w:tc>
          <w:tcPr>
            <w:tcW w:w="1040" w:type="dxa"/>
            <w:gridSpan w:val="2"/>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color w:val="000000"/>
                <w:sz w:val="20"/>
                <w:szCs w:val="20"/>
                <w:lang w:val="en-US" w:eastAsia="es-ES"/>
              </w:rPr>
            </w:pPr>
          </w:p>
        </w:tc>
      </w:tr>
      <w:tr w:rsidR="001E6FAE" w:rsidRPr="00327D12" w:rsidTr="001E6FAE">
        <w:trPr>
          <w:gridAfter w:val="4"/>
          <w:wAfter w:w="2783" w:type="dxa"/>
          <w:trHeight w:val="690"/>
        </w:trPr>
        <w:tc>
          <w:tcPr>
            <w:tcW w:w="50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E6FAE" w:rsidRPr="00327D12" w:rsidRDefault="001E6FAE" w:rsidP="001E6FAE">
            <w:pPr>
              <w:spacing w:after="0" w:line="240" w:lineRule="auto"/>
              <w:jc w:val="center"/>
              <w:rPr>
                <w:rFonts w:ascii="Arial" w:eastAsia="Times New Roman" w:hAnsi="Arial" w:cs="Arial"/>
                <w:b/>
                <w:bCs/>
                <w:color w:val="000000"/>
                <w:sz w:val="16"/>
                <w:szCs w:val="16"/>
                <w:lang w:eastAsia="es-ES"/>
              </w:rPr>
            </w:pPr>
            <w:r w:rsidRPr="00327D12">
              <w:rPr>
                <w:rFonts w:ascii="Arial" w:eastAsia="Times New Roman" w:hAnsi="Arial" w:cs="Arial"/>
                <w:b/>
                <w:bCs/>
                <w:color w:val="000000"/>
                <w:sz w:val="16"/>
                <w:szCs w:val="16"/>
                <w:lang w:eastAsia="es-ES"/>
              </w:rPr>
              <w:t xml:space="preserve">Item                       </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1E6FAE" w:rsidRPr="00327D12" w:rsidRDefault="001E6FAE" w:rsidP="001E6FAE">
            <w:pPr>
              <w:spacing w:after="0" w:line="240" w:lineRule="auto"/>
              <w:jc w:val="center"/>
              <w:rPr>
                <w:rFonts w:ascii="Arial" w:eastAsia="Times New Roman" w:hAnsi="Arial" w:cs="Arial"/>
                <w:b/>
                <w:bCs/>
                <w:color w:val="000000"/>
                <w:sz w:val="16"/>
                <w:szCs w:val="16"/>
                <w:lang w:eastAsia="es-ES"/>
              </w:rPr>
            </w:pPr>
            <w:r w:rsidRPr="00327D12">
              <w:rPr>
                <w:rFonts w:ascii="Arial" w:eastAsia="Times New Roman" w:hAnsi="Arial" w:cs="Arial"/>
                <w:b/>
                <w:bCs/>
                <w:color w:val="000000"/>
                <w:sz w:val="16"/>
                <w:szCs w:val="16"/>
                <w:lang w:eastAsia="es-ES"/>
              </w:rPr>
              <w:t>2000</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1E6FAE" w:rsidRPr="00327D12" w:rsidRDefault="001E6FAE" w:rsidP="001E6FAE">
            <w:pPr>
              <w:spacing w:after="0" w:line="240" w:lineRule="auto"/>
              <w:jc w:val="center"/>
              <w:rPr>
                <w:rFonts w:ascii="Arial" w:eastAsia="Times New Roman" w:hAnsi="Arial" w:cs="Arial"/>
                <w:b/>
                <w:bCs/>
                <w:color w:val="000000"/>
                <w:sz w:val="16"/>
                <w:szCs w:val="16"/>
                <w:lang w:eastAsia="es-ES"/>
              </w:rPr>
            </w:pPr>
            <w:r w:rsidRPr="00327D12">
              <w:rPr>
                <w:rFonts w:ascii="Arial" w:eastAsia="Times New Roman" w:hAnsi="Arial" w:cs="Arial"/>
                <w:b/>
                <w:bCs/>
                <w:color w:val="000000"/>
                <w:sz w:val="16"/>
                <w:szCs w:val="16"/>
                <w:lang w:eastAsia="es-ES"/>
              </w:rPr>
              <w:t>2001</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1E6FAE" w:rsidRPr="00327D12" w:rsidRDefault="001E6FAE" w:rsidP="001E6FAE">
            <w:pPr>
              <w:spacing w:after="0" w:line="240" w:lineRule="auto"/>
              <w:jc w:val="center"/>
              <w:rPr>
                <w:rFonts w:ascii="Arial" w:eastAsia="Times New Roman" w:hAnsi="Arial" w:cs="Arial"/>
                <w:b/>
                <w:bCs/>
                <w:color w:val="000000"/>
                <w:sz w:val="16"/>
                <w:szCs w:val="16"/>
                <w:lang w:eastAsia="es-ES"/>
              </w:rPr>
            </w:pPr>
            <w:r w:rsidRPr="00327D12">
              <w:rPr>
                <w:rFonts w:ascii="Arial" w:eastAsia="Times New Roman" w:hAnsi="Arial" w:cs="Arial"/>
                <w:b/>
                <w:bCs/>
                <w:color w:val="000000"/>
                <w:sz w:val="16"/>
                <w:szCs w:val="16"/>
                <w:lang w:eastAsia="es-ES"/>
              </w:rPr>
              <w:t>2002</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1E6FAE" w:rsidRPr="00327D12" w:rsidRDefault="001E6FAE" w:rsidP="001E6FAE">
            <w:pPr>
              <w:spacing w:after="0" w:line="240" w:lineRule="auto"/>
              <w:jc w:val="center"/>
              <w:rPr>
                <w:rFonts w:ascii="Arial" w:eastAsia="Times New Roman" w:hAnsi="Arial" w:cs="Arial"/>
                <w:b/>
                <w:bCs/>
                <w:color w:val="000000"/>
                <w:sz w:val="16"/>
                <w:szCs w:val="16"/>
                <w:lang w:eastAsia="es-ES"/>
              </w:rPr>
            </w:pPr>
            <w:r w:rsidRPr="00327D12">
              <w:rPr>
                <w:rFonts w:ascii="Arial" w:eastAsia="Times New Roman" w:hAnsi="Arial" w:cs="Arial"/>
                <w:b/>
                <w:bCs/>
                <w:color w:val="000000"/>
                <w:sz w:val="16"/>
                <w:szCs w:val="16"/>
                <w:lang w:eastAsia="es-ES"/>
              </w:rPr>
              <w:t>2003</w:t>
            </w:r>
          </w:p>
        </w:tc>
        <w:tc>
          <w:tcPr>
            <w:tcW w:w="1040" w:type="dxa"/>
            <w:gridSpan w:val="2"/>
            <w:tcBorders>
              <w:top w:val="single" w:sz="4" w:space="0" w:color="auto"/>
              <w:left w:val="nil"/>
              <w:bottom w:val="single" w:sz="4" w:space="0" w:color="auto"/>
              <w:right w:val="single" w:sz="4" w:space="0" w:color="auto"/>
            </w:tcBorders>
            <w:shd w:val="clear" w:color="auto" w:fill="auto"/>
            <w:vAlign w:val="center"/>
            <w:hideMark/>
          </w:tcPr>
          <w:p w:rsidR="001E6FAE" w:rsidRPr="00327D12" w:rsidRDefault="001E6FAE" w:rsidP="001E6FAE">
            <w:pPr>
              <w:spacing w:after="0" w:line="240" w:lineRule="auto"/>
              <w:jc w:val="center"/>
              <w:rPr>
                <w:rFonts w:ascii="Arial" w:eastAsia="Times New Roman" w:hAnsi="Arial" w:cs="Arial"/>
                <w:b/>
                <w:bCs/>
                <w:color w:val="000000"/>
                <w:sz w:val="16"/>
                <w:szCs w:val="16"/>
                <w:lang w:eastAsia="es-ES"/>
              </w:rPr>
            </w:pPr>
            <w:r w:rsidRPr="00327D12">
              <w:rPr>
                <w:rFonts w:ascii="Arial" w:eastAsia="Times New Roman" w:hAnsi="Arial" w:cs="Arial"/>
                <w:b/>
                <w:bCs/>
                <w:color w:val="000000"/>
                <w:sz w:val="16"/>
                <w:szCs w:val="16"/>
                <w:lang w:eastAsia="es-ES"/>
              </w:rPr>
              <w:t>2004</w:t>
            </w:r>
          </w:p>
        </w:tc>
        <w:tc>
          <w:tcPr>
            <w:tcW w:w="1040" w:type="dxa"/>
            <w:gridSpan w:val="2"/>
            <w:tcBorders>
              <w:top w:val="single" w:sz="4" w:space="0" w:color="auto"/>
              <w:left w:val="nil"/>
              <w:bottom w:val="single" w:sz="4" w:space="0" w:color="auto"/>
              <w:right w:val="single" w:sz="4" w:space="0" w:color="auto"/>
            </w:tcBorders>
            <w:shd w:val="clear" w:color="auto" w:fill="auto"/>
            <w:vAlign w:val="center"/>
            <w:hideMark/>
          </w:tcPr>
          <w:p w:rsidR="001E6FAE" w:rsidRPr="00327D12" w:rsidRDefault="001E6FAE" w:rsidP="001E6FAE">
            <w:pPr>
              <w:spacing w:after="0" w:line="240" w:lineRule="auto"/>
              <w:jc w:val="center"/>
              <w:rPr>
                <w:rFonts w:ascii="Arial" w:eastAsia="Times New Roman" w:hAnsi="Arial" w:cs="Arial"/>
                <w:b/>
                <w:bCs/>
                <w:color w:val="000000"/>
                <w:sz w:val="16"/>
                <w:szCs w:val="16"/>
                <w:lang w:eastAsia="es-ES"/>
              </w:rPr>
            </w:pPr>
            <w:r w:rsidRPr="00327D12">
              <w:rPr>
                <w:rFonts w:ascii="Arial" w:eastAsia="Times New Roman" w:hAnsi="Arial" w:cs="Arial"/>
                <w:b/>
                <w:bCs/>
                <w:color w:val="000000"/>
                <w:sz w:val="16"/>
                <w:szCs w:val="16"/>
                <w:lang w:eastAsia="es-ES"/>
              </w:rPr>
              <w:t>2005</w:t>
            </w:r>
          </w:p>
        </w:tc>
      </w:tr>
      <w:tr w:rsidR="001E6FAE" w:rsidRPr="00327D12" w:rsidTr="001E6FAE">
        <w:trPr>
          <w:gridAfter w:val="4"/>
          <w:wAfter w:w="2783" w:type="dxa"/>
          <w:trHeight w:val="255"/>
        </w:trPr>
        <w:tc>
          <w:tcPr>
            <w:tcW w:w="502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b/>
                <w:bCs/>
                <w:color w:val="000000"/>
                <w:sz w:val="16"/>
                <w:szCs w:val="16"/>
                <w:lang w:val="en-US" w:eastAsia="es-ES"/>
              </w:rPr>
            </w:pPr>
            <w:r w:rsidRPr="00327D12">
              <w:rPr>
                <w:rFonts w:ascii="Arial" w:eastAsia="Times New Roman" w:hAnsi="Arial" w:cs="Arial"/>
                <w:b/>
                <w:bCs/>
                <w:color w:val="000000"/>
                <w:sz w:val="16"/>
                <w:szCs w:val="16"/>
                <w:lang w:val="en-US" w:eastAsia="es-ES"/>
              </w:rPr>
              <w:t>Number of consumer units (in thousands)</w:t>
            </w:r>
          </w:p>
        </w:tc>
        <w:tc>
          <w:tcPr>
            <w:tcW w:w="10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109.367</w:t>
            </w:r>
          </w:p>
        </w:tc>
        <w:tc>
          <w:tcPr>
            <w:tcW w:w="10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110.339</w:t>
            </w:r>
          </w:p>
        </w:tc>
        <w:tc>
          <w:tcPr>
            <w:tcW w:w="10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112.108</w:t>
            </w:r>
          </w:p>
        </w:tc>
        <w:tc>
          <w:tcPr>
            <w:tcW w:w="10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115.356</w:t>
            </w:r>
          </w:p>
        </w:tc>
        <w:tc>
          <w:tcPr>
            <w:tcW w:w="1040" w:type="dxa"/>
            <w:gridSpan w:val="2"/>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116.282</w:t>
            </w:r>
          </w:p>
        </w:tc>
        <w:tc>
          <w:tcPr>
            <w:tcW w:w="1040" w:type="dxa"/>
            <w:gridSpan w:val="2"/>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117.356</w:t>
            </w:r>
          </w:p>
        </w:tc>
      </w:tr>
      <w:tr w:rsidR="001E6FAE" w:rsidRPr="00327D12" w:rsidTr="001E6FAE">
        <w:trPr>
          <w:gridAfter w:val="4"/>
          <w:wAfter w:w="2783" w:type="dxa"/>
          <w:trHeight w:val="255"/>
        </w:trPr>
        <w:tc>
          <w:tcPr>
            <w:tcW w:w="502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ind w:firstLineChars="100" w:firstLine="160"/>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 xml:space="preserve">Income before taxes 1/ </w:t>
            </w:r>
          </w:p>
        </w:tc>
        <w:tc>
          <w:tcPr>
            <w:tcW w:w="10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$44.649</w:t>
            </w:r>
          </w:p>
        </w:tc>
        <w:tc>
          <w:tcPr>
            <w:tcW w:w="10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$47.507</w:t>
            </w:r>
          </w:p>
        </w:tc>
        <w:tc>
          <w:tcPr>
            <w:tcW w:w="10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$49.430</w:t>
            </w:r>
          </w:p>
        </w:tc>
        <w:tc>
          <w:tcPr>
            <w:tcW w:w="10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$51.128</w:t>
            </w:r>
          </w:p>
        </w:tc>
        <w:tc>
          <w:tcPr>
            <w:tcW w:w="1040" w:type="dxa"/>
            <w:gridSpan w:val="2"/>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$54.453</w:t>
            </w:r>
          </w:p>
        </w:tc>
        <w:tc>
          <w:tcPr>
            <w:tcW w:w="1040" w:type="dxa"/>
            <w:gridSpan w:val="2"/>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$58.712</w:t>
            </w:r>
          </w:p>
        </w:tc>
      </w:tr>
      <w:tr w:rsidR="001E6FAE" w:rsidRPr="00327D12" w:rsidTr="001E6FAE">
        <w:trPr>
          <w:gridAfter w:val="4"/>
          <w:wAfter w:w="2783" w:type="dxa"/>
          <w:trHeight w:val="255"/>
        </w:trPr>
        <w:tc>
          <w:tcPr>
            <w:tcW w:w="502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ind w:firstLineChars="100" w:firstLine="160"/>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Income after taxes 1/</w:t>
            </w:r>
          </w:p>
        </w:tc>
        <w:tc>
          <w:tcPr>
            <w:tcW w:w="10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$41.532</w:t>
            </w:r>
          </w:p>
        </w:tc>
        <w:tc>
          <w:tcPr>
            <w:tcW w:w="10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$44.587</w:t>
            </w:r>
          </w:p>
        </w:tc>
        <w:tc>
          <w:tcPr>
            <w:tcW w:w="10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$46.934</w:t>
            </w:r>
          </w:p>
        </w:tc>
        <w:tc>
          <w:tcPr>
            <w:tcW w:w="10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$48.596</w:t>
            </w:r>
          </w:p>
        </w:tc>
        <w:tc>
          <w:tcPr>
            <w:tcW w:w="1040" w:type="dxa"/>
            <w:gridSpan w:val="2"/>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$52.287</w:t>
            </w:r>
          </w:p>
        </w:tc>
        <w:tc>
          <w:tcPr>
            <w:tcW w:w="1040" w:type="dxa"/>
            <w:gridSpan w:val="2"/>
            <w:tcBorders>
              <w:top w:val="nil"/>
              <w:left w:val="nil"/>
              <w:bottom w:val="nil"/>
              <w:right w:val="nil"/>
            </w:tcBorders>
            <w:shd w:val="clear" w:color="auto" w:fill="auto"/>
            <w:noWrap/>
            <w:vAlign w:val="bottom"/>
            <w:hideMark/>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r w:rsidRPr="00327D12">
              <w:rPr>
                <w:rFonts w:ascii="Arial" w:eastAsia="Times New Roman" w:hAnsi="Arial" w:cs="Arial"/>
                <w:color w:val="000000"/>
                <w:sz w:val="16"/>
                <w:szCs w:val="16"/>
                <w:lang w:eastAsia="es-ES"/>
              </w:rPr>
              <w:t>$56.304</w:t>
            </w:r>
          </w:p>
        </w:tc>
      </w:tr>
      <w:tr w:rsidR="001E6FAE" w:rsidRPr="00327D12" w:rsidTr="001E6FAE">
        <w:trPr>
          <w:gridAfter w:val="4"/>
          <w:wAfter w:w="2783" w:type="dxa"/>
          <w:trHeight w:val="255"/>
        </w:trPr>
        <w:tc>
          <w:tcPr>
            <w:tcW w:w="5020" w:type="dxa"/>
            <w:tcBorders>
              <w:top w:val="nil"/>
              <w:left w:val="nil"/>
              <w:bottom w:val="nil"/>
              <w:right w:val="nil"/>
            </w:tcBorders>
            <w:shd w:val="clear" w:color="auto" w:fill="auto"/>
            <w:noWrap/>
            <w:vAlign w:val="bottom"/>
          </w:tcPr>
          <w:p w:rsidR="001E6FAE" w:rsidRDefault="001E6FAE" w:rsidP="001E6FAE">
            <w:pPr>
              <w:spacing w:after="0" w:line="240" w:lineRule="auto"/>
              <w:ind w:firstLineChars="100" w:firstLine="160"/>
              <w:rPr>
                <w:rFonts w:ascii="Arial" w:eastAsia="Times New Roman" w:hAnsi="Arial" w:cs="Arial"/>
                <w:color w:val="000000"/>
                <w:sz w:val="16"/>
                <w:szCs w:val="16"/>
                <w:lang w:eastAsia="es-ES"/>
              </w:rPr>
            </w:pPr>
          </w:p>
          <w:p w:rsidR="001E6FAE" w:rsidRPr="00327D12" w:rsidRDefault="001E6FAE" w:rsidP="001E6FAE">
            <w:pPr>
              <w:spacing w:after="0" w:line="240" w:lineRule="auto"/>
              <w:ind w:firstLineChars="100" w:firstLine="160"/>
              <w:rPr>
                <w:rFonts w:ascii="Arial" w:eastAsia="Times New Roman" w:hAnsi="Arial" w:cs="Arial"/>
                <w:color w:val="000000"/>
                <w:sz w:val="16"/>
                <w:szCs w:val="16"/>
                <w:lang w:eastAsia="es-ES"/>
              </w:rPr>
            </w:pPr>
          </w:p>
        </w:tc>
        <w:tc>
          <w:tcPr>
            <w:tcW w:w="1040" w:type="dxa"/>
            <w:tcBorders>
              <w:top w:val="nil"/>
              <w:left w:val="nil"/>
              <w:bottom w:val="nil"/>
              <w:right w:val="nil"/>
            </w:tcBorders>
            <w:shd w:val="clear" w:color="auto" w:fill="auto"/>
            <w:noWrap/>
            <w:vAlign w:val="bottom"/>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p>
        </w:tc>
        <w:tc>
          <w:tcPr>
            <w:tcW w:w="1040" w:type="dxa"/>
            <w:tcBorders>
              <w:top w:val="nil"/>
              <w:left w:val="nil"/>
              <w:bottom w:val="nil"/>
              <w:right w:val="nil"/>
            </w:tcBorders>
            <w:shd w:val="clear" w:color="auto" w:fill="auto"/>
            <w:noWrap/>
            <w:vAlign w:val="bottom"/>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p>
        </w:tc>
        <w:tc>
          <w:tcPr>
            <w:tcW w:w="1040" w:type="dxa"/>
            <w:tcBorders>
              <w:top w:val="nil"/>
              <w:left w:val="nil"/>
              <w:bottom w:val="nil"/>
              <w:right w:val="nil"/>
            </w:tcBorders>
            <w:shd w:val="clear" w:color="auto" w:fill="auto"/>
            <w:noWrap/>
            <w:vAlign w:val="bottom"/>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p>
        </w:tc>
        <w:tc>
          <w:tcPr>
            <w:tcW w:w="1040" w:type="dxa"/>
            <w:tcBorders>
              <w:top w:val="nil"/>
              <w:left w:val="nil"/>
              <w:bottom w:val="nil"/>
              <w:right w:val="nil"/>
            </w:tcBorders>
            <w:shd w:val="clear" w:color="auto" w:fill="auto"/>
            <w:noWrap/>
            <w:vAlign w:val="bottom"/>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p>
        </w:tc>
        <w:tc>
          <w:tcPr>
            <w:tcW w:w="1040" w:type="dxa"/>
            <w:gridSpan w:val="2"/>
            <w:tcBorders>
              <w:top w:val="nil"/>
              <w:left w:val="nil"/>
              <w:bottom w:val="nil"/>
              <w:right w:val="nil"/>
            </w:tcBorders>
            <w:shd w:val="clear" w:color="auto" w:fill="auto"/>
            <w:noWrap/>
            <w:vAlign w:val="bottom"/>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p>
        </w:tc>
        <w:tc>
          <w:tcPr>
            <w:tcW w:w="1040" w:type="dxa"/>
            <w:gridSpan w:val="2"/>
            <w:tcBorders>
              <w:top w:val="nil"/>
              <w:left w:val="nil"/>
              <w:bottom w:val="nil"/>
              <w:right w:val="nil"/>
            </w:tcBorders>
            <w:shd w:val="clear" w:color="auto" w:fill="auto"/>
            <w:noWrap/>
            <w:vAlign w:val="bottom"/>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p>
        </w:tc>
      </w:tr>
      <w:tr w:rsidR="001E6FAE" w:rsidRPr="00327D12" w:rsidTr="001E6FAE">
        <w:trPr>
          <w:trHeight w:val="255"/>
        </w:trPr>
        <w:tc>
          <w:tcPr>
            <w:tcW w:w="9463" w:type="dxa"/>
            <w:gridSpan w:val="6"/>
            <w:tcBorders>
              <w:top w:val="nil"/>
              <w:left w:val="nil"/>
              <w:bottom w:val="nil"/>
              <w:right w:val="nil"/>
            </w:tcBorders>
            <w:shd w:val="clear" w:color="auto" w:fill="auto"/>
            <w:noWrap/>
            <w:vAlign w:val="bottom"/>
          </w:tcPr>
          <w:tbl>
            <w:tblPr>
              <w:tblW w:w="11260" w:type="dxa"/>
              <w:tblInd w:w="55" w:type="dxa"/>
              <w:tblCellMar>
                <w:left w:w="70" w:type="dxa"/>
                <w:right w:w="70" w:type="dxa"/>
              </w:tblCellMar>
              <w:tblLook w:val="04A0" w:firstRow="1" w:lastRow="0" w:firstColumn="1" w:lastColumn="0" w:noHBand="0" w:noVBand="1"/>
            </w:tblPr>
            <w:tblGrid>
              <w:gridCol w:w="4373"/>
              <w:gridCol w:w="921"/>
              <w:gridCol w:w="921"/>
              <w:gridCol w:w="921"/>
              <w:gridCol w:w="921"/>
              <w:gridCol w:w="921"/>
              <w:gridCol w:w="921"/>
            </w:tblGrid>
            <w:tr w:rsidR="001E6FAE" w:rsidRPr="000806BB" w:rsidTr="001E6FAE">
              <w:trPr>
                <w:trHeight w:val="255"/>
              </w:trPr>
              <w:tc>
                <w:tcPr>
                  <w:tcW w:w="502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b/>
                      <w:bCs/>
                      <w:color w:val="000000"/>
                      <w:sz w:val="16"/>
                      <w:szCs w:val="16"/>
                      <w:lang w:eastAsia="es-ES"/>
                    </w:rPr>
                  </w:pPr>
                  <w:r w:rsidRPr="000806BB">
                    <w:rPr>
                      <w:rFonts w:ascii="Arial" w:eastAsia="Times New Roman" w:hAnsi="Arial" w:cs="Arial"/>
                      <w:b/>
                      <w:bCs/>
                      <w:color w:val="000000"/>
                      <w:sz w:val="16"/>
                      <w:szCs w:val="16"/>
                      <w:lang w:eastAsia="es-ES"/>
                    </w:rPr>
                    <w:t>Average annual expenditures</w:t>
                  </w:r>
                </w:p>
              </w:tc>
              <w:tc>
                <w:tcPr>
                  <w:tcW w:w="10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jc w:val="right"/>
                    <w:rPr>
                      <w:rFonts w:ascii="Arial" w:eastAsia="Times New Roman" w:hAnsi="Arial" w:cs="Arial"/>
                      <w:color w:val="000000"/>
                      <w:sz w:val="16"/>
                      <w:szCs w:val="16"/>
                      <w:lang w:eastAsia="es-ES"/>
                    </w:rPr>
                  </w:pPr>
                  <w:r>
                    <w:rPr>
                      <w:rFonts w:ascii="Arial" w:eastAsia="Times New Roman" w:hAnsi="Arial" w:cs="Arial"/>
                      <w:color w:val="000000"/>
                      <w:sz w:val="16"/>
                      <w:szCs w:val="16"/>
                      <w:lang w:eastAsia="es-ES"/>
                    </w:rPr>
                    <w:t xml:space="preserve"> </w:t>
                  </w:r>
                  <w:r w:rsidRPr="000806BB">
                    <w:rPr>
                      <w:rFonts w:ascii="Arial" w:eastAsia="Times New Roman" w:hAnsi="Arial" w:cs="Arial"/>
                      <w:color w:val="000000"/>
                      <w:sz w:val="16"/>
                      <w:szCs w:val="16"/>
                      <w:lang w:eastAsia="es-ES"/>
                    </w:rPr>
                    <w:t>$38.045</w:t>
                  </w:r>
                </w:p>
              </w:tc>
              <w:tc>
                <w:tcPr>
                  <w:tcW w:w="10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jc w:val="right"/>
                    <w:rPr>
                      <w:rFonts w:ascii="Arial" w:eastAsia="Times New Roman" w:hAnsi="Arial" w:cs="Arial"/>
                      <w:color w:val="000000"/>
                      <w:sz w:val="16"/>
                      <w:szCs w:val="16"/>
                      <w:lang w:eastAsia="es-ES"/>
                    </w:rPr>
                  </w:pPr>
                  <w:r w:rsidRPr="000806BB">
                    <w:rPr>
                      <w:rFonts w:ascii="Arial" w:eastAsia="Times New Roman" w:hAnsi="Arial" w:cs="Arial"/>
                      <w:color w:val="000000"/>
                      <w:sz w:val="16"/>
                      <w:szCs w:val="16"/>
                      <w:lang w:eastAsia="es-ES"/>
                    </w:rPr>
                    <w:t>$39.518</w:t>
                  </w:r>
                </w:p>
              </w:tc>
              <w:tc>
                <w:tcPr>
                  <w:tcW w:w="10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jc w:val="right"/>
                    <w:rPr>
                      <w:rFonts w:ascii="Arial" w:eastAsia="Times New Roman" w:hAnsi="Arial" w:cs="Arial"/>
                      <w:color w:val="000000"/>
                      <w:sz w:val="16"/>
                      <w:szCs w:val="16"/>
                      <w:lang w:eastAsia="es-ES"/>
                    </w:rPr>
                  </w:pPr>
                  <w:r w:rsidRPr="000806BB">
                    <w:rPr>
                      <w:rFonts w:ascii="Arial" w:eastAsia="Times New Roman" w:hAnsi="Arial" w:cs="Arial"/>
                      <w:color w:val="000000"/>
                      <w:sz w:val="16"/>
                      <w:szCs w:val="16"/>
                      <w:lang w:eastAsia="es-ES"/>
                    </w:rPr>
                    <w:t>$40.677</w:t>
                  </w:r>
                </w:p>
              </w:tc>
              <w:tc>
                <w:tcPr>
                  <w:tcW w:w="10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jc w:val="right"/>
                    <w:rPr>
                      <w:rFonts w:ascii="Arial" w:eastAsia="Times New Roman" w:hAnsi="Arial" w:cs="Arial"/>
                      <w:color w:val="000000"/>
                      <w:sz w:val="16"/>
                      <w:szCs w:val="16"/>
                      <w:lang w:eastAsia="es-ES"/>
                    </w:rPr>
                  </w:pPr>
                  <w:r w:rsidRPr="000806BB">
                    <w:rPr>
                      <w:rFonts w:ascii="Arial" w:eastAsia="Times New Roman" w:hAnsi="Arial" w:cs="Arial"/>
                      <w:color w:val="000000"/>
                      <w:sz w:val="16"/>
                      <w:szCs w:val="16"/>
                      <w:lang w:eastAsia="es-ES"/>
                    </w:rPr>
                    <w:t>$40.817</w:t>
                  </w:r>
                </w:p>
              </w:tc>
              <w:tc>
                <w:tcPr>
                  <w:tcW w:w="10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jc w:val="right"/>
                    <w:rPr>
                      <w:rFonts w:ascii="Arial" w:eastAsia="Times New Roman" w:hAnsi="Arial" w:cs="Arial"/>
                      <w:color w:val="000000"/>
                      <w:sz w:val="16"/>
                      <w:szCs w:val="16"/>
                      <w:lang w:eastAsia="es-ES"/>
                    </w:rPr>
                  </w:pPr>
                  <w:r w:rsidRPr="000806BB">
                    <w:rPr>
                      <w:rFonts w:ascii="Arial" w:eastAsia="Times New Roman" w:hAnsi="Arial" w:cs="Arial"/>
                      <w:color w:val="000000"/>
                      <w:sz w:val="16"/>
                      <w:szCs w:val="16"/>
                      <w:lang w:eastAsia="es-ES"/>
                    </w:rPr>
                    <w:t>$43.395</w:t>
                  </w:r>
                </w:p>
              </w:tc>
              <w:tc>
                <w:tcPr>
                  <w:tcW w:w="10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jc w:val="right"/>
                    <w:rPr>
                      <w:rFonts w:ascii="Arial" w:eastAsia="Times New Roman" w:hAnsi="Arial" w:cs="Arial"/>
                      <w:color w:val="000000"/>
                      <w:sz w:val="16"/>
                      <w:szCs w:val="16"/>
                      <w:lang w:eastAsia="es-ES"/>
                    </w:rPr>
                  </w:pPr>
                  <w:r w:rsidRPr="000806BB">
                    <w:rPr>
                      <w:rFonts w:ascii="Arial" w:eastAsia="Times New Roman" w:hAnsi="Arial" w:cs="Arial"/>
                      <w:color w:val="000000"/>
                      <w:sz w:val="16"/>
                      <w:szCs w:val="16"/>
                      <w:lang w:eastAsia="es-ES"/>
                    </w:rPr>
                    <w:t>$46.409</w:t>
                  </w:r>
                </w:p>
              </w:tc>
            </w:tr>
          </w:tbl>
          <w:p w:rsidR="001E6FAE" w:rsidRDefault="001E6FAE" w:rsidP="001E6FAE">
            <w:pPr>
              <w:spacing w:after="0" w:line="240" w:lineRule="auto"/>
              <w:rPr>
                <w:rFonts w:ascii="Arial" w:eastAsia="Times New Roman" w:hAnsi="Arial" w:cs="Arial"/>
                <w:color w:val="000000"/>
                <w:sz w:val="16"/>
                <w:szCs w:val="16"/>
                <w:lang w:eastAsia="es-ES"/>
              </w:rPr>
            </w:pPr>
          </w:p>
          <w:p w:rsidR="001E6FAE" w:rsidRDefault="001E6FAE" w:rsidP="001E6FAE">
            <w:pPr>
              <w:spacing w:after="0" w:line="240" w:lineRule="auto"/>
              <w:rPr>
                <w:rFonts w:ascii="Arial" w:eastAsia="Times New Roman" w:hAnsi="Arial" w:cs="Arial"/>
                <w:color w:val="000000"/>
                <w:sz w:val="16"/>
                <w:szCs w:val="16"/>
                <w:lang w:eastAsia="es-ES"/>
              </w:rPr>
            </w:pPr>
          </w:p>
          <w:tbl>
            <w:tblPr>
              <w:tblW w:w="11600" w:type="dxa"/>
              <w:tblCellMar>
                <w:left w:w="70" w:type="dxa"/>
                <w:right w:w="70" w:type="dxa"/>
              </w:tblCellMar>
              <w:tblLook w:val="04A0" w:firstRow="1" w:lastRow="0" w:firstColumn="1" w:lastColumn="0" w:noHBand="0" w:noVBand="1"/>
            </w:tblPr>
            <w:tblGrid>
              <w:gridCol w:w="4255"/>
              <w:gridCol w:w="815"/>
              <w:gridCol w:w="814"/>
              <w:gridCol w:w="814"/>
              <w:gridCol w:w="814"/>
              <w:gridCol w:w="814"/>
              <w:gridCol w:w="814"/>
              <w:gridCol w:w="814"/>
            </w:tblGrid>
            <w:tr w:rsidR="001E6FAE" w:rsidRPr="00D87818" w:rsidTr="001E6FAE">
              <w:trPr>
                <w:trHeight w:val="255"/>
              </w:trPr>
              <w:tc>
                <w:tcPr>
                  <w:tcW w:w="11600" w:type="dxa"/>
                  <w:gridSpan w:val="8"/>
                  <w:tcBorders>
                    <w:top w:val="nil"/>
                    <w:left w:val="nil"/>
                    <w:bottom w:val="nil"/>
                    <w:right w:val="nil"/>
                  </w:tcBorders>
                  <w:shd w:val="clear" w:color="auto" w:fill="auto"/>
                  <w:vAlign w:val="center"/>
                  <w:hideMark/>
                </w:tcPr>
                <w:p w:rsidR="001E6FAE" w:rsidRPr="000806BB" w:rsidRDefault="001E6FAE" w:rsidP="001E6FAE">
                  <w:pPr>
                    <w:spacing w:after="0" w:line="240" w:lineRule="auto"/>
                    <w:rPr>
                      <w:rFonts w:ascii="Arial" w:eastAsia="Times New Roman" w:hAnsi="Arial" w:cs="Arial"/>
                      <w:b/>
                      <w:bCs/>
                      <w:sz w:val="18"/>
                      <w:szCs w:val="18"/>
                      <w:lang w:val="en-US" w:eastAsia="es-ES"/>
                    </w:rPr>
                  </w:pPr>
                  <w:r w:rsidRPr="000806BB">
                    <w:rPr>
                      <w:rFonts w:ascii="Arial" w:eastAsia="Times New Roman" w:hAnsi="Arial" w:cs="Arial"/>
                      <w:b/>
                      <w:bCs/>
                      <w:sz w:val="18"/>
                      <w:szCs w:val="18"/>
                      <w:lang w:val="en-US" w:eastAsia="es-ES"/>
                    </w:rPr>
                    <w:t>Average annual expenditures and characteristics of all consumer units, Consumer Expenditure Survey, 2006-2012</w:t>
                  </w:r>
                </w:p>
              </w:tc>
            </w:tr>
            <w:tr w:rsidR="001E6FAE" w:rsidRPr="00D87818" w:rsidTr="001E6FAE">
              <w:trPr>
                <w:trHeight w:val="255"/>
              </w:trPr>
              <w:tc>
                <w:tcPr>
                  <w:tcW w:w="502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val="en-US" w:eastAsia="es-ES"/>
                    </w:rPr>
                  </w:pPr>
                </w:p>
              </w:tc>
            </w:tr>
            <w:tr w:rsidR="001E6FAE" w:rsidRPr="000806BB" w:rsidTr="001E6FAE">
              <w:trPr>
                <w:trHeight w:val="255"/>
              </w:trPr>
              <w:tc>
                <w:tcPr>
                  <w:tcW w:w="502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E6FAE" w:rsidRPr="000806BB" w:rsidRDefault="001E6FAE" w:rsidP="001E6FAE">
                  <w:pPr>
                    <w:spacing w:after="0" w:line="240" w:lineRule="auto"/>
                    <w:jc w:val="center"/>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Item</w:t>
                  </w:r>
                </w:p>
              </w:tc>
              <w:tc>
                <w:tcPr>
                  <w:tcW w:w="940" w:type="dxa"/>
                  <w:tcBorders>
                    <w:top w:val="single" w:sz="4" w:space="0" w:color="000000"/>
                    <w:left w:val="nil"/>
                    <w:bottom w:val="single" w:sz="4" w:space="0" w:color="000000"/>
                    <w:right w:val="single" w:sz="4" w:space="0" w:color="000000"/>
                  </w:tcBorders>
                  <w:shd w:val="clear" w:color="auto" w:fill="auto"/>
                  <w:vAlign w:val="center"/>
                  <w:hideMark/>
                </w:tcPr>
                <w:p w:rsidR="001E6FAE" w:rsidRPr="000806BB" w:rsidRDefault="001E6FAE" w:rsidP="001E6FAE">
                  <w:pPr>
                    <w:spacing w:after="0" w:line="240" w:lineRule="auto"/>
                    <w:jc w:val="center"/>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2006</w:t>
                  </w:r>
                </w:p>
              </w:tc>
              <w:tc>
                <w:tcPr>
                  <w:tcW w:w="940" w:type="dxa"/>
                  <w:tcBorders>
                    <w:top w:val="single" w:sz="4" w:space="0" w:color="000000"/>
                    <w:left w:val="nil"/>
                    <w:bottom w:val="single" w:sz="4" w:space="0" w:color="000000"/>
                    <w:right w:val="single" w:sz="4" w:space="0" w:color="000000"/>
                  </w:tcBorders>
                  <w:shd w:val="clear" w:color="auto" w:fill="auto"/>
                  <w:vAlign w:val="center"/>
                  <w:hideMark/>
                </w:tcPr>
                <w:p w:rsidR="001E6FAE" w:rsidRPr="000806BB" w:rsidRDefault="001E6FAE" w:rsidP="001E6FAE">
                  <w:pPr>
                    <w:spacing w:after="0" w:line="240" w:lineRule="auto"/>
                    <w:jc w:val="center"/>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2007</w:t>
                  </w:r>
                </w:p>
              </w:tc>
              <w:tc>
                <w:tcPr>
                  <w:tcW w:w="940" w:type="dxa"/>
                  <w:tcBorders>
                    <w:top w:val="single" w:sz="4" w:space="0" w:color="000000"/>
                    <w:left w:val="nil"/>
                    <w:bottom w:val="single" w:sz="4" w:space="0" w:color="000000"/>
                    <w:right w:val="single" w:sz="4" w:space="0" w:color="000000"/>
                  </w:tcBorders>
                  <w:shd w:val="clear" w:color="auto" w:fill="auto"/>
                  <w:vAlign w:val="center"/>
                  <w:hideMark/>
                </w:tcPr>
                <w:p w:rsidR="001E6FAE" w:rsidRPr="000806BB" w:rsidRDefault="001E6FAE" w:rsidP="001E6FAE">
                  <w:pPr>
                    <w:spacing w:after="0" w:line="240" w:lineRule="auto"/>
                    <w:jc w:val="center"/>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2008</w:t>
                  </w:r>
                </w:p>
              </w:tc>
              <w:tc>
                <w:tcPr>
                  <w:tcW w:w="940" w:type="dxa"/>
                  <w:tcBorders>
                    <w:top w:val="single" w:sz="4" w:space="0" w:color="000000"/>
                    <w:left w:val="nil"/>
                    <w:bottom w:val="single" w:sz="4" w:space="0" w:color="000000"/>
                    <w:right w:val="single" w:sz="4" w:space="0" w:color="000000"/>
                  </w:tcBorders>
                  <w:shd w:val="clear" w:color="auto" w:fill="auto"/>
                  <w:vAlign w:val="center"/>
                  <w:hideMark/>
                </w:tcPr>
                <w:p w:rsidR="001E6FAE" w:rsidRPr="000806BB" w:rsidRDefault="001E6FAE" w:rsidP="001E6FAE">
                  <w:pPr>
                    <w:spacing w:after="0" w:line="240" w:lineRule="auto"/>
                    <w:jc w:val="center"/>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2009</w:t>
                  </w:r>
                </w:p>
              </w:tc>
              <w:tc>
                <w:tcPr>
                  <w:tcW w:w="940" w:type="dxa"/>
                  <w:tcBorders>
                    <w:top w:val="single" w:sz="4" w:space="0" w:color="000000"/>
                    <w:left w:val="nil"/>
                    <w:bottom w:val="single" w:sz="4" w:space="0" w:color="000000"/>
                    <w:right w:val="single" w:sz="4" w:space="0" w:color="000000"/>
                  </w:tcBorders>
                  <w:shd w:val="clear" w:color="auto" w:fill="auto"/>
                  <w:vAlign w:val="center"/>
                  <w:hideMark/>
                </w:tcPr>
                <w:p w:rsidR="001E6FAE" w:rsidRPr="000806BB" w:rsidRDefault="001E6FAE" w:rsidP="001E6FAE">
                  <w:pPr>
                    <w:spacing w:after="0" w:line="240" w:lineRule="auto"/>
                    <w:jc w:val="center"/>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2010</w:t>
                  </w:r>
                </w:p>
              </w:tc>
              <w:tc>
                <w:tcPr>
                  <w:tcW w:w="940" w:type="dxa"/>
                  <w:tcBorders>
                    <w:top w:val="single" w:sz="4" w:space="0" w:color="000000"/>
                    <w:left w:val="nil"/>
                    <w:bottom w:val="single" w:sz="4" w:space="0" w:color="000000"/>
                    <w:right w:val="single" w:sz="4" w:space="0" w:color="000000"/>
                  </w:tcBorders>
                  <w:shd w:val="clear" w:color="auto" w:fill="auto"/>
                  <w:vAlign w:val="center"/>
                  <w:hideMark/>
                </w:tcPr>
                <w:p w:rsidR="001E6FAE" w:rsidRPr="000806BB" w:rsidRDefault="001E6FAE" w:rsidP="001E6FAE">
                  <w:pPr>
                    <w:spacing w:after="0" w:line="240" w:lineRule="auto"/>
                    <w:jc w:val="center"/>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2011</w:t>
                  </w:r>
                </w:p>
              </w:tc>
              <w:tc>
                <w:tcPr>
                  <w:tcW w:w="940" w:type="dxa"/>
                  <w:tcBorders>
                    <w:top w:val="single" w:sz="4" w:space="0" w:color="000000"/>
                    <w:left w:val="nil"/>
                    <w:bottom w:val="single" w:sz="4" w:space="0" w:color="000000"/>
                    <w:right w:val="single" w:sz="4" w:space="0" w:color="000000"/>
                  </w:tcBorders>
                  <w:shd w:val="clear" w:color="auto" w:fill="auto"/>
                  <w:vAlign w:val="center"/>
                  <w:hideMark/>
                </w:tcPr>
                <w:p w:rsidR="001E6FAE" w:rsidRPr="000806BB" w:rsidRDefault="001E6FAE" w:rsidP="001E6FAE">
                  <w:pPr>
                    <w:spacing w:after="0" w:line="240" w:lineRule="auto"/>
                    <w:jc w:val="center"/>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2012</w:t>
                  </w:r>
                </w:p>
              </w:tc>
            </w:tr>
            <w:tr w:rsidR="001E6FAE" w:rsidRPr="000806BB" w:rsidTr="001E6FAE">
              <w:trPr>
                <w:trHeight w:val="255"/>
              </w:trPr>
              <w:tc>
                <w:tcPr>
                  <w:tcW w:w="5020" w:type="dxa"/>
                  <w:tcBorders>
                    <w:top w:val="nil"/>
                    <w:left w:val="nil"/>
                    <w:bottom w:val="nil"/>
                    <w:right w:val="single" w:sz="4" w:space="0" w:color="000000"/>
                  </w:tcBorders>
                  <w:shd w:val="clear" w:color="auto" w:fill="auto"/>
                  <w:vAlign w:val="center"/>
                  <w:hideMark/>
                </w:tcPr>
                <w:p w:rsidR="001E6FAE" w:rsidRPr="000806BB" w:rsidRDefault="001E6FAE" w:rsidP="001E6FAE">
                  <w:pPr>
                    <w:spacing w:after="0" w:line="240" w:lineRule="auto"/>
                    <w:rPr>
                      <w:rFonts w:ascii="Arial" w:eastAsia="Times New Roman" w:hAnsi="Arial" w:cs="Arial"/>
                      <w:b/>
                      <w:bCs/>
                      <w:sz w:val="16"/>
                      <w:szCs w:val="16"/>
                      <w:lang w:val="en-US" w:eastAsia="es-ES"/>
                    </w:rPr>
                  </w:pPr>
                  <w:r w:rsidRPr="000806BB">
                    <w:rPr>
                      <w:rFonts w:ascii="Arial" w:eastAsia="Times New Roman" w:hAnsi="Arial" w:cs="Arial"/>
                      <w:b/>
                      <w:bCs/>
                      <w:sz w:val="16"/>
                      <w:szCs w:val="16"/>
                      <w:lang w:val="en-US" w:eastAsia="es-ES"/>
                    </w:rPr>
                    <w:t>Number of consumer units (in thousands)</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118.843</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120.171</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120.770</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120.847</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121.107</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122.287</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124.416</w:t>
                  </w:r>
                </w:p>
              </w:tc>
            </w:tr>
            <w:tr w:rsidR="001E6FAE" w:rsidRPr="000806BB" w:rsidTr="001E6FAE">
              <w:trPr>
                <w:trHeight w:val="255"/>
              </w:trPr>
              <w:tc>
                <w:tcPr>
                  <w:tcW w:w="5020" w:type="dxa"/>
                  <w:tcBorders>
                    <w:top w:val="nil"/>
                    <w:left w:val="nil"/>
                    <w:bottom w:val="nil"/>
                    <w:right w:val="single" w:sz="4" w:space="0" w:color="000000"/>
                  </w:tcBorders>
                  <w:shd w:val="clear" w:color="auto" w:fill="auto"/>
                  <w:vAlign w:val="center"/>
                  <w:hideMark/>
                </w:tcPr>
                <w:p w:rsidR="001E6FAE" w:rsidRPr="000806BB" w:rsidRDefault="001E6FAE" w:rsidP="001E6FAE">
                  <w:pPr>
                    <w:spacing w:after="0" w:line="240" w:lineRule="auto"/>
                    <w:rPr>
                      <w:rFonts w:ascii="Arial" w:eastAsia="Times New Roman" w:hAnsi="Arial" w:cs="Arial"/>
                      <w:sz w:val="16"/>
                      <w:szCs w:val="16"/>
                      <w:lang w:eastAsia="es-ES"/>
                    </w:rPr>
                  </w:pPr>
                  <w:r w:rsidRPr="000806BB">
                    <w:rPr>
                      <w:rFonts w:ascii="Arial" w:eastAsia="Times New Roman" w:hAnsi="Arial" w:cs="Arial"/>
                      <w:sz w:val="16"/>
                      <w:szCs w:val="16"/>
                      <w:lang w:eastAsia="es-ES"/>
                    </w:rPr>
                    <w:t> </w:t>
                  </w: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r>
            <w:tr w:rsidR="001E6FAE" w:rsidRPr="000806BB" w:rsidTr="001E6FAE">
              <w:trPr>
                <w:trHeight w:val="255"/>
              </w:trPr>
              <w:tc>
                <w:tcPr>
                  <w:tcW w:w="5020" w:type="dxa"/>
                  <w:tcBorders>
                    <w:top w:val="nil"/>
                    <w:left w:val="nil"/>
                    <w:bottom w:val="nil"/>
                    <w:right w:val="single" w:sz="4" w:space="0" w:color="000000"/>
                  </w:tcBorders>
                  <w:shd w:val="clear" w:color="auto" w:fill="auto"/>
                  <w:vAlign w:val="center"/>
                  <w:hideMark/>
                </w:tcPr>
                <w:p w:rsidR="001E6FAE" w:rsidRPr="000806BB" w:rsidRDefault="001E6FAE" w:rsidP="001E6FAE">
                  <w:pPr>
                    <w:spacing w:after="0" w:line="240" w:lineRule="auto"/>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Consumer unit characteristics:</w:t>
                  </w: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r>
            <w:tr w:rsidR="001E6FAE" w:rsidRPr="000806BB" w:rsidTr="001E6FAE">
              <w:trPr>
                <w:trHeight w:val="255"/>
              </w:trPr>
              <w:tc>
                <w:tcPr>
                  <w:tcW w:w="5020" w:type="dxa"/>
                  <w:tcBorders>
                    <w:top w:val="nil"/>
                    <w:left w:val="nil"/>
                    <w:bottom w:val="nil"/>
                    <w:right w:val="single" w:sz="4" w:space="0" w:color="000000"/>
                  </w:tcBorders>
                  <w:shd w:val="clear" w:color="auto" w:fill="auto"/>
                  <w:vAlign w:val="center"/>
                  <w:hideMark/>
                </w:tcPr>
                <w:p w:rsidR="001E6FAE" w:rsidRPr="000806BB" w:rsidRDefault="001E6FAE" w:rsidP="001E6FAE">
                  <w:pPr>
                    <w:spacing w:after="0" w:line="240" w:lineRule="auto"/>
                    <w:rPr>
                      <w:rFonts w:ascii="Arial" w:eastAsia="Times New Roman" w:hAnsi="Arial" w:cs="Arial"/>
                      <w:sz w:val="16"/>
                      <w:szCs w:val="16"/>
                      <w:lang w:eastAsia="es-ES"/>
                    </w:rPr>
                  </w:pPr>
                  <w:r w:rsidRPr="000806BB">
                    <w:rPr>
                      <w:rFonts w:ascii="Arial" w:eastAsia="Times New Roman" w:hAnsi="Arial" w:cs="Arial"/>
                      <w:sz w:val="16"/>
                      <w:szCs w:val="16"/>
                      <w:lang w:eastAsia="es-ES"/>
                    </w:rPr>
                    <w:t> </w:t>
                  </w: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r>
            <w:tr w:rsidR="001E6FAE" w:rsidRPr="000806BB" w:rsidTr="001E6FAE">
              <w:trPr>
                <w:trHeight w:val="255"/>
              </w:trPr>
              <w:tc>
                <w:tcPr>
                  <w:tcW w:w="5020" w:type="dxa"/>
                  <w:tcBorders>
                    <w:top w:val="nil"/>
                    <w:left w:val="nil"/>
                    <w:bottom w:val="nil"/>
                    <w:right w:val="single" w:sz="4" w:space="0" w:color="000000"/>
                  </w:tcBorders>
                  <w:shd w:val="clear" w:color="auto" w:fill="auto"/>
                  <w:vAlign w:val="center"/>
                  <w:hideMark/>
                </w:tcPr>
                <w:p w:rsidR="001E6FAE" w:rsidRPr="000806BB" w:rsidRDefault="001E6FAE" w:rsidP="001E6FAE">
                  <w:pPr>
                    <w:spacing w:after="0" w:line="240" w:lineRule="auto"/>
                    <w:ind w:firstLineChars="100" w:firstLine="160"/>
                    <w:rPr>
                      <w:rFonts w:ascii="Arial" w:eastAsia="Times New Roman" w:hAnsi="Arial" w:cs="Arial"/>
                      <w:sz w:val="16"/>
                      <w:szCs w:val="16"/>
                      <w:lang w:eastAsia="es-ES"/>
                    </w:rPr>
                  </w:pPr>
                  <w:r w:rsidRPr="000806BB">
                    <w:rPr>
                      <w:rFonts w:ascii="Arial" w:eastAsia="Times New Roman" w:hAnsi="Arial" w:cs="Arial"/>
                      <w:sz w:val="16"/>
                      <w:szCs w:val="16"/>
                      <w:lang w:eastAsia="es-ES"/>
                    </w:rPr>
                    <w:t>Income before taxes a/</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$60.533</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$63.091</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$63.563</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$62.857</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$62.481</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$63.685</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$65.596</w:t>
                  </w:r>
                </w:p>
              </w:tc>
            </w:tr>
            <w:tr w:rsidR="001E6FAE" w:rsidRPr="000806BB" w:rsidTr="001E6FAE">
              <w:trPr>
                <w:trHeight w:val="255"/>
              </w:trPr>
              <w:tc>
                <w:tcPr>
                  <w:tcW w:w="5020" w:type="dxa"/>
                  <w:tcBorders>
                    <w:top w:val="nil"/>
                    <w:left w:val="nil"/>
                    <w:bottom w:val="nil"/>
                    <w:right w:val="single" w:sz="4" w:space="0" w:color="000000"/>
                  </w:tcBorders>
                  <w:shd w:val="clear" w:color="auto" w:fill="auto"/>
                  <w:vAlign w:val="center"/>
                  <w:hideMark/>
                </w:tcPr>
                <w:p w:rsidR="001E6FAE" w:rsidRPr="000806BB" w:rsidRDefault="001E6FAE" w:rsidP="001E6FAE">
                  <w:pPr>
                    <w:spacing w:after="0" w:line="240" w:lineRule="auto"/>
                    <w:ind w:firstLineChars="100" w:firstLine="160"/>
                    <w:rPr>
                      <w:rFonts w:ascii="Arial" w:eastAsia="Times New Roman" w:hAnsi="Arial" w:cs="Arial"/>
                      <w:sz w:val="16"/>
                      <w:szCs w:val="16"/>
                      <w:lang w:eastAsia="es-ES"/>
                    </w:rPr>
                  </w:pPr>
                  <w:r w:rsidRPr="000806BB">
                    <w:rPr>
                      <w:rFonts w:ascii="Arial" w:eastAsia="Times New Roman" w:hAnsi="Arial" w:cs="Arial"/>
                      <w:sz w:val="16"/>
                      <w:szCs w:val="16"/>
                      <w:lang w:eastAsia="es-ES"/>
                    </w:rPr>
                    <w:t>Income after taxes a/</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58.101</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60.858</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61.774</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60.753</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60.712</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61.673</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63.370</w:t>
                  </w:r>
                </w:p>
              </w:tc>
            </w:tr>
          </w:tbl>
          <w:p w:rsidR="001E6FAE" w:rsidRDefault="001E6FAE" w:rsidP="001E6FAE">
            <w:pPr>
              <w:spacing w:after="0" w:line="240" w:lineRule="auto"/>
              <w:rPr>
                <w:rFonts w:ascii="Arial" w:eastAsia="Times New Roman" w:hAnsi="Arial" w:cs="Arial"/>
                <w:color w:val="000000"/>
                <w:sz w:val="16"/>
                <w:szCs w:val="16"/>
                <w:lang w:eastAsia="es-ES"/>
              </w:rPr>
            </w:pPr>
          </w:p>
          <w:tbl>
            <w:tblPr>
              <w:tblW w:w="11600" w:type="dxa"/>
              <w:tblCellMar>
                <w:left w:w="70" w:type="dxa"/>
                <w:right w:w="70" w:type="dxa"/>
              </w:tblCellMar>
              <w:tblLook w:val="04A0" w:firstRow="1" w:lastRow="0" w:firstColumn="1" w:lastColumn="0" w:noHBand="0" w:noVBand="1"/>
            </w:tblPr>
            <w:tblGrid>
              <w:gridCol w:w="5020"/>
              <w:gridCol w:w="940"/>
              <w:gridCol w:w="940"/>
              <w:gridCol w:w="940"/>
              <w:gridCol w:w="940"/>
              <w:gridCol w:w="940"/>
              <w:gridCol w:w="940"/>
              <w:gridCol w:w="940"/>
            </w:tblGrid>
            <w:tr w:rsidR="001E6FAE" w:rsidRPr="000806BB" w:rsidTr="001E6FAE">
              <w:trPr>
                <w:trHeight w:val="255"/>
              </w:trPr>
              <w:tc>
                <w:tcPr>
                  <w:tcW w:w="5020" w:type="dxa"/>
                  <w:tcBorders>
                    <w:top w:val="nil"/>
                    <w:left w:val="nil"/>
                    <w:bottom w:val="nil"/>
                    <w:right w:val="single" w:sz="4" w:space="0" w:color="000000"/>
                  </w:tcBorders>
                  <w:shd w:val="clear" w:color="auto" w:fill="auto"/>
                  <w:vAlign w:val="center"/>
                  <w:hideMark/>
                </w:tcPr>
                <w:p w:rsidR="001E6FAE" w:rsidRPr="000806BB" w:rsidRDefault="001E6FAE" w:rsidP="001E6FAE">
                  <w:pPr>
                    <w:spacing w:after="0" w:line="240" w:lineRule="auto"/>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Average annual expenditures</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$48.400</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$49.638</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$50.486</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$49.067</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$48.109</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$49.705</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$51.442</w:t>
                  </w:r>
                </w:p>
              </w:tc>
            </w:tr>
          </w:tbl>
          <w:p w:rsidR="001E6FAE" w:rsidRDefault="001E6FAE" w:rsidP="001E6FAE">
            <w:pPr>
              <w:spacing w:after="0" w:line="240" w:lineRule="auto"/>
              <w:rPr>
                <w:rFonts w:ascii="Arial" w:eastAsia="Times New Roman" w:hAnsi="Arial" w:cs="Arial"/>
                <w:color w:val="000000"/>
                <w:sz w:val="16"/>
                <w:szCs w:val="16"/>
                <w:lang w:eastAsia="es-ES"/>
              </w:rPr>
            </w:pPr>
          </w:p>
          <w:tbl>
            <w:tblPr>
              <w:tblW w:w="10660" w:type="dxa"/>
              <w:tblCellMar>
                <w:left w:w="70" w:type="dxa"/>
                <w:right w:w="70" w:type="dxa"/>
              </w:tblCellMar>
              <w:tblLook w:val="04A0" w:firstRow="1" w:lastRow="0" w:firstColumn="1" w:lastColumn="0" w:noHBand="0" w:noVBand="1"/>
            </w:tblPr>
            <w:tblGrid>
              <w:gridCol w:w="4663"/>
              <w:gridCol w:w="881"/>
              <w:gridCol w:w="882"/>
              <w:gridCol w:w="882"/>
              <w:gridCol w:w="882"/>
              <w:gridCol w:w="882"/>
              <w:gridCol w:w="882"/>
            </w:tblGrid>
            <w:tr w:rsidR="001E6FAE" w:rsidRPr="00D87818" w:rsidTr="001E6FAE">
              <w:trPr>
                <w:trHeight w:val="510"/>
              </w:trPr>
              <w:tc>
                <w:tcPr>
                  <w:tcW w:w="10660" w:type="dxa"/>
                  <w:gridSpan w:val="7"/>
                  <w:tcBorders>
                    <w:top w:val="nil"/>
                    <w:left w:val="nil"/>
                    <w:bottom w:val="nil"/>
                    <w:right w:val="nil"/>
                  </w:tcBorders>
                  <w:shd w:val="clear" w:color="auto" w:fill="auto"/>
                  <w:vAlign w:val="center"/>
                  <w:hideMark/>
                </w:tcPr>
                <w:p w:rsidR="001E6FAE" w:rsidRPr="00327D12" w:rsidRDefault="001E6FAE" w:rsidP="001E6FAE">
                  <w:pPr>
                    <w:spacing w:after="0" w:line="240" w:lineRule="auto"/>
                    <w:rPr>
                      <w:rFonts w:ascii="Arial" w:eastAsia="Times New Roman" w:hAnsi="Arial" w:cs="Arial"/>
                      <w:b/>
                      <w:bCs/>
                      <w:sz w:val="18"/>
                      <w:szCs w:val="18"/>
                      <w:lang w:val="en-US" w:eastAsia="es-ES"/>
                    </w:rPr>
                  </w:pPr>
                  <w:r w:rsidRPr="00327D12">
                    <w:rPr>
                      <w:rFonts w:ascii="Arial" w:eastAsia="Times New Roman" w:hAnsi="Arial" w:cs="Arial"/>
                      <w:b/>
                      <w:bCs/>
                      <w:sz w:val="18"/>
                      <w:szCs w:val="18"/>
                      <w:lang w:val="en-US" w:eastAsia="es-ES"/>
                    </w:rPr>
                    <w:t>Average annual expenditures and characteristics of all consumer units, Consumer Expenditure Survey, 2013-2018</w:t>
                  </w:r>
                </w:p>
              </w:tc>
            </w:tr>
            <w:tr w:rsidR="001E6FAE" w:rsidRPr="00D87818" w:rsidTr="001E6FAE">
              <w:trPr>
                <w:trHeight w:val="255"/>
              </w:trPr>
              <w:tc>
                <w:tcPr>
                  <w:tcW w:w="502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val="en-US"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val="en-US" w:eastAsia="es-ES"/>
                    </w:rPr>
                  </w:pPr>
                </w:p>
              </w:tc>
            </w:tr>
            <w:tr w:rsidR="001E6FAE" w:rsidRPr="00327D12" w:rsidTr="001E6FAE">
              <w:trPr>
                <w:trHeight w:val="255"/>
              </w:trPr>
              <w:tc>
                <w:tcPr>
                  <w:tcW w:w="50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E6FAE" w:rsidRPr="00327D12" w:rsidRDefault="001E6FAE" w:rsidP="001E6FAE">
                  <w:pPr>
                    <w:spacing w:after="0" w:line="240" w:lineRule="auto"/>
                    <w:jc w:val="center"/>
                    <w:rPr>
                      <w:rFonts w:ascii="Arial" w:eastAsia="Times New Roman" w:hAnsi="Arial" w:cs="Arial"/>
                      <w:b/>
                      <w:bCs/>
                      <w:sz w:val="16"/>
                      <w:szCs w:val="16"/>
                      <w:lang w:eastAsia="es-ES"/>
                    </w:rPr>
                  </w:pPr>
                  <w:r w:rsidRPr="00327D12">
                    <w:rPr>
                      <w:rFonts w:ascii="Arial" w:eastAsia="Times New Roman" w:hAnsi="Arial" w:cs="Arial"/>
                      <w:b/>
                      <w:bCs/>
                      <w:sz w:val="16"/>
                      <w:szCs w:val="16"/>
                      <w:lang w:eastAsia="es-ES"/>
                    </w:rPr>
                    <w:t>Item</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1E6FAE" w:rsidRPr="00327D12" w:rsidRDefault="001E6FAE" w:rsidP="001E6FAE">
                  <w:pPr>
                    <w:spacing w:after="0" w:line="240" w:lineRule="auto"/>
                    <w:jc w:val="center"/>
                    <w:rPr>
                      <w:rFonts w:ascii="Arial" w:eastAsia="Times New Roman" w:hAnsi="Arial" w:cs="Arial"/>
                      <w:b/>
                      <w:bCs/>
                      <w:sz w:val="16"/>
                      <w:szCs w:val="16"/>
                      <w:lang w:eastAsia="es-ES"/>
                    </w:rPr>
                  </w:pPr>
                  <w:r w:rsidRPr="00327D12">
                    <w:rPr>
                      <w:rFonts w:ascii="Arial" w:eastAsia="Times New Roman" w:hAnsi="Arial" w:cs="Arial"/>
                      <w:b/>
                      <w:bCs/>
                      <w:sz w:val="16"/>
                      <w:szCs w:val="16"/>
                      <w:lang w:eastAsia="es-ES"/>
                    </w:rPr>
                    <w:t>2013</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1E6FAE" w:rsidRPr="00327D12" w:rsidRDefault="001E6FAE" w:rsidP="001E6FAE">
                  <w:pPr>
                    <w:spacing w:after="0" w:line="240" w:lineRule="auto"/>
                    <w:jc w:val="center"/>
                    <w:rPr>
                      <w:rFonts w:ascii="Arial" w:eastAsia="Times New Roman" w:hAnsi="Arial" w:cs="Arial"/>
                      <w:b/>
                      <w:bCs/>
                      <w:sz w:val="16"/>
                      <w:szCs w:val="16"/>
                      <w:lang w:eastAsia="es-ES"/>
                    </w:rPr>
                  </w:pPr>
                  <w:r w:rsidRPr="00327D12">
                    <w:rPr>
                      <w:rFonts w:ascii="Arial" w:eastAsia="Times New Roman" w:hAnsi="Arial" w:cs="Arial"/>
                      <w:b/>
                      <w:bCs/>
                      <w:sz w:val="16"/>
                      <w:szCs w:val="16"/>
                      <w:lang w:eastAsia="es-ES"/>
                    </w:rPr>
                    <w:t>2014</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1E6FAE" w:rsidRPr="00327D12" w:rsidRDefault="001E6FAE" w:rsidP="001E6FAE">
                  <w:pPr>
                    <w:spacing w:after="0" w:line="240" w:lineRule="auto"/>
                    <w:jc w:val="center"/>
                    <w:rPr>
                      <w:rFonts w:ascii="Arial" w:eastAsia="Times New Roman" w:hAnsi="Arial" w:cs="Arial"/>
                      <w:b/>
                      <w:bCs/>
                      <w:sz w:val="16"/>
                      <w:szCs w:val="16"/>
                      <w:lang w:eastAsia="es-ES"/>
                    </w:rPr>
                  </w:pPr>
                  <w:r w:rsidRPr="00327D12">
                    <w:rPr>
                      <w:rFonts w:ascii="Arial" w:eastAsia="Times New Roman" w:hAnsi="Arial" w:cs="Arial"/>
                      <w:b/>
                      <w:bCs/>
                      <w:sz w:val="16"/>
                      <w:szCs w:val="16"/>
                      <w:lang w:eastAsia="es-ES"/>
                    </w:rPr>
                    <w:t>2015</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1E6FAE" w:rsidRPr="00327D12" w:rsidRDefault="001E6FAE" w:rsidP="001E6FAE">
                  <w:pPr>
                    <w:spacing w:after="0" w:line="240" w:lineRule="auto"/>
                    <w:jc w:val="center"/>
                    <w:rPr>
                      <w:rFonts w:ascii="Arial" w:eastAsia="Times New Roman" w:hAnsi="Arial" w:cs="Arial"/>
                      <w:b/>
                      <w:bCs/>
                      <w:sz w:val="16"/>
                      <w:szCs w:val="16"/>
                      <w:lang w:eastAsia="es-ES"/>
                    </w:rPr>
                  </w:pPr>
                  <w:r w:rsidRPr="00327D12">
                    <w:rPr>
                      <w:rFonts w:ascii="Arial" w:eastAsia="Times New Roman" w:hAnsi="Arial" w:cs="Arial"/>
                      <w:b/>
                      <w:bCs/>
                      <w:sz w:val="16"/>
                      <w:szCs w:val="16"/>
                      <w:lang w:eastAsia="es-ES"/>
                    </w:rPr>
                    <w:t>2016</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1E6FAE" w:rsidRPr="00327D12" w:rsidRDefault="001E6FAE" w:rsidP="001E6FAE">
                  <w:pPr>
                    <w:spacing w:after="0" w:line="240" w:lineRule="auto"/>
                    <w:jc w:val="center"/>
                    <w:rPr>
                      <w:rFonts w:ascii="Arial" w:eastAsia="Times New Roman" w:hAnsi="Arial" w:cs="Arial"/>
                      <w:b/>
                      <w:bCs/>
                      <w:sz w:val="16"/>
                      <w:szCs w:val="16"/>
                      <w:lang w:eastAsia="es-ES"/>
                    </w:rPr>
                  </w:pPr>
                  <w:r w:rsidRPr="00327D12">
                    <w:rPr>
                      <w:rFonts w:ascii="Arial" w:eastAsia="Times New Roman" w:hAnsi="Arial" w:cs="Arial"/>
                      <w:b/>
                      <w:bCs/>
                      <w:sz w:val="16"/>
                      <w:szCs w:val="16"/>
                      <w:lang w:eastAsia="es-ES"/>
                    </w:rPr>
                    <w:t>2017</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1E6FAE" w:rsidRPr="00327D12" w:rsidRDefault="001E6FAE" w:rsidP="001E6FAE">
                  <w:pPr>
                    <w:spacing w:after="0" w:line="240" w:lineRule="auto"/>
                    <w:jc w:val="center"/>
                    <w:rPr>
                      <w:rFonts w:ascii="Arial" w:eastAsia="Times New Roman" w:hAnsi="Arial" w:cs="Arial"/>
                      <w:b/>
                      <w:bCs/>
                      <w:sz w:val="16"/>
                      <w:szCs w:val="16"/>
                      <w:lang w:eastAsia="es-ES"/>
                    </w:rPr>
                  </w:pPr>
                  <w:r w:rsidRPr="00327D12">
                    <w:rPr>
                      <w:rFonts w:ascii="Arial" w:eastAsia="Times New Roman" w:hAnsi="Arial" w:cs="Arial"/>
                      <w:b/>
                      <w:bCs/>
                      <w:sz w:val="16"/>
                      <w:szCs w:val="16"/>
                      <w:lang w:eastAsia="es-ES"/>
                    </w:rPr>
                    <w:t>2018</w:t>
                  </w:r>
                </w:p>
              </w:tc>
            </w:tr>
            <w:tr w:rsidR="001E6FAE" w:rsidRPr="00327D12" w:rsidTr="001E6FAE">
              <w:trPr>
                <w:trHeight w:val="255"/>
              </w:trPr>
              <w:tc>
                <w:tcPr>
                  <w:tcW w:w="5020" w:type="dxa"/>
                  <w:tcBorders>
                    <w:top w:val="nil"/>
                    <w:left w:val="nil"/>
                    <w:bottom w:val="nil"/>
                    <w:right w:val="single" w:sz="4" w:space="0" w:color="auto"/>
                  </w:tcBorders>
                  <w:shd w:val="clear" w:color="auto" w:fill="auto"/>
                  <w:vAlign w:val="center"/>
                  <w:hideMark/>
                </w:tcPr>
                <w:p w:rsidR="001E6FAE" w:rsidRPr="00327D12" w:rsidRDefault="001E6FAE" w:rsidP="001E6FAE">
                  <w:pPr>
                    <w:spacing w:after="0" w:line="240" w:lineRule="auto"/>
                    <w:rPr>
                      <w:rFonts w:ascii="Arial" w:eastAsia="Times New Roman" w:hAnsi="Arial" w:cs="Arial"/>
                      <w:b/>
                      <w:bCs/>
                      <w:sz w:val="16"/>
                      <w:szCs w:val="16"/>
                      <w:lang w:val="en-US" w:eastAsia="es-ES"/>
                    </w:rPr>
                  </w:pPr>
                  <w:r w:rsidRPr="00327D12">
                    <w:rPr>
                      <w:rFonts w:ascii="Arial" w:eastAsia="Times New Roman" w:hAnsi="Arial" w:cs="Arial"/>
                      <w:b/>
                      <w:bCs/>
                      <w:sz w:val="16"/>
                      <w:szCs w:val="16"/>
                      <w:lang w:val="en-US" w:eastAsia="es-ES"/>
                    </w:rPr>
                    <w:t>Number of consumer units (in thousands)</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125.670</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127.006</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128.437</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129.549</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130.001</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131.439</w:t>
                  </w:r>
                </w:p>
              </w:tc>
            </w:tr>
            <w:tr w:rsidR="001E6FAE" w:rsidRPr="00327D12" w:rsidTr="001E6FAE">
              <w:trPr>
                <w:trHeight w:val="255"/>
              </w:trPr>
              <w:tc>
                <w:tcPr>
                  <w:tcW w:w="5020" w:type="dxa"/>
                  <w:tcBorders>
                    <w:top w:val="nil"/>
                    <w:left w:val="nil"/>
                    <w:bottom w:val="nil"/>
                    <w:right w:val="single" w:sz="4" w:space="0" w:color="auto"/>
                  </w:tcBorders>
                  <w:shd w:val="clear" w:color="auto" w:fill="auto"/>
                  <w:vAlign w:val="center"/>
                  <w:hideMark/>
                </w:tcPr>
                <w:p w:rsidR="001E6FAE" w:rsidRPr="00327D12" w:rsidRDefault="001E6FAE" w:rsidP="001E6FAE">
                  <w:pPr>
                    <w:spacing w:after="0" w:line="240" w:lineRule="auto"/>
                    <w:rPr>
                      <w:rFonts w:ascii="Arial" w:eastAsia="Times New Roman" w:hAnsi="Arial" w:cs="Arial"/>
                      <w:sz w:val="16"/>
                      <w:szCs w:val="16"/>
                      <w:lang w:eastAsia="es-ES"/>
                    </w:rPr>
                  </w:pPr>
                  <w:r w:rsidRPr="00327D12">
                    <w:rPr>
                      <w:rFonts w:ascii="Arial" w:eastAsia="Times New Roman" w:hAnsi="Arial" w:cs="Arial"/>
                      <w:sz w:val="16"/>
                      <w:szCs w:val="16"/>
                      <w:lang w:eastAsia="es-ES"/>
                    </w:rPr>
                    <w:t> </w:t>
                  </w: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r>
            <w:tr w:rsidR="001E6FAE" w:rsidRPr="00327D12" w:rsidTr="001E6FAE">
              <w:trPr>
                <w:trHeight w:val="255"/>
              </w:trPr>
              <w:tc>
                <w:tcPr>
                  <w:tcW w:w="5020" w:type="dxa"/>
                  <w:tcBorders>
                    <w:top w:val="nil"/>
                    <w:left w:val="nil"/>
                    <w:bottom w:val="nil"/>
                    <w:right w:val="single" w:sz="4" w:space="0" w:color="auto"/>
                  </w:tcBorders>
                  <w:shd w:val="clear" w:color="auto" w:fill="auto"/>
                  <w:vAlign w:val="center"/>
                  <w:hideMark/>
                </w:tcPr>
                <w:p w:rsidR="001E6FAE" w:rsidRPr="00327D12" w:rsidRDefault="001E6FAE" w:rsidP="001E6FAE">
                  <w:pPr>
                    <w:spacing w:after="0" w:line="240" w:lineRule="auto"/>
                    <w:rPr>
                      <w:rFonts w:ascii="Arial" w:eastAsia="Times New Roman" w:hAnsi="Arial" w:cs="Arial"/>
                      <w:b/>
                      <w:bCs/>
                      <w:sz w:val="16"/>
                      <w:szCs w:val="16"/>
                      <w:lang w:eastAsia="es-ES"/>
                    </w:rPr>
                  </w:pPr>
                  <w:r w:rsidRPr="00327D12">
                    <w:rPr>
                      <w:rFonts w:ascii="Arial" w:eastAsia="Times New Roman" w:hAnsi="Arial" w:cs="Arial"/>
                      <w:b/>
                      <w:bCs/>
                      <w:sz w:val="16"/>
                      <w:szCs w:val="16"/>
                      <w:lang w:eastAsia="es-ES"/>
                    </w:rPr>
                    <w:t>Consumer unit characteristics:</w:t>
                  </w: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r>
            <w:tr w:rsidR="001E6FAE" w:rsidRPr="00327D12" w:rsidTr="001E6FAE">
              <w:trPr>
                <w:trHeight w:val="255"/>
              </w:trPr>
              <w:tc>
                <w:tcPr>
                  <w:tcW w:w="5020" w:type="dxa"/>
                  <w:tcBorders>
                    <w:top w:val="nil"/>
                    <w:left w:val="nil"/>
                    <w:bottom w:val="nil"/>
                    <w:right w:val="single" w:sz="4" w:space="0" w:color="auto"/>
                  </w:tcBorders>
                  <w:shd w:val="clear" w:color="auto" w:fill="auto"/>
                  <w:vAlign w:val="center"/>
                  <w:hideMark/>
                </w:tcPr>
                <w:p w:rsidR="001E6FAE" w:rsidRPr="00327D12" w:rsidRDefault="001E6FAE" w:rsidP="001E6FAE">
                  <w:pPr>
                    <w:spacing w:after="0" w:line="240" w:lineRule="auto"/>
                    <w:rPr>
                      <w:rFonts w:ascii="Arial" w:eastAsia="Times New Roman" w:hAnsi="Arial" w:cs="Arial"/>
                      <w:sz w:val="16"/>
                      <w:szCs w:val="16"/>
                      <w:lang w:eastAsia="es-ES"/>
                    </w:rPr>
                  </w:pPr>
                  <w:r w:rsidRPr="00327D12">
                    <w:rPr>
                      <w:rFonts w:ascii="Arial" w:eastAsia="Times New Roman" w:hAnsi="Arial" w:cs="Arial"/>
                      <w:sz w:val="16"/>
                      <w:szCs w:val="16"/>
                      <w:lang w:eastAsia="es-ES"/>
                    </w:rPr>
                    <w:t> </w:t>
                  </w: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c>
                <w:tcPr>
                  <w:tcW w:w="940" w:type="dxa"/>
                  <w:tcBorders>
                    <w:top w:val="nil"/>
                    <w:left w:val="nil"/>
                    <w:bottom w:val="nil"/>
                    <w:right w:val="nil"/>
                  </w:tcBorders>
                  <w:shd w:val="clear" w:color="auto" w:fill="auto"/>
                  <w:noWrap/>
                  <w:vAlign w:val="bottom"/>
                  <w:hideMark/>
                </w:tcPr>
                <w:p w:rsidR="001E6FAE" w:rsidRPr="00327D12" w:rsidRDefault="001E6FAE" w:rsidP="001E6FAE">
                  <w:pPr>
                    <w:spacing w:after="0" w:line="240" w:lineRule="auto"/>
                    <w:rPr>
                      <w:rFonts w:ascii="Arial" w:eastAsia="Times New Roman" w:hAnsi="Arial" w:cs="Arial"/>
                      <w:sz w:val="20"/>
                      <w:szCs w:val="20"/>
                      <w:lang w:eastAsia="es-ES"/>
                    </w:rPr>
                  </w:pPr>
                </w:p>
              </w:tc>
            </w:tr>
            <w:tr w:rsidR="001E6FAE" w:rsidRPr="00327D12" w:rsidTr="001E6FAE">
              <w:trPr>
                <w:trHeight w:val="255"/>
              </w:trPr>
              <w:tc>
                <w:tcPr>
                  <w:tcW w:w="5020" w:type="dxa"/>
                  <w:tcBorders>
                    <w:top w:val="nil"/>
                    <w:left w:val="nil"/>
                    <w:bottom w:val="nil"/>
                    <w:right w:val="single" w:sz="4" w:space="0" w:color="000000"/>
                  </w:tcBorders>
                  <w:shd w:val="clear" w:color="auto" w:fill="auto"/>
                  <w:vAlign w:val="center"/>
                  <w:hideMark/>
                </w:tcPr>
                <w:p w:rsidR="001E6FAE" w:rsidRPr="00327D12" w:rsidRDefault="001E6FAE" w:rsidP="001E6FAE">
                  <w:pPr>
                    <w:spacing w:after="0" w:line="240" w:lineRule="auto"/>
                    <w:ind w:firstLineChars="200" w:firstLine="320"/>
                    <w:rPr>
                      <w:rFonts w:ascii="Arial" w:eastAsia="Times New Roman" w:hAnsi="Arial" w:cs="Arial"/>
                      <w:sz w:val="16"/>
                      <w:szCs w:val="16"/>
                      <w:lang w:eastAsia="es-ES"/>
                    </w:rPr>
                  </w:pPr>
                  <w:r w:rsidRPr="00327D12">
                    <w:rPr>
                      <w:rFonts w:ascii="Arial" w:eastAsia="Times New Roman" w:hAnsi="Arial" w:cs="Arial"/>
                      <w:sz w:val="16"/>
                      <w:szCs w:val="16"/>
                      <w:lang w:eastAsia="es-ES"/>
                    </w:rPr>
                    <w:t>Income before taxes</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$63.784</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$66.877</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$69.627</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$74.664</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$73.573</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$78.635</w:t>
                  </w:r>
                </w:p>
              </w:tc>
            </w:tr>
            <w:tr w:rsidR="001E6FAE" w:rsidRPr="00327D12" w:rsidTr="001E6FAE">
              <w:trPr>
                <w:trHeight w:val="255"/>
              </w:trPr>
              <w:tc>
                <w:tcPr>
                  <w:tcW w:w="5020" w:type="dxa"/>
                  <w:tcBorders>
                    <w:top w:val="nil"/>
                    <w:left w:val="nil"/>
                    <w:bottom w:val="nil"/>
                    <w:right w:val="single" w:sz="4" w:space="0" w:color="000000"/>
                  </w:tcBorders>
                  <w:shd w:val="clear" w:color="auto" w:fill="auto"/>
                  <w:vAlign w:val="center"/>
                  <w:hideMark/>
                </w:tcPr>
                <w:p w:rsidR="001E6FAE" w:rsidRPr="00327D12" w:rsidRDefault="001E6FAE" w:rsidP="001E6FAE">
                  <w:pPr>
                    <w:spacing w:after="0" w:line="240" w:lineRule="auto"/>
                    <w:ind w:firstLineChars="200" w:firstLine="320"/>
                    <w:rPr>
                      <w:rFonts w:ascii="Arial" w:eastAsia="Times New Roman" w:hAnsi="Arial" w:cs="Arial"/>
                      <w:sz w:val="16"/>
                      <w:szCs w:val="16"/>
                      <w:lang w:eastAsia="es-ES"/>
                    </w:rPr>
                  </w:pPr>
                  <w:r w:rsidRPr="00327D12">
                    <w:rPr>
                      <w:rFonts w:ascii="Arial" w:eastAsia="Times New Roman" w:hAnsi="Arial" w:cs="Arial"/>
                      <w:sz w:val="16"/>
                      <w:szCs w:val="16"/>
                      <w:lang w:eastAsia="es-ES"/>
                    </w:rPr>
                    <w:t>Income after taxes*</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56.352</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58.364</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60.448</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64.175</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63.606</w:t>
                  </w:r>
                </w:p>
              </w:tc>
              <w:tc>
                <w:tcPr>
                  <w:tcW w:w="940" w:type="dxa"/>
                  <w:tcBorders>
                    <w:top w:val="nil"/>
                    <w:left w:val="nil"/>
                    <w:bottom w:val="nil"/>
                    <w:right w:val="nil"/>
                  </w:tcBorders>
                  <w:shd w:val="clear" w:color="auto" w:fill="auto"/>
                  <w:noWrap/>
                  <w:vAlign w:val="center"/>
                  <w:hideMark/>
                </w:tcPr>
                <w:p w:rsidR="001E6FAE" w:rsidRPr="00327D12" w:rsidRDefault="001E6FAE" w:rsidP="001E6FAE">
                  <w:pPr>
                    <w:spacing w:after="0" w:line="240" w:lineRule="auto"/>
                    <w:jc w:val="right"/>
                    <w:rPr>
                      <w:rFonts w:ascii="Arial" w:eastAsia="Times New Roman" w:hAnsi="Arial" w:cs="Arial"/>
                      <w:sz w:val="16"/>
                      <w:szCs w:val="16"/>
                      <w:lang w:eastAsia="es-ES"/>
                    </w:rPr>
                  </w:pPr>
                  <w:r w:rsidRPr="00327D12">
                    <w:rPr>
                      <w:rFonts w:ascii="Arial" w:eastAsia="Times New Roman" w:hAnsi="Arial" w:cs="Arial"/>
                      <w:sz w:val="16"/>
                      <w:szCs w:val="16"/>
                      <w:lang w:eastAsia="es-ES"/>
                    </w:rPr>
                    <w:t>67.241</w:t>
                  </w:r>
                </w:p>
              </w:tc>
            </w:tr>
          </w:tbl>
          <w:p w:rsidR="001E6FAE" w:rsidRPr="00327D12" w:rsidRDefault="001E6FAE" w:rsidP="001E6FAE">
            <w:pPr>
              <w:spacing w:after="0" w:line="240" w:lineRule="auto"/>
              <w:rPr>
                <w:rFonts w:ascii="Arial" w:eastAsia="Times New Roman" w:hAnsi="Arial" w:cs="Arial"/>
                <w:color w:val="000000"/>
                <w:sz w:val="16"/>
                <w:szCs w:val="16"/>
                <w:lang w:eastAsia="es-ES"/>
              </w:rPr>
            </w:pPr>
          </w:p>
        </w:tc>
        <w:tc>
          <w:tcPr>
            <w:tcW w:w="916" w:type="dxa"/>
            <w:gridSpan w:val="2"/>
            <w:tcBorders>
              <w:top w:val="nil"/>
              <w:left w:val="nil"/>
              <w:bottom w:val="nil"/>
              <w:right w:val="nil"/>
            </w:tcBorders>
            <w:shd w:val="clear" w:color="auto" w:fill="auto"/>
            <w:noWrap/>
            <w:vAlign w:val="bottom"/>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p>
        </w:tc>
        <w:tc>
          <w:tcPr>
            <w:tcW w:w="916" w:type="dxa"/>
            <w:gridSpan w:val="2"/>
            <w:tcBorders>
              <w:top w:val="nil"/>
              <w:left w:val="nil"/>
              <w:bottom w:val="nil"/>
              <w:right w:val="nil"/>
            </w:tcBorders>
            <w:shd w:val="clear" w:color="auto" w:fill="auto"/>
            <w:noWrap/>
            <w:vAlign w:val="bottom"/>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p>
        </w:tc>
        <w:tc>
          <w:tcPr>
            <w:tcW w:w="916" w:type="dxa"/>
            <w:tcBorders>
              <w:top w:val="nil"/>
              <w:left w:val="nil"/>
              <w:bottom w:val="nil"/>
              <w:right w:val="nil"/>
            </w:tcBorders>
            <w:shd w:val="clear" w:color="auto" w:fill="auto"/>
            <w:noWrap/>
            <w:vAlign w:val="bottom"/>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p>
        </w:tc>
        <w:tc>
          <w:tcPr>
            <w:tcW w:w="916" w:type="dxa"/>
            <w:tcBorders>
              <w:top w:val="nil"/>
              <w:left w:val="nil"/>
              <w:bottom w:val="nil"/>
              <w:right w:val="nil"/>
            </w:tcBorders>
            <w:shd w:val="clear" w:color="auto" w:fill="auto"/>
            <w:noWrap/>
            <w:vAlign w:val="bottom"/>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p>
        </w:tc>
        <w:tc>
          <w:tcPr>
            <w:tcW w:w="916" w:type="dxa"/>
            <w:tcBorders>
              <w:top w:val="nil"/>
              <w:left w:val="nil"/>
              <w:bottom w:val="nil"/>
              <w:right w:val="nil"/>
            </w:tcBorders>
            <w:shd w:val="clear" w:color="auto" w:fill="auto"/>
            <w:noWrap/>
            <w:vAlign w:val="bottom"/>
          </w:tcPr>
          <w:p w:rsidR="001E6FAE" w:rsidRPr="00327D12" w:rsidRDefault="001E6FAE" w:rsidP="001E6FAE">
            <w:pPr>
              <w:spacing w:after="0" w:line="240" w:lineRule="auto"/>
              <w:jc w:val="right"/>
              <w:rPr>
                <w:rFonts w:ascii="Arial" w:eastAsia="Times New Roman" w:hAnsi="Arial" w:cs="Arial"/>
                <w:color w:val="000000"/>
                <w:sz w:val="16"/>
                <w:szCs w:val="16"/>
                <w:lang w:eastAsia="es-ES"/>
              </w:rPr>
            </w:pPr>
          </w:p>
        </w:tc>
      </w:tr>
    </w:tbl>
    <w:p w:rsidR="001E6FAE" w:rsidRPr="00327D12" w:rsidRDefault="001E6FAE" w:rsidP="001E6FAE">
      <w:pPr>
        <w:spacing w:after="0" w:line="240" w:lineRule="auto"/>
        <w:jc w:val="both"/>
        <w:rPr>
          <w:rFonts w:ascii="Arial" w:eastAsia="Times New Roman" w:hAnsi="Arial" w:cs="Arial"/>
          <w:b/>
          <w:bCs/>
          <w:color w:val="000000"/>
          <w:sz w:val="16"/>
          <w:szCs w:val="16"/>
          <w:lang w:eastAsia="es-ES"/>
        </w:rPr>
      </w:pPr>
    </w:p>
    <w:tbl>
      <w:tblPr>
        <w:tblW w:w="11620" w:type="dxa"/>
        <w:tblInd w:w="55" w:type="dxa"/>
        <w:tblCellMar>
          <w:left w:w="70" w:type="dxa"/>
          <w:right w:w="70" w:type="dxa"/>
        </w:tblCellMar>
        <w:tblLook w:val="04A0" w:firstRow="1" w:lastRow="0" w:firstColumn="1" w:lastColumn="0" w:noHBand="0" w:noVBand="1"/>
      </w:tblPr>
      <w:tblGrid>
        <w:gridCol w:w="5020"/>
        <w:gridCol w:w="940"/>
        <w:gridCol w:w="940"/>
        <w:gridCol w:w="940"/>
        <w:gridCol w:w="940"/>
        <w:gridCol w:w="940"/>
        <w:gridCol w:w="940"/>
        <w:gridCol w:w="960"/>
      </w:tblGrid>
      <w:tr w:rsidR="001E6FAE" w:rsidRPr="000806BB" w:rsidTr="001E6FAE">
        <w:trPr>
          <w:trHeight w:val="255"/>
        </w:trPr>
        <w:tc>
          <w:tcPr>
            <w:tcW w:w="5020" w:type="dxa"/>
            <w:tcBorders>
              <w:top w:val="nil"/>
              <w:left w:val="nil"/>
              <w:bottom w:val="nil"/>
              <w:right w:val="single" w:sz="4" w:space="0" w:color="auto"/>
            </w:tcBorders>
            <w:shd w:val="clear" w:color="auto" w:fill="auto"/>
            <w:vAlign w:val="center"/>
            <w:hideMark/>
          </w:tcPr>
          <w:p w:rsidR="001E6FAE" w:rsidRPr="000806BB" w:rsidRDefault="001E6FAE" w:rsidP="001E6FAE">
            <w:pPr>
              <w:spacing w:after="0" w:line="240" w:lineRule="auto"/>
              <w:rPr>
                <w:rFonts w:ascii="Arial" w:eastAsia="Times New Roman" w:hAnsi="Arial" w:cs="Arial"/>
                <w:b/>
                <w:bCs/>
                <w:sz w:val="16"/>
                <w:szCs w:val="16"/>
                <w:lang w:eastAsia="es-ES"/>
              </w:rPr>
            </w:pPr>
            <w:r w:rsidRPr="000806BB">
              <w:rPr>
                <w:rFonts w:ascii="Arial" w:eastAsia="Times New Roman" w:hAnsi="Arial" w:cs="Arial"/>
                <w:b/>
                <w:bCs/>
                <w:sz w:val="16"/>
                <w:szCs w:val="16"/>
                <w:lang w:eastAsia="es-ES"/>
              </w:rPr>
              <w:t>Average annual expenditures</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$51.100</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$53.495</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$55.978</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$57.311</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$60.060</w:t>
            </w:r>
          </w:p>
        </w:tc>
        <w:tc>
          <w:tcPr>
            <w:tcW w:w="940" w:type="dxa"/>
            <w:tcBorders>
              <w:top w:val="nil"/>
              <w:left w:val="nil"/>
              <w:bottom w:val="nil"/>
              <w:right w:val="nil"/>
            </w:tcBorders>
            <w:shd w:val="clear" w:color="auto" w:fill="auto"/>
            <w:noWrap/>
            <w:vAlign w:val="center"/>
            <w:hideMark/>
          </w:tcPr>
          <w:p w:rsidR="001E6FAE" w:rsidRPr="000806BB" w:rsidRDefault="001E6FAE" w:rsidP="001E6FAE">
            <w:pPr>
              <w:spacing w:after="0" w:line="240" w:lineRule="auto"/>
              <w:jc w:val="right"/>
              <w:rPr>
                <w:rFonts w:ascii="Arial" w:eastAsia="Times New Roman" w:hAnsi="Arial" w:cs="Arial"/>
                <w:sz w:val="16"/>
                <w:szCs w:val="16"/>
                <w:lang w:eastAsia="es-ES"/>
              </w:rPr>
            </w:pPr>
            <w:r w:rsidRPr="000806BB">
              <w:rPr>
                <w:rFonts w:ascii="Arial" w:eastAsia="Times New Roman" w:hAnsi="Arial" w:cs="Arial"/>
                <w:sz w:val="16"/>
                <w:szCs w:val="16"/>
                <w:lang w:eastAsia="es-ES"/>
              </w:rPr>
              <w:t>$61.224</w:t>
            </w:r>
          </w:p>
        </w:tc>
        <w:tc>
          <w:tcPr>
            <w:tcW w:w="960" w:type="dxa"/>
            <w:tcBorders>
              <w:top w:val="nil"/>
              <w:left w:val="nil"/>
              <w:bottom w:val="nil"/>
              <w:right w:val="nil"/>
            </w:tcBorders>
            <w:shd w:val="clear" w:color="auto" w:fill="auto"/>
            <w:noWrap/>
            <w:vAlign w:val="bottom"/>
            <w:hideMark/>
          </w:tcPr>
          <w:p w:rsidR="001E6FAE" w:rsidRPr="000806BB" w:rsidRDefault="001E6FAE" w:rsidP="001E6FAE">
            <w:pPr>
              <w:spacing w:after="0" w:line="240" w:lineRule="auto"/>
              <w:rPr>
                <w:rFonts w:ascii="Arial" w:eastAsia="Times New Roman" w:hAnsi="Arial" w:cs="Arial"/>
                <w:sz w:val="20"/>
                <w:szCs w:val="20"/>
                <w:lang w:eastAsia="es-ES"/>
              </w:rPr>
            </w:pPr>
          </w:p>
        </w:tc>
      </w:tr>
    </w:tbl>
    <w:p w:rsidR="001E6FAE" w:rsidRDefault="001E6FAE" w:rsidP="001E6FAE">
      <w:pPr>
        <w:spacing w:line="240" w:lineRule="auto"/>
        <w:jc w:val="both"/>
        <w:rPr>
          <w:rFonts w:ascii="Times New Roman" w:hAnsi="Times New Roman" w:cs="Times New Roman"/>
          <w:sz w:val="24"/>
          <w:szCs w:val="24"/>
          <w:lang w:val="en-US"/>
        </w:rPr>
        <w:sectPr w:rsidR="001E6FAE" w:rsidSect="001E6FAE">
          <w:pgSz w:w="16838" w:h="11906" w:orient="landscape"/>
          <w:pgMar w:top="1440" w:right="1440" w:bottom="1440" w:left="1440" w:header="709" w:footer="709" w:gutter="0"/>
          <w:cols w:space="708"/>
          <w:docGrid w:linePitch="360"/>
        </w:sectPr>
      </w:pPr>
    </w:p>
    <w:p w:rsidR="001E6FAE" w:rsidRPr="00E3686F" w:rsidRDefault="001E6FAE" w:rsidP="001E6FAE">
      <w:pPr>
        <w:jc w:val="both"/>
        <w:rPr>
          <w:rFonts w:ascii="Times New Roman" w:hAnsi="Times New Roman" w:cs="Times New Roman"/>
          <w:b/>
          <w:sz w:val="24"/>
          <w:szCs w:val="24"/>
        </w:rPr>
      </w:pPr>
      <w:r w:rsidRPr="00E3686F">
        <w:rPr>
          <w:rFonts w:ascii="Times New Roman" w:hAnsi="Times New Roman" w:cs="Times New Roman"/>
          <w:b/>
          <w:sz w:val="24"/>
          <w:szCs w:val="24"/>
        </w:rPr>
        <w:lastRenderedPageBreak/>
        <w:t>Cálculos para observar los beneficios para el consumidor de la globalización</w:t>
      </w:r>
    </w:p>
    <w:p w:rsidR="001E6FAE" w:rsidRDefault="001E6FAE" w:rsidP="001E6FAE">
      <w:pPr>
        <w:jc w:val="both"/>
        <w:rPr>
          <w:rFonts w:ascii="Times New Roman" w:hAnsi="Times New Roman" w:cs="Times New Roman"/>
          <w:b/>
          <w:sz w:val="24"/>
          <w:szCs w:val="24"/>
        </w:rPr>
      </w:pPr>
      <w:r w:rsidRPr="00EA5F02">
        <w:rPr>
          <w:rFonts w:ascii="Times New Roman" w:hAnsi="Times New Roman" w:cs="Times New Roman"/>
          <w:b/>
          <w:sz w:val="24"/>
          <w:szCs w:val="24"/>
        </w:rPr>
        <w:t>Estados Unidos</w:t>
      </w:r>
    </w:p>
    <w:p w:rsidR="001E6FAE" w:rsidRDefault="001E6FAE" w:rsidP="001E6FAE">
      <w:pPr>
        <w:jc w:val="both"/>
        <w:rPr>
          <w:rFonts w:ascii="Times New Roman" w:hAnsi="Times New Roman" w:cs="Times New Roman"/>
          <w:sz w:val="24"/>
          <w:szCs w:val="24"/>
        </w:rPr>
      </w:pPr>
      <w:r w:rsidRPr="00EA5F02">
        <w:rPr>
          <w:rFonts w:ascii="Times New Roman" w:hAnsi="Times New Roman" w:cs="Times New Roman"/>
          <w:sz w:val="24"/>
          <w:szCs w:val="24"/>
        </w:rPr>
        <w:t>Año 2000 - Annual Payroll ($ 1.000) 3.879.430.052</w:t>
      </w:r>
    </w:p>
    <w:p w:rsidR="001E6FAE" w:rsidRPr="00EA5F02" w:rsidRDefault="001E6FAE" w:rsidP="001E6FAE">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2001 - Annual Payroll ($ 1.000)</w:t>
      </w:r>
      <w:r>
        <w:rPr>
          <w:rFonts w:ascii="Times New Roman" w:hAnsi="Times New Roman" w:cs="Times New Roman"/>
          <w:sz w:val="24"/>
          <w:szCs w:val="24"/>
          <w:lang w:val="en-US"/>
        </w:rPr>
        <w:t xml:space="preserve"> </w:t>
      </w:r>
      <w:r w:rsidRPr="00EA5F02">
        <w:rPr>
          <w:rFonts w:ascii="Times New Roman" w:eastAsia="Times New Roman" w:hAnsi="Times New Roman" w:cs="Times New Roman"/>
          <w:sz w:val="24"/>
          <w:szCs w:val="24"/>
          <w:lang w:val="en-US" w:eastAsia="es-ES"/>
        </w:rPr>
        <w:t>3.989.086.323</w:t>
      </w:r>
    </w:p>
    <w:p w:rsidR="001E6FAE" w:rsidRPr="00EA5F02" w:rsidRDefault="001E6FAE" w:rsidP="001E6FAE">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2002 - Annual Payroll ($ 1.000)</w:t>
      </w:r>
      <w:r>
        <w:rPr>
          <w:rFonts w:ascii="Times New Roman" w:hAnsi="Times New Roman" w:cs="Times New Roman"/>
          <w:sz w:val="24"/>
          <w:szCs w:val="24"/>
          <w:lang w:val="en-US"/>
        </w:rPr>
        <w:t xml:space="preserve"> </w:t>
      </w:r>
      <w:r w:rsidRPr="00EA5F02">
        <w:rPr>
          <w:rFonts w:ascii="Times New Roman" w:hAnsi="Times New Roman" w:cs="Times New Roman"/>
          <w:sz w:val="24"/>
          <w:szCs w:val="24"/>
          <w:lang w:val="en-US"/>
        </w:rPr>
        <w:t>3.943.179.606</w:t>
      </w:r>
    </w:p>
    <w:p w:rsidR="001E6FAE" w:rsidRPr="00EA5F02" w:rsidRDefault="001E6FAE" w:rsidP="001E6FAE">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2003 - Annual Payroll ($ 1.000)</w:t>
      </w:r>
      <w:r>
        <w:rPr>
          <w:rFonts w:ascii="Times New Roman" w:hAnsi="Times New Roman" w:cs="Times New Roman"/>
          <w:sz w:val="24"/>
          <w:szCs w:val="24"/>
          <w:lang w:val="en-US"/>
        </w:rPr>
        <w:t xml:space="preserve"> </w:t>
      </w:r>
      <w:r w:rsidRPr="00EA5F02">
        <w:rPr>
          <w:rFonts w:ascii="Times New Roman" w:hAnsi="Times New Roman" w:cs="Times New Roman"/>
          <w:sz w:val="24"/>
          <w:szCs w:val="24"/>
          <w:lang w:val="en-US"/>
        </w:rPr>
        <w:t>4.040.888.841</w:t>
      </w:r>
    </w:p>
    <w:p w:rsidR="001E6FAE" w:rsidRPr="00EA5F02" w:rsidRDefault="001E6FAE" w:rsidP="001E6FAE">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2004 - Annual Payroll ($ 1.000)</w:t>
      </w:r>
      <w:r>
        <w:rPr>
          <w:rFonts w:ascii="Times New Roman" w:hAnsi="Times New Roman" w:cs="Times New Roman"/>
          <w:sz w:val="24"/>
          <w:szCs w:val="24"/>
          <w:lang w:val="en-US"/>
        </w:rPr>
        <w:t xml:space="preserve"> </w:t>
      </w:r>
      <w:r w:rsidRPr="00EA5F02">
        <w:rPr>
          <w:rFonts w:ascii="Times New Roman" w:hAnsi="Times New Roman" w:cs="Times New Roman"/>
          <w:sz w:val="24"/>
          <w:szCs w:val="24"/>
          <w:lang w:val="en-US"/>
        </w:rPr>
        <w:t>4.253.995.732</w:t>
      </w:r>
    </w:p>
    <w:p w:rsidR="001E6FAE" w:rsidRPr="00EA5F02" w:rsidRDefault="001E6FAE" w:rsidP="001E6FAE">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2005 - Annual Payroll ($ 1.000)</w:t>
      </w:r>
      <w:r>
        <w:rPr>
          <w:rFonts w:ascii="Times New Roman" w:hAnsi="Times New Roman" w:cs="Times New Roman"/>
          <w:sz w:val="24"/>
          <w:szCs w:val="24"/>
          <w:lang w:val="en-US"/>
        </w:rPr>
        <w:t xml:space="preserve"> </w:t>
      </w:r>
      <w:r w:rsidRPr="00EA5F02">
        <w:rPr>
          <w:rFonts w:ascii="Times New Roman" w:hAnsi="Times New Roman" w:cs="Times New Roman"/>
          <w:sz w:val="24"/>
          <w:szCs w:val="24"/>
          <w:lang w:val="en-US"/>
        </w:rPr>
        <w:t>4.482.722.481</w:t>
      </w:r>
    </w:p>
    <w:p w:rsidR="001E6FAE" w:rsidRDefault="001E6FAE" w:rsidP="001E6FAE">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2006 - Annual Payroll ($ 1.000)</w:t>
      </w:r>
      <w:r>
        <w:rPr>
          <w:rFonts w:ascii="Times New Roman" w:hAnsi="Times New Roman" w:cs="Times New Roman"/>
          <w:sz w:val="24"/>
          <w:szCs w:val="24"/>
          <w:lang w:val="en-US"/>
        </w:rPr>
        <w:t xml:space="preserve"> </w:t>
      </w:r>
      <w:r w:rsidRPr="000F32E7">
        <w:rPr>
          <w:rFonts w:ascii="Times New Roman" w:hAnsi="Times New Roman" w:cs="Times New Roman"/>
          <w:sz w:val="24"/>
          <w:szCs w:val="24"/>
          <w:lang w:val="en-US"/>
        </w:rPr>
        <w:t>4.792.429.911</w:t>
      </w:r>
    </w:p>
    <w:p w:rsidR="001E6FAE" w:rsidRPr="00EA5F02" w:rsidRDefault="001E6FAE" w:rsidP="001E6FAE">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2007 - Annual Payroll ($ 1.000)</w:t>
      </w:r>
      <w:r>
        <w:rPr>
          <w:rFonts w:ascii="Times New Roman" w:hAnsi="Times New Roman" w:cs="Times New Roman"/>
          <w:sz w:val="24"/>
          <w:szCs w:val="24"/>
          <w:lang w:val="en-US"/>
        </w:rPr>
        <w:t xml:space="preserve"> </w:t>
      </w:r>
      <w:r w:rsidRPr="000F32E7">
        <w:rPr>
          <w:rFonts w:ascii="Times New Roman" w:hAnsi="Times New Roman" w:cs="Times New Roman"/>
          <w:sz w:val="24"/>
          <w:szCs w:val="24"/>
          <w:lang w:val="en-US"/>
        </w:rPr>
        <w:t>5.026.778.232</w:t>
      </w:r>
    </w:p>
    <w:p w:rsidR="001E6FAE" w:rsidRPr="00EA5F02" w:rsidRDefault="001E6FAE" w:rsidP="001E6FAE">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2008 - Annual Payroll ($ 1.000)</w:t>
      </w:r>
      <w:r>
        <w:rPr>
          <w:rFonts w:ascii="Times New Roman" w:hAnsi="Times New Roman" w:cs="Times New Roman"/>
          <w:sz w:val="24"/>
          <w:szCs w:val="24"/>
          <w:lang w:val="en-US"/>
        </w:rPr>
        <w:t xml:space="preserve"> </w:t>
      </w:r>
      <w:r w:rsidRPr="000F32E7">
        <w:rPr>
          <w:rFonts w:ascii="Times New Roman" w:hAnsi="Times New Roman" w:cs="Times New Roman"/>
          <w:sz w:val="24"/>
          <w:szCs w:val="24"/>
          <w:lang w:val="en-US"/>
        </w:rPr>
        <w:t>5.130.509.178</w:t>
      </w:r>
    </w:p>
    <w:p w:rsidR="001E6FAE" w:rsidRPr="00EA5F02" w:rsidRDefault="001E6FAE" w:rsidP="001E6FAE">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2009 - Annual Payroll ($ 1.000)</w:t>
      </w:r>
      <w:r>
        <w:rPr>
          <w:rFonts w:ascii="Times New Roman" w:hAnsi="Times New Roman" w:cs="Times New Roman"/>
          <w:sz w:val="24"/>
          <w:szCs w:val="24"/>
          <w:lang w:val="en-US"/>
        </w:rPr>
        <w:t xml:space="preserve"> </w:t>
      </w:r>
      <w:r w:rsidRPr="000F32E7">
        <w:rPr>
          <w:rFonts w:ascii="Times New Roman" w:hAnsi="Times New Roman" w:cs="Times New Roman"/>
          <w:sz w:val="24"/>
          <w:szCs w:val="24"/>
          <w:lang w:val="en-US"/>
        </w:rPr>
        <w:t>4.855.545.239</w:t>
      </w:r>
    </w:p>
    <w:p w:rsidR="001E6FAE" w:rsidRPr="00EA5F02" w:rsidRDefault="001E6FAE" w:rsidP="001E6FAE">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2010 - Annual Payroll ($ 1.000)</w:t>
      </w:r>
      <w:r>
        <w:rPr>
          <w:rFonts w:ascii="Times New Roman" w:hAnsi="Times New Roman" w:cs="Times New Roman"/>
          <w:sz w:val="24"/>
          <w:szCs w:val="24"/>
          <w:lang w:val="en-US"/>
        </w:rPr>
        <w:t xml:space="preserve"> </w:t>
      </w:r>
      <w:r w:rsidRPr="000F32E7">
        <w:rPr>
          <w:rFonts w:ascii="Times New Roman" w:hAnsi="Times New Roman" w:cs="Times New Roman"/>
          <w:sz w:val="24"/>
          <w:szCs w:val="24"/>
          <w:lang w:val="en-US"/>
        </w:rPr>
        <w:t>4.940.983.369</w:t>
      </w:r>
    </w:p>
    <w:p w:rsidR="001E6FAE" w:rsidRPr="00EA5F02" w:rsidRDefault="001E6FAE" w:rsidP="001E6FAE">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2011 - Annual Payroll ($ 1.000)</w:t>
      </w:r>
      <w:r>
        <w:rPr>
          <w:rFonts w:ascii="Times New Roman" w:hAnsi="Times New Roman" w:cs="Times New Roman"/>
          <w:sz w:val="24"/>
          <w:szCs w:val="24"/>
          <w:lang w:val="en-US"/>
        </w:rPr>
        <w:t xml:space="preserve"> </w:t>
      </w:r>
      <w:r w:rsidRPr="000F32E7">
        <w:rPr>
          <w:rFonts w:ascii="Times New Roman" w:hAnsi="Times New Roman" w:cs="Times New Roman"/>
          <w:sz w:val="24"/>
          <w:szCs w:val="24"/>
          <w:lang w:val="en-US"/>
        </w:rPr>
        <w:t>5.164.897.905</w:t>
      </w:r>
    </w:p>
    <w:p w:rsidR="001E6FAE" w:rsidRPr="00EA5F02" w:rsidRDefault="001E6FAE" w:rsidP="001E6FAE">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2012 - Annual Payroll ($ 1.000)</w:t>
      </w:r>
      <w:r>
        <w:rPr>
          <w:rFonts w:ascii="Times New Roman" w:hAnsi="Times New Roman" w:cs="Times New Roman"/>
          <w:sz w:val="24"/>
          <w:szCs w:val="24"/>
          <w:lang w:val="en-US"/>
        </w:rPr>
        <w:t xml:space="preserve"> </w:t>
      </w:r>
      <w:r w:rsidRPr="000F32E7">
        <w:rPr>
          <w:rFonts w:ascii="Times New Roman" w:hAnsi="Times New Roman" w:cs="Times New Roman"/>
          <w:sz w:val="24"/>
          <w:szCs w:val="24"/>
          <w:lang w:val="en-US"/>
        </w:rPr>
        <w:t>5.414.255.995</w:t>
      </w:r>
    </w:p>
    <w:p w:rsidR="001E6FAE" w:rsidRPr="00EA5F02" w:rsidRDefault="001E6FAE" w:rsidP="001E6FAE">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2013 - Annual Payroll ($ 1.000)</w:t>
      </w:r>
      <w:r>
        <w:rPr>
          <w:rFonts w:ascii="Times New Roman" w:hAnsi="Times New Roman" w:cs="Times New Roman"/>
          <w:sz w:val="24"/>
          <w:szCs w:val="24"/>
          <w:lang w:val="en-US"/>
        </w:rPr>
        <w:t xml:space="preserve"> </w:t>
      </w:r>
      <w:r w:rsidRPr="000F32E7">
        <w:rPr>
          <w:rFonts w:ascii="Times New Roman" w:hAnsi="Times New Roman" w:cs="Times New Roman"/>
          <w:sz w:val="24"/>
          <w:szCs w:val="24"/>
          <w:lang w:val="en-US"/>
        </w:rPr>
        <w:t>5.621.697.325</w:t>
      </w:r>
    </w:p>
    <w:p w:rsidR="001E6FAE" w:rsidRDefault="001E6FAE" w:rsidP="001E6FAE">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2014 - Annual Payroll ($ 1.000)</w:t>
      </w:r>
      <w:r>
        <w:rPr>
          <w:rFonts w:ascii="Times New Roman" w:hAnsi="Times New Roman" w:cs="Times New Roman"/>
          <w:sz w:val="24"/>
          <w:szCs w:val="24"/>
          <w:lang w:val="en-US"/>
        </w:rPr>
        <w:t xml:space="preserve"> </w:t>
      </w:r>
      <w:r w:rsidRPr="000F32E7">
        <w:rPr>
          <w:rFonts w:ascii="Times New Roman" w:hAnsi="Times New Roman" w:cs="Times New Roman"/>
          <w:sz w:val="24"/>
          <w:szCs w:val="24"/>
          <w:lang w:val="en-US"/>
        </w:rPr>
        <w:t>5.940.186.911</w:t>
      </w:r>
    </w:p>
    <w:p w:rsidR="001E6FAE" w:rsidRPr="00EA5F02" w:rsidRDefault="001E6FAE" w:rsidP="001E6FAE">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2015 - Annual Payroll ($ 1.000)</w:t>
      </w:r>
      <w:r>
        <w:rPr>
          <w:rFonts w:ascii="Times New Roman" w:hAnsi="Times New Roman" w:cs="Times New Roman"/>
          <w:sz w:val="24"/>
          <w:szCs w:val="24"/>
          <w:lang w:val="en-US"/>
        </w:rPr>
        <w:t xml:space="preserve"> </w:t>
      </w:r>
      <w:r w:rsidRPr="000F32E7">
        <w:rPr>
          <w:rFonts w:ascii="Times New Roman" w:hAnsi="Times New Roman" w:cs="Times New Roman"/>
          <w:sz w:val="24"/>
          <w:szCs w:val="24"/>
          <w:lang w:val="en-US"/>
        </w:rPr>
        <w:t>6.253.488.252</w:t>
      </w:r>
    </w:p>
    <w:p w:rsidR="001E6FAE" w:rsidRPr="00EA5F02" w:rsidRDefault="001E6FAE" w:rsidP="001E6FAE">
      <w:pPr>
        <w:jc w:val="both"/>
        <w:rPr>
          <w:rFonts w:ascii="Times New Roman" w:hAnsi="Times New Roman" w:cs="Times New Roman"/>
          <w:sz w:val="24"/>
          <w:szCs w:val="24"/>
          <w:lang w:val="en-US"/>
        </w:rPr>
      </w:pPr>
      <w:r w:rsidRPr="00EA5F02">
        <w:rPr>
          <w:rFonts w:ascii="Times New Roman" w:hAnsi="Times New Roman" w:cs="Times New Roman"/>
          <w:sz w:val="24"/>
          <w:szCs w:val="24"/>
          <w:lang w:val="en-US"/>
        </w:rPr>
        <w:t>Año 2016 - Annual Payroll ($ 1.000)</w:t>
      </w:r>
      <w:r>
        <w:rPr>
          <w:rFonts w:ascii="Times New Roman" w:hAnsi="Times New Roman" w:cs="Times New Roman"/>
          <w:sz w:val="24"/>
          <w:szCs w:val="24"/>
          <w:lang w:val="en-US"/>
        </w:rPr>
        <w:t xml:space="preserve"> </w:t>
      </w:r>
      <w:r w:rsidRPr="000F32E7">
        <w:rPr>
          <w:rFonts w:ascii="Times New Roman" w:hAnsi="Times New Roman" w:cs="Times New Roman"/>
          <w:sz w:val="24"/>
          <w:szCs w:val="24"/>
          <w:lang w:val="en-US"/>
        </w:rPr>
        <w:t>6.435.142.055</w:t>
      </w:r>
    </w:p>
    <w:p w:rsidR="001E6FAE" w:rsidRDefault="001E6FAE" w:rsidP="001E6FAE">
      <w:pPr>
        <w:jc w:val="both"/>
        <w:rPr>
          <w:rFonts w:ascii="Times New Roman" w:hAnsi="Times New Roman" w:cs="Times New Roman"/>
          <w:sz w:val="24"/>
          <w:szCs w:val="24"/>
          <w:lang w:val="en-US"/>
        </w:rPr>
      </w:pPr>
      <w:r w:rsidRPr="000F32E7">
        <w:rPr>
          <w:rFonts w:ascii="Times New Roman" w:hAnsi="Times New Roman" w:cs="Times New Roman"/>
          <w:sz w:val="24"/>
          <w:szCs w:val="24"/>
          <w:lang w:val="en-US"/>
        </w:rPr>
        <w:t>Año 2017 - Annual Payroll ($ 1.000) 6.725.346.754</w:t>
      </w:r>
    </w:p>
    <w:p w:rsidR="001E6FAE" w:rsidRDefault="001E6FAE" w:rsidP="001E6FAE">
      <w:pPr>
        <w:jc w:val="both"/>
        <w:rPr>
          <w:rFonts w:ascii="Times New Roman" w:hAnsi="Times New Roman" w:cs="Times New Roman"/>
          <w:sz w:val="24"/>
          <w:szCs w:val="24"/>
          <w:lang w:val="en-US"/>
        </w:rPr>
      </w:pPr>
      <w:r w:rsidRPr="00FA7FB5">
        <w:rPr>
          <w:rFonts w:ascii="Times New Roman" w:hAnsi="Times New Roman" w:cs="Times New Roman"/>
          <w:noProof/>
          <w:sz w:val="24"/>
          <w:szCs w:val="24"/>
          <w:lang w:eastAsia="es-ES"/>
        </w:rPr>
        <w:drawing>
          <wp:inline distT="0" distB="0" distL="0" distR="0" wp14:anchorId="6BCA5662" wp14:editId="4C60D18E">
            <wp:extent cx="5391903" cy="2114845"/>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391903" cy="2114845"/>
                    </a:xfrm>
                    <a:prstGeom prst="rect">
                      <a:avLst/>
                    </a:prstGeom>
                  </pic:spPr>
                </pic:pic>
              </a:graphicData>
            </a:graphic>
          </wp:inline>
        </w:drawing>
      </w:r>
    </w:p>
    <w:p w:rsidR="001E6FAE" w:rsidRDefault="001E6FAE" w:rsidP="001E6FAE">
      <w:pPr>
        <w:jc w:val="both"/>
        <w:rPr>
          <w:rFonts w:ascii="Times New Roman" w:hAnsi="Times New Roman" w:cs="Times New Roman"/>
          <w:sz w:val="24"/>
          <w:szCs w:val="24"/>
          <w:lang w:val="en-US"/>
        </w:rPr>
      </w:pPr>
      <w:r w:rsidRPr="001E1268">
        <w:rPr>
          <w:rFonts w:ascii="Times New Roman" w:hAnsi="Times New Roman" w:cs="Times New Roman"/>
          <w:noProof/>
          <w:sz w:val="24"/>
          <w:szCs w:val="24"/>
          <w:lang w:eastAsia="es-ES"/>
        </w:rPr>
        <w:lastRenderedPageBreak/>
        <w:drawing>
          <wp:inline distT="0" distB="0" distL="0" distR="0" wp14:anchorId="6A862893" wp14:editId="37CF87F6">
            <wp:extent cx="5734231" cy="5062818"/>
            <wp:effectExtent l="0" t="0" r="0" b="508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31510" cy="5060415"/>
                    </a:xfrm>
                    <a:prstGeom prst="rect">
                      <a:avLst/>
                    </a:prstGeom>
                  </pic:spPr>
                </pic:pic>
              </a:graphicData>
            </a:graphic>
          </wp:inline>
        </w:drawing>
      </w:r>
    </w:p>
    <w:p w:rsidR="001E6FAE" w:rsidRDefault="001E6FAE" w:rsidP="001E6FAE">
      <w:pPr>
        <w:jc w:val="both"/>
        <w:rPr>
          <w:rFonts w:ascii="Times New Roman" w:hAnsi="Times New Roman" w:cs="Times New Roman"/>
          <w:sz w:val="24"/>
          <w:szCs w:val="24"/>
          <w:lang w:val="en-US"/>
        </w:rPr>
      </w:pPr>
      <w:r w:rsidRPr="006248AA">
        <w:rPr>
          <w:rFonts w:ascii="Times New Roman" w:hAnsi="Times New Roman" w:cs="Times New Roman"/>
          <w:noProof/>
          <w:sz w:val="24"/>
          <w:szCs w:val="24"/>
          <w:lang w:eastAsia="es-ES"/>
        </w:rPr>
        <w:drawing>
          <wp:inline distT="0" distB="0" distL="0" distR="0" wp14:anchorId="20688BBA" wp14:editId="65C52CF1">
            <wp:extent cx="5735171" cy="3509682"/>
            <wp:effectExtent l="0" t="0" r="0"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731510" cy="3507442"/>
                    </a:xfrm>
                    <a:prstGeom prst="rect">
                      <a:avLst/>
                    </a:prstGeom>
                  </pic:spPr>
                </pic:pic>
              </a:graphicData>
            </a:graphic>
          </wp:inline>
        </w:drawing>
      </w:r>
    </w:p>
    <w:p w:rsidR="001E6FAE" w:rsidRPr="006248AA" w:rsidRDefault="001E6FAE" w:rsidP="001E6FAE">
      <w:pPr>
        <w:jc w:val="both"/>
        <w:rPr>
          <w:rFonts w:ascii="Times New Roman" w:hAnsi="Times New Roman" w:cs="Times New Roman"/>
          <w:sz w:val="24"/>
          <w:szCs w:val="24"/>
          <w:lang w:val="en-US"/>
        </w:rPr>
      </w:pPr>
      <w:r w:rsidRPr="000F32E7">
        <w:rPr>
          <w:rFonts w:ascii="Times New Roman" w:hAnsi="Times New Roman" w:cs="Times New Roman"/>
          <w:b/>
          <w:sz w:val="24"/>
          <w:szCs w:val="24"/>
          <w:lang w:val="en-US"/>
        </w:rPr>
        <w:lastRenderedPageBreak/>
        <w:t>Unión Europea</w:t>
      </w:r>
    </w:p>
    <w:p w:rsidR="001E6FAE" w:rsidRDefault="001E6FAE" w:rsidP="001E6FAE">
      <w:pPr>
        <w:jc w:val="both"/>
        <w:rPr>
          <w:rFonts w:ascii="Times New Roman" w:hAnsi="Times New Roman" w:cs="Times New Roman"/>
          <w:b/>
          <w:sz w:val="24"/>
          <w:szCs w:val="24"/>
          <w:lang w:val="en-US"/>
        </w:rPr>
      </w:pPr>
      <w:r w:rsidRPr="000F32E7">
        <w:rPr>
          <w:rFonts w:ascii="Times New Roman" w:hAnsi="Times New Roman" w:cs="Times New Roman"/>
          <w:b/>
          <w:noProof/>
          <w:sz w:val="24"/>
          <w:szCs w:val="24"/>
          <w:lang w:eastAsia="es-ES"/>
        </w:rPr>
        <w:drawing>
          <wp:inline distT="0" distB="0" distL="0" distR="0" wp14:anchorId="59086EA0" wp14:editId="3388E3F7">
            <wp:extent cx="5731510" cy="173905"/>
            <wp:effectExtent l="0" t="0" r="0" b="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173905"/>
                    </a:xfrm>
                    <a:prstGeom prst="rect">
                      <a:avLst/>
                    </a:prstGeom>
                  </pic:spPr>
                </pic:pic>
              </a:graphicData>
            </a:graphic>
          </wp:inline>
        </w:drawing>
      </w:r>
    </w:p>
    <w:p w:rsidR="001E6FAE" w:rsidRDefault="001E6FAE" w:rsidP="001E6FAE">
      <w:pPr>
        <w:jc w:val="both"/>
        <w:rPr>
          <w:rFonts w:ascii="Times New Roman" w:hAnsi="Times New Roman" w:cs="Times New Roman"/>
          <w:b/>
          <w:sz w:val="24"/>
          <w:szCs w:val="24"/>
          <w:lang w:val="en-US"/>
        </w:rPr>
      </w:pPr>
      <w:r w:rsidRPr="000F32E7">
        <w:rPr>
          <w:rFonts w:ascii="Times New Roman" w:hAnsi="Times New Roman" w:cs="Times New Roman"/>
          <w:b/>
          <w:noProof/>
          <w:sz w:val="24"/>
          <w:szCs w:val="24"/>
          <w:lang w:eastAsia="es-ES"/>
        </w:rPr>
        <w:drawing>
          <wp:inline distT="0" distB="0" distL="0" distR="0" wp14:anchorId="451102DE" wp14:editId="38A7DBC9">
            <wp:extent cx="5731510" cy="172068"/>
            <wp:effectExtent l="0" t="0" r="0"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31510" cy="172068"/>
                    </a:xfrm>
                    <a:prstGeom prst="rect">
                      <a:avLst/>
                    </a:prstGeom>
                  </pic:spPr>
                </pic:pic>
              </a:graphicData>
            </a:graphic>
          </wp:inline>
        </w:drawing>
      </w:r>
    </w:p>
    <w:p w:rsidR="001E6FAE" w:rsidRDefault="001E6FAE" w:rsidP="001E6FAE">
      <w:pPr>
        <w:jc w:val="both"/>
        <w:rPr>
          <w:rFonts w:ascii="Times New Roman" w:hAnsi="Times New Roman" w:cs="Times New Roman"/>
          <w:b/>
          <w:sz w:val="24"/>
          <w:szCs w:val="24"/>
          <w:lang w:val="en-US"/>
        </w:rPr>
      </w:pPr>
      <w:r w:rsidRPr="000F32E7">
        <w:rPr>
          <w:rFonts w:ascii="Times New Roman" w:hAnsi="Times New Roman" w:cs="Times New Roman"/>
          <w:b/>
          <w:noProof/>
          <w:sz w:val="24"/>
          <w:szCs w:val="24"/>
          <w:lang w:eastAsia="es-ES"/>
        </w:rPr>
        <w:drawing>
          <wp:inline distT="0" distB="0" distL="0" distR="0" wp14:anchorId="26CF0336" wp14:editId="6EBAE6F6">
            <wp:extent cx="5731510" cy="189826"/>
            <wp:effectExtent l="0" t="0" r="0" b="127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31510" cy="189826"/>
                    </a:xfrm>
                    <a:prstGeom prst="rect">
                      <a:avLst/>
                    </a:prstGeom>
                  </pic:spPr>
                </pic:pic>
              </a:graphicData>
            </a:graphic>
          </wp:inline>
        </w:drawing>
      </w:r>
    </w:p>
    <w:p w:rsidR="001E6FAE" w:rsidRDefault="001E6FAE" w:rsidP="001E6FAE">
      <w:pPr>
        <w:jc w:val="both"/>
        <w:rPr>
          <w:rFonts w:ascii="Times New Roman" w:hAnsi="Times New Roman" w:cs="Times New Roman"/>
          <w:b/>
          <w:sz w:val="24"/>
          <w:szCs w:val="24"/>
          <w:lang w:val="en-US"/>
        </w:rPr>
      </w:pPr>
      <w:r w:rsidRPr="000F32E7">
        <w:rPr>
          <w:rFonts w:ascii="Times New Roman" w:hAnsi="Times New Roman" w:cs="Times New Roman"/>
          <w:b/>
          <w:noProof/>
          <w:sz w:val="24"/>
          <w:szCs w:val="24"/>
          <w:lang w:eastAsia="es-ES"/>
        </w:rPr>
        <w:drawing>
          <wp:inline distT="0" distB="0" distL="0" distR="0" wp14:anchorId="6744ACAF" wp14:editId="50A1A31E">
            <wp:extent cx="5854700" cy="139700"/>
            <wp:effectExtent l="0" t="0" r="0" b="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6039384" cy="144107"/>
                    </a:xfrm>
                    <a:prstGeom prst="rect">
                      <a:avLst/>
                    </a:prstGeom>
                  </pic:spPr>
                </pic:pic>
              </a:graphicData>
            </a:graphic>
          </wp:inline>
        </w:drawing>
      </w:r>
    </w:p>
    <w:p w:rsidR="001E6FAE" w:rsidRDefault="001E6FAE" w:rsidP="001E6FAE">
      <w:pPr>
        <w:jc w:val="both"/>
        <w:rPr>
          <w:rFonts w:ascii="Times New Roman" w:hAnsi="Times New Roman" w:cs="Times New Roman"/>
          <w:b/>
          <w:sz w:val="24"/>
          <w:szCs w:val="24"/>
          <w:lang w:val="en-US"/>
        </w:rPr>
      </w:pPr>
    </w:p>
    <w:p w:rsidR="001E6FAE" w:rsidRDefault="001E6FAE" w:rsidP="001E6FAE">
      <w:pPr>
        <w:jc w:val="both"/>
        <w:rPr>
          <w:rFonts w:ascii="Times New Roman" w:hAnsi="Times New Roman" w:cs="Times New Roman"/>
          <w:b/>
          <w:sz w:val="24"/>
          <w:szCs w:val="24"/>
          <w:lang w:val="en-US"/>
        </w:rPr>
      </w:pPr>
      <w:r w:rsidRPr="00DD1E4E">
        <w:rPr>
          <w:rFonts w:ascii="Times New Roman" w:hAnsi="Times New Roman" w:cs="Times New Roman"/>
          <w:b/>
          <w:noProof/>
          <w:sz w:val="24"/>
          <w:szCs w:val="24"/>
          <w:lang w:eastAsia="es-ES"/>
        </w:rPr>
        <w:drawing>
          <wp:inline distT="0" distB="0" distL="0" distR="0" wp14:anchorId="31243E00" wp14:editId="566B4C48">
            <wp:extent cx="5731510" cy="216156"/>
            <wp:effectExtent l="0" t="0" r="2540" b="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216156"/>
                    </a:xfrm>
                    <a:prstGeom prst="rect">
                      <a:avLst/>
                    </a:prstGeom>
                  </pic:spPr>
                </pic:pic>
              </a:graphicData>
            </a:graphic>
          </wp:inline>
        </w:drawing>
      </w:r>
    </w:p>
    <w:p w:rsidR="001E6FAE" w:rsidRDefault="001E6FAE" w:rsidP="001E6FAE">
      <w:pPr>
        <w:jc w:val="both"/>
        <w:rPr>
          <w:rFonts w:ascii="Times New Roman" w:hAnsi="Times New Roman" w:cs="Times New Roman"/>
          <w:b/>
          <w:sz w:val="24"/>
          <w:szCs w:val="24"/>
          <w:lang w:val="en-US"/>
        </w:rPr>
      </w:pPr>
      <w:r w:rsidRPr="00DD1E4E">
        <w:rPr>
          <w:rFonts w:ascii="Times New Roman" w:hAnsi="Times New Roman" w:cs="Times New Roman"/>
          <w:b/>
          <w:noProof/>
          <w:sz w:val="24"/>
          <w:szCs w:val="24"/>
          <w:lang w:eastAsia="es-ES"/>
        </w:rPr>
        <w:drawing>
          <wp:inline distT="0" distB="0" distL="0" distR="0" wp14:anchorId="3C839238" wp14:editId="1E8D4DE1">
            <wp:extent cx="5731510" cy="220443"/>
            <wp:effectExtent l="0" t="0" r="2540" b="8255"/>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731510" cy="220443"/>
                    </a:xfrm>
                    <a:prstGeom prst="rect">
                      <a:avLst/>
                    </a:prstGeom>
                  </pic:spPr>
                </pic:pic>
              </a:graphicData>
            </a:graphic>
          </wp:inline>
        </w:drawing>
      </w:r>
    </w:p>
    <w:p w:rsidR="001E6FAE" w:rsidRDefault="001E6FAE" w:rsidP="001E6FAE">
      <w:pPr>
        <w:jc w:val="both"/>
        <w:rPr>
          <w:rFonts w:ascii="Times New Roman" w:hAnsi="Times New Roman" w:cs="Times New Roman"/>
          <w:b/>
          <w:sz w:val="24"/>
          <w:szCs w:val="24"/>
          <w:lang w:val="en-US"/>
        </w:rPr>
      </w:pPr>
      <w:r w:rsidRPr="00DD1E4E">
        <w:rPr>
          <w:rFonts w:ascii="Times New Roman" w:hAnsi="Times New Roman" w:cs="Times New Roman"/>
          <w:b/>
          <w:noProof/>
          <w:sz w:val="24"/>
          <w:szCs w:val="24"/>
          <w:lang w:eastAsia="es-ES"/>
        </w:rPr>
        <w:drawing>
          <wp:inline distT="0" distB="0" distL="0" distR="0" wp14:anchorId="24055C78" wp14:editId="7CB92BED">
            <wp:extent cx="4692650" cy="234950"/>
            <wp:effectExtent l="0" t="0" r="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4745339" cy="237588"/>
                    </a:xfrm>
                    <a:prstGeom prst="rect">
                      <a:avLst/>
                    </a:prstGeom>
                  </pic:spPr>
                </pic:pic>
              </a:graphicData>
            </a:graphic>
          </wp:inline>
        </w:drawing>
      </w:r>
      <w:r w:rsidRPr="00DD1E4E">
        <w:rPr>
          <w:rFonts w:ascii="Times New Roman" w:hAnsi="Times New Roman" w:cs="Times New Roman"/>
          <w:b/>
          <w:noProof/>
          <w:sz w:val="24"/>
          <w:szCs w:val="24"/>
          <w:lang w:eastAsia="es-ES"/>
        </w:rPr>
        <w:drawing>
          <wp:inline distT="0" distB="0" distL="0" distR="0" wp14:anchorId="66D7161C" wp14:editId="6478297B">
            <wp:extent cx="927100" cy="196850"/>
            <wp:effectExtent l="0" t="0" r="6350" b="0"/>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938820" cy="199339"/>
                    </a:xfrm>
                    <a:prstGeom prst="rect">
                      <a:avLst/>
                    </a:prstGeom>
                  </pic:spPr>
                </pic:pic>
              </a:graphicData>
            </a:graphic>
          </wp:inline>
        </w:drawing>
      </w:r>
    </w:p>
    <w:p w:rsidR="001E6FAE" w:rsidRPr="000F32E7" w:rsidRDefault="001E6FAE" w:rsidP="001E6FAE">
      <w:pPr>
        <w:jc w:val="both"/>
        <w:rPr>
          <w:rFonts w:ascii="Times New Roman" w:hAnsi="Times New Roman" w:cs="Times New Roman"/>
          <w:b/>
          <w:sz w:val="24"/>
          <w:szCs w:val="24"/>
          <w:lang w:val="en-US"/>
        </w:rPr>
      </w:pPr>
      <w:r w:rsidRPr="00DD1E4E">
        <w:rPr>
          <w:rFonts w:ascii="Times New Roman" w:hAnsi="Times New Roman" w:cs="Times New Roman"/>
          <w:b/>
          <w:noProof/>
          <w:sz w:val="24"/>
          <w:szCs w:val="24"/>
          <w:lang w:eastAsia="es-ES"/>
        </w:rPr>
        <w:drawing>
          <wp:inline distT="0" distB="0" distL="0" distR="0" wp14:anchorId="4A3B5A4F" wp14:editId="62045AE5">
            <wp:extent cx="5778500" cy="247650"/>
            <wp:effectExtent l="0" t="0" r="0" b="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775940" cy="247540"/>
                    </a:xfrm>
                    <a:prstGeom prst="rect">
                      <a:avLst/>
                    </a:prstGeom>
                  </pic:spPr>
                </pic:pic>
              </a:graphicData>
            </a:graphic>
          </wp:inline>
        </w:drawing>
      </w:r>
    </w:p>
    <w:p w:rsidR="001E6FAE" w:rsidRDefault="001E6FAE" w:rsidP="001E6FAE">
      <w:pPr>
        <w:jc w:val="both"/>
        <w:rPr>
          <w:rFonts w:ascii="Times New Roman" w:hAnsi="Times New Roman" w:cs="Times New Roman"/>
          <w:b/>
          <w:sz w:val="24"/>
          <w:szCs w:val="24"/>
          <w:lang w:val="en-US"/>
        </w:rPr>
      </w:pPr>
    </w:p>
    <w:p w:rsidR="001E6FAE" w:rsidRDefault="001E6FAE" w:rsidP="001E6FAE">
      <w:pPr>
        <w:jc w:val="both"/>
        <w:rPr>
          <w:rFonts w:ascii="Times New Roman" w:hAnsi="Times New Roman" w:cs="Times New Roman"/>
          <w:b/>
          <w:sz w:val="24"/>
          <w:szCs w:val="24"/>
          <w:lang w:val="en-US"/>
        </w:rPr>
      </w:pPr>
      <w:r w:rsidRPr="0081420A">
        <w:rPr>
          <w:rFonts w:ascii="Times New Roman" w:hAnsi="Times New Roman" w:cs="Times New Roman"/>
          <w:b/>
          <w:noProof/>
          <w:sz w:val="24"/>
          <w:szCs w:val="24"/>
          <w:lang w:eastAsia="es-ES"/>
        </w:rPr>
        <w:drawing>
          <wp:inline distT="0" distB="0" distL="0" distR="0" wp14:anchorId="0C95039E" wp14:editId="4BB877B9">
            <wp:extent cx="6007100" cy="1739900"/>
            <wp:effectExtent l="0" t="0" r="0" b="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6004439" cy="1739129"/>
                    </a:xfrm>
                    <a:prstGeom prst="rect">
                      <a:avLst/>
                    </a:prstGeom>
                  </pic:spPr>
                </pic:pic>
              </a:graphicData>
            </a:graphic>
          </wp:inline>
        </w:drawing>
      </w:r>
    </w:p>
    <w:p w:rsidR="001E6FAE" w:rsidRPr="00EA5F02" w:rsidRDefault="001E6FAE" w:rsidP="001E6FAE">
      <w:pPr>
        <w:jc w:val="both"/>
        <w:rPr>
          <w:rFonts w:ascii="Times New Roman" w:hAnsi="Times New Roman" w:cs="Times New Roman"/>
          <w:b/>
          <w:sz w:val="24"/>
          <w:szCs w:val="24"/>
          <w:lang w:val="en-US"/>
        </w:rPr>
      </w:pPr>
      <w:r w:rsidRPr="0081420A">
        <w:rPr>
          <w:rFonts w:ascii="Times New Roman" w:hAnsi="Times New Roman" w:cs="Times New Roman"/>
          <w:b/>
          <w:noProof/>
          <w:sz w:val="24"/>
          <w:szCs w:val="24"/>
          <w:lang w:eastAsia="es-ES"/>
        </w:rPr>
        <w:drawing>
          <wp:inline distT="0" distB="0" distL="0" distR="0" wp14:anchorId="6DBE37F7" wp14:editId="3575F2A5">
            <wp:extent cx="6051550" cy="1416050"/>
            <wp:effectExtent l="0" t="0" r="6350" b="0"/>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6061004" cy="1418262"/>
                    </a:xfrm>
                    <a:prstGeom prst="rect">
                      <a:avLst/>
                    </a:prstGeom>
                  </pic:spPr>
                </pic:pic>
              </a:graphicData>
            </a:graphic>
          </wp:inline>
        </w:drawing>
      </w:r>
    </w:p>
    <w:p w:rsidR="001E6FAE" w:rsidRDefault="001E6FAE" w:rsidP="001E6FAE">
      <w:pPr>
        <w:rPr>
          <w:rFonts w:ascii="Times New Roman" w:hAnsi="Times New Roman" w:cs="Times New Roman"/>
          <w:b/>
          <w:sz w:val="24"/>
          <w:szCs w:val="24"/>
          <w:lang w:val="en-US"/>
        </w:rPr>
      </w:pPr>
    </w:p>
    <w:p w:rsidR="001E6FAE" w:rsidRDefault="001E6FAE" w:rsidP="001E6FAE">
      <w:pPr>
        <w:rPr>
          <w:rFonts w:ascii="Times New Roman" w:hAnsi="Times New Roman" w:cs="Times New Roman"/>
          <w:b/>
          <w:sz w:val="24"/>
          <w:szCs w:val="24"/>
        </w:rPr>
      </w:pPr>
    </w:p>
    <w:p w:rsidR="001E6FAE" w:rsidRDefault="001E6FAE" w:rsidP="001E6FAE">
      <w:pPr>
        <w:rPr>
          <w:rFonts w:ascii="Times New Roman" w:hAnsi="Times New Roman" w:cs="Times New Roman"/>
          <w:b/>
          <w:sz w:val="24"/>
          <w:szCs w:val="24"/>
        </w:rPr>
      </w:pPr>
    </w:p>
    <w:p w:rsidR="001E6FAE" w:rsidRDefault="001E6FAE" w:rsidP="001E6FAE">
      <w:pPr>
        <w:rPr>
          <w:rFonts w:ascii="Times New Roman" w:hAnsi="Times New Roman" w:cs="Times New Roman"/>
          <w:b/>
          <w:sz w:val="24"/>
          <w:szCs w:val="24"/>
        </w:rPr>
      </w:pPr>
    </w:p>
    <w:p w:rsidR="001E6FAE" w:rsidRDefault="001E6FAE" w:rsidP="001E6FAE">
      <w:pPr>
        <w:rPr>
          <w:rFonts w:ascii="Times New Roman" w:hAnsi="Times New Roman" w:cs="Times New Roman"/>
          <w:b/>
          <w:sz w:val="24"/>
          <w:szCs w:val="24"/>
        </w:rPr>
      </w:pPr>
    </w:p>
    <w:p w:rsidR="001E6FAE" w:rsidRDefault="001E6FAE" w:rsidP="001E6FAE">
      <w:pPr>
        <w:rPr>
          <w:rFonts w:ascii="Times New Roman" w:hAnsi="Times New Roman" w:cs="Times New Roman"/>
          <w:b/>
          <w:sz w:val="24"/>
          <w:szCs w:val="24"/>
        </w:rPr>
      </w:pPr>
      <w:r>
        <w:rPr>
          <w:rFonts w:ascii="Times New Roman" w:hAnsi="Times New Roman" w:cs="Times New Roman"/>
          <w:b/>
          <w:sz w:val="24"/>
          <w:szCs w:val="24"/>
        </w:rPr>
        <w:lastRenderedPageBreak/>
        <w:t xml:space="preserve">Tablas anuales </w:t>
      </w:r>
      <w:r w:rsidRPr="0024472D">
        <w:rPr>
          <w:rFonts w:ascii="Times New Roman" w:hAnsi="Times New Roman" w:cs="Times New Roman"/>
          <w:b/>
          <w:sz w:val="24"/>
          <w:szCs w:val="24"/>
        </w:rPr>
        <w:t>de inflación de Unión Europea</w:t>
      </w:r>
      <w:r>
        <w:rPr>
          <w:rFonts w:ascii="Times New Roman" w:hAnsi="Times New Roman" w:cs="Times New Roman"/>
          <w:b/>
          <w:sz w:val="24"/>
          <w:szCs w:val="24"/>
        </w:rPr>
        <w:t xml:space="preserve"> (StatBureau - 25/5/20)</w:t>
      </w:r>
    </w:p>
    <w:p w:rsidR="001E6FAE" w:rsidRDefault="001E6FAE" w:rsidP="001E6FAE">
      <w:pPr>
        <w:rPr>
          <w:rFonts w:ascii="Times New Roman" w:hAnsi="Times New Roman" w:cs="Times New Roman"/>
          <w:b/>
          <w:sz w:val="24"/>
          <w:szCs w:val="24"/>
        </w:rPr>
      </w:pPr>
      <w:r w:rsidRPr="0024472D">
        <w:rPr>
          <w:rFonts w:ascii="Times New Roman" w:hAnsi="Times New Roman" w:cs="Times New Roman"/>
          <w:b/>
          <w:noProof/>
          <w:sz w:val="24"/>
          <w:szCs w:val="24"/>
          <w:lang w:eastAsia="es-ES"/>
        </w:rPr>
        <w:drawing>
          <wp:inline distT="0" distB="0" distL="0" distR="0" wp14:anchorId="5DFD36D0" wp14:editId="562C9F34">
            <wp:extent cx="578224" cy="4652682"/>
            <wp:effectExtent l="0" t="0" r="0" b="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81106" cy="4675872"/>
                    </a:xfrm>
                    <a:prstGeom prst="rect">
                      <a:avLst/>
                    </a:prstGeom>
                  </pic:spPr>
                </pic:pic>
              </a:graphicData>
            </a:graphic>
          </wp:inline>
        </w:drawing>
      </w:r>
      <w:r w:rsidRPr="0024472D">
        <w:rPr>
          <w:rFonts w:ascii="Times New Roman" w:hAnsi="Times New Roman" w:cs="Times New Roman"/>
          <w:b/>
          <w:noProof/>
          <w:sz w:val="24"/>
          <w:szCs w:val="24"/>
          <w:lang w:eastAsia="es-ES"/>
        </w:rPr>
        <w:drawing>
          <wp:inline distT="0" distB="0" distL="0" distR="0" wp14:anchorId="08E47F56" wp14:editId="40F5B9DE">
            <wp:extent cx="665629" cy="4605617"/>
            <wp:effectExtent l="0" t="0" r="1270" b="508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666843" cy="4614018"/>
                    </a:xfrm>
                    <a:prstGeom prst="rect">
                      <a:avLst/>
                    </a:prstGeom>
                  </pic:spPr>
                </pic:pic>
              </a:graphicData>
            </a:graphic>
          </wp:inline>
        </w:drawing>
      </w:r>
      <w:r w:rsidRPr="00A952CC">
        <w:rPr>
          <w:noProof/>
          <w:lang w:eastAsia="es-ES"/>
        </w:rPr>
        <w:t xml:space="preserve"> </w:t>
      </w:r>
      <w:r w:rsidRPr="00A952CC">
        <w:rPr>
          <w:rFonts w:ascii="Times New Roman" w:hAnsi="Times New Roman" w:cs="Times New Roman"/>
          <w:b/>
          <w:noProof/>
          <w:sz w:val="24"/>
          <w:szCs w:val="24"/>
          <w:lang w:eastAsia="es-ES"/>
        </w:rPr>
        <w:drawing>
          <wp:inline distT="0" distB="0" distL="0" distR="0" wp14:anchorId="2DE85942" wp14:editId="45B50A20">
            <wp:extent cx="552527" cy="1409897"/>
            <wp:effectExtent l="0" t="0" r="0" b="0"/>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52527" cy="1409897"/>
                    </a:xfrm>
                    <a:prstGeom prst="rect">
                      <a:avLst/>
                    </a:prstGeom>
                  </pic:spPr>
                </pic:pic>
              </a:graphicData>
            </a:graphic>
          </wp:inline>
        </w:drawing>
      </w:r>
      <w:r w:rsidRPr="00A952CC">
        <w:rPr>
          <w:noProof/>
          <w:lang w:eastAsia="es-ES"/>
        </w:rPr>
        <w:t xml:space="preserve"> </w:t>
      </w:r>
      <w:r w:rsidRPr="00A952CC">
        <w:rPr>
          <w:noProof/>
          <w:lang w:eastAsia="es-ES"/>
        </w:rPr>
        <w:drawing>
          <wp:inline distT="0" distB="0" distL="0" distR="0" wp14:anchorId="4D523C99" wp14:editId="66EBA4A7">
            <wp:extent cx="457264" cy="1381318"/>
            <wp:effectExtent l="0" t="0" r="0" b="9525"/>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457264" cy="1381318"/>
                    </a:xfrm>
                    <a:prstGeom prst="rect">
                      <a:avLst/>
                    </a:prstGeom>
                  </pic:spPr>
                </pic:pic>
              </a:graphicData>
            </a:graphic>
          </wp:inline>
        </w:drawing>
      </w:r>
    </w:p>
    <w:p w:rsidR="001E6FAE" w:rsidRPr="0024472D" w:rsidRDefault="001E6FAE" w:rsidP="001E6FAE">
      <w:pPr>
        <w:rPr>
          <w:rFonts w:ascii="Times New Roman" w:hAnsi="Times New Roman" w:cs="Times New Roman"/>
          <w:b/>
          <w:sz w:val="24"/>
          <w:szCs w:val="24"/>
        </w:rPr>
        <w:sectPr w:rsidR="001E6FAE" w:rsidRPr="0024472D" w:rsidSect="001E6FAE">
          <w:pgSz w:w="11906" w:h="16838"/>
          <w:pgMar w:top="1440" w:right="1440" w:bottom="1440" w:left="1440" w:header="709" w:footer="709" w:gutter="0"/>
          <w:cols w:space="708"/>
          <w:docGrid w:linePitch="360"/>
        </w:sectPr>
      </w:pPr>
      <w:r w:rsidRPr="006248AA">
        <w:rPr>
          <w:rFonts w:ascii="Times New Roman" w:hAnsi="Times New Roman" w:cs="Times New Roman"/>
          <w:b/>
          <w:noProof/>
          <w:sz w:val="24"/>
          <w:szCs w:val="24"/>
          <w:lang w:eastAsia="es-ES"/>
        </w:rPr>
        <w:drawing>
          <wp:inline distT="0" distB="0" distL="0" distR="0" wp14:anchorId="3D792B86" wp14:editId="6C878B6B">
            <wp:extent cx="5728225" cy="3516406"/>
            <wp:effectExtent l="0" t="0" r="6350" b="8255"/>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731510" cy="3518422"/>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rPr>
      </w:pPr>
      <w:r w:rsidRPr="00FE130B">
        <w:rPr>
          <w:rFonts w:ascii="Times New Roman" w:hAnsi="Times New Roman" w:cs="Times New Roman"/>
          <w:color w:val="FF0000"/>
          <w:sz w:val="24"/>
          <w:szCs w:val="24"/>
        </w:rPr>
        <w:lastRenderedPageBreak/>
        <w:t xml:space="preserve">Para el cálculo de los “beneficios para el consumidor” que podría haber generado el proceso de globalización </w:t>
      </w:r>
      <w:r>
        <w:rPr>
          <w:rFonts w:ascii="Times New Roman" w:hAnsi="Times New Roman" w:cs="Times New Roman"/>
          <w:sz w:val="24"/>
          <w:szCs w:val="24"/>
        </w:rPr>
        <w:t>se asume (como supuesto teórico) el ahorro en los gastos en consumo por un menor Índice de Precios al Consumo en cada año, desde 2000 a 2017/18, en comparación con el IPC promedio 1990-1999 (EEUU) y 1996-1999 (UE), período en el que puede asumirse que la globalización no tenía tanta implicación.</w:t>
      </w:r>
    </w:p>
    <w:p w:rsidR="001E6FAE" w:rsidRDefault="001E6FAE" w:rsidP="001E6FAE">
      <w:pPr>
        <w:jc w:val="both"/>
        <w:rPr>
          <w:rFonts w:ascii="Times New Roman" w:hAnsi="Times New Roman" w:cs="Times New Roman"/>
          <w:b/>
          <w:sz w:val="24"/>
          <w:szCs w:val="24"/>
        </w:rPr>
      </w:pPr>
      <w:r w:rsidRPr="00EA5F02">
        <w:rPr>
          <w:rFonts w:ascii="Times New Roman" w:hAnsi="Times New Roman" w:cs="Times New Roman"/>
          <w:b/>
          <w:sz w:val="24"/>
          <w:szCs w:val="24"/>
        </w:rPr>
        <w:t>Estados Unidos</w:t>
      </w:r>
      <w:r>
        <w:rPr>
          <w:rFonts w:ascii="Times New Roman" w:hAnsi="Times New Roman" w:cs="Times New Roman"/>
          <w:b/>
          <w:sz w:val="24"/>
          <w:szCs w:val="24"/>
        </w:rPr>
        <w:t xml:space="preserve"> </w:t>
      </w:r>
    </w:p>
    <w:p w:rsidR="001E6FAE" w:rsidRPr="00E6325C" w:rsidRDefault="001E6FAE" w:rsidP="001E6FAE">
      <w:pPr>
        <w:jc w:val="both"/>
        <w:rPr>
          <w:rFonts w:ascii="Times New Roman" w:hAnsi="Times New Roman" w:cs="Times New Roman"/>
          <w:b/>
          <w:sz w:val="24"/>
          <w:szCs w:val="24"/>
        </w:rPr>
      </w:pPr>
      <w:r>
        <w:rPr>
          <w:rFonts w:ascii="Times New Roman" w:hAnsi="Times New Roman" w:cs="Times New Roman"/>
          <w:sz w:val="24"/>
          <w:szCs w:val="24"/>
        </w:rPr>
        <w:t xml:space="preserve">Año base Promedio </w:t>
      </w:r>
      <w:r w:rsidRPr="00E6325C">
        <w:rPr>
          <w:rFonts w:ascii="Times New Roman" w:hAnsi="Times New Roman" w:cs="Times New Roman"/>
          <w:sz w:val="24"/>
          <w:szCs w:val="24"/>
        </w:rPr>
        <w:t>IPC</w:t>
      </w:r>
      <w:r>
        <w:rPr>
          <w:rFonts w:ascii="Times New Roman" w:hAnsi="Times New Roman" w:cs="Times New Roman"/>
          <w:sz w:val="24"/>
          <w:szCs w:val="24"/>
        </w:rPr>
        <w:t xml:space="preserve"> 1990-1999: 2,93  (Fuente: BM - FMI - </w:t>
      </w:r>
      <w:r w:rsidRPr="00A952CC">
        <w:rPr>
          <w:rFonts w:ascii="Times New Roman" w:hAnsi="Times New Roman" w:cs="Times New Roman"/>
          <w:sz w:val="24"/>
          <w:szCs w:val="24"/>
        </w:rPr>
        <w:t>StatBureau - 25/5/20)</w:t>
      </w:r>
      <w:r>
        <w:rPr>
          <w:rFonts w:ascii="Times New Roman" w:hAnsi="Times New Roman" w:cs="Times New Roman"/>
          <w:sz w:val="24"/>
          <w:szCs w:val="24"/>
        </w:rPr>
        <w:t xml:space="preserve"> </w:t>
      </w:r>
      <w:r w:rsidRPr="00E6325C">
        <w:rPr>
          <w:rFonts w:ascii="Times New Roman" w:hAnsi="Times New Roman" w:cs="Times New Roman"/>
          <w:sz w:val="24"/>
          <w:szCs w:val="24"/>
        </w:rPr>
        <w:t xml:space="preserve">          </w:t>
      </w:r>
    </w:p>
    <w:p w:rsidR="001E6FAE" w:rsidRPr="003F3385" w:rsidRDefault="001E6FAE" w:rsidP="001E6FAE">
      <w:pPr>
        <w:jc w:val="both"/>
        <w:rPr>
          <w:rFonts w:ascii="Times New Roman" w:hAnsi="Times New Roman" w:cs="Times New Roman"/>
          <w:sz w:val="24"/>
          <w:szCs w:val="24"/>
        </w:rPr>
      </w:pPr>
      <w:r w:rsidRPr="003F3385">
        <w:rPr>
          <w:rFonts w:ascii="Times New Roman" w:hAnsi="Times New Roman" w:cs="Times New Roman"/>
          <w:sz w:val="24"/>
          <w:szCs w:val="24"/>
        </w:rPr>
        <w:t>Año 2000 - Annual Payroll ($ 1.000) 3.879.430.052 - IPC 3,39</w:t>
      </w:r>
    </w:p>
    <w:p w:rsidR="001E6FAE" w:rsidRPr="00A952CC"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1E6FAE" w:rsidRPr="003F3385" w:rsidRDefault="001E6FAE" w:rsidP="001E6FAE">
      <w:pPr>
        <w:jc w:val="both"/>
        <w:rPr>
          <w:rFonts w:ascii="Times New Roman" w:hAnsi="Times New Roman" w:cs="Times New Roman"/>
          <w:sz w:val="24"/>
          <w:szCs w:val="24"/>
        </w:rPr>
      </w:pPr>
      <w:r w:rsidRPr="003F3385">
        <w:rPr>
          <w:rFonts w:ascii="Times New Roman" w:hAnsi="Times New Roman" w:cs="Times New Roman"/>
          <w:sz w:val="24"/>
          <w:szCs w:val="24"/>
        </w:rPr>
        <w:t xml:space="preserve">Año 2001 - Annual Payroll ($ 1.000) </w:t>
      </w:r>
      <w:r w:rsidRPr="003F3385">
        <w:rPr>
          <w:rFonts w:ascii="Times New Roman" w:eastAsia="Times New Roman" w:hAnsi="Times New Roman" w:cs="Times New Roman"/>
          <w:sz w:val="24"/>
          <w:szCs w:val="24"/>
          <w:lang w:eastAsia="es-ES"/>
        </w:rPr>
        <w:t xml:space="preserve">3.989.086.323 </w:t>
      </w:r>
      <w:r w:rsidRPr="003F3385">
        <w:rPr>
          <w:rFonts w:ascii="Times New Roman" w:hAnsi="Times New Roman" w:cs="Times New Roman"/>
          <w:sz w:val="24"/>
          <w:szCs w:val="24"/>
        </w:rPr>
        <w:t>- IPC 1,55</w:t>
      </w:r>
    </w:p>
    <w:p w:rsidR="001E6FAE" w:rsidRPr="00A952CC"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2,93 - 1,55 = 1,38 </w:t>
      </w:r>
      <w:r>
        <w:rPr>
          <w:rFonts w:ascii="Times New Roman" w:hAnsi="Times New Roman" w:cs="Times New Roman"/>
          <w:sz w:val="24"/>
          <w:szCs w:val="24"/>
        </w:rPr>
        <w:t xml:space="preserve"> x 3.989,1 ($ m. de mill.) = 55,05 m. de mill.</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p>
    <w:p w:rsidR="001E6FAE"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Año 2002 - Annual Payroll ($ 1.000) 3.943.179.606 - IPC 2,38</w:t>
      </w:r>
    </w:p>
    <w:p w:rsidR="001E6FAE" w:rsidRPr="00A952CC"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 Se produce beneficio teórico 2,93 </w:t>
      </w:r>
      <w:r>
        <w:rPr>
          <w:rFonts w:ascii="Times New Roman" w:hAnsi="Times New Roman" w:cs="Times New Roman"/>
          <w:sz w:val="24"/>
          <w:szCs w:val="24"/>
        </w:rPr>
        <w:t xml:space="preserve">- 2,38 </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0,55 x 3.943,2 ($ m. de mill.) = 21,69 m. de mil.  </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 xml:space="preserve"> </w:t>
      </w:r>
      <w:r w:rsidRPr="00A952CC">
        <w:rPr>
          <w:rFonts w:ascii="Times New Roman" w:hAnsi="Times New Roman" w:cs="Times New Roman"/>
          <w:sz w:val="24"/>
          <w:szCs w:val="24"/>
        </w:rPr>
        <w:t>Año 2003 - Annual Payroll ($ 1.000) 4.040.888.841 - IPC 1,88</w:t>
      </w:r>
    </w:p>
    <w:p w:rsidR="001E6FAE" w:rsidRPr="00A952CC"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Se produce beneficio teórico 2,93 - 1,</w:t>
      </w:r>
      <w:r>
        <w:rPr>
          <w:rFonts w:ascii="Times New Roman" w:hAnsi="Times New Roman" w:cs="Times New Roman"/>
          <w:sz w:val="24"/>
          <w:szCs w:val="24"/>
        </w:rPr>
        <w:t>88</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1,05 x 4.040,9 ($ m. de mill.) = 42,42 m. de mill.</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p>
    <w:p w:rsidR="001E6FAE" w:rsidRDefault="001E6FAE" w:rsidP="001E6FAE">
      <w:pPr>
        <w:jc w:val="both"/>
        <w:rPr>
          <w:rFonts w:ascii="Times New Roman" w:hAnsi="Times New Roman" w:cs="Times New Roman"/>
          <w:sz w:val="24"/>
          <w:szCs w:val="24"/>
        </w:rPr>
      </w:pPr>
      <w:r w:rsidRPr="005D133F">
        <w:rPr>
          <w:rFonts w:ascii="Times New Roman" w:hAnsi="Times New Roman" w:cs="Times New Roman"/>
          <w:sz w:val="24"/>
          <w:szCs w:val="24"/>
        </w:rPr>
        <w:t>Año 2004 - Annual Payroll ($ 1.000) 4.253.995.732 - IPC 3,26</w:t>
      </w:r>
    </w:p>
    <w:p w:rsidR="001E6FAE" w:rsidRPr="00A952CC"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1E6FAE" w:rsidRPr="005D133F" w:rsidRDefault="001E6FAE" w:rsidP="001E6FAE">
      <w:pPr>
        <w:jc w:val="both"/>
        <w:rPr>
          <w:rFonts w:ascii="Times New Roman" w:hAnsi="Times New Roman" w:cs="Times New Roman"/>
          <w:sz w:val="24"/>
          <w:szCs w:val="24"/>
        </w:rPr>
      </w:pPr>
      <w:r w:rsidRPr="005D133F">
        <w:rPr>
          <w:rFonts w:ascii="Times New Roman" w:hAnsi="Times New Roman" w:cs="Times New Roman"/>
          <w:sz w:val="24"/>
          <w:szCs w:val="24"/>
        </w:rPr>
        <w:t>Año 2005 - Annual Payroll ($ 1.000) 4.482.722.481 - IPC 3,42</w:t>
      </w:r>
    </w:p>
    <w:p w:rsidR="001E6FAE" w:rsidRPr="00A952CC"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1E6FAE" w:rsidRDefault="001E6FAE" w:rsidP="001E6FAE">
      <w:pPr>
        <w:jc w:val="both"/>
        <w:rPr>
          <w:rFonts w:ascii="Times New Roman" w:hAnsi="Times New Roman" w:cs="Times New Roman"/>
          <w:sz w:val="24"/>
          <w:szCs w:val="24"/>
        </w:rPr>
      </w:pPr>
      <w:r w:rsidRPr="005D133F">
        <w:rPr>
          <w:rFonts w:ascii="Times New Roman" w:hAnsi="Times New Roman" w:cs="Times New Roman"/>
          <w:sz w:val="24"/>
          <w:szCs w:val="24"/>
        </w:rPr>
        <w:t xml:space="preserve">Año 2006 - Annual Payroll ($ 1.000) 4.792.429.911 - IPC 2,54 </w:t>
      </w:r>
    </w:p>
    <w:p w:rsidR="001E6FAE" w:rsidRPr="00A952CC"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- 2,54</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0,39 x 4.792,4 ($ m. de mill.) = 18,69 m. de mil.</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p>
    <w:p w:rsidR="001E6FAE" w:rsidRDefault="001E6FAE" w:rsidP="001E6FAE">
      <w:pPr>
        <w:jc w:val="both"/>
        <w:rPr>
          <w:rFonts w:ascii="Times New Roman" w:hAnsi="Times New Roman" w:cs="Times New Roman"/>
          <w:sz w:val="24"/>
          <w:szCs w:val="24"/>
        </w:rPr>
      </w:pPr>
      <w:r w:rsidRPr="005D133F">
        <w:rPr>
          <w:rFonts w:ascii="Times New Roman" w:hAnsi="Times New Roman" w:cs="Times New Roman"/>
          <w:sz w:val="24"/>
          <w:szCs w:val="24"/>
        </w:rPr>
        <w:t xml:space="preserve">Año 2007 - Annual Payroll ($ 1.000) 5.026.778.232 - IPC 4,08 </w:t>
      </w:r>
    </w:p>
    <w:p w:rsidR="001E6FAE" w:rsidRPr="00A952CC"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1E6FAE" w:rsidRPr="005D133F" w:rsidRDefault="001E6FAE" w:rsidP="001E6FAE">
      <w:pPr>
        <w:jc w:val="both"/>
        <w:rPr>
          <w:rFonts w:ascii="Times New Roman" w:hAnsi="Times New Roman" w:cs="Times New Roman"/>
          <w:sz w:val="24"/>
          <w:szCs w:val="24"/>
        </w:rPr>
      </w:pPr>
      <w:r w:rsidRPr="005D133F">
        <w:rPr>
          <w:rFonts w:ascii="Times New Roman" w:hAnsi="Times New Roman" w:cs="Times New Roman"/>
          <w:sz w:val="24"/>
          <w:szCs w:val="24"/>
        </w:rPr>
        <w:t>Año 2008 - Annual Payroll ($ 1.000) 5.130.509.178 - IPC 0,09</w:t>
      </w:r>
    </w:p>
    <w:p w:rsidR="001E6FAE" w:rsidRPr="005D133F"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- 0,09</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2,84 x 5.130,5 ($ m. de mill.) = 145,70 m. de mill.</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r w:rsidRPr="005D133F">
        <w:rPr>
          <w:rFonts w:ascii="Times New Roman" w:hAnsi="Times New Roman" w:cs="Times New Roman"/>
          <w:sz w:val="24"/>
          <w:szCs w:val="24"/>
        </w:rPr>
        <w:t xml:space="preserve">           </w:t>
      </w:r>
    </w:p>
    <w:p w:rsidR="001E6FAE" w:rsidRPr="00D5127D" w:rsidRDefault="001E6FAE" w:rsidP="001E6FAE">
      <w:pPr>
        <w:jc w:val="both"/>
        <w:rPr>
          <w:rFonts w:ascii="Times New Roman" w:hAnsi="Times New Roman" w:cs="Times New Roman"/>
          <w:sz w:val="24"/>
          <w:szCs w:val="24"/>
        </w:rPr>
      </w:pPr>
      <w:r w:rsidRPr="00D5127D">
        <w:rPr>
          <w:rFonts w:ascii="Times New Roman" w:hAnsi="Times New Roman" w:cs="Times New Roman"/>
          <w:sz w:val="24"/>
          <w:szCs w:val="24"/>
        </w:rPr>
        <w:t>Año 2009 - Annual Payroll ($ 1.000) 4.855.545.239 - IPC 2,72</w:t>
      </w:r>
    </w:p>
    <w:p w:rsidR="001E6FAE" w:rsidRPr="005D133F"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- 2,72</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0,21</w:t>
      </w:r>
      <w:r w:rsidRPr="00A952CC">
        <w:rPr>
          <w:rFonts w:ascii="Times New Roman" w:hAnsi="Times New Roman" w:cs="Times New Roman"/>
          <w:sz w:val="24"/>
          <w:szCs w:val="24"/>
        </w:rPr>
        <w:t xml:space="preserve"> </w:t>
      </w:r>
      <w:r>
        <w:rPr>
          <w:rFonts w:ascii="Times New Roman" w:hAnsi="Times New Roman" w:cs="Times New Roman"/>
          <w:sz w:val="24"/>
          <w:szCs w:val="24"/>
        </w:rPr>
        <w:t>x 4.855,5 ($ m. de mill.) = 10,20 m. de mill.</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r w:rsidRPr="00D5127D">
        <w:rPr>
          <w:rFonts w:ascii="Times New Roman" w:hAnsi="Times New Roman" w:cs="Times New Roman"/>
          <w:sz w:val="24"/>
          <w:szCs w:val="24"/>
        </w:rPr>
        <w:t xml:space="preserve">            </w:t>
      </w:r>
    </w:p>
    <w:p w:rsidR="001E6FAE" w:rsidRPr="00D5127D" w:rsidRDefault="001E6FAE" w:rsidP="001E6FAE">
      <w:pPr>
        <w:jc w:val="both"/>
        <w:rPr>
          <w:rFonts w:ascii="Times New Roman" w:hAnsi="Times New Roman" w:cs="Times New Roman"/>
          <w:sz w:val="24"/>
          <w:szCs w:val="24"/>
        </w:rPr>
      </w:pPr>
      <w:r w:rsidRPr="00D5127D">
        <w:rPr>
          <w:rFonts w:ascii="Times New Roman" w:hAnsi="Times New Roman" w:cs="Times New Roman"/>
          <w:sz w:val="24"/>
          <w:szCs w:val="24"/>
        </w:rPr>
        <w:t>Año 2010 - Annual Payroll ($ 1.000) 4.940.983.369 - IPC 1,50</w:t>
      </w:r>
    </w:p>
    <w:p w:rsidR="001E6FAE"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- 1,50</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1,43 x 4.941,0 ($ m. de mill.) = 70,66 m. de mill.</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p>
    <w:p w:rsidR="001E6FAE" w:rsidRPr="005D133F" w:rsidRDefault="001E6FAE" w:rsidP="001E6FAE">
      <w:pPr>
        <w:jc w:val="both"/>
        <w:rPr>
          <w:rFonts w:ascii="Times New Roman" w:hAnsi="Times New Roman" w:cs="Times New Roman"/>
          <w:sz w:val="24"/>
          <w:szCs w:val="24"/>
        </w:rPr>
      </w:pPr>
      <w:r w:rsidRPr="005D133F">
        <w:rPr>
          <w:rFonts w:ascii="Times New Roman" w:hAnsi="Times New Roman" w:cs="Times New Roman"/>
          <w:sz w:val="24"/>
          <w:szCs w:val="24"/>
        </w:rPr>
        <w:lastRenderedPageBreak/>
        <w:t>Año 2011 - Annual Payroll ($ 1.000) 5.164.897.905 - IPC 2,96</w:t>
      </w:r>
    </w:p>
    <w:p w:rsidR="001E6FAE" w:rsidRPr="00A952CC"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1E6FAE" w:rsidRDefault="001E6FAE" w:rsidP="001E6FAE">
      <w:pPr>
        <w:jc w:val="both"/>
        <w:rPr>
          <w:rFonts w:ascii="Times New Roman" w:hAnsi="Times New Roman" w:cs="Times New Roman"/>
          <w:sz w:val="24"/>
          <w:szCs w:val="24"/>
        </w:rPr>
      </w:pPr>
      <w:r w:rsidRPr="005D133F">
        <w:rPr>
          <w:rFonts w:ascii="Times New Roman" w:hAnsi="Times New Roman" w:cs="Times New Roman"/>
          <w:sz w:val="24"/>
          <w:szCs w:val="24"/>
        </w:rPr>
        <w:t xml:space="preserve">Año 2012 - Annual Payroll ($ 1.000) 5.414.255.995 - IPC 1,74  </w:t>
      </w:r>
    </w:p>
    <w:p w:rsidR="001E6FAE"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- 1,74</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1,19 x 5.414,3 ($ m. de mill.) = 64,43 m. de mill.</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p>
    <w:p w:rsidR="001E6FAE" w:rsidRPr="005D133F" w:rsidRDefault="001E6FAE" w:rsidP="001E6FAE">
      <w:pPr>
        <w:jc w:val="both"/>
        <w:rPr>
          <w:rFonts w:ascii="Times New Roman" w:hAnsi="Times New Roman" w:cs="Times New Roman"/>
          <w:sz w:val="24"/>
          <w:szCs w:val="24"/>
        </w:rPr>
      </w:pPr>
      <w:r w:rsidRPr="005D133F">
        <w:rPr>
          <w:rFonts w:ascii="Times New Roman" w:hAnsi="Times New Roman" w:cs="Times New Roman"/>
          <w:sz w:val="24"/>
          <w:szCs w:val="24"/>
        </w:rPr>
        <w:t xml:space="preserve">Año 2013 - Annual Payroll ($ 1.000) 5.621.697.325 - IPC 1,50 </w:t>
      </w:r>
    </w:p>
    <w:p w:rsidR="001E6FAE" w:rsidRPr="005D133F"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- 1,50</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1,43 x 5.621,7 ($ m. de mill.) = 80,39 m. de mill.</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r w:rsidRPr="005D133F">
        <w:rPr>
          <w:rFonts w:ascii="Times New Roman" w:hAnsi="Times New Roman" w:cs="Times New Roman"/>
          <w:sz w:val="24"/>
          <w:szCs w:val="24"/>
        </w:rPr>
        <w:t xml:space="preserve">             </w:t>
      </w:r>
    </w:p>
    <w:p w:rsidR="001E6FAE" w:rsidRPr="00A16F1C" w:rsidRDefault="001E6FAE" w:rsidP="001E6FAE">
      <w:pPr>
        <w:jc w:val="both"/>
        <w:rPr>
          <w:rFonts w:ascii="Times New Roman" w:hAnsi="Times New Roman" w:cs="Times New Roman"/>
          <w:sz w:val="24"/>
          <w:szCs w:val="24"/>
        </w:rPr>
      </w:pPr>
      <w:r w:rsidRPr="00A16F1C">
        <w:rPr>
          <w:rFonts w:ascii="Times New Roman" w:hAnsi="Times New Roman" w:cs="Times New Roman"/>
          <w:sz w:val="24"/>
          <w:szCs w:val="24"/>
        </w:rPr>
        <w:t>Año 2014 - Annual Payroll ($ 1.000) 5.940.186.911- IPC 0,76</w:t>
      </w:r>
    </w:p>
    <w:p w:rsidR="001E6FAE"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- 0,76</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2,17</w:t>
      </w:r>
      <w:r w:rsidRPr="00A952CC">
        <w:rPr>
          <w:rFonts w:ascii="Times New Roman" w:hAnsi="Times New Roman" w:cs="Times New Roman"/>
          <w:sz w:val="24"/>
          <w:szCs w:val="24"/>
        </w:rPr>
        <w:t xml:space="preserve"> </w:t>
      </w:r>
      <w:r>
        <w:rPr>
          <w:rFonts w:ascii="Times New Roman" w:hAnsi="Times New Roman" w:cs="Times New Roman"/>
          <w:sz w:val="24"/>
          <w:szCs w:val="24"/>
        </w:rPr>
        <w:t>x 5940,2 ($ m. de mill.) = 128,90 m. de mill.</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p>
    <w:p w:rsidR="001E6FAE" w:rsidRDefault="001E6FAE" w:rsidP="001E6FAE">
      <w:pPr>
        <w:jc w:val="both"/>
        <w:rPr>
          <w:rFonts w:ascii="Times New Roman" w:hAnsi="Times New Roman" w:cs="Times New Roman"/>
          <w:sz w:val="24"/>
          <w:szCs w:val="24"/>
        </w:rPr>
      </w:pPr>
      <w:r w:rsidRPr="005D133F">
        <w:rPr>
          <w:rFonts w:ascii="Times New Roman" w:hAnsi="Times New Roman" w:cs="Times New Roman"/>
          <w:sz w:val="24"/>
          <w:szCs w:val="24"/>
        </w:rPr>
        <w:t>Año 2015 - Annual Payroll ($ 1.000) 6.253.488.252 - IPC 0,73</w:t>
      </w:r>
    </w:p>
    <w:p w:rsidR="001E6FAE" w:rsidRPr="005D133F"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- 0,73</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2,20 x 6.253,5 ($ m. de mill.) = 137,58 m. de mill.</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r w:rsidRPr="005D133F">
        <w:rPr>
          <w:rFonts w:ascii="Times New Roman" w:hAnsi="Times New Roman" w:cs="Times New Roman"/>
          <w:sz w:val="24"/>
          <w:szCs w:val="24"/>
        </w:rPr>
        <w:t xml:space="preserve">           </w:t>
      </w:r>
    </w:p>
    <w:p w:rsidR="001E6FAE" w:rsidRPr="00A16F1C" w:rsidRDefault="001E6FAE" w:rsidP="001E6FAE">
      <w:pPr>
        <w:jc w:val="both"/>
        <w:rPr>
          <w:rFonts w:ascii="Times New Roman" w:hAnsi="Times New Roman" w:cs="Times New Roman"/>
          <w:sz w:val="24"/>
          <w:szCs w:val="24"/>
        </w:rPr>
      </w:pPr>
      <w:r w:rsidRPr="00A16F1C">
        <w:rPr>
          <w:rFonts w:ascii="Times New Roman" w:hAnsi="Times New Roman" w:cs="Times New Roman"/>
          <w:sz w:val="24"/>
          <w:szCs w:val="24"/>
        </w:rPr>
        <w:t>Año 2016 - Annual Payroll ($ 1.000) 6.435.142.055 - IPC 2,07</w:t>
      </w:r>
    </w:p>
    <w:p w:rsidR="001E6FAE"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- 2,07</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0,86 x 6.435,1 ($ m. de mill.) = 55,34 m. de mill.</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p>
    <w:p w:rsidR="001E6FAE" w:rsidRDefault="001E6FAE" w:rsidP="001E6FAE">
      <w:pPr>
        <w:jc w:val="both"/>
        <w:rPr>
          <w:rFonts w:ascii="Times New Roman" w:hAnsi="Times New Roman" w:cs="Times New Roman"/>
          <w:sz w:val="24"/>
          <w:szCs w:val="24"/>
        </w:rPr>
      </w:pPr>
      <w:r w:rsidRPr="005875EE">
        <w:rPr>
          <w:rFonts w:ascii="Times New Roman" w:hAnsi="Times New Roman" w:cs="Times New Roman"/>
          <w:sz w:val="24"/>
          <w:szCs w:val="24"/>
        </w:rPr>
        <w:t>Año 2017 - Annual Payroll ($ 1.000) 6.725.346.754 - IPC 2,11</w:t>
      </w:r>
    </w:p>
    <w:p w:rsidR="001E6FAE"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Se produce beneficio teórico 2,93 </w:t>
      </w:r>
      <w:r>
        <w:rPr>
          <w:rFonts w:ascii="Times New Roman" w:hAnsi="Times New Roman" w:cs="Times New Roman"/>
          <w:sz w:val="24"/>
          <w:szCs w:val="24"/>
        </w:rPr>
        <w:t>- 2,11</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0.82 x 6.725,3 ($ m. de mill.) = 55,15 m. de mill.</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p>
    <w:p w:rsidR="001E6FAE" w:rsidRPr="005D133F" w:rsidRDefault="001E6FAE" w:rsidP="001E6FAE">
      <w:pPr>
        <w:jc w:val="both"/>
        <w:rPr>
          <w:rFonts w:ascii="Times New Roman" w:hAnsi="Times New Roman" w:cs="Times New Roman"/>
          <w:sz w:val="24"/>
          <w:szCs w:val="24"/>
        </w:rPr>
      </w:pPr>
      <w:r w:rsidRPr="00A52973">
        <w:rPr>
          <w:rFonts w:ascii="Times New Roman" w:hAnsi="Times New Roman" w:cs="Times New Roman"/>
          <w:b/>
          <w:sz w:val="24"/>
          <w:szCs w:val="24"/>
        </w:rPr>
        <w:t>Unión Europea</w:t>
      </w:r>
    </w:p>
    <w:p w:rsidR="001E6FAE" w:rsidRDefault="001E6FAE" w:rsidP="001E6FAE">
      <w:pPr>
        <w:jc w:val="both"/>
        <w:rPr>
          <w:rFonts w:ascii="Times New Roman" w:hAnsi="Times New Roman" w:cs="Times New Roman"/>
          <w:b/>
          <w:sz w:val="24"/>
          <w:szCs w:val="24"/>
        </w:rPr>
      </w:pPr>
      <w:r>
        <w:rPr>
          <w:rFonts w:ascii="Times New Roman" w:hAnsi="Times New Roman" w:cs="Times New Roman"/>
          <w:sz w:val="24"/>
          <w:szCs w:val="24"/>
        </w:rPr>
        <w:t xml:space="preserve">Año base Promedio </w:t>
      </w:r>
      <w:r w:rsidRPr="00E6325C">
        <w:rPr>
          <w:rFonts w:ascii="Times New Roman" w:hAnsi="Times New Roman" w:cs="Times New Roman"/>
          <w:sz w:val="24"/>
          <w:szCs w:val="24"/>
        </w:rPr>
        <w:t>IPC</w:t>
      </w:r>
      <w:r>
        <w:rPr>
          <w:rFonts w:ascii="Times New Roman" w:hAnsi="Times New Roman" w:cs="Times New Roman"/>
          <w:sz w:val="24"/>
          <w:szCs w:val="24"/>
        </w:rPr>
        <w:t xml:space="preserve"> 1996-1999: 1,57  (Fuente: BM - FMI - </w:t>
      </w:r>
      <w:r w:rsidRPr="00A952CC">
        <w:rPr>
          <w:rFonts w:ascii="Times New Roman" w:hAnsi="Times New Roman" w:cs="Times New Roman"/>
          <w:sz w:val="24"/>
          <w:szCs w:val="24"/>
        </w:rPr>
        <w:t>StatBureau - 25/5/20)</w:t>
      </w:r>
    </w:p>
    <w:p w:rsidR="001E6FAE" w:rsidRDefault="001E6FAE" w:rsidP="001E6FAE">
      <w:pPr>
        <w:jc w:val="both"/>
        <w:rPr>
          <w:rFonts w:ascii="Times New Roman" w:hAnsi="Times New Roman" w:cs="Times New Roman"/>
          <w:sz w:val="24"/>
          <w:szCs w:val="24"/>
          <w:lang w:val="en-US"/>
        </w:rPr>
      </w:pPr>
      <w:r w:rsidRPr="003F3385">
        <w:rPr>
          <w:rFonts w:ascii="Times New Roman" w:hAnsi="Times New Roman" w:cs="Times New Roman"/>
          <w:sz w:val="24"/>
          <w:szCs w:val="24"/>
          <w:lang w:val="en-US"/>
        </w:rPr>
        <w:t>Año 2000 - Final consumption expe</w:t>
      </w:r>
      <w:r w:rsidRPr="00F61400">
        <w:rPr>
          <w:rFonts w:ascii="Times New Roman" w:hAnsi="Times New Roman" w:cs="Times New Roman"/>
          <w:sz w:val="24"/>
          <w:szCs w:val="24"/>
          <w:lang w:val="en-US"/>
        </w:rPr>
        <w:t>nditure ($ 1.000) 6.866.633.235</w:t>
      </w:r>
      <w:r>
        <w:rPr>
          <w:rFonts w:ascii="Times New Roman" w:hAnsi="Times New Roman" w:cs="Times New Roman"/>
          <w:sz w:val="24"/>
          <w:szCs w:val="24"/>
          <w:lang w:val="en-US"/>
        </w:rPr>
        <w:t xml:space="preserve"> - </w:t>
      </w:r>
      <w:r w:rsidRPr="00F61400">
        <w:rPr>
          <w:rFonts w:ascii="Times New Roman" w:hAnsi="Times New Roman" w:cs="Times New Roman"/>
          <w:sz w:val="24"/>
          <w:szCs w:val="24"/>
          <w:lang w:val="en-US"/>
        </w:rPr>
        <w:t xml:space="preserve">IPC </w:t>
      </w:r>
      <w:r>
        <w:rPr>
          <w:rFonts w:ascii="Times New Roman" w:hAnsi="Times New Roman" w:cs="Times New Roman"/>
          <w:sz w:val="24"/>
          <w:szCs w:val="24"/>
          <w:lang w:val="en-US"/>
        </w:rPr>
        <w:t>2,22</w:t>
      </w:r>
    </w:p>
    <w:p w:rsidR="001E6FAE" w:rsidRPr="00A952CC"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1E6FAE" w:rsidRDefault="001E6FAE" w:rsidP="001E6FAE">
      <w:pPr>
        <w:jc w:val="both"/>
        <w:rPr>
          <w:rFonts w:ascii="Times New Roman" w:hAnsi="Times New Roman" w:cs="Times New Roman"/>
          <w:sz w:val="24"/>
          <w:szCs w:val="24"/>
        </w:rPr>
      </w:pPr>
      <w:r w:rsidRPr="005D133F">
        <w:rPr>
          <w:rFonts w:ascii="Times New Roman" w:hAnsi="Times New Roman" w:cs="Times New Roman"/>
          <w:sz w:val="24"/>
          <w:szCs w:val="24"/>
        </w:rPr>
        <w:t>Año 2010 - Final consumption expenditure ($ 1.000) 13.360.030.902 - IPC 2,67</w:t>
      </w:r>
    </w:p>
    <w:p w:rsidR="001E6FAE" w:rsidRPr="005D133F"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1E6FAE" w:rsidRDefault="001E6FAE" w:rsidP="001E6FAE">
      <w:pPr>
        <w:jc w:val="both"/>
        <w:rPr>
          <w:rFonts w:ascii="Times New Roman" w:hAnsi="Times New Roman" w:cs="Times New Roman"/>
          <w:sz w:val="24"/>
          <w:szCs w:val="24"/>
        </w:rPr>
      </w:pPr>
      <w:r w:rsidRPr="005D133F">
        <w:rPr>
          <w:rFonts w:ascii="Times New Roman" w:hAnsi="Times New Roman" w:cs="Times New Roman"/>
          <w:sz w:val="24"/>
          <w:szCs w:val="24"/>
        </w:rPr>
        <w:t>Año 2011 - Final consumption expenditure ($ 1.000) 14.322.303.385 - IPC 3,04</w:t>
      </w:r>
    </w:p>
    <w:p w:rsidR="001E6FAE" w:rsidRPr="005D133F"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r w:rsidRPr="005D133F">
        <w:rPr>
          <w:rFonts w:ascii="Times New Roman" w:hAnsi="Times New Roman" w:cs="Times New Roman"/>
          <w:sz w:val="24"/>
          <w:szCs w:val="24"/>
        </w:rPr>
        <w:t xml:space="preserve">         </w:t>
      </w:r>
    </w:p>
    <w:p w:rsidR="001E6FAE" w:rsidRPr="001E6FAE" w:rsidRDefault="001E6FAE" w:rsidP="001E6FAE">
      <w:pPr>
        <w:jc w:val="both"/>
        <w:rPr>
          <w:rFonts w:ascii="Times New Roman" w:hAnsi="Times New Roman" w:cs="Times New Roman"/>
          <w:sz w:val="24"/>
          <w:szCs w:val="24"/>
        </w:rPr>
      </w:pPr>
      <w:r w:rsidRPr="001E6FAE">
        <w:rPr>
          <w:rFonts w:ascii="Times New Roman" w:hAnsi="Times New Roman" w:cs="Times New Roman"/>
          <w:sz w:val="24"/>
          <w:szCs w:val="24"/>
        </w:rPr>
        <w:t>Año 2012 - Final consumption expenditure ($ 1.000) 13.551.751.384 - IPC 2,35</w:t>
      </w:r>
    </w:p>
    <w:p w:rsidR="001E6FAE" w:rsidRPr="00A952CC"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 xml:space="preserve">No se produce beneficio teórico        </w:t>
      </w:r>
    </w:p>
    <w:p w:rsidR="001E6FAE" w:rsidRDefault="001E6FAE" w:rsidP="001E6FAE">
      <w:pPr>
        <w:jc w:val="both"/>
        <w:rPr>
          <w:rFonts w:ascii="Times New Roman" w:hAnsi="Times New Roman" w:cs="Times New Roman"/>
          <w:sz w:val="24"/>
          <w:szCs w:val="24"/>
        </w:rPr>
      </w:pPr>
      <w:r w:rsidRPr="00622A59">
        <w:rPr>
          <w:rFonts w:ascii="Times New Roman" w:hAnsi="Times New Roman" w:cs="Times New Roman"/>
          <w:sz w:val="24"/>
          <w:szCs w:val="24"/>
        </w:rPr>
        <w:t>Año 2013 - Final consumption expenditure ($ 1.000) 14.080.722.862 - IPC 0,98</w:t>
      </w:r>
    </w:p>
    <w:p w:rsidR="001E6FAE"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S</w:t>
      </w:r>
      <w:r>
        <w:rPr>
          <w:rFonts w:ascii="Times New Roman" w:hAnsi="Times New Roman" w:cs="Times New Roman"/>
          <w:sz w:val="24"/>
          <w:szCs w:val="24"/>
        </w:rPr>
        <w:t>e produce beneficio teórico 1,57</w:t>
      </w:r>
      <w:r w:rsidRPr="00A952CC">
        <w:rPr>
          <w:rFonts w:ascii="Times New Roman" w:hAnsi="Times New Roman" w:cs="Times New Roman"/>
          <w:sz w:val="24"/>
          <w:szCs w:val="24"/>
        </w:rPr>
        <w:t xml:space="preserve"> </w:t>
      </w:r>
      <w:r>
        <w:rPr>
          <w:rFonts w:ascii="Times New Roman" w:hAnsi="Times New Roman" w:cs="Times New Roman"/>
          <w:sz w:val="24"/>
          <w:szCs w:val="24"/>
        </w:rPr>
        <w:t>- 0,98</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0,59</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x 14.080,7 ($ m. de mill.) = 83,08 m.de mill.</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p>
    <w:p w:rsidR="001E6FAE" w:rsidRPr="00622A59" w:rsidRDefault="001E6FAE" w:rsidP="001E6FAE">
      <w:pPr>
        <w:jc w:val="both"/>
        <w:rPr>
          <w:rFonts w:ascii="Times New Roman" w:hAnsi="Times New Roman" w:cs="Times New Roman"/>
          <w:sz w:val="24"/>
          <w:szCs w:val="24"/>
        </w:rPr>
      </w:pPr>
      <w:r w:rsidRPr="00622A59">
        <w:rPr>
          <w:rFonts w:ascii="Times New Roman" w:hAnsi="Times New Roman" w:cs="Times New Roman"/>
          <w:sz w:val="24"/>
          <w:szCs w:val="24"/>
        </w:rPr>
        <w:t xml:space="preserve">        </w:t>
      </w:r>
    </w:p>
    <w:p w:rsidR="001E6FAE" w:rsidRPr="003B038D" w:rsidRDefault="001E6FAE" w:rsidP="001E6FAE">
      <w:pPr>
        <w:jc w:val="both"/>
        <w:rPr>
          <w:rFonts w:ascii="Times New Roman" w:hAnsi="Times New Roman" w:cs="Times New Roman"/>
          <w:sz w:val="24"/>
          <w:szCs w:val="24"/>
        </w:rPr>
      </w:pPr>
      <w:r w:rsidRPr="003B038D">
        <w:rPr>
          <w:rFonts w:ascii="Times New Roman" w:hAnsi="Times New Roman" w:cs="Times New Roman"/>
          <w:sz w:val="24"/>
          <w:szCs w:val="24"/>
        </w:rPr>
        <w:lastRenderedPageBreak/>
        <w:t xml:space="preserve">Año 2014 - Final consumption expenditure ($ 1.000) 14.449.139.902 - IPC -0,08  </w:t>
      </w:r>
    </w:p>
    <w:p w:rsidR="001E6FAE"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S</w:t>
      </w:r>
      <w:r>
        <w:rPr>
          <w:rFonts w:ascii="Times New Roman" w:hAnsi="Times New Roman" w:cs="Times New Roman"/>
          <w:sz w:val="24"/>
          <w:szCs w:val="24"/>
        </w:rPr>
        <w:t>e produce beneficio teórico 1,57</w:t>
      </w:r>
      <w:r w:rsidRPr="00A952CC">
        <w:rPr>
          <w:rFonts w:ascii="Times New Roman" w:hAnsi="Times New Roman" w:cs="Times New Roman"/>
          <w:sz w:val="24"/>
          <w:szCs w:val="24"/>
        </w:rPr>
        <w:t xml:space="preserve"> </w:t>
      </w:r>
      <w:r>
        <w:rPr>
          <w:rFonts w:ascii="Times New Roman" w:hAnsi="Times New Roman" w:cs="Times New Roman"/>
          <w:sz w:val="24"/>
          <w:szCs w:val="24"/>
        </w:rPr>
        <w:t>- -0,08</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1,65 x 14.449,1($ m. de mill.) = 238,41 m.de mill.</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p>
    <w:p w:rsidR="001E6FAE" w:rsidRPr="003B038D" w:rsidRDefault="001E6FAE" w:rsidP="001E6FAE">
      <w:pPr>
        <w:jc w:val="both"/>
        <w:rPr>
          <w:rFonts w:ascii="Times New Roman" w:hAnsi="Times New Roman" w:cs="Times New Roman"/>
          <w:sz w:val="24"/>
          <w:szCs w:val="24"/>
        </w:rPr>
      </w:pPr>
      <w:r w:rsidRPr="003B038D">
        <w:rPr>
          <w:rFonts w:ascii="Times New Roman" w:hAnsi="Times New Roman" w:cs="Times New Roman"/>
          <w:sz w:val="24"/>
          <w:szCs w:val="24"/>
        </w:rPr>
        <w:t xml:space="preserve">Año 2015 - Final consumption expenditure ($ 1.000) 12.592.258.537 - IPC 0,18 </w:t>
      </w:r>
    </w:p>
    <w:p w:rsidR="001E6FAE" w:rsidRPr="00622A59"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S</w:t>
      </w:r>
      <w:r>
        <w:rPr>
          <w:rFonts w:ascii="Times New Roman" w:hAnsi="Times New Roman" w:cs="Times New Roman"/>
          <w:sz w:val="24"/>
          <w:szCs w:val="24"/>
        </w:rPr>
        <w:t>e produce beneficio teórico 1,57</w:t>
      </w:r>
      <w:r w:rsidRPr="00A952CC">
        <w:rPr>
          <w:rFonts w:ascii="Times New Roman" w:hAnsi="Times New Roman" w:cs="Times New Roman"/>
          <w:sz w:val="24"/>
          <w:szCs w:val="24"/>
        </w:rPr>
        <w:t xml:space="preserve"> </w:t>
      </w:r>
      <w:r>
        <w:rPr>
          <w:rFonts w:ascii="Times New Roman" w:hAnsi="Times New Roman" w:cs="Times New Roman"/>
          <w:sz w:val="24"/>
          <w:szCs w:val="24"/>
        </w:rPr>
        <w:t>- 0,18</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1,39 x 12.592,3 ($ m. de mill.) = 175,0 m.de mill.</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r w:rsidRPr="00622A59">
        <w:rPr>
          <w:rFonts w:ascii="Times New Roman" w:hAnsi="Times New Roman" w:cs="Times New Roman"/>
          <w:sz w:val="24"/>
          <w:szCs w:val="24"/>
        </w:rPr>
        <w:t xml:space="preserve">       </w:t>
      </w:r>
    </w:p>
    <w:p w:rsidR="001E6FAE" w:rsidRPr="003B038D" w:rsidRDefault="001E6FAE" w:rsidP="001E6FAE">
      <w:pPr>
        <w:jc w:val="both"/>
        <w:rPr>
          <w:rFonts w:ascii="Times New Roman" w:hAnsi="Times New Roman" w:cs="Times New Roman"/>
          <w:sz w:val="24"/>
          <w:szCs w:val="24"/>
        </w:rPr>
      </w:pPr>
      <w:r w:rsidRPr="003B038D">
        <w:rPr>
          <w:rFonts w:ascii="Times New Roman" w:hAnsi="Times New Roman" w:cs="Times New Roman"/>
          <w:sz w:val="24"/>
          <w:szCs w:val="24"/>
        </w:rPr>
        <w:t xml:space="preserve">Año 2016 - Final consumption expenditure ($ 1.000) 12.622.162.337 - IPC 1,14 </w:t>
      </w:r>
    </w:p>
    <w:p w:rsidR="001E6FAE" w:rsidRDefault="001E6FAE" w:rsidP="001E6FAE">
      <w:pPr>
        <w:jc w:val="both"/>
        <w:rPr>
          <w:rFonts w:ascii="Times New Roman" w:hAnsi="Times New Roman" w:cs="Times New Roman"/>
          <w:sz w:val="24"/>
          <w:szCs w:val="24"/>
        </w:rPr>
      </w:pPr>
      <w:r w:rsidRPr="00A952CC">
        <w:rPr>
          <w:rFonts w:ascii="Times New Roman" w:hAnsi="Times New Roman" w:cs="Times New Roman"/>
          <w:sz w:val="24"/>
          <w:szCs w:val="24"/>
        </w:rPr>
        <w:t>S</w:t>
      </w:r>
      <w:r>
        <w:rPr>
          <w:rFonts w:ascii="Times New Roman" w:hAnsi="Times New Roman" w:cs="Times New Roman"/>
          <w:sz w:val="24"/>
          <w:szCs w:val="24"/>
        </w:rPr>
        <w:t>e produce beneficio teórico 1,57</w:t>
      </w:r>
      <w:r w:rsidRPr="00A952CC">
        <w:rPr>
          <w:rFonts w:ascii="Times New Roman" w:hAnsi="Times New Roman" w:cs="Times New Roman"/>
          <w:sz w:val="24"/>
          <w:szCs w:val="24"/>
        </w:rPr>
        <w:t xml:space="preserve"> </w:t>
      </w:r>
      <w:r>
        <w:rPr>
          <w:rFonts w:ascii="Times New Roman" w:hAnsi="Times New Roman" w:cs="Times New Roman"/>
          <w:sz w:val="24"/>
          <w:szCs w:val="24"/>
        </w:rPr>
        <w:t>- 1,14</w:t>
      </w:r>
      <w:r w:rsidRPr="00A952CC">
        <w:rPr>
          <w:rFonts w:ascii="Times New Roman" w:hAnsi="Times New Roman" w:cs="Times New Roman"/>
          <w:sz w:val="24"/>
          <w:szCs w:val="24"/>
        </w:rPr>
        <w:t xml:space="preserve"> =</w:t>
      </w:r>
      <w:r>
        <w:rPr>
          <w:rFonts w:ascii="Times New Roman" w:hAnsi="Times New Roman" w:cs="Times New Roman"/>
          <w:sz w:val="24"/>
          <w:szCs w:val="24"/>
        </w:rPr>
        <w:t xml:space="preserve"> 0,43 x 12.622,2 ($ m. de mill.) = 54,28 m.de mill.</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p>
    <w:p w:rsidR="001E6FAE" w:rsidRPr="003B038D" w:rsidRDefault="001E6FAE" w:rsidP="001E6FAE">
      <w:pPr>
        <w:jc w:val="both"/>
        <w:rPr>
          <w:rFonts w:ascii="Times New Roman" w:hAnsi="Times New Roman" w:cs="Times New Roman"/>
          <w:sz w:val="24"/>
          <w:szCs w:val="24"/>
        </w:rPr>
      </w:pPr>
      <w:r w:rsidRPr="003B038D">
        <w:rPr>
          <w:rFonts w:ascii="Times New Roman" w:hAnsi="Times New Roman" w:cs="Times New Roman"/>
          <w:sz w:val="24"/>
          <w:szCs w:val="24"/>
        </w:rPr>
        <w:t xml:space="preserve">Año 2017 - Final consumption expenditure ($ 1.000) 13.137.450.083 - IPC 1,64    </w:t>
      </w:r>
    </w:p>
    <w:p w:rsidR="001E6FAE" w:rsidRPr="00622A59" w:rsidRDefault="001E6FAE" w:rsidP="001E6FAE">
      <w:pPr>
        <w:jc w:val="both"/>
        <w:rPr>
          <w:rFonts w:ascii="Times New Roman" w:hAnsi="Times New Roman" w:cs="Times New Roman"/>
          <w:sz w:val="24"/>
          <w:szCs w:val="24"/>
        </w:rPr>
      </w:pPr>
      <w:r>
        <w:rPr>
          <w:rFonts w:ascii="Times New Roman" w:hAnsi="Times New Roman" w:cs="Times New Roman"/>
          <w:sz w:val="24"/>
          <w:szCs w:val="24"/>
        </w:rPr>
        <w:t xml:space="preserve">No se produce beneficio teórico </w:t>
      </w:r>
      <w:r w:rsidRPr="00A952CC">
        <w:rPr>
          <w:rFonts w:ascii="Times New Roman" w:hAnsi="Times New Roman" w:cs="Times New Roman"/>
          <w:sz w:val="24"/>
          <w:szCs w:val="24"/>
        </w:rPr>
        <w:t xml:space="preserve">           </w:t>
      </w:r>
      <w:r w:rsidRPr="00A952CC">
        <w:rPr>
          <w:rFonts w:ascii="Times New Roman" w:eastAsia="Times New Roman" w:hAnsi="Times New Roman" w:cs="Times New Roman"/>
          <w:sz w:val="24"/>
          <w:szCs w:val="24"/>
          <w:lang w:eastAsia="es-ES"/>
        </w:rPr>
        <w:t xml:space="preserve">    </w:t>
      </w:r>
      <w:r w:rsidRPr="00622A59">
        <w:rPr>
          <w:rFonts w:ascii="Times New Roman" w:hAnsi="Times New Roman" w:cs="Times New Roman"/>
          <w:sz w:val="24"/>
          <w:szCs w:val="24"/>
        </w:rPr>
        <w:t xml:space="preserve">    </w:t>
      </w:r>
    </w:p>
    <w:p w:rsidR="001E6FAE" w:rsidRPr="003B038D" w:rsidRDefault="001E6FAE" w:rsidP="001E6FAE">
      <w:pPr>
        <w:jc w:val="both"/>
        <w:rPr>
          <w:rFonts w:ascii="Times New Roman" w:hAnsi="Times New Roman" w:cs="Times New Roman"/>
          <w:sz w:val="24"/>
          <w:szCs w:val="24"/>
          <w:lang w:val="en-US"/>
        </w:rPr>
      </w:pPr>
      <w:r w:rsidRPr="003B038D">
        <w:rPr>
          <w:rFonts w:ascii="Times New Roman" w:hAnsi="Times New Roman" w:cs="Times New Roman"/>
          <w:sz w:val="24"/>
          <w:szCs w:val="24"/>
          <w:lang w:val="en-US"/>
        </w:rPr>
        <w:t xml:space="preserve">Año 2018 - Final consumption expenditure ($ 1.000) 14.166.647.005 - IPC 1,63      </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No s</w:t>
      </w:r>
      <w:r w:rsidRPr="00A952CC">
        <w:rPr>
          <w:rFonts w:ascii="Times New Roman" w:hAnsi="Times New Roman" w:cs="Times New Roman"/>
          <w:sz w:val="24"/>
          <w:szCs w:val="24"/>
        </w:rPr>
        <w:t>e</w:t>
      </w:r>
      <w:r>
        <w:rPr>
          <w:rFonts w:ascii="Times New Roman" w:hAnsi="Times New Roman" w:cs="Times New Roman"/>
          <w:sz w:val="24"/>
          <w:szCs w:val="24"/>
        </w:rPr>
        <w:t xml:space="preserve"> produce beneficio teórico</w:t>
      </w:r>
    </w:p>
    <w:p w:rsidR="001E6FAE" w:rsidRPr="0028715F" w:rsidRDefault="001E6FAE" w:rsidP="001E6FAE">
      <w:pPr>
        <w:jc w:val="both"/>
        <w:rPr>
          <w:rFonts w:ascii="Times New Roman" w:hAnsi="Times New Roman" w:cs="Times New Roman"/>
          <w:b/>
          <w:sz w:val="24"/>
          <w:szCs w:val="24"/>
        </w:rPr>
      </w:pPr>
      <w:r w:rsidRPr="0028715F">
        <w:rPr>
          <w:rFonts w:ascii="Times New Roman" w:hAnsi="Times New Roman" w:cs="Times New Roman"/>
          <w:b/>
          <w:sz w:val="24"/>
          <w:szCs w:val="24"/>
        </w:rPr>
        <w:t xml:space="preserve">Cálculos sobre capitalización bursátil </w:t>
      </w:r>
    </w:p>
    <w:p w:rsidR="001E6FAE" w:rsidRPr="009E22FE" w:rsidRDefault="001E6FAE" w:rsidP="001E6FAE">
      <w:pPr>
        <w:spacing w:line="240" w:lineRule="auto"/>
        <w:jc w:val="both"/>
        <w:rPr>
          <w:rFonts w:ascii="Times New Roman" w:hAnsi="Times New Roman" w:cs="Times New Roman"/>
          <w:b/>
          <w:color w:val="FF0000"/>
          <w:sz w:val="24"/>
          <w:szCs w:val="24"/>
          <w:shd w:val="clear" w:color="auto" w:fill="FFFFFF"/>
        </w:rPr>
      </w:pPr>
      <w:r w:rsidRPr="009E22FE">
        <w:rPr>
          <w:rFonts w:ascii="Times New Roman" w:hAnsi="Times New Roman" w:cs="Times New Roman"/>
          <w:b/>
          <w:color w:val="FF0000"/>
          <w:sz w:val="24"/>
          <w:szCs w:val="24"/>
          <w:shd w:val="clear" w:color="auto" w:fill="FFFFFF"/>
        </w:rPr>
        <w:t>(+) Mayor rentabilidad de las empresas por la importación de productos a menor costo.</w:t>
      </w:r>
    </w:p>
    <w:p w:rsidR="001E6FAE" w:rsidRPr="009E22FE" w:rsidRDefault="001E6FAE" w:rsidP="001E6FAE">
      <w:pPr>
        <w:spacing w:line="240" w:lineRule="auto"/>
        <w:jc w:val="both"/>
        <w:rPr>
          <w:rFonts w:ascii="Times New Roman" w:hAnsi="Times New Roman" w:cs="Times New Roman"/>
          <w:b/>
          <w:color w:val="FF0000"/>
          <w:sz w:val="24"/>
          <w:szCs w:val="24"/>
          <w:shd w:val="clear" w:color="auto" w:fill="FFFFFF"/>
        </w:rPr>
      </w:pPr>
      <w:r w:rsidRPr="009E22FE">
        <w:rPr>
          <w:rFonts w:ascii="Times New Roman" w:hAnsi="Times New Roman" w:cs="Times New Roman"/>
          <w:b/>
          <w:color w:val="FF0000"/>
          <w:sz w:val="24"/>
          <w:szCs w:val="24"/>
          <w:shd w:val="clear" w:color="auto" w:fill="FFFFFF"/>
        </w:rPr>
        <w:t>(+) Mayor valor en bolsa de las acciones de las empresas que importan productos a menor costo.</w:t>
      </w:r>
    </w:p>
    <w:p w:rsidR="001E6FAE" w:rsidRDefault="001E6FAE" w:rsidP="001E6FAE">
      <w:pPr>
        <w:spacing w:line="240" w:lineRule="auto"/>
        <w:jc w:val="both"/>
        <w:rPr>
          <w:rFonts w:ascii="Times New Roman" w:hAnsi="Times New Roman" w:cs="Times New Roman"/>
          <w:b/>
          <w:color w:val="FF0000"/>
          <w:sz w:val="24"/>
          <w:szCs w:val="24"/>
          <w:shd w:val="clear" w:color="auto" w:fill="FFFFFF"/>
        </w:rPr>
      </w:pPr>
      <w:r w:rsidRPr="009E22FE">
        <w:rPr>
          <w:rFonts w:ascii="Times New Roman" w:hAnsi="Times New Roman" w:cs="Times New Roman"/>
          <w:b/>
          <w:color w:val="FF0000"/>
          <w:sz w:val="24"/>
          <w:szCs w:val="24"/>
          <w:shd w:val="clear" w:color="auto" w:fill="FFFFFF"/>
        </w:rPr>
        <w:t>(+) Mayores dividendos pagados por las empresas que importan productos a menor costo.</w:t>
      </w:r>
    </w:p>
    <w:p w:rsidR="001E6FAE" w:rsidRDefault="001E6FAE" w:rsidP="001E6FAE">
      <w:pPr>
        <w:spacing w:line="240" w:lineRule="auto"/>
        <w:jc w:val="both"/>
        <w:rPr>
          <w:rFonts w:ascii="Times New Roman" w:hAnsi="Times New Roman" w:cs="Times New Roman"/>
          <w:b/>
          <w:sz w:val="24"/>
          <w:szCs w:val="24"/>
        </w:rPr>
      </w:pPr>
      <w:r>
        <w:rPr>
          <w:rFonts w:ascii="Times New Roman" w:hAnsi="Times New Roman" w:cs="Times New Roman"/>
          <w:b/>
          <w:sz w:val="24"/>
          <w:szCs w:val="24"/>
        </w:rPr>
        <w:t>PwC</w:t>
      </w:r>
    </w:p>
    <w:p w:rsidR="001E6FAE" w:rsidRDefault="001E6FAE" w:rsidP="001E6FAE">
      <w:pPr>
        <w:spacing w:line="240" w:lineRule="auto"/>
        <w:jc w:val="both"/>
        <w:rPr>
          <w:rFonts w:ascii="Times New Roman" w:hAnsi="Times New Roman" w:cs="Times New Roman"/>
          <w:b/>
          <w:sz w:val="24"/>
          <w:szCs w:val="24"/>
        </w:rPr>
      </w:pPr>
      <w:r w:rsidRPr="00587B7A">
        <w:rPr>
          <w:rFonts w:ascii="Times New Roman" w:hAnsi="Times New Roman" w:cs="Times New Roman"/>
          <w:b/>
          <w:noProof/>
          <w:sz w:val="24"/>
          <w:szCs w:val="24"/>
          <w:lang w:eastAsia="es-ES"/>
        </w:rPr>
        <w:drawing>
          <wp:inline distT="0" distB="0" distL="0" distR="0" wp14:anchorId="067A7A2E" wp14:editId="23ADEF6F">
            <wp:extent cx="5728446" cy="3234017"/>
            <wp:effectExtent l="0" t="0" r="5715" b="5080"/>
            <wp:docPr id="321" name="Imagen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731510" cy="3235747"/>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b/>
          <w:sz w:val="24"/>
          <w:szCs w:val="24"/>
          <w:lang w:val="en-US"/>
        </w:rPr>
      </w:pPr>
      <w:r>
        <w:rPr>
          <w:noProof/>
          <w:lang w:eastAsia="es-ES"/>
        </w:rPr>
        <w:lastRenderedPageBreak/>
        <w:drawing>
          <wp:inline distT="0" distB="0" distL="0" distR="0" wp14:anchorId="1057D0E9" wp14:editId="13F63CBC">
            <wp:extent cx="5728446" cy="3193676"/>
            <wp:effectExtent l="0" t="0" r="0" b="0"/>
            <wp:docPr id="322" name="Imagen 322" descr="https://www.pwc.es/es/publicaciones/auditoria/assets/capitalizacion-bursat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pwc.es/es/publicaciones/auditoria/assets/capitalizacion-bursatil.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31510" cy="3195384"/>
                    </a:xfrm>
                    <a:prstGeom prst="rect">
                      <a:avLst/>
                    </a:prstGeom>
                    <a:noFill/>
                    <a:ln>
                      <a:noFill/>
                    </a:ln>
                  </pic:spPr>
                </pic:pic>
              </a:graphicData>
            </a:graphic>
          </wp:inline>
        </w:drawing>
      </w:r>
      <w:r w:rsidRPr="00587B7A">
        <w:rPr>
          <w:rFonts w:ascii="Times New Roman" w:hAnsi="Times New Roman" w:cs="Times New Roman"/>
          <w:b/>
          <w:sz w:val="24"/>
          <w:szCs w:val="24"/>
          <w:lang w:val="en-US"/>
        </w:rPr>
        <w:t xml:space="preserve"> </w:t>
      </w:r>
    </w:p>
    <w:p w:rsidR="001E6FAE" w:rsidRDefault="001E6FAE" w:rsidP="001E6FAE">
      <w:pPr>
        <w:rPr>
          <w:rFonts w:ascii="Times New Roman" w:hAnsi="Times New Roman" w:cs="Times New Roman"/>
          <w:b/>
          <w:sz w:val="24"/>
          <w:szCs w:val="24"/>
          <w:lang w:val="en-US"/>
        </w:rPr>
      </w:pPr>
      <w:r w:rsidRPr="00FF25F5">
        <w:rPr>
          <w:rFonts w:ascii="Times New Roman" w:hAnsi="Times New Roman" w:cs="Times New Roman"/>
          <w:b/>
          <w:sz w:val="24"/>
          <w:szCs w:val="24"/>
          <w:lang w:val="en-US"/>
        </w:rPr>
        <w:t>Global Top 100 Compan</w:t>
      </w:r>
      <w:r>
        <w:rPr>
          <w:rFonts w:ascii="Times New Roman" w:hAnsi="Times New Roman" w:cs="Times New Roman"/>
          <w:b/>
          <w:sz w:val="24"/>
          <w:szCs w:val="24"/>
          <w:lang w:val="en-US"/>
        </w:rPr>
        <w:t>ies by market capitalization (Pw</w:t>
      </w:r>
      <w:r w:rsidRPr="00FF25F5">
        <w:rPr>
          <w:rFonts w:ascii="Times New Roman" w:hAnsi="Times New Roman" w:cs="Times New Roman"/>
          <w:b/>
          <w:sz w:val="24"/>
          <w:szCs w:val="24"/>
          <w:lang w:val="en-US"/>
        </w:rPr>
        <w:t>C - 31 March 2016 update)</w:t>
      </w:r>
    </w:p>
    <w:p w:rsidR="001E6FAE" w:rsidRPr="00967079" w:rsidRDefault="001E6FAE" w:rsidP="001E6FAE">
      <w:pPr>
        <w:rPr>
          <w:rFonts w:ascii="Times New Roman" w:hAnsi="Times New Roman" w:cs="Times New Roman"/>
          <w:b/>
          <w:sz w:val="24"/>
          <w:szCs w:val="24"/>
          <w:lang w:val="en-US"/>
        </w:rPr>
      </w:pPr>
      <w:r w:rsidRPr="00FF25F5">
        <w:rPr>
          <w:rFonts w:ascii="Times New Roman" w:hAnsi="Times New Roman" w:cs="Times New Roman"/>
          <w:b/>
          <w:noProof/>
          <w:sz w:val="24"/>
          <w:szCs w:val="24"/>
          <w:lang w:eastAsia="es-ES"/>
        </w:rPr>
        <w:drawing>
          <wp:inline distT="0" distB="0" distL="0" distR="0" wp14:anchorId="08B271C0" wp14:editId="40C27BF6">
            <wp:extent cx="4564009" cy="4632512"/>
            <wp:effectExtent l="0" t="0" r="8255" b="0"/>
            <wp:docPr id="323" name="Imagen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4563112" cy="4631602"/>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b/>
          <w:sz w:val="24"/>
          <w:szCs w:val="24"/>
          <w:lang w:val="en-US"/>
        </w:rPr>
      </w:pPr>
      <w:r w:rsidRPr="00FF25F5">
        <w:rPr>
          <w:rFonts w:ascii="Times New Roman" w:hAnsi="Times New Roman" w:cs="Times New Roman"/>
          <w:b/>
          <w:noProof/>
          <w:sz w:val="24"/>
          <w:szCs w:val="24"/>
          <w:lang w:eastAsia="es-ES"/>
        </w:rPr>
        <w:lastRenderedPageBreak/>
        <w:drawing>
          <wp:inline distT="0" distB="0" distL="0" distR="0" wp14:anchorId="0F401765" wp14:editId="28CE3EF5">
            <wp:extent cx="5729476" cy="3905250"/>
            <wp:effectExtent l="0" t="0" r="5080" b="0"/>
            <wp:docPr id="325" name="Imagen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731510" cy="3906637"/>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b/>
          <w:sz w:val="24"/>
          <w:szCs w:val="24"/>
          <w:lang w:val="en-US"/>
        </w:rPr>
      </w:pPr>
    </w:p>
    <w:p w:rsidR="001E6FAE" w:rsidRDefault="001E6FAE" w:rsidP="001E6FAE">
      <w:pPr>
        <w:spacing w:line="240" w:lineRule="auto"/>
        <w:jc w:val="both"/>
        <w:rPr>
          <w:rFonts w:ascii="Times New Roman" w:hAnsi="Times New Roman" w:cs="Times New Roman"/>
          <w:b/>
          <w:sz w:val="24"/>
          <w:szCs w:val="24"/>
          <w:lang w:val="en-US"/>
        </w:rPr>
      </w:pPr>
    </w:p>
    <w:p w:rsidR="001E6FAE" w:rsidRDefault="001E6FAE" w:rsidP="001E6FAE">
      <w:pPr>
        <w:rPr>
          <w:rFonts w:ascii="Times New Roman" w:hAnsi="Times New Roman" w:cs="Times New Roman"/>
          <w:sz w:val="24"/>
          <w:szCs w:val="24"/>
        </w:rPr>
      </w:pPr>
      <w:r w:rsidRPr="008060CC">
        <w:rPr>
          <w:rFonts w:ascii="Times New Roman" w:hAnsi="Times New Roman" w:cs="Times New Roman"/>
          <w:b/>
          <w:sz w:val="24"/>
          <w:szCs w:val="24"/>
        </w:rPr>
        <w:t>Capitalización bursátil</w:t>
      </w:r>
      <w:r>
        <w:rPr>
          <w:rFonts w:ascii="Times New Roman" w:hAnsi="Times New Roman" w:cs="Times New Roman"/>
          <w:b/>
          <w:sz w:val="24"/>
          <w:szCs w:val="24"/>
        </w:rPr>
        <w:t xml:space="preserve"> de las Global Top 100 por área geográfica </w:t>
      </w:r>
      <w:r>
        <w:rPr>
          <w:rFonts w:ascii="Times New Roman" w:hAnsi="Times New Roman" w:cs="Times New Roman"/>
          <w:sz w:val="24"/>
          <w:szCs w:val="24"/>
        </w:rPr>
        <w:t>(Número de empresas)</w:t>
      </w:r>
    </w:p>
    <w:p w:rsidR="001E6FAE" w:rsidRPr="00470A82" w:rsidRDefault="001E6FAE" w:rsidP="001E6FAE">
      <w:pPr>
        <w:rPr>
          <w:rFonts w:ascii="Times New Roman" w:hAnsi="Times New Roman" w:cs="Times New Roman"/>
          <w:b/>
          <w:sz w:val="24"/>
          <w:szCs w:val="24"/>
        </w:rPr>
      </w:pPr>
    </w:p>
    <w:p w:rsidR="001E6FAE" w:rsidRDefault="001E6FAE" w:rsidP="001E6FAE">
      <w:pPr>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Año 2009</w:t>
      </w:r>
      <w:r>
        <w:rPr>
          <w:rFonts w:ascii="Times New Roman" w:hAnsi="Times New Roman" w:cs="Times New Roman"/>
          <w:b/>
          <w:sz w:val="24"/>
          <w:szCs w:val="24"/>
        </w:rPr>
        <w:tab/>
      </w:r>
      <w:r>
        <w:rPr>
          <w:rFonts w:ascii="Times New Roman" w:hAnsi="Times New Roman" w:cs="Times New Roman"/>
          <w:b/>
          <w:sz w:val="24"/>
          <w:szCs w:val="24"/>
        </w:rPr>
        <w:tab/>
        <w:t>Año 2019</w:t>
      </w:r>
    </w:p>
    <w:p w:rsidR="001E6FAE" w:rsidRDefault="001E6FAE" w:rsidP="001E6FAE">
      <w:pPr>
        <w:rPr>
          <w:rFonts w:ascii="Times New Roman" w:hAnsi="Times New Roman" w:cs="Times New Roman"/>
          <w:sz w:val="24"/>
          <w:szCs w:val="24"/>
        </w:rPr>
      </w:pPr>
      <w:r>
        <w:rPr>
          <w:rFonts w:ascii="Times New Roman" w:hAnsi="Times New Roman" w:cs="Times New Roman"/>
          <w:b/>
          <w:sz w:val="24"/>
          <w:szCs w:val="24"/>
        </w:rPr>
        <w:t>EEUU</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sz w:val="24"/>
          <w:szCs w:val="24"/>
        </w:rPr>
        <w:t xml:space="preserve">      </w:t>
      </w:r>
      <w:r w:rsidRPr="008060CC">
        <w:rPr>
          <w:rFonts w:ascii="Times New Roman" w:hAnsi="Times New Roman" w:cs="Times New Roman"/>
          <w:sz w:val="24"/>
          <w:szCs w:val="24"/>
        </w:rPr>
        <w:t>42                               54</w:t>
      </w:r>
    </w:p>
    <w:p w:rsidR="001E6FAE" w:rsidRDefault="001E6FAE" w:rsidP="001E6FAE">
      <w:pPr>
        <w:rPr>
          <w:rFonts w:ascii="Times New Roman" w:hAnsi="Times New Roman" w:cs="Times New Roman"/>
          <w:sz w:val="24"/>
          <w:szCs w:val="24"/>
        </w:rPr>
      </w:pPr>
      <w:r w:rsidRPr="008060CC">
        <w:rPr>
          <w:rFonts w:ascii="Times New Roman" w:hAnsi="Times New Roman" w:cs="Times New Roman"/>
          <w:b/>
          <w:sz w:val="24"/>
          <w:szCs w:val="24"/>
        </w:rPr>
        <w:t>Europa</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 xml:space="preserve">      </w:t>
      </w:r>
      <w:r w:rsidRPr="008060CC">
        <w:rPr>
          <w:rFonts w:ascii="Times New Roman" w:hAnsi="Times New Roman" w:cs="Times New Roman"/>
          <w:sz w:val="24"/>
          <w:szCs w:val="24"/>
        </w:rPr>
        <w:t>31</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20</w:t>
      </w:r>
    </w:p>
    <w:p w:rsidR="001E6FAE" w:rsidRDefault="001E6FAE" w:rsidP="001E6FAE">
      <w:pPr>
        <w:rPr>
          <w:rFonts w:ascii="Times New Roman" w:hAnsi="Times New Roman" w:cs="Times New Roman"/>
          <w:sz w:val="24"/>
          <w:szCs w:val="24"/>
        </w:rPr>
      </w:pPr>
      <w:r w:rsidRPr="008060CC">
        <w:rPr>
          <w:rFonts w:ascii="Times New Roman" w:hAnsi="Times New Roman" w:cs="Times New Roman"/>
          <w:b/>
          <w:sz w:val="24"/>
          <w:szCs w:val="24"/>
        </w:rPr>
        <w:t>China</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 xml:space="preserve">      </w:t>
      </w:r>
      <w:r w:rsidRPr="008060CC">
        <w:rPr>
          <w:rFonts w:ascii="Times New Roman" w:hAnsi="Times New Roman" w:cs="Times New Roman"/>
          <w:sz w:val="24"/>
          <w:szCs w:val="24"/>
        </w:rPr>
        <w:t>16</w:t>
      </w:r>
      <w:r>
        <w:rPr>
          <w:rFonts w:ascii="Times New Roman" w:hAnsi="Times New Roman" w:cs="Times New Roman"/>
          <w:sz w:val="24"/>
          <w:szCs w:val="24"/>
        </w:rPr>
        <w:tab/>
      </w:r>
      <w:r>
        <w:rPr>
          <w:rFonts w:ascii="Times New Roman" w:hAnsi="Times New Roman" w:cs="Times New Roman"/>
          <w:sz w:val="24"/>
          <w:szCs w:val="24"/>
        </w:rPr>
        <w:tab/>
        <w:t xml:space="preserve">                  11</w:t>
      </w:r>
    </w:p>
    <w:p w:rsidR="001E6FAE" w:rsidRDefault="001E6FAE" w:rsidP="001E6FAE">
      <w:pPr>
        <w:rPr>
          <w:rFonts w:ascii="Times New Roman" w:hAnsi="Times New Roman" w:cs="Times New Roman"/>
          <w:sz w:val="24"/>
          <w:szCs w:val="24"/>
        </w:rPr>
      </w:pPr>
      <w:r w:rsidRPr="008060CC">
        <w:rPr>
          <w:rFonts w:ascii="Times New Roman" w:hAnsi="Times New Roman" w:cs="Times New Roman"/>
          <w:b/>
          <w:sz w:val="24"/>
          <w:szCs w:val="24"/>
        </w:rPr>
        <w:t>Resto del Mundo</w:t>
      </w:r>
      <w:r>
        <w:rPr>
          <w:rFonts w:ascii="Times New Roman" w:hAnsi="Times New Roman" w:cs="Times New Roman"/>
          <w:b/>
          <w:sz w:val="24"/>
          <w:szCs w:val="24"/>
        </w:rPr>
        <w:tab/>
      </w:r>
      <w:r>
        <w:rPr>
          <w:rFonts w:ascii="Times New Roman" w:hAnsi="Times New Roman" w:cs="Times New Roman"/>
          <w:b/>
          <w:sz w:val="24"/>
          <w:szCs w:val="24"/>
        </w:rPr>
        <w:tab/>
      </w:r>
      <w:r w:rsidRPr="008060CC">
        <w:rPr>
          <w:rFonts w:ascii="Times New Roman" w:hAnsi="Times New Roman" w:cs="Times New Roman"/>
          <w:sz w:val="24"/>
          <w:szCs w:val="24"/>
        </w:rPr>
        <w:t xml:space="preserve">      11</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15</w:t>
      </w:r>
    </w:p>
    <w:p w:rsidR="001E6FAE" w:rsidRDefault="001E6FAE" w:rsidP="001E6FAE">
      <w:pPr>
        <w:spacing w:line="240" w:lineRule="auto"/>
        <w:jc w:val="both"/>
        <w:rPr>
          <w:rFonts w:ascii="Times New Roman" w:hAnsi="Times New Roman" w:cs="Times New Roman"/>
          <w:sz w:val="24"/>
          <w:szCs w:val="24"/>
        </w:rPr>
      </w:pP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En el cuadro anterior puede observarse que en EEUU, el número de empresas integradas en el Global Top 100 se incrementa en un 28,51</w:t>
      </w:r>
      <w:r w:rsidR="003E12E8">
        <w:rPr>
          <w:rFonts w:ascii="Times New Roman" w:hAnsi="Times New Roman" w:cs="Times New Roman"/>
          <w:sz w:val="24"/>
          <w:szCs w:val="24"/>
        </w:rPr>
        <w:t xml:space="preserve"> </w:t>
      </w:r>
      <w:r>
        <w:rPr>
          <w:rFonts w:ascii="Times New Roman" w:hAnsi="Times New Roman" w:cs="Times New Roman"/>
          <w:sz w:val="24"/>
          <w:szCs w:val="24"/>
        </w:rPr>
        <w:t>% en el período 2009-2019. Europa decrece en un 35,48</w:t>
      </w:r>
      <w:r w:rsidR="003E12E8">
        <w:rPr>
          <w:rFonts w:ascii="Times New Roman" w:hAnsi="Times New Roman" w:cs="Times New Roman"/>
          <w:sz w:val="24"/>
          <w:szCs w:val="24"/>
        </w:rPr>
        <w:t xml:space="preserve"> </w:t>
      </w:r>
      <w:r>
        <w:rPr>
          <w:rFonts w:ascii="Times New Roman" w:hAnsi="Times New Roman" w:cs="Times New Roman"/>
          <w:sz w:val="24"/>
          <w:szCs w:val="24"/>
        </w:rPr>
        <w:t>%, China decrece en un 31,25</w:t>
      </w:r>
      <w:r w:rsidR="003E12E8">
        <w:rPr>
          <w:rFonts w:ascii="Times New Roman" w:hAnsi="Times New Roman" w:cs="Times New Roman"/>
          <w:sz w:val="24"/>
          <w:szCs w:val="24"/>
        </w:rPr>
        <w:t xml:space="preserve"> </w:t>
      </w:r>
      <w:r>
        <w:rPr>
          <w:rFonts w:ascii="Times New Roman" w:hAnsi="Times New Roman" w:cs="Times New Roman"/>
          <w:sz w:val="24"/>
          <w:szCs w:val="24"/>
        </w:rPr>
        <w:t>% y el Resto del Mundo crece un 36,36</w:t>
      </w:r>
      <w:r w:rsidR="003E12E8">
        <w:rPr>
          <w:rFonts w:ascii="Times New Roman" w:hAnsi="Times New Roman" w:cs="Times New Roman"/>
          <w:sz w:val="24"/>
          <w:szCs w:val="24"/>
        </w:rPr>
        <w:t xml:space="preserve"> </w:t>
      </w:r>
      <w:r>
        <w:rPr>
          <w:rFonts w:ascii="Times New Roman" w:hAnsi="Times New Roman" w:cs="Times New Roman"/>
          <w:sz w:val="24"/>
          <w:szCs w:val="24"/>
        </w:rPr>
        <w:t>%. De las tres regiones bajo análisis, EEUU resulta el país más beneficiado en cuanto al número de empresas integradas en el Global Top 100, durante el período 2009-2019.</w:t>
      </w:r>
    </w:p>
    <w:p w:rsidR="001E6FAE" w:rsidRDefault="001E6FAE" w:rsidP="001E6FAE">
      <w:pPr>
        <w:jc w:val="both"/>
        <w:rPr>
          <w:rFonts w:ascii="Times New Roman" w:hAnsi="Times New Roman" w:cs="Times New Roman"/>
          <w:b/>
          <w:sz w:val="24"/>
          <w:szCs w:val="24"/>
        </w:rPr>
      </w:pPr>
    </w:p>
    <w:p w:rsidR="001E6FAE" w:rsidRDefault="001E6FAE" w:rsidP="001E6FAE">
      <w:pPr>
        <w:jc w:val="both"/>
        <w:rPr>
          <w:rFonts w:ascii="Times New Roman" w:hAnsi="Times New Roman" w:cs="Times New Roman"/>
          <w:b/>
          <w:sz w:val="24"/>
          <w:szCs w:val="24"/>
        </w:rPr>
      </w:pPr>
    </w:p>
    <w:p w:rsidR="001E6FAE" w:rsidRPr="00470A82" w:rsidRDefault="001E6FAE" w:rsidP="001E6FAE">
      <w:pPr>
        <w:jc w:val="both"/>
        <w:rPr>
          <w:rFonts w:ascii="Times New Roman" w:hAnsi="Times New Roman" w:cs="Times New Roman"/>
          <w:b/>
          <w:sz w:val="24"/>
          <w:szCs w:val="24"/>
        </w:rPr>
      </w:pPr>
      <w:r w:rsidRPr="008060CC">
        <w:rPr>
          <w:rFonts w:ascii="Times New Roman" w:hAnsi="Times New Roman" w:cs="Times New Roman"/>
          <w:b/>
          <w:sz w:val="24"/>
          <w:szCs w:val="24"/>
        </w:rPr>
        <w:lastRenderedPageBreak/>
        <w:t>Capitalización bursátil</w:t>
      </w:r>
      <w:r>
        <w:rPr>
          <w:rFonts w:ascii="Times New Roman" w:hAnsi="Times New Roman" w:cs="Times New Roman"/>
          <w:b/>
          <w:sz w:val="24"/>
          <w:szCs w:val="24"/>
        </w:rPr>
        <w:t xml:space="preserve"> total de las Global Top 100 </w:t>
      </w:r>
      <w:r>
        <w:rPr>
          <w:rFonts w:ascii="Times New Roman" w:hAnsi="Times New Roman" w:cs="Times New Roman"/>
          <w:sz w:val="24"/>
          <w:szCs w:val="24"/>
        </w:rPr>
        <w:t>($ bn)</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 xml:space="preserve">2008 - 13,652    </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2009 -   8,402   Diferencia de capitalización con respecto al año anterior =  (5,25)</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2010 - 12,047   Diferencia de capitalización con respecto al año anterior =   4,72</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2011 - 12,974   Diferencia de capitalización con respecto al año anterior =   0,927</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2012 - 12,917   Diferencia de capitalización con respecto al año anterior =  (0,057)</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2013 - 13,597   Diferencia de capitalización con respecto al año anterior =   0,68</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2014 - 15,021   Diferencia de capitalización con respecto al año anterior =   1,424</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2015 - 16,245   Diferencia de capitalización con respecto al año anterior =   1,224</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2016 - 15,577   Diferencia de capitalización con respecto al año anterior =  (0,668)</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2017 - 17,438   Diferencia de capitalización con respecto al año anterior =   1,861</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2018 - 20,035   Diferencia de capitalización con respecto al año anterior =   2,597</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2019 - 21,075   Diferencia de capitalización con respecto al año anterior =   1,04</w:t>
      </w:r>
    </w:p>
    <w:p w:rsidR="001E6FAE" w:rsidRDefault="001E6FAE" w:rsidP="001E6FAE">
      <w:pPr>
        <w:jc w:val="both"/>
        <w:rPr>
          <w:rFonts w:ascii="Times New Roman" w:hAnsi="Times New Roman" w:cs="Times New Roman"/>
          <w:sz w:val="24"/>
          <w:szCs w:val="24"/>
        </w:rPr>
      </w:pPr>
      <w:r w:rsidRPr="006516C4">
        <w:rPr>
          <w:rFonts w:ascii="Times New Roman" w:hAnsi="Times New Roman" w:cs="Times New Roman"/>
          <w:b/>
          <w:sz w:val="24"/>
          <w:szCs w:val="24"/>
        </w:rPr>
        <w:t>La mayor empresa del mundo por capitalización bursátil</w:t>
      </w:r>
      <w:r>
        <w:rPr>
          <w:rFonts w:ascii="Times New Roman" w:hAnsi="Times New Roman" w:cs="Times New Roman"/>
          <w:b/>
          <w:sz w:val="24"/>
          <w:szCs w:val="24"/>
        </w:rPr>
        <w:t xml:space="preserve"> </w:t>
      </w:r>
      <w:r>
        <w:rPr>
          <w:rFonts w:ascii="Times New Roman" w:hAnsi="Times New Roman" w:cs="Times New Roman"/>
          <w:sz w:val="24"/>
          <w:szCs w:val="24"/>
        </w:rPr>
        <w:t>($ bn)</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2009 - Exxon Mobil - 337</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2010 - Exxon Mobil - 329</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2011 - Petro China -   417</w:t>
      </w:r>
    </w:p>
    <w:p w:rsidR="001E6FAE" w:rsidRPr="0051733C" w:rsidRDefault="001E6FAE" w:rsidP="001E6FAE">
      <w:pPr>
        <w:jc w:val="both"/>
        <w:rPr>
          <w:rFonts w:ascii="Times New Roman" w:hAnsi="Times New Roman" w:cs="Times New Roman"/>
          <w:sz w:val="24"/>
          <w:szCs w:val="24"/>
          <w:lang w:val="en-US"/>
        </w:rPr>
      </w:pPr>
      <w:r w:rsidRPr="0051733C">
        <w:rPr>
          <w:rFonts w:ascii="Times New Roman" w:hAnsi="Times New Roman" w:cs="Times New Roman"/>
          <w:sz w:val="24"/>
          <w:szCs w:val="24"/>
          <w:lang w:val="en-US"/>
        </w:rPr>
        <w:t>2012 - Apple -           559</w:t>
      </w:r>
    </w:p>
    <w:p w:rsidR="001E6FAE" w:rsidRPr="0051733C" w:rsidRDefault="001E6FAE" w:rsidP="001E6FAE">
      <w:pPr>
        <w:jc w:val="both"/>
        <w:rPr>
          <w:rFonts w:ascii="Times New Roman" w:hAnsi="Times New Roman" w:cs="Times New Roman"/>
          <w:sz w:val="24"/>
          <w:szCs w:val="24"/>
          <w:lang w:val="en-US"/>
        </w:rPr>
      </w:pPr>
      <w:r>
        <w:rPr>
          <w:rFonts w:ascii="Times New Roman" w:hAnsi="Times New Roman" w:cs="Times New Roman"/>
          <w:sz w:val="24"/>
          <w:szCs w:val="24"/>
          <w:lang w:val="en-US"/>
        </w:rPr>
        <w:t>2013</w:t>
      </w:r>
      <w:r w:rsidRPr="0051733C">
        <w:rPr>
          <w:rFonts w:ascii="Times New Roman" w:hAnsi="Times New Roman" w:cs="Times New Roman"/>
          <w:sz w:val="24"/>
          <w:szCs w:val="24"/>
          <w:lang w:val="en-US"/>
        </w:rPr>
        <w:t xml:space="preserve"> </w:t>
      </w:r>
      <w:r>
        <w:rPr>
          <w:rFonts w:ascii="Times New Roman" w:hAnsi="Times New Roman" w:cs="Times New Roman"/>
          <w:sz w:val="24"/>
          <w:szCs w:val="24"/>
          <w:lang w:val="en-US"/>
        </w:rPr>
        <w:t>-</w:t>
      </w:r>
      <w:r w:rsidRPr="0051733C">
        <w:rPr>
          <w:rFonts w:ascii="Times New Roman" w:hAnsi="Times New Roman" w:cs="Times New Roman"/>
          <w:sz w:val="24"/>
          <w:szCs w:val="24"/>
          <w:lang w:val="en-US"/>
        </w:rPr>
        <w:t xml:space="preserve"> Apple </w:t>
      </w:r>
      <w:r>
        <w:rPr>
          <w:rFonts w:ascii="Times New Roman" w:hAnsi="Times New Roman" w:cs="Times New Roman"/>
          <w:sz w:val="24"/>
          <w:szCs w:val="24"/>
          <w:lang w:val="en-US"/>
        </w:rPr>
        <w:t>-           416</w:t>
      </w:r>
    </w:p>
    <w:p w:rsidR="001E6FAE" w:rsidRPr="0051733C" w:rsidRDefault="001E6FAE" w:rsidP="001E6FAE">
      <w:pPr>
        <w:jc w:val="both"/>
        <w:rPr>
          <w:rFonts w:ascii="Times New Roman" w:hAnsi="Times New Roman" w:cs="Times New Roman"/>
          <w:sz w:val="24"/>
          <w:szCs w:val="24"/>
          <w:lang w:val="en-US"/>
        </w:rPr>
      </w:pPr>
      <w:r>
        <w:rPr>
          <w:rFonts w:ascii="Times New Roman" w:hAnsi="Times New Roman" w:cs="Times New Roman"/>
          <w:sz w:val="24"/>
          <w:szCs w:val="24"/>
          <w:lang w:val="en-US"/>
        </w:rPr>
        <w:t>2014</w:t>
      </w:r>
      <w:r w:rsidRPr="0051733C">
        <w:rPr>
          <w:rFonts w:ascii="Times New Roman" w:hAnsi="Times New Roman" w:cs="Times New Roman"/>
          <w:sz w:val="24"/>
          <w:szCs w:val="24"/>
          <w:lang w:val="en-US"/>
        </w:rPr>
        <w:t xml:space="preserve"> </w:t>
      </w:r>
      <w:r>
        <w:rPr>
          <w:rFonts w:ascii="Times New Roman" w:hAnsi="Times New Roman" w:cs="Times New Roman"/>
          <w:sz w:val="24"/>
          <w:szCs w:val="24"/>
          <w:lang w:val="en-US"/>
        </w:rPr>
        <w:t>-</w:t>
      </w:r>
      <w:r w:rsidRPr="0051733C">
        <w:rPr>
          <w:rFonts w:ascii="Times New Roman" w:hAnsi="Times New Roman" w:cs="Times New Roman"/>
          <w:sz w:val="24"/>
          <w:szCs w:val="24"/>
          <w:lang w:val="en-US"/>
        </w:rPr>
        <w:t xml:space="preserve"> Apple </w:t>
      </w:r>
      <w:r>
        <w:rPr>
          <w:rFonts w:ascii="Times New Roman" w:hAnsi="Times New Roman" w:cs="Times New Roman"/>
          <w:sz w:val="24"/>
          <w:szCs w:val="24"/>
          <w:lang w:val="en-US"/>
        </w:rPr>
        <w:t>-           469</w:t>
      </w:r>
    </w:p>
    <w:p w:rsidR="001E6FAE" w:rsidRPr="0051733C" w:rsidRDefault="001E6FAE" w:rsidP="001E6FAE">
      <w:pPr>
        <w:jc w:val="both"/>
        <w:rPr>
          <w:rFonts w:ascii="Times New Roman" w:hAnsi="Times New Roman" w:cs="Times New Roman"/>
          <w:sz w:val="24"/>
          <w:szCs w:val="24"/>
          <w:lang w:val="en-US"/>
        </w:rPr>
      </w:pPr>
      <w:r>
        <w:rPr>
          <w:rFonts w:ascii="Times New Roman" w:hAnsi="Times New Roman" w:cs="Times New Roman"/>
          <w:sz w:val="24"/>
          <w:szCs w:val="24"/>
          <w:lang w:val="en-US"/>
        </w:rPr>
        <w:t>2015</w:t>
      </w:r>
      <w:r w:rsidRPr="0051733C">
        <w:rPr>
          <w:rFonts w:ascii="Times New Roman" w:hAnsi="Times New Roman" w:cs="Times New Roman"/>
          <w:sz w:val="24"/>
          <w:szCs w:val="24"/>
          <w:lang w:val="en-US"/>
        </w:rPr>
        <w:t xml:space="preserve"> </w:t>
      </w:r>
      <w:r>
        <w:rPr>
          <w:rFonts w:ascii="Times New Roman" w:hAnsi="Times New Roman" w:cs="Times New Roman"/>
          <w:sz w:val="24"/>
          <w:szCs w:val="24"/>
          <w:lang w:val="en-US"/>
        </w:rPr>
        <w:t>-</w:t>
      </w:r>
      <w:r w:rsidRPr="0051733C">
        <w:rPr>
          <w:rFonts w:ascii="Times New Roman" w:hAnsi="Times New Roman" w:cs="Times New Roman"/>
          <w:sz w:val="24"/>
          <w:szCs w:val="24"/>
          <w:lang w:val="en-US"/>
        </w:rPr>
        <w:t xml:space="preserve"> Apple </w:t>
      </w:r>
      <w:r>
        <w:rPr>
          <w:rFonts w:ascii="Times New Roman" w:hAnsi="Times New Roman" w:cs="Times New Roman"/>
          <w:sz w:val="24"/>
          <w:szCs w:val="24"/>
          <w:lang w:val="en-US"/>
        </w:rPr>
        <w:t>-           725</w:t>
      </w:r>
    </w:p>
    <w:p w:rsidR="001E6FAE" w:rsidRPr="0051733C" w:rsidRDefault="001E6FAE" w:rsidP="001E6FAE">
      <w:pPr>
        <w:jc w:val="both"/>
        <w:rPr>
          <w:rFonts w:ascii="Times New Roman" w:hAnsi="Times New Roman" w:cs="Times New Roman"/>
          <w:sz w:val="24"/>
          <w:szCs w:val="24"/>
          <w:lang w:val="en-US"/>
        </w:rPr>
      </w:pPr>
      <w:r>
        <w:rPr>
          <w:rFonts w:ascii="Times New Roman" w:hAnsi="Times New Roman" w:cs="Times New Roman"/>
          <w:sz w:val="24"/>
          <w:szCs w:val="24"/>
          <w:lang w:val="en-US"/>
        </w:rPr>
        <w:t>2016</w:t>
      </w:r>
      <w:r w:rsidRPr="0051733C">
        <w:rPr>
          <w:rFonts w:ascii="Times New Roman" w:hAnsi="Times New Roman" w:cs="Times New Roman"/>
          <w:sz w:val="24"/>
          <w:szCs w:val="24"/>
          <w:lang w:val="en-US"/>
        </w:rPr>
        <w:t xml:space="preserve"> </w:t>
      </w:r>
      <w:r>
        <w:rPr>
          <w:rFonts w:ascii="Times New Roman" w:hAnsi="Times New Roman" w:cs="Times New Roman"/>
          <w:sz w:val="24"/>
          <w:szCs w:val="24"/>
          <w:lang w:val="en-US"/>
        </w:rPr>
        <w:t>-</w:t>
      </w:r>
      <w:r w:rsidRPr="0051733C">
        <w:rPr>
          <w:rFonts w:ascii="Times New Roman" w:hAnsi="Times New Roman" w:cs="Times New Roman"/>
          <w:sz w:val="24"/>
          <w:szCs w:val="24"/>
          <w:lang w:val="en-US"/>
        </w:rPr>
        <w:t xml:space="preserve"> Apple </w:t>
      </w:r>
      <w:r>
        <w:rPr>
          <w:rFonts w:ascii="Times New Roman" w:hAnsi="Times New Roman" w:cs="Times New Roman"/>
          <w:sz w:val="24"/>
          <w:szCs w:val="24"/>
          <w:lang w:val="en-US"/>
        </w:rPr>
        <w:t>-           604</w:t>
      </w:r>
    </w:p>
    <w:p w:rsidR="001E6FAE" w:rsidRPr="00D020E8" w:rsidRDefault="001E6FAE" w:rsidP="001E6FAE">
      <w:pPr>
        <w:jc w:val="both"/>
        <w:rPr>
          <w:rFonts w:ascii="Times New Roman" w:hAnsi="Times New Roman" w:cs="Times New Roman"/>
          <w:sz w:val="24"/>
          <w:szCs w:val="24"/>
        </w:rPr>
      </w:pPr>
      <w:r w:rsidRPr="00D020E8">
        <w:rPr>
          <w:rFonts w:ascii="Times New Roman" w:hAnsi="Times New Roman" w:cs="Times New Roman"/>
          <w:sz w:val="24"/>
          <w:szCs w:val="24"/>
        </w:rPr>
        <w:t>2017 - Apple -           754</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2018 - Apple -           851</w:t>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2019 - Microsoft -     905</w:t>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Este listado donde se comprueba el avance (y consolidación) de las empresas de alta tecnología, como las de mayor capitalización bursátil, adquiere más significación si se </w:t>
      </w:r>
      <w:r>
        <w:rPr>
          <w:rFonts w:ascii="Times New Roman" w:hAnsi="Times New Roman" w:cs="Times New Roman"/>
          <w:sz w:val="24"/>
          <w:szCs w:val="24"/>
        </w:rPr>
        <w:lastRenderedPageBreak/>
        <w:t xml:space="preserve">compara con las corporaciones (y sectores) que componían el </w:t>
      </w:r>
      <w:r w:rsidRPr="00C10155">
        <w:rPr>
          <w:rFonts w:ascii="Times New Roman" w:hAnsi="Times New Roman" w:cs="Times New Roman"/>
          <w:b/>
          <w:sz w:val="24"/>
          <w:szCs w:val="24"/>
        </w:rPr>
        <w:t>Top 10</w:t>
      </w:r>
      <w:r>
        <w:rPr>
          <w:rFonts w:ascii="Times New Roman" w:hAnsi="Times New Roman" w:cs="Times New Roman"/>
          <w:sz w:val="24"/>
          <w:szCs w:val="24"/>
        </w:rPr>
        <w:t xml:space="preserve">  </w:t>
      </w:r>
      <w:r w:rsidRPr="002B085E">
        <w:rPr>
          <w:rFonts w:ascii="Times New Roman" w:hAnsi="Times New Roman" w:cs="Times New Roman"/>
          <w:b/>
          <w:sz w:val="24"/>
          <w:szCs w:val="24"/>
        </w:rPr>
        <w:t xml:space="preserve">Fortune </w:t>
      </w:r>
      <w:r>
        <w:rPr>
          <w:rFonts w:ascii="Times New Roman" w:hAnsi="Times New Roman" w:cs="Times New Roman"/>
          <w:b/>
          <w:sz w:val="24"/>
          <w:szCs w:val="24"/>
        </w:rPr>
        <w:t xml:space="preserve">Global </w:t>
      </w:r>
      <w:r w:rsidRPr="002B085E">
        <w:rPr>
          <w:rFonts w:ascii="Times New Roman" w:hAnsi="Times New Roman" w:cs="Times New Roman"/>
          <w:b/>
          <w:sz w:val="24"/>
          <w:szCs w:val="24"/>
        </w:rPr>
        <w:t>500</w:t>
      </w:r>
      <w:r>
        <w:rPr>
          <w:rFonts w:ascii="Times New Roman" w:hAnsi="Times New Roman" w:cs="Times New Roman"/>
          <w:b/>
          <w:sz w:val="24"/>
          <w:szCs w:val="24"/>
        </w:rPr>
        <w:t xml:space="preserve"> - Revenues (por ingresos) </w:t>
      </w:r>
      <w:r w:rsidRPr="005B4938">
        <w:rPr>
          <w:rFonts w:ascii="Times New Roman" w:hAnsi="Times New Roman" w:cs="Times New Roman"/>
          <w:sz w:val="24"/>
          <w:szCs w:val="24"/>
        </w:rPr>
        <w:t>en años anteriores</w:t>
      </w:r>
      <w:r>
        <w:rPr>
          <w:rFonts w:ascii="Times New Roman" w:hAnsi="Times New Roman" w:cs="Times New Roman"/>
          <w:sz w:val="24"/>
          <w:szCs w:val="24"/>
        </w:rPr>
        <w:t>.</w:t>
      </w:r>
    </w:p>
    <w:p w:rsidR="001E6FAE" w:rsidRPr="005B4938" w:rsidRDefault="001E6FAE" w:rsidP="001E6FAE">
      <w:pPr>
        <w:jc w:val="both"/>
        <w:rPr>
          <w:rFonts w:ascii="Times New Roman" w:hAnsi="Times New Roman" w:cs="Times New Roman"/>
          <w:b/>
          <w:sz w:val="24"/>
          <w:szCs w:val="24"/>
        </w:rPr>
      </w:pPr>
      <w:r w:rsidRPr="005B4938">
        <w:rPr>
          <w:rFonts w:ascii="Times New Roman" w:hAnsi="Times New Roman" w:cs="Times New Roman"/>
          <w:b/>
          <w:sz w:val="24"/>
          <w:szCs w:val="24"/>
        </w:rPr>
        <w:t>Año 2000</w:t>
      </w:r>
    </w:p>
    <w:p w:rsidR="001E6FAE" w:rsidRDefault="001E6FAE" w:rsidP="001E6FAE">
      <w:pPr>
        <w:jc w:val="both"/>
        <w:rPr>
          <w:rFonts w:ascii="Times New Roman" w:hAnsi="Times New Roman" w:cs="Times New Roman"/>
          <w:sz w:val="24"/>
          <w:szCs w:val="24"/>
        </w:rPr>
      </w:pPr>
      <w:r w:rsidRPr="0098195B">
        <w:rPr>
          <w:rFonts w:ascii="Times New Roman" w:hAnsi="Times New Roman" w:cs="Times New Roman"/>
          <w:b/>
          <w:noProof/>
          <w:sz w:val="24"/>
          <w:szCs w:val="24"/>
          <w:lang w:eastAsia="es-ES"/>
        </w:rPr>
        <w:drawing>
          <wp:inline distT="0" distB="0" distL="0" distR="0" wp14:anchorId="223CC8B4" wp14:editId="10EC619B">
            <wp:extent cx="4000500" cy="3509682"/>
            <wp:effectExtent l="0" t="0" r="0" b="0"/>
            <wp:docPr id="407" name="Imagen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4001059" cy="3510173"/>
                    </a:xfrm>
                    <a:prstGeom prst="rect">
                      <a:avLst/>
                    </a:prstGeom>
                  </pic:spPr>
                </pic:pic>
              </a:graphicData>
            </a:graphic>
          </wp:inline>
        </w:drawing>
      </w:r>
    </w:p>
    <w:p w:rsidR="001E6FAE" w:rsidRPr="005B4938" w:rsidRDefault="001E6FAE" w:rsidP="001E6FAE">
      <w:pPr>
        <w:jc w:val="both"/>
        <w:rPr>
          <w:rFonts w:ascii="Times New Roman" w:hAnsi="Times New Roman" w:cs="Times New Roman"/>
          <w:b/>
          <w:sz w:val="24"/>
          <w:szCs w:val="24"/>
        </w:rPr>
      </w:pPr>
      <w:r w:rsidRPr="005B4938">
        <w:rPr>
          <w:rFonts w:ascii="Times New Roman" w:hAnsi="Times New Roman" w:cs="Times New Roman"/>
          <w:b/>
          <w:sz w:val="24"/>
          <w:szCs w:val="24"/>
        </w:rPr>
        <w:t>Año 2001</w:t>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8195B">
        <w:rPr>
          <w:rFonts w:ascii="Times New Roman" w:hAnsi="Times New Roman" w:cs="Times New Roman"/>
          <w:b/>
          <w:noProof/>
          <w:sz w:val="24"/>
          <w:szCs w:val="24"/>
          <w:lang w:eastAsia="es-ES"/>
        </w:rPr>
        <w:drawing>
          <wp:inline distT="0" distB="0" distL="0" distR="0" wp14:anchorId="58BF9668" wp14:editId="48F9EED2">
            <wp:extent cx="4114800" cy="3556747"/>
            <wp:effectExtent l="0" t="0" r="0" b="5715"/>
            <wp:docPr id="406" name="Imagen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4115375" cy="3557244"/>
                    </a:xfrm>
                    <a:prstGeom prst="rect">
                      <a:avLst/>
                    </a:prstGeom>
                  </pic:spPr>
                </pic:pic>
              </a:graphicData>
            </a:graphic>
          </wp:inline>
        </w:drawing>
      </w:r>
    </w:p>
    <w:p w:rsidR="001E6FAE" w:rsidRDefault="001E6FAE" w:rsidP="001E6FAE">
      <w:pPr>
        <w:jc w:val="both"/>
        <w:rPr>
          <w:rFonts w:ascii="Times New Roman" w:hAnsi="Times New Roman" w:cs="Times New Roman"/>
          <w:b/>
          <w:sz w:val="24"/>
          <w:szCs w:val="24"/>
        </w:rPr>
      </w:pPr>
    </w:p>
    <w:p w:rsidR="001E6FAE" w:rsidRPr="005B4938" w:rsidRDefault="001E6FAE" w:rsidP="001E6FAE">
      <w:pPr>
        <w:jc w:val="both"/>
        <w:rPr>
          <w:rFonts w:ascii="Times New Roman" w:hAnsi="Times New Roman" w:cs="Times New Roman"/>
          <w:b/>
          <w:sz w:val="24"/>
          <w:szCs w:val="24"/>
        </w:rPr>
      </w:pPr>
      <w:r w:rsidRPr="005B4938">
        <w:rPr>
          <w:rFonts w:ascii="Times New Roman" w:hAnsi="Times New Roman" w:cs="Times New Roman"/>
          <w:b/>
          <w:sz w:val="24"/>
          <w:szCs w:val="24"/>
        </w:rPr>
        <w:lastRenderedPageBreak/>
        <w:t>Año 2002</w:t>
      </w:r>
    </w:p>
    <w:p w:rsidR="001E6FAE" w:rsidRDefault="001E6FAE" w:rsidP="001E6FAE">
      <w:pPr>
        <w:jc w:val="both"/>
        <w:rPr>
          <w:rFonts w:ascii="Times New Roman" w:hAnsi="Times New Roman" w:cs="Times New Roman"/>
          <w:sz w:val="24"/>
          <w:szCs w:val="24"/>
        </w:rPr>
      </w:pPr>
      <w:r w:rsidRPr="0098195B">
        <w:rPr>
          <w:rFonts w:ascii="Times New Roman" w:hAnsi="Times New Roman" w:cs="Times New Roman"/>
          <w:b/>
          <w:noProof/>
          <w:sz w:val="24"/>
          <w:szCs w:val="24"/>
          <w:lang w:eastAsia="es-ES"/>
        </w:rPr>
        <w:drawing>
          <wp:inline distT="0" distB="0" distL="0" distR="0" wp14:anchorId="1867BC6A" wp14:editId="5EB3E3B5">
            <wp:extent cx="3993776" cy="3630706"/>
            <wp:effectExtent l="0" t="0" r="6985" b="8255"/>
            <wp:docPr id="405" name="Imagen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3991532" cy="3628666"/>
                    </a:xfrm>
                    <a:prstGeom prst="rect">
                      <a:avLst/>
                    </a:prstGeom>
                  </pic:spPr>
                </pic:pic>
              </a:graphicData>
            </a:graphic>
          </wp:inline>
        </w:drawing>
      </w:r>
    </w:p>
    <w:p w:rsidR="001E6FAE" w:rsidRDefault="001E6FAE" w:rsidP="001E6FAE">
      <w:pPr>
        <w:jc w:val="both"/>
        <w:rPr>
          <w:rFonts w:ascii="Times New Roman" w:hAnsi="Times New Roman" w:cs="Times New Roman"/>
          <w:b/>
          <w:sz w:val="24"/>
          <w:szCs w:val="24"/>
        </w:rPr>
      </w:pPr>
      <w:r w:rsidRPr="005B4938">
        <w:rPr>
          <w:rFonts w:ascii="Times New Roman" w:hAnsi="Times New Roman" w:cs="Times New Roman"/>
          <w:b/>
          <w:sz w:val="24"/>
          <w:szCs w:val="24"/>
        </w:rPr>
        <w:t>Año 2003</w:t>
      </w:r>
    </w:p>
    <w:p w:rsidR="001E6FAE" w:rsidRDefault="001E6FAE" w:rsidP="001E6FAE">
      <w:pPr>
        <w:jc w:val="both"/>
        <w:rPr>
          <w:rFonts w:ascii="Times New Roman" w:hAnsi="Times New Roman" w:cs="Times New Roman"/>
          <w:b/>
          <w:sz w:val="24"/>
          <w:szCs w:val="24"/>
        </w:rPr>
      </w:pPr>
      <w:r w:rsidRPr="0098195B">
        <w:rPr>
          <w:rFonts w:ascii="Times New Roman" w:hAnsi="Times New Roman" w:cs="Times New Roman"/>
          <w:b/>
          <w:noProof/>
          <w:sz w:val="24"/>
          <w:szCs w:val="24"/>
          <w:lang w:eastAsia="es-ES"/>
        </w:rPr>
        <w:drawing>
          <wp:inline distT="0" distB="0" distL="0" distR="0" wp14:anchorId="16CCBA30" wp14:editId="470F8AFE">
            <wp:extent cx="3953427" cy="3982006"/>
            <wp:effectExtent l="0" t="0" r="9525" b="0"/>
            <wp:docPr id="404" name="Imagen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3953427" cy="3982006"/>
                    </a:xfrm>
                    <a:prstGeom prst="rect">
                      <a:avLst/>
                    </a:prstGeom>
                  </pic:spPr>
                </pic:pic>
              </a:graphicData>
            </a:graphic>
          </wp:inline>
        </w:drawing>
      </w:r>
    </w:p>
    <w:p w:rsidR="001E6FAE" w:rsidRDefault="001E6FAE" w:rsidP="001E6FAE">
      <w:pPr>
        <w:jc w:val="both"/>
        <w:rPr>
          <w:rFonts w:ascii="Times New Roman" w:hAnsi="Times New Roman" w:cs="Times New Roman"/>
          <w:b/>
          <w:sz w:val="24"/>
          <w:szCs w:val="24"/>
        </w:rPr>
      </w:pPr>
    </w:p>
    <w:p w:rsidR="001E6FAE" w:rsidRDefault="001E6FAE" w:rsidP="001E6FAE">
      <w:pPr>
        <w:jc w:val="both"/>
        <w:rPr>
          <w:rFonts w:ascii="Times New Roman" w:hAnsi="Times New Roman" w:cs="Times New Roman"/>
          <w:b/>
          <w:sz w:val="24"/>
          <w:szCs w:val="24"/>
        </w:rPr>
      </w:pPr>
      <w:r>
        <w:rPr>
          <w:rFonts w:ascii="Times New Roman" w:hAnsi="Times New Roman" w:cs="Times New Roman"/>
          <w:b/>
          <w:sz w:val="24"/>
          <w:szCs w:val="24"/>
        </w:rPr>
        <w:lastRenderedPageBreak/>
        <w:t>Año 2004</w:t>
      </w:r>
    </w:p>
    <w:p w:rsidR="001E6FAE" w:rsidRDefault="001E6FAE" w:rsidP="001E6FAE">
      <w:pPr>
        <w:jc w:val="both"/>
        <w:rPr>
          <w:rFonts w:ascii="Times New Roman" w:hAnsi="Times New Roman" w:cs="Times New Roman"/>
          <w:b/>
          <w:sz w:val="24"/>
          <w:szCs w:val="24"/>
        </w:rPr>
      </w:pPr>
      <w:r w:rsidRPr="0027069C">
        <w:rPr>
          <w:rFonts w:ascii="Times New Roman" w:hAnsi="Times New Roman" w:cs="Times New Roman"/>
          <w:b/>
          <w:noProof/>
          <w:sz w:val="24"/>
          <w:szCs w:val="24"/>
          <w:lang w:eastAsia="es-ES"/>
        </w:rPr>
        <w:drawing>
          <wp:inline distT="0" distB="0" distL="0" distR="0" wp14:anchorId="0F6E00A2" wp14:editId="0A1AEE91">
            <wp:extent cx="4058815" cy="3603812"/>
            <wp:effectExtent l="0" t="0" r="0" b="0"/>
            <wp:docPr id="403" name="Imagen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4058217" cy="3603281"/>
                    </a:xfrm>
                    <a:prstGeom prst="rect">
                      <a:avLst/>
                    </a:prstGeom>
                  </pic:spPr>
                </pic:pic>
              </a:graphicData>
            </a:graphic>
          </wp:inline>
        </w:drawing>
      </w:r>
    </w:p>
    <w:p w:rsidR="001E6FAE" w:rsidRDefault="001E6FAE" w:rsidP="001E6FAE">
      <w:pPr>
        <w:jc w:val="both"/>
        <w:rPr>
          <w:rFonts w:ascii="Times New Roman" w:hAnsi="Times New Roman" w:cs="Times New Roman"/>
          <w:b/>
          <w:sz w:val="24"/>
          <w:szCs w:val="24"/>
        </w:rPr>
      </w:pPr>
      <w:r>
        <w:rPr>
          <w:rFonts w:ascii="Times New Roman" w:hAnsi="Times New Roman" w:cs="Times New Roman"/>
          <w:b/>
          <w:sz w:val="24"/>
          <w:szCs w:val="24"/>
        </w:rPr>
        <w:t>Año 2005</w:t>
      </w:r>
    </w:p>
    <w:p w:rsidR="001E6FAE" w:rsidRDefault="001E6FAE" w:rsidP="001E6FAE">
      <w:pPr>
        <w:jc w:val="both"/>
        <w:rPr>
          <w:rFonts w:ascii="Times New Roman" w:hAnsi="Times New Roman" w:cs="Times New Roman"/>
          <w:b/>
          <w:sz w:val="24"/>
          <w:szCs w:val="24"/>
        </w:rPr>
      </w:pPr>
      <w:r w:rsidRPr="0027069C">
        <w:rPr>
          <w:rFonts w:ascii="Times New Roman" w:hAnsi="Times New Roman" w:cs="Times New Roman"/>
          <w:b/>
          <w:noProof/>
          <w:sz w:val="24"/>
          <w:szCs w:val="24"/>
          <w:lang w:eastAsia="es-ES"/>
        </w:rPr>
        <w:drawing>
          <wp:inline distT="0" distB="0" distL="0" distR="0" wp14:anchorId="59B48F68" wp14:editId="7EEE646A">
            <wp:extent cx="3972480" cy="3982006"/>
            <wp:effectExtent l="0" t="0" r="9525" b="0"/>
            <wp:docPr id="402" name="Imagen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3972480" cy="3982006"/>
                    </a:xfrm>
                    <a:prstGeom prst="rect">
                      <a:avLst/>
                    </a:prstGeom>
                  </pic:spPr>
                </pic:pic>
              </a:graphicData>
            </a:graphic>
          </wp:inline>
        </w:drawing>
      </w:r>
    </w:p>
    <w:p w:rsidR="001E6FAE" w:rsidRDefault="001E6FAE" w:rsidP="001E6FAE">
      <w:pPr>
        <w:jc w:val="both"/>
        <w:rPr>
          <w:rFonts w:ascii="Times New Roman" w:hAnsi="Times New Roman" w:cs="Times New Roman"/>
          <w:b/>
          <w:sz w:val="24"/>
          <w:szCs w:val="24"/>
        </w:rPr>
      </w:pPr>
    </w:p>
    <w:p w:rsidR="001E6FAE" w:rsidRDefault="001E6FAE" w:rsidP="001E6FAE">
      <w:pPr>
        <w:jc w:val="both"/>
        <w:rPr>
          <w:rFonts w:ascii="Times New Roman" w:hAnsi="Times New Roman" w:cs="Times New Roman"/>
          <w:b/>
          <w:sz w:val="24"/>
          <w:szCs w:val="24"/>
        </w:rPr>
      </w:pPr>
      <w:r>
        <w:rPr>
          <w:rFonts w:ascii="Times New Roman" w:hAnsi="Times New Roman" w:cs="Times New Roman"/>
          <w:b/>
          <w:sz w:val="24"/>
          <w:szCs w:val="24"/>
        </w:rPr>
        <w:lastRenderedPageBreak/>
        <w:t>Año 2006</w:t>
      </w:r>
    </w:p>
    <w:p w:rsidR="001E6FAE" w:rsidRDefault="001E6FAE" w:rsidP="001E6FAE">
      <w:pPr>
        <w:jc w:val="both"/>
        <w:rPr>
          <w:rFonts w:ascii="Times New Roman" w:hAnsi="Times New Roman" w:cs="Times New Roman"/>
          <w:b/>
          <w:sz w:val="24"/>
          <w:szCs w:val="24"/>
        </w:rPr>
      </w:pPr>
      <w:r w:rsidRPr="0027069C">
        <w:rPr>
          <w:rFonts w:ascii="Times New Roman" w:hAnsi="Times New Roman" w:cs="Times New Roman"/>
          <w:b/>
          <w:noProof/>
          <w:sz w:val="24"/>
          <w:szCs w:val="24"/>
          <w:lang w:eastAsia="es-ES"/>
        </w:rPr>
        <w:drawing>
          <wp:inline distT="0" distB="0" distL="0" distR="0" wp14:anchorId="31A1D025" wp14:editId="27BAEC5E">
            <wp:extent cx="3924848" cy="3953427"/>
            <wp:effectExtent l="0" t="0" r="0" b="9525"/>
            <wp:docPr id="401" name="Imagen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3924848" cy="3953427"/>
                    </a:xfrm>
                    <a:prstGeom prst="rect">
                      <a:avLst/>
                    </a:prstGeom>
                  </pic:spPr>
                </pic:pic>
              </a:graphicData>
            </a:graphic>
          </wp:inline>
        </w:drawing>
      </w:r>
    </w:p>
    <w:p w:rsidR="001E6FAE" w:rsidRDefault="001E6FAE" w:rsidP="001E6FAE">
      <w:pPr>
        <w:jc w:val="both"/>
        <w:rPr>
          <w:rFonts w:ascii="Times New Roman" w:hAnsi="Times New Roman" w:cs="Times New Roman"/>
          <w:b/>
          <w:sz w:val="24"/>
          <w:szCs w:val="24"/>
        </w:rPr>
      </w:pPr>
      <w:r w:rsidRPr="00C10155">
        <w:rPr>
          <w:rFonts w:ascii="Times New Roman" w:hAnsi="Times New Roman" w:cs="Times New Roman"/>
          <w:b/>
          <w:sz w:val="24"/>
          <w:szCs w:val="24"/>
        </w:rPr>
        <w:t>Año 2007</w:t>
      </w:r>
    </w:p>
    <w:p w:rsidR="001E6FAE" w:rsidRDefault="001E6FAE" w:rsidP="001E6FAE">
      <w:pPr>
        <w:jc w:val="both"/>
        <w:rPr>
          <w:rFonts w:ascii="Times New Roman" w:hAnsi="Times New Roman" w:cs="Times New Roman"/>
          <w:b/>
          <w:sz w:val="24"/>
          <w:szCs w:val="24"/>
        </w:rPr>
      </w:pPr>
      <w:r w:rsidRPr="0027069C">
        <w:rPr>
          <w:rFonts w:ascii="Times New Roman" w:hAnsi="Times New Roman" w:cs="Times New Roman"/>
          <w:b/>
          <w:noProof/>
          <w:sz w:val="24"/>
          <w:szCs w:val="24"/>
          <w:lang w:eastAsia="es-ES"/>
        </w:rPr>
        <w:drawing>
          <wp:inline distT="0" distB="0" distL="0" distR="0" wp14:anchorId="2E52FDE1" wp14:editId="40E26992">
            <wp:extent cx="4114800" cy="3919818"/>
            <wp:effectExtent l="0" t="0" r="0" b="5080"/>
            <wp:docPr id="400" name="Imagen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4115375" cy="3920366"/>
                    </a:xfrm>
                    <a:prstGeom prst="rect">
                      <a:avLst/>
                    </a:prstGeom>
                  </pic:spPr>
                </pic:pic>
              </a:graphicData>
            </a:graphic>
          </wp:inline>
        </w:drawing>
      </w:r>
    </w:p>
    <w:p w:rsidR="001E6FAE" w:rsidRDefault="001E6FAE" w:rsidP="001E6FAE">
      <w:pPr>
        <w:jc w:val="both"/>
        <w:rPr>
          <w:rFonts w:ascii="Times New Roman" w:hAnsi="Times New Roman" w:cs="Times New Roman"/>
          <w:b/>
          <w:sz w:val="24"/>
          <w:szCs w:val="24"/>
        </w:rPr>
      </w:pPr>
      <w:r>
        <w:rPr>
          <w:rFonts w:ascii="Times New Roman" w:hAnsi="Times New Roman" w:cs="Times New Roman"/>
          <w:b/>
          <w:sz w:val="24"/>
          <w:szCs w:val="24"/>
        </w:rPr>
        <w:lastRenderedPageBreak/>
        <w:t>Año 2008</w:t>
      </w:r>
    </w:p>
    <w:p w:rsidR="001E6FAE" w:rsidRDefault="001E6FAE" w:rsidP="001E6FAE">
      <w:pPr>
        <w:jc w:val="both"/>
        <w:rPr>
          <w:rFonts w:ascii="Times New Roman" w:hAnsi="Times New Roman" w:cs="Times New Roman"/>
          <w:b/>
          <w:sz w:val="24"/>
          <w:szCs w:val="24"/>
        </w:rPr>
      </w:pPr>
      <w:r w:rsidRPr="0098195B">
        <w:rPr>
          <w:rFonts w:ascii="Times New Roman" w:hAnsi="Times New Roman" w:cs="Times New Roman"/>
          <w:b/>
          <w:noProof/>
          <w:sz w:val="24"/>
          <w:szCs w:val="24"/>
          <w:lang w:eastAsia="es-ES"/>
        </w:rPr>
        <w:drawing>
          <wp:inline distT="0" distB="0" distL="0" distR="0" wp14:anchorId="15AE2277" wp14:editId="546CF4C3">
            <wp:extent cx="4044950" cy="3879850"/>
            <wp:effectExtent l="0" t="0" r="0" b="6350"/>
            <wp:docPr id="399" name="Imagen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4048690" cy="3883437"/>
                    </a:xfrm>
                    <a:prstGeom prst="rect">
                      <a:avLst/>
                    </a:prstGeom>
                  </pic:spPr>
                </pic:pic>
              </a:graphicData>
            </a:graphic>
          </wp:inline>
        </w:drawing>
      </w:r>
    </w:p>
    <w:p w:rsidR="001E6FAE" w:rsidRPr="0028715F" w:rsidRDefault="001E6FAE" w:rsidP="001E6FAE">
      <w:pPr>
        <w:jc w:val="both"/>
        <w:rPr>
          <w:rFonts w:ascii="Times New Roman" w:hAnsi="Times New Roman" w:cs="Times New Roman"/>
          <w:b/>
          <w:sz w:val="24"/>
          <w:szCs w:val="24"/>
        </w:rPr>
      </w:pPr>
      <w:r>
        <w:rPr>
          <w:rFonts w:ascii="Times New Roman" w:hAnsi="Times New Roman" w:cs="Times New Roman"/>
          <w:sz w:val="24"/>
          <w:szCs w:val="24"/>
        </w:rPr>
        <w:t xml:space="preserve">Recién en el listado correspondiente al año </w:t>
      </w:r>
      <w:r w:rsidRPr="00C10155">
        <w:rPr>
          <w:rFonts w:ascii="Times New Roman" w:hAnsi="Times New Roman" w:cs="Times New Roman"/>
          <w:b/>
          <w:sz w:val="24"/>
          <w:szCs w:val="24"/>
        </w:rPr>
        <w:t>2016</w:t>
      </w:r>
      <w:r>
        <w:rPr>
          <w:rFonts w:ascii="Times New Roman" w:hAnsi="Times New Roman" w:cs="Times New Roman"/>
          <w:sz w:val="24"/>
          <w:szCs w:val="24"/>
        </w:rPr>
        <w:t xml:space="preserve"> aparece Apple en el puesto 9 del Top 10 por nivel de ingresos (revenues).</w:t>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Resulta interesante observar la declinación del sector automotriz y del sector petrolero a lo largo del período 2000-2019. Posiblemente, por no haber podido beneficiarse, como otros sectores económicos, del proceso de deslocalización / globalización.</w:t>
      </w:r>
    </w:p>
    <w:p w:rsidR="001E6FAE" w:rsidRDefault="001E6FAE" w:rsidP="001E6FAE">
      <w:pPr>
        <w:jc w:val="both"/>
        <w:rPr>
          <w:rFonts w:ascii="Times New Roman" w:hAnsi="Times New Roman" w:cs="Times New Roman"/>
          <w:b/>
          <w:sz w:val="24"/>
          <w:szCs w:val="24"/>
        </w:rPr>
      </w:pPr>
      <w:r w:rsidRPr="008060CC">
        <w:rPr>
          <w:rFonts w:ascii="Times New Roman" w:hAnsi="Times New Roman" w:cs="Times New Roman"/>
          <w:b/>
          <w:sz w:val="24"/>
          <w:szCs w:val="24"/>
        </w:rPr>
        <w:t>Capitalización bursátil</w:t>
      </w:r>
      <w:r>
        <w:rPr>
          <w:rFonts w:ascii="Times New Roman" w:hAnsi="Times New Roman" w:cs="Times New Roman"/>
          <w:b/>
          <w:sz w:val="24"/>
          <w:szCs w:val="24"/>
        </w:rPr>
        <w:t xml:space="preserve"> de las Global Top 100 por área geográfica </w:t>
      </w:r>
      <w:r w:rsidRPr="008F3A47">
        <w:rPr>
          <w:rFonts w:ascii="Times New Roman" w:hAnsi="Times New Roman" w:cs="Times New Roman"/>
          <w:sz w:val="24"/>
          <w:szCs w:val="24"/>
        </w:rPr>
        <w:t>($ bn)</w:t>
      </w:r>
    </w:p>
    <w:p w:rsidR="001E6FAE" w:rsidRDefault="001E6FAE" w:rsidP="001E6FAE">
      <w:pPr>
        <w:jc w:val="both"/>
        <w:rPr>
          <w:rFonts w:ascii="Times New Roman" w:hAnsi="Times New Roman" w:cs="Times New Roman"/>
          <w:sz w:val="24"/>
          <w:szCs w:val="24"/>
        </w:rPr>
      </w:pPr>
      <w:r w:rsidRPr="00783C19">
        <w:rPr>
          <w:noProof/>
          <w:lang w:eastAsia="es-ES"/>
        </w:rPr>
        <w:drawing>
          <wp:inline distT="0" distB="0" distL="0" distR="0" wp14:anchorId="0D7E9E59" wp14:editId="4D8D6DA2">
            <wp:extent cx="5477094" cy="2876550"/>
            <wp:effectExtent l="0" t="0" r="9525" b="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479415" cy="2877769"/>
                    </a:xfrm>
                    <a:prstGeom prst="rect">
                      <a:avLst/>
                    </a:prstGeom>
                    <a:noFill/>
                    <a:ln>
                      <a:noFill/>
                    </a:ln>
                  </pic:spPr>
                </pic:pic>
              </a:graphicData>
            </a:graphic>
          </wp:inline>
        </w:drawing>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lastRenderedPageBreak/>
        <w:t xml:space="preserve">En el cuadro anterior vuelve a observarse que EEUU ha sido el más beneficiado en cuanto a  capitalización bursátil durante el período 2008-2019. </w:t>
      </w:r>
    </w:p>
    <w:p w:rsidR="001E6FAE" w:rsidRDefault="001E6FAE" w:rsidP="001E6FAE">
      <w:pPr>
        <w:jc w:val="both"/>
        <w:rPr>
          <w:rFonts w:ascii="Times New Roman" w:hAnsi="Times New Roman" w:cs="Times New Roman"/>
          <w:sz w:val="24"/>
          <w:szCs w:val="24"/>
        </w:rPr>
      </w:pPr>
      <w:r w:rsidRPr="00FF25F5">
        <w:rPr>
          <w:rFonts w:ascii="Times New Roman" w:hAnsi="Times New Roman" w:cs="Times New Roman"/>
          <w:b/>
          <w:noProof/>
          <w:sz w:val="24"/>
          <w:szCs w:val="24"/>
          <w:lang w:eastAsia="es-ES"/>
        </w:rPr>
        <w:drawing>
          <wp:inline distT="0" distB="0" distL="0" distR="0" wp14:anchorId="55420CC3" wp14:editId="61F079FE">
            <wp:extent cx="5731510" cy="3474085"/>
            <wp:effectExtent l="0" t="0" r="2540" b="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731510" cy="3474085"/>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en el número de empresas en el Top 100 por localización, las compañías norteamericanas mantienen su privilegio, 42 empresas en el año 2009 y 54 empresas en el año 2016 (crecimiento equivalente al 28,57</w:t>
      </w:r>
      <w:r w:rsidR="003E12E8">
        <w:rPr>
          <w:rFonts w:ascii="Times New Roman" w:hAnsi="Times New Roman" w:cs="Times New Roman"/>
          <w:sz w:val="24"/>
          <w:szCs w:val="24"/>
        </w:rPr>
        <w:t xml:space="preserve"> </w:t>
      </w:r>
      <w:r>
        <w:rPr>
          <w:rFonts w:ascii="Times New Roman" w:hAnsi="Times New Roman" w:cs="Times New Roman"/>
          <w:sz w:val="24"/>
          <w:szCs w:val="24"/>
        </w:rPr>
        <w:t>% en el número de empresas en el Top 100).</w:t>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Los demás países reseñados (China, Reino Unido, Alemania, Francia y Japón), reducen su participación o no cambian el número de sus empresas en el Top 100.</w:t>
      </w:r>
    </w:p>
    <w:p w:rsidR="001E6FAE" w:rsidRDefault="001E6FAE" w:rsidP="001E6FAE">
      <w:pPr>
        <w:spacing w:line="240" w:lineRule="auto"/>
        <w:jc w:val="both"/>
        <w:rPr>
          <w:rFonts w:ascii="Times New Roman" w:hAnsi="Times New Roman" w:cs="Times New Roman"/>
          <w:sz w:val="24"/>
          <w:szCs w:val="24"/>
        </w:rPr>
      </w:pPr>
      <w:r w:rsidRPr="00D82C9A">
        <w:rPr>
          <w:rFonts w:ascii="Times New Roman" w:hAnsi="Times New Roman" w:cs="Times New Roman"/>
          <w:b/>
          <w:noProof/>
          <w:sz w:val="24"/>
          <w:szCs w:val="24"/>
          <w:lang w:eastAsia="es-ES"/>
        </w:rPr>
        <w:drawing>
          <wp:inline distT="0" distB="0" distL="0" distR="0" wp14:anchorId="37C5B579" wp14:editId="36CFAAF7">
            <wp:extent cx="5732203" cy="3435723"/>
            <wp:effectExtent l="0" t="0" r="1905" b="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731510" cy="3435308"/>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Si el período de observación se amplía hasta el año 2018, el cuadro confirma lo dicho anteriormente, sobre la amplia participación de las empresas de los EEUU en el Top 100, con una leve variación positiva de China, que pasa de tener 9 empresas en el listado, a tener 12 empresas en el Top 100 (variación equivalente al 33,33</w:t>
      </w:r>
      <w:r w:rsidR="003E12E8">
        <w:rPr>
          <w:rFonts w:ascii="Times New Roman" w:hAnsi="Times New Roman" w:cs="Times New Roman"/>
          <w:sz w:val="24"/>
          <w:szCs w:val="24"/>
        </w:rPr>
        <w:t xml:space="preserve"> </w:t>
      </w:r>
      <w:r>
        <w:rPr>
          <w:rFonts w:ascii="Times New Roman" w:hAnsi="Times New Roman" w:cs="Times New Roman"/>
          <w:sz w:val="24"/>
          <w:szCs w:val="24"/>
        </w:rPr>
        <w:t>%).</w:t>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De los cuadros que se presentan a continuación quiero destacar (y reiterar) la importancia de las corporaciones norteamericanas (Global Top 100) en la capitalización de mercado 2018 vs. 2009, en comparación con sus inmediatas competidoras (China y el Reino Unido).</w:t>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El “market cap” de las Global Top 100 de EEUU aumenta un 236</w:t>
      </w:r>
      <w:r w:rsidR="003E12E8">
        <w:rPr>
          <w:rFonts w:ascii="Times New Roman" w:hAnsi="Times New Roman" w:cs="Times New Roman"/>
          <w:sz w:val="24"/>
          <w:szCs w:val="24"/>
        </w:rPr>
        <w:t xml:space="preserve"> </w:t>
      </w:r>
      <w:r>
        <w:rPr>
          <w:rFonts w:ascii="Times New Roman" w:hAnsi="Times New Roman" w:cs="Times New Roman"/>
          <w:sz w:val="24"/>
          <w:szCs w:val="24"/>
        </w:rPr>
        <w:t>% (2018 vs. 2009), el “index” aumenta un 231</w:t>
      </w:r>
      <w:r w:rsidR="003E12E8">
        <w:rPr>
          <w:rFonts w:ascii="Times New Roman" w:hAnsi="Times New Roman" w:cs="Times New Roman"/>
          <w:sz w:val="24"/>
          <w:szCs w:val="24"/>
        </w:rPr>
        <w:t xml:space="preserve"> </w:t>
      </w:r>
      <w:r>
        <w:rPr>
          <w:rFonts w:ascii="Times New Roman" w:hAnsi="Times New Roman" w:cs="Times New Roman"/>
          <w:sz w:val="24"/>
          <w:szCs w:val="24"/>
        </w:rPr>
        <w:t>% (2018 vs. 2009). En el caso de China los aumentos son del 175</w:t>
      </w:r>
      <w:r w:rsidR="003E12E8">
        <w:rPr>
          <w:rFonts w:ascii="Times New Roman" w:hAnsi="Times New Roman" w:cs="Times New Roman"/>
          <w:sz w:val="24"/>
          <w:szCs w:val="24"/>
        </w:rPr>
        <w:t xml:space="preserve"> </w:t>
      </w:r>
      <w:r>
        <w:rPr>
          <w:rFonts w:ascii="Times New Roman" w:hAnsi="Times New Roman" w:cs="Times New Roman"/>
          <w:sz w:val="24"/>
          <w:szCs w:val="24"/>
        </w:rPr>
        <w:t>% y 55</w:t>
      </w:r>
      <w:r w:rsidR="003E12E8">
        <w:rPr>
          <w:rFonts w:ascii="Times New Roman" w:hAnsi="Times New Roman" w:cs="Times New Roman"/>
          <w:sz w:val="24"/>
          <w:szCs w:val="24"/>
        </w:rPr>
        <w:t xml:space="preserve"> </w:t>
      </w:r>
      <w:r>
        <w:rPr>
          <w:rFonts w:ascii="Times New Roman" w:hAnsi="Times New Roman" w:cs="Times New Roman"/>
          <w:sz w:val="24"/>
          <w:szCs w:val="24"/>
        </w:rPr>
        <w:t>%, y para el Reino Unido los incrementos representan el 73</w:t>
      </w:r>
      <w:r w:rsidR="003E12E8">
        <w:rPr>
          <w:rFonts w:ascii="Times New Roman" w:hAnsi="Times New Roman" w:cs="Times New Roman"/>
          <w:sz w:val="24"/>
          <w:szCs w:val="24"/>
        </w:rPr>
        <w:t xml:space="preserve"> </w:t>
      </w:r>
      <w:r>
        <w:rPr>
          <w:rFonts w:ascii="Times New Roman" w:hAnsi="Times New Roman" w:cs="Times New Roman"/>
          <w:sz w:val="24"/>
          <w:szCs w:val="24"/>
        </w:rPr>
        <w:t>% y el 80</w:t>
      </w:r>
      <w:r w:rsidR="003E12E8">
        <w:rPr>
          <w:rFonts w:ascii="Times New Roman" w:hAnsi="Times New Roman" w:cs="Times New Roman"/>
          <w:sz w:val="24"/>
          <w:szCs w:val="24"/>
        </w:rPr>
        <w:t xml:space="preserve"> </w:t>
      </w:r>
      <w:r>
        <w:rPr>
          <w:rFonts w:ascii="Times New Roman" w:hAnsi="Times New Roman" w:cs="Times New Roman"/>
          <w:sz w:val="24"/>
          <w:szCs w:val="24"/>
        </w:rPr>
        <w:t>%, respectivamente.</w:t>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cuadro sobre las 20 empresas del Global Top 100, que han registrado una mayor valorización de mercado (2018 vs. 2009), se destacan las empresas tecnológicas, Apple con una variación en la capitalización de mercado de </w:t>
      </w:r>
      <w:r w:rsidR="00E3686F">
        <w:rPr>
          <w:rFonts w:ascii="Times New Roman" w:hAnsi="Times New Roman" w:cs="Times New Roman"/>
          <w:sz w:val="24"/>
          <w:szCs w:val="24"/>
        </w:rPr>
        <w:t>$ 757 bn</w:t>
      </w:r>
      <w:r>
        <w:rPr>
          <w:rFonts w:ascii="Times New Roman" w:hAnsi="Times New Roman" w:cs="Times New Roman"/>
          <w:sz w:val="24"/>
          <w:szCs w:val="24"/>
        </w:rPr>
        <w:t xml:space="preserve">, y una capitalización de </w:t>
      </w:r>
      <w:r w:rsidR="00E3686F">
        <w:rPr>
          <w:rFonts w:ascii="Times New Roman" w:hAnsi="Times New Roman" w:cs="Times New Roman"/>
          <w:sz w:val="24"/>
          <w:szCs w:val="24"/>
        </w:rPr>
        <w:t>$ 851 bn</w:t>
      </w:r>
      <w:r>
        <w:rPr>
          <w:rFonts w:ascii="Times New Roman" w:hAnsi="Times New Roman" w:cs="Times New Roman"/>
          <w:sz w:val="24"/>
          <w:szCs w:val="24"/>
        </w:rPr>
        <w:t xml:space="preserve">,  Apple con una variación en la capitalización de mercado de </w:t>
      </w:r>
      <w:r w:rsidR="00E3686F">
        <w:rPr>
          <w:rFonts w:ascii="Times New Roman" w:hAnsi="Times New Roman" w:cs="Times New Roman"/>
          <w:sz w:val="24"/>
          <w:szCs w:val="24"/>
        </w:rPr>
        <w:t>$ 757 bn</w:t>
      </w:r>
      <w:r>
        <w:rPr>
          <w:rFonts w:ascii="Times New Roman" w:hAnsi="Times New Roman" w:cs="Times New Roman"/>
          <w:sz w:val="24"/>
          <w:szCs w:val="24"/>
        </w:rPr>
        <w:t xml:space="preserve">, y una capitalización de </w:t>
      </w:r>
      <w:r w:rsidR="00E3686F">
        <w:rPr>
          <w:rFonts w:ascii="Times New Roman" w:hAnsi="Times New Roman" w:cs="Times New Roman"/>
          <w:sz w:val="24"/>
          <w:szCs w:val="24"/>
        </w:rPr>
        <w:t>$ 851 bn</w:t>
      </w:r>
      <w:r>
        <w:rPr>
          <w:rFonts w:ascii="Times New Roman" w:hAnsi="Times New Roman" w:cs="Times New Roman"/>
          <w:sz w:val="24"/>
          <w:szCs w:val="24"/>
        </w:rPr>
        <w:t xml:space="preserve">, Amazon con una variación en la capitalización de mercado de </w:t>
      </w:r>
      <w:r w:rsidR="00E3686F">
        <w:rPr>
          <w:rFonts w:ascii="Times New Roman" w:hAnsi="Times New Roman" w:cs="Times New Roman"/>
          <w:sz w:val="24"/>
          <w:szCs w:val="24"/>
        </w:rPr>
        <w:t>$ 670 bn</w:t>
      </w:r>
      <w:r>
        <w:rPr>
          <w:rFonts w:ascii="Times New Roman" w:hAnsi="Times New Roman" w:cs="Times New Roman"/>
          <w:sz w:val="24"/>
          <w:szCs w:val="24"/>
        </w:rPr>
        <w:t xml:space="preserve">, y una capitalización de </w:t>
      </w:r>
      <w:r w:rsidR="00E3686F">
        <w:rPr>
          <w:rFonts w:ascii="Times New Roman" w:hAnsi="Times New Roman" w:cs="Times New Roman"/>
          <w:sz w:val="24"/>
          <w:szCs w:val="24"/>
        </w:rPr>
        <w:t>$ 701 bn</w:t>
      </w:r>
      <w:r>
        <w:rPr>
          <w:rFonts w:ascii="Times New Roman" w:hAnsi="Times New Roman" w:cs="Times New Roman"/>
          <w:sz w:val="24"/>
          <w:szCs w:val="24"/>
        </w:rPr>
        <w:t xml:space="preserve">, Alphabet con una variación en la capitalización de mercado de </w:t>
      </w:r>
      <w:r w:rsidR="00302A77">
        <w:rPr>
          <w:rFonts w:ascii="Times New Roman" w:hAnsi="Times New Roman" w:cs="Times New Roman"/>
          <w:sz w:val="24"/>
          <w:szCs w:val="24"/>
        </w:rPr>
        <w:t>$ 609 bn</w:t>
      </w:r>
      <w:r>
        <w:rPr>
          <w:rFonts w:ascii="Times New Roman" w:hAnsi="Times New Roman" w:cs="Times New Roman"/>
          <w:sz w:val="24"/>
          <w:szCs w:val="24"/>
        </w:rPr>
        <w:t xml:space="preserve">, y una capitalización de </w:t>
      </w:r>
      <w:r w:rsidR="00302A77">
        <w:rPr>
          <w:rFonts w:ascii="Times New Roman" w:hAnsi="Times New Roman" w:cs="Times New Roman"/>
          <w:sz w:val="24"/>
          <w:szCs w:val="24"/>
        </w:rPr>
        <w:t>$ 719 bn</w:t>
      </w:r>
      <w:r>
        <w:rPr>
          <w:rFonts w:ascii="Times New Roman" w:hAnsi="Times New Roman" w:cs="Times New Roman"/>
          <w:sz w:val="24"/>
          <w:szCs w:val="24"/>
        </w:rPr>
        <w:t xml:space="preserve">, Microsoft con una variación en la capitalización de mercado de </w:t>
      </w:r>
      <w:r w:rsidR="00302A77">
        <w:rPr>
          <w:rFonts w:ascii="Times New Roman" w:hAnsi="Times New Roman" w:cs="Times New Roman"/>
          <w:sz w:val="24"/>
          <w:szCs w:val="24"/>
        </w:rPr>
        <w:t>$ 540 bn</w:t>
      </w:r>
      <w:r>
        <w:rPr>
          <w:rFonts w:ascii="Times New Roman" w:hAnsi="Times New Roman" w:cs="Times New Roman"/>
          <w:sz w:val="24"/>
          <w:szCs w:val="24"/>
        </w:rPr>
        <w:t xml:space="preserve">, y una capitalización de </w:t>
      </w:r>
      <w:r w:rsidR="00302A77">
        <w:rPr>
          <w:rFonts w:ascii="Times New Roman" w:hAnsi="Times New Roman" w:cs="Times New Roman"/>
          <w:sz w:val="24"/>
          <w:szCs w:val="24"/>
        </w:rPr>
        <w:t>$ 703 bn</w:t>
      </w:r>
      <w:r>
        <w:rPr>
          <w:rFonts w:ascii="Times New Roman" w:hAnsi="Times New Roman" w:cs="Times New Roman"/>
          <w:sz w:val="24"/>
          <w:szCs w:val="24"/>
        </w:rPr>
        <w:t xml:space="preserve">; recién en el 5º puesto aparece una empresa China (Tencent Holdings) y en el 7º puesto una empresa financiera (Berkshire Hathaway - USA).   </w:t>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1E6FAE" w:rsidRDefault="001E6FAE" w:rsidP="001E6FAE">
      <w:pPr>
        <w:spacing w:line="240" w:lineRule="auto"/>
        <w:jc w:val="both"/>
        <w:rPr>
          <w:rFonts w:ascii="Times New Roman" w:hAnsi="Times New Roman" w:cs="Times New Roman"/>
          <w:sz w:val="24"/>
          <w:szCs w:val="24"/>
        </w:rPr>
      </w:pPr>
      <w:r w:rsidRPr="00AB1BB0">
        <w:rPr>
          <w:rFonts w:ascii="Times New Roman" w:hAnsi="Times New Roman" w:cs="Times New Roman"/>
          <w:b/>
          <w:noProof/>
          <w:sz w:val="24"/>
          <w:szCs w:val="24"/>
          <w:lang w:eastAsia="es-ES"/>
        </w:rPr>
        <w:drawing>
          <wp:inline distT="0" distB="0" distL="0" distR="0" wp14:anchorId="3DAADA84" wp14:editId="5E8DDCB5">
            <wp:extent cx="5731510" cy="4022725"/>
            <wp:effectExtent l="0" t="0" r="254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731510" cy="4022725"/>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rPr>
      </w:pPr>
      <w:r w:rsidRPr="00AB1BB0">
        <w:rPr>
          <w:rFonts w:ascii="Times New Roman" w:hAnsi="Times New Roman" w:cs="Times New Roman"/>
          <w:b/>
          <w:noProof/>
          <w:sz w:val="24"/>
          <w:szCs w:val="24"/>
          <w:lang w:eastAsia="es-ES"/>
        </w:rPr>
        <w:lastRenderedPageBreak/>
        <w:drawing>
          <wp:inline distT="0" distB="0" distL="0" distR="0" wp14:anchorId="06BCEF41" wp14:editId="19333EB2">
            <wp:extent cx="5731510" cy="4140835"/>
            <wp:effectExtent l="0" t="0" r="2540" b="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731510" cy="4140835"/>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rPr>
      </w:pPr>
      <w:r w:rsidRPr="00AB1BB0">
        <w:rPr>
          <w:rFonts w:ascii="Times New Roman" w:hAnsi="Times New Roman" w:cs="Times New Roman"/>
          <w:b/>
          <w:noProof/>
          <w:sz w:val="24"/>
          <w:szCs w:val="24"/>
          <w:lang w:eastAsia="es-ES"/>
        </w:rPr>
        <w:drawing>
          <wp:inline distT="0" distB="0" distL="0" distR="0" wp14:anchorId="34B535CE" wp14:editId="26DDF974">
            <wp:extent cx="5727176" cy="3482788"/>
            <wp:effectExtent l="0" t="0" r="6985" b="3810"/>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731510" cy="3485424"/>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Entre las 20 compañías con mayor incremento de capitalización de mercado del Global Top 100 (2018 vs. 2009) nuevamente se destacan las empresas tecnológicas norteamericanas (Netflix 4.167</w:t>
      </w:r>
      <w:r w:rsidR="00FC1CBD">
        <w:rPr>
          <w:rFonts w:ascii="Times New Roman" w:hAnsi="Times New Roman" w:cs="Times New Roman"/>
          <w:sz w:val="24"/>
          <w:szCs w:val="24"/>
        </w:rPr>
        <w:t xml:space="preserve"> </w:t>
      </w:r>
      <w:r>
        <w:rPr>
          <w:rFonts w:ascii="Times New Roman" w:hAnsi="Times New Roman" w:cs="Times New Roman"/>
          <w:sz w:val="24"/>
          <w:szCs w:val="24"/>
        </w:rPr>
        <w:t>%, NVIDIA 2.700</w:t>
      </w:r>
      <w:r w:rsidR="00FC1CBD">
        <w:rPr>
          <w:rFonts w:ascii="Times New Roman" w:hAnsi="Times New Roman" w:cs="Times New Roman"/>
          <w:sz w:val="24"/>
          <w:szCs w:val="24"/>
        </w:rPr>
        <w:t xml:space="preserve"> </w:t>
      </w:r>
      <w:r>
        <w:rPr>
          <w:rFonts w:ascii="Times New Roman" w:hAnsi="Times New Roman" w:cs="Times New Roman"/>
          <w:sz w:val="24"/>
          <w:szCs w:val="24"/>
        </w:rPr>
        <w:t>%, Amazon 2161</w:t>
      </w:r>
      <w:r w:rsidR="00FC1CBD">
        <w:rPr>
          <w:rFonts w:ascii="Times New Roman" w:hAnsi="Times New Roman" w:cs="Times New Roman"/>
          <w:sz w:val="24"/>
          <w:szCs w:val="24"/>
        </w:rPr>
        <w:t xml:space="preserve"> </w:t>
      </w:r>
      <w:r>
        <w:rPr>
          <w:rFonts w:ascii="Times New Roman" w:hAnsi="Times New Roman" w:cs="Times New Roman"/>
          <w:sz w:val="24"/>
          <w:szCs w:val="24"/>
        </w:rPr>
        <w:t>%, Adobe 864</w:t>
      </w:r>
      <w:r w:rsidR="00FC1CBD">
        <w:rPr>
          <w:rFonts w:ascii="Times New Roman" w:hAnsi="Times New Roman" w:cs="Times New Roman"/>
          <w:sz w:val="24"/>
          <w:szCs w:val="24"/>
        </w:rPr>
        <w:t xml:space="preserve"> </w:t>
      </w:r>
      <w:r>
        <w:rPr>
          <w:rFonts w:ascii="Times New Roman" w:hAnsi="Times New Roman" w:cs="Times New Roman"/>
          <w:sz w:val="24"/>
          <w:szCs w:val="24"/>
        </w:rPr>
        <w:t>%, Apple 805</w:t>
      </w:r>
      <w:r w:rsidR="00FC1CBD">
        <w:rPr>
          <w:rFonts w:ascii="Times New Roman" w:hAnsi="Times New Roman" w:cs="Times New Roman"/>
          <w:sz w:val="24"/>
          <w:szCs w:val="24"/>
        </w:rPr>
        <w:t xml:space="preserve"> </w:t>
      </w:r>
      <w:r>
        <w:rPr>
          <w:rFonts w:ascii="Times New Roman" w:hAnsi="Times New Roman" w:cs="Times New Roman"/>
          <w:sz w:val="24"/>
          <w:szCs w:val="24"/>
        </w:rPr>
        <w:t>%), incorporándose a tan encumbrada lista una empresa China, también tecnológica (Tencent 3.715</w:t>
      </w:r>
      <w:r w:rsidR="00FC1CBD">
        <w:rPr>
          <w:rFonts w:ascii="Times New Roman" w:hAnsi="Times New Roman" w:cs="Times New Roman"/>
          <w:sz w:val="24"/>
          <w:szCs w:val="24"/>
        </w:rPr>
        <w:t xml:space="preserve"> </w:t>
      </w:r>
      <w:r>
        <w:rPr>
          <w:rFonts w:ascii="Times New Roman" w:hAnsi="Times New Roman" w:cs="Times New Roman"/>
          <w:sz w:val="24"/>
          <w:szCs w:val="24"/>
        </w:rPr>
        <w:t xml:space="preserve">%). Alphabet, se queda rezagada en esta carrera, </w:t>
      </w:r>
      <w:r w:rsidR="00C93CC1">
        <w:rPr>
          <w:rFonts w:ascii="Times New Roman" w:hAnsi="Times New Roman" w:cs="Times New Roman"/>
          <w:sz w:val="24"/>
          <w:szCs w:val="24"/>
        </w:rPr>
        <w:t>presentando solo un 554</w:t>
      </w:r>
      <w:r w:rsidR="00FC1CBD">
        <w:rPr>
          <w:rFonts w:ascii="Times New Roman" w:hAnsi="Times New Roman" w:cs="Times New Roman"/>
          <w:sz w:val="24"/>
          <w:szCs w:val="24"/>
        </w:rPr>
        <w:t xml:space="preserve"> </w:t>
      </w:r>
      <w:r w:rsidR="00C93CC1">
        <w:rPr>
          <w:rFonts w:ascii="Times New Roman" w:hAnsi="Times New Roman" w:cs="Times New Roman"/>
          <w:sz w:val="24"/>
          <w:szCs w:val="24"/>
        </w:rPr>
        <w:t>% de variac.</w:t>
      </w:r>
    </w:p>
    <w:p w:rsidR="001E6FAE" w:rsidRDefault="001E6FAE" w:rsidP="001E6FAE">
      <w:pPr>
        <w:jc w:val="both"/>
        <w:rPr>
          <w:rFonts w:ascii="Times New Roman" w:hAnsi="Times New Roman" w:cs="Times New Roman"/>
          <w:sz w:val="24"/>
          <w:szCs w:val="24"/>
        </w:rPr>
      </w:pPr>
      <w:r w:rsidRPr="00AB1BB0">
        <w:rPr>
          <w:rFonts w:ascii="Times New Roman" w:hAnsi="Times New Roman" w:cs="Times New Roman"/>
          <w:b/>
          <w:noProof/>
          <w:sz w:val="24"/>
          <w:szCs w:val="24"/>
          <w:lang w:eastAsia="es-ES"/>
        </w:rPr>
        <w:lastRenderedPageBreak/>
        <w:drawing>
          <wp:inline distT="0" distB="0" distL="0" distR="0" wp14:anchorId="5F44535F" wp14:editId="5B3F39D4">
            <wp:extent cx="5725392" cy="3509683"/>
            <wp:effectExtent l="0" t="0" r="8890" b="0"/>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731510" cy="3513433"/>
                    </a:xfrm>
                    <a:prstGeom prst="rect">
                      <a:avLst/>
                    </a:prstGeom>
                  </pic:spPr>
                </pic:pic>
              </a:graphicData>
            </a:graphic>
          </wp:inline>
        </w:drawing>
      </w:r>
    </w:p>
    <w:p w:rsidR="001E6FAE" w:rsidRDefault="001E6FAE" w:rsidP="001E6FAE">
      <w:pPr>
        <w:jc w:val="both"/>
        <w:rPr>
          <w:rFonts w:ascii="Times New Roman" w:hAnsi="Times New Roman" w:cs="Times New Roman"/>
          <w:sz w:val="24"/>
          <w:szCs w:val="24"/>
        </w:rPr>
      </w:pPr>
    </w:p>
    <w:p w:rsidR="001E6FAE" w:rsidRDefault="001E6FAE" w:rsidP="001E6FAE">
      <w:pPr>
        <w:jc w:val="both"/>
        <w:rPr>
          <w:rFonts w:ascii="Times New Roman" w:hAnsi="Times New Roman" w:cs="Times New Roman"/>
          <w:sz w:val="24"/>
          <w:szCs w:val="24"/>
        </w:rPr>
      </w:pPr>
      <w:r w:rsidRPr="00AB1BB0">
        <w:rPr>
          <w:rFonts w:ascii="Times New Roman" w:hAnsi="Times New Roman" w:cs="Times New Roman"/>
          <w:b/>
          <w:noProof/>
          <w:sz w:val="24"/>
          <w:szCs w:val="24"/>
          <w:lang w:eastAsia="es-ES"/>
        </w:rPr>
        <w:drawing>
          <wp:inline distT="0" distB="0" distL="0" distR="0" wp14:anchorId="348304D4" wp14:editId="215D10E9">
            <wp:extent cx="5731510" cy="1491589"/>
            <wp:effectExtent l="0" t="0" r="2540" b="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731510" cy="1491589"/>
                    </a:xfrm>
                    <a:prstGeom prst="rect">
                      <a:avLst/>
                    </a:prstGeom>
                  </pic:spPr>
                </pic:pic>
              </a:graphicData>
            </a:graphic>
          </wp:inline>
        </w:drawing>
      </w:r>
    </w:p>
    <w:p w:rsidR="001E6FAE" w:rsidRDefault="001E6FAE" w:rsidP="001E6FAE">
      <w:pPr>
        <w:jc w:val="both"/>
        <w:rPr>
          <w:rFonts w:ascii="Times New Roman" w:hAnsi="Times New Roman" w:cs="Times New Roman"/>
          <w:sz w:val="24"/>
          <w:szCs w:val="24"/>
        </w:rPr>
      </w:pPr>
      <w:r>
        <w:rPr>
          <w:rFonts w:ascii="Times New Roman" w:hAnsi="Times New Roman" w:cs="Times New Roman"/>
          <w:sz w:val="24"/>
          <w:szCs w:val="24"/>
        </w:rPr>
        <w:t>El cuadro anterior confirma la reducción de importancia en cuanto a la capitalización de mercado (2018 vs. 2009) de las grandes corporaciones petroleras.</w:t>
      </w:r>
    </w:p>
    <w:p w:rsidR="001E6FAE" w:rsidRDefault="001E6FAE" w:rsidP="001E6FAE">
      <w:pPr>
        <w:jc w:val="both"/>
        <w:rPr>
          <w:rFonts w:ascii="Times New Roman" w:hAnsi="Times New Roman" w:cs="Times New Roman"/>
          <w:sz w:val="24"/>
          <w:szCs w:val="24"/>
        </w:rPr>
      </w:pPr>
      <w:r w:rsidRPr="002B0655">
        <w:rPr>
          <w:rFonts w:ascii="Times New Roman" w:hAnsi="Times New Roman" w:cs="Times New Roman"/>
          <w:b/>
          <w:noProof/>
          <w:sz w:val="24"/>
          <w:szCs w:val="24"/>
          <w:lang w:eastAsia="es-ES"/>
        </w:rPr>
        <w:drawing>
          <wp:inline distT="0" distB="0" distL="0" distR="0" wp14:anchorId="2C7A8C9B" wp14:editId="7470F0E5">
            <wp:extent cx="5731510" cy="2481580"/>
            <wp:effectExtent l="0" t="0" r="2540" b="0"/>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731510" cy="2481580"/>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Este cuadro permite destacar (reiterar) la importancia absoluta y relativa del sector tecnológico (de los EEUU, en particular) en cuanto a capitalización de mercado, número de compañías, incremento de la capitalización de mercado (2018 vs. 2009), variación del índice bursátil sectorial, y variación del índice de superación del mercado. </w:t>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A esta altura del análisis, si tuviera que elegir un país que se ha beneficiado de la globalización, diría que ha sido China, si tuviera que elegir un país cuyas empresas se han beneficiado de la globalización, diría que ha sido Estados Unidos, y si tengo que elegir un sector que se ha beneficiado de la globalización, diría que ha sido el sector tecnológico (principalmente de Estados Unidos)… Pero queda mucho por evaluar. Continuemos.</w:t>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En cuanto a la distribución de utilidades a los accionistas (dividendos), en el siguiente cuadro (año 2018) se observa la alta participación de las empresas de los EEUU, que equivalen al 71,4</w:t>
      </w:r>
      <w:r w:rsidR="00FC1CBD">
        <w:rPr>
          <w:rFonts w:ascii="Times New Roman" w:hAnsi="Times New Roman" w:cs="Times New Roman"/>
          <w:sz w:val="24"/>
          <w:szCs w:val="24"/>
        </w:rPr>
        <w:t xml:space="preserve"> </w:t>
      </w:r>
      <w:r>
        <w:rPr>
          <w:rFonts w:ascii="Times New Roman" w:hAnsi="Times New Roman" w:cs="Times New Roman"/>
          <w:sz w:val="24"/>
          <w:szCs w:val="24"/>
        </w:rPr>
        <w:t>% de los dividendos repartidos por los Global Top 100, en el ejercicio 2017, cuando China, el segundo en la lista, solo alcanza el 9,9</w:t>
      </w:r>
      <w:r w:rsidR="00FC1CBD">
        <w:rPr>
          <w:rFonts w:ascii="Times New Roman" w:hAnsi="Times New Roman" w:cs="Times New Roman"/>
          <w:sz w:val="24"/>
          <w:szCs w:val="24"/>
        </w:rPr>
        <w:t xml:space="preserve"> </w:t>
      </w:r>
      <w:r>
        <w:rPr>
          <w:rFonts w:ascii="Times New Roman" w:hAnsi="Times New Roman" w:cs="Times New Roman"/>
          <w:sz w:val="24"/>
          <w:szCs w:val="24"/>
        </w:rPr>
        <w:t xml:space="preserve">% de los dividendos repartidos. </w:t>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Con respecto a la distribución utilidades por sector económico (año 2018), se confirma la importancia del sector tecnológico, que representa el 26,7</w:t>
      </w:r>
      <w:r w:rsidR="00FC1CBD">
        <w:rPr>
          <w:rFonts w:ascii="Times New Roman" w:hAnsi="Times New Roman" w:cs="Times New Roman"/>
          <w:sz w:val="24"/>
          <w:szCs w:val="24"/>
        </w:rPr>
        <w:t xml:space="preserve"> </w:t>
      </w:r>
      <w:r>
        <w:rPr>
          <w:rFonts w:ascii="Times New Roman" w:hAnsi="Times New Roman" w:cs="Times New Roman"/>
          <w:sz w:val="24"/>
          <w:szCs w:val="24"/>
        </w:rPr>
        <w:t>% del total de las utilidades distribuidas, siendo el sector financiero el segundo en importancia con un 22,1</w:t>
      </w:r>
      <w:r w:rsidR="00FC1CBD">
        <w:rPr>
          <w:rFonts w:ascii="Times New Roman" w:hAnsi="Times New Roman" w:cs="Times New Roman"/>
          <w:sz w:val="24"/>
          <w:szCs w:val="24"/>
        </w:rPr>
        <w:t xml:space="preserve"> </w:t>
      </w:r>
      <w:r>
        <w:rPr>
          <w:rFonts w:ascii="Times New Roman" w:hAnsi="Times New Roman" w:cs="Times New Roman"/>
          <w:sz w:val="24"/>
          <w:szCs w:val="24"/>
        </w:rPr>
        <w:t>%.</w:t>
      </w:r>
    </w:p>
    <w:p w:rsidR="001E6FAE" w:rsidRDefault="001E6FAE" w:rsidP="001E6FAE">
      <w:pPr>
        <w:spacing w:line="240" w:lineRule="auto"/>
        <w:jc w:val="both"/>
        <w:rPr>
          <w:rFonts w:ascii="Times New Roman" w:hAnsi="Times New Roman" w:cs="Times New Roman"/>
          <w:sz w:val="24"/>
          <w:szCs w:val="24"/>
        </w:rPr>
      </w:pPr>
    </w:p>
    <w:p w:rsidR="001E6FAE" w:rsidRDefault="001E6FAE" w:rsidP="001E6FAE">
      <w:pPr>
        <w:spacing w:line="240" w:lineRule="auto"/>
        <w:jc w:val="both"/>
        <w:rPr>
          <w:rFonts w:ascii="Times New Roman" w:hAnsi="Times New Roman" w:cs="Times New Roman"/>
          <w:sz w:val="24"/>
          <w:szCs w:val="24"/>
        </w:rPr>
      </w:pPr>
      <w:r w:rsidRPr="00DA16C6">
        <w:rPr>
          <w:rFonts w:ascii="Times New Roman" w:hAnsi="Times New Roman" w:cs="Times New Roman"/>
          <w:b/>
          <w:noProof/>
          <w:sz w:val="24"/>
          <w:szCs w:val="24"/>
          <w:lang w:eastAsia="es-ES"/>
        </w:rPr>
        <w:drawing>
          <wp:inline distT="0" distB="0" distL="0" distR="0" wp14:anchorId="58EC5BC1" wp14:editId="7E88D64C">
            <wp:extent cx="5727699" cy="3803650"/>
            <wp:effectExtent l="0" t="0" r="6985" b="6350"/>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731510" cy="3806180"/>
                    </a:xfrm>
                    <a:prstGeom prst="rect">
                      <a:avLst/>
                    </a:prstGeom>
                  </pic:spPr>
                </pic:pic>
              </a:graphicData>
            </a:graphic>
          </wp:inline>
        </w:drawing>
      </w:r>
    </w:p>
    <w:p w:rsidR="001E6FAE" w:rsidRDefault="001E6FAE" w:rsidP="001E6FAE">
      <w:pPr>
        <w:jc w:val="both"/>
        <w:rPr>
          <w:rFonts w:ascii="Times New Roman" w:hAnsi="Times New Roman" w:cs="Times New Roman"/>
          <w:sz w:val="24"/>
          <w:szCs w:val="24"/>
        </w:rPr>
      </w:pPr>
      <w:r w:rsidRPr="00DA16C6">
        <w:rPr>
          <w:rFonts w:ascii="Times New Roman" w:hAnsi="Times New Roman" w:cs="Times New Roman"/>
          <w:b/>
          <w:noProof/>
          <w:sz w:val="24"/>
          <w:szCs w:val="24"/>
          <w:lang w:eastAsia="es-ES"/>
        </w:rPr>
        <w:lastRenderedPageBreak/>
        <w:drawing>
          <wp:inline distT="0" distB="0" distL="0" distR="0" wp14:anchorId="1B7B567D" wp14:editId="65B1A803">
            <wp:extent cx="5734049" cy="3975100"/>
            <wp:effectExtent l="0" t="0" r="635"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731510" cy="3973340"/>
                    </a:xfrm>
                    <a:prstGeom prst="rect">
                      <a:avLst/>
                    </a:prstGeom>
                  </pic:spPr>
                </pic:pic>
              </a:graphicData>
            </a:graphic>
          </wp:inline>
        </w:drawing>
      </w:r>
    </w:p>
    <w:p w:rsidR="001E6FAE" w:rsidRDefault="001E6FAE" w:rsidP="001E6FAE">
      <w:pPr>
        <w:jc w:val="both"/>
        <w:rPr>
          <w:rFonts w:ascii="Times New Roman" w:hAnsi="Times New Roman" w:cs="Times New Roman"/>
          <w:sz w:val="24"/>
          <w:szCs w:val="24"/>
        </w:rPr>
      </w:pPr>
    </w:p>
    <w:p w:rsidR="001E6FAE" w:rsidRDefault="001E6FAE" w:rsidP="001E6FAE">
      <w:pPr>
        <w:jc w:val="both"/>
        <w:rPr>
          <w:rFonts w:ascii="Times New Roman" w:hAnsi="Times New Roman" w:cs="Times New Roman"/>
          <w:sz w:val="24"/>
          <w:szCs w:val="24"/>
        </w:rPr>
      </w:pPr>
      <w:r w:rsidRPr="00DA16C6">
        <w:rPr>
          <w:rFonts w:ascii="Times New Roman" w:hAnsi="Times New Roman" w:cs="Times New Roman"/>
          <w:b/>
          <w:noProof/>
          <w:sz w:val="24"/>
          <w:szCs w:val="24"/>
          <w:lang w:eastAsia="es-ES"/>
        </w:rPr>
        <w:drawing>
          <wp:inline distT="0" distB="0" distL="0" distR="0" wp14:anchorId="6E6F96DA" wp14:editId="49FB1A09">
            <wp:extent cx="5731510" cy="4256405"/>
            <wp:effectExtent l="0" t="0" r="254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731510" cy="4256405"/>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Del cuadro anterior se puede destacar el gran salto adelante en la capitalización de las empresas (Global Top 100) durante el período 2009-2019. Cuando en el año 2009 había 73 compañías del Global Top 100 que tenían un valor de mercado por debajo de los $ 100 bn, para el año 2019 solo había 5 compañías del Global Top 100, cuyo valor de mercado estaba por debajo de los $ 100 bn.</w:t>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El valor de mercado promedio (de las empresas del Global Top 100) era de $ 84 bn, para el 31/3/2009, llegando a $ 210</w:t>
      </w:r>
      <w:r w:rsidR="00302A77">
        <w:rPr>
          <w:rFonts w:ascii="Times New Roman" w:hAnsi="Times New Roman" w:cs="Times New Roman"/>
          <w:sz w:val="24"/>
          <w:szCs w:val="24"/>
        </w:rPr>
        <w:t xml:space="preserve"> bn</w:t>
      </w:r>
      <w:r>
        <w:rPr>
          <w:rFonts w:ascii="Times New Roman" w:hAnsi="Times New Roman" w:cs="Times New Roman"/>
          <w:sz w:val="24"/>
          <w:szCs w:val="24"/>
        </w:rPr>
        <w:t xml:space="preserve"> de valor de mercado promedio, para el 31/3/2019.</w:t>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siguiente cuadro comparativo de capitalización de mercado de las Global Top 100 (2019 vs. 2009), vuelve a destacarse la amplia participación de las corporaciones de los Estados Unidos, pasando de </w:t>
      </w:r>
      <w:r w:rsidR="00FB4B04">
        <w:rPr>
          <w:rFonts w:ascii="Times New Roman" w:hAnsi="Times New Roman" w:cs="Times New Roman"/>
          <w:sz w:val="24"/>
          <w:szCs w:val="24"/>
        </w:rPr>
        <w:t>$ 3.805 bn</w:t>
      </w:r>
      <w:r>
        <w:rPr>
          <w:rFonts w:ascii="Times New Roman" w:hAnsi="Times New Roman" w:cs="Times New Roman"/>
          <w:sz w:val="24"/>
          <w:szCs w:val="24"/>
        </w:rPr>
        <w:t xml:space="preserve"> con 42 compañías, en el año 2009, a </w:t>
      </w:r>
      <w:r w:rsidR="00151BFC">
        <w:rPr>
          <w:rFonts w:ascii="Times New Roman" w:hAnsi="Times New Roman" w:cs="Times New Roman"/>
          <w:sz w:val="24"/>
          <w:szCs w:val="24"/>
        </w:rPr>
        <w:t>$ 13.</w:t>
      </w:r>
      <w:r w:rsidR="00FB4B04">
        <w:rPr>
          <w:rFonts w:ascii="Times New Roman" w:hAnsi="Times New Roman" w:cs="Times New Roman"/>
          <w:sz w:val="24"/>
          <w:szCs w:val="24"/>
        </w:rPr>
        <w:t>292 bn</w:t>
      </w:r>
      <w:r>
        <w:rPr>
          <w:rFonts w:ascii="Times New Roman" w:hAnsi="Times New Roman" w:cs="Times New Roman"/>
          <w:sz w:val="24"/>
          <w:szCs w:val="24"/>
        </w:rPr>
        <w:t xml:space="preserve"> con 54 compañías, en el año 2019. </w:t>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Siendo China, el segundo país en orden de importancia, con una pasando de </w:t>
      </w:r>
      <w:r w:rsidR="00151BFC">
        <w:rPr>
          <w:rFonts w:ascii="Times New Roman" w:hAnsi="Times New Roman" w:cs="Times New Roman"/>
          <w:sz w:val="24"/>
          <w:szCs w:val="24"/>
        </w:rPr>
        <w:t>$ 1.</w:t>
      </w:r>
      <w:r w:rsidR="00FB4B04">
        <w:rPr>
          <w:rFonts w:ascii="Times New Roman" w:hAnsi="Times New Roman" w:cs="Times New Roman"/>
          <w:sz w:val="24"/>
          <w:szCs w:val="24"/>
        </w:rPr>
        <w:t>238 bn</w:t>
      </w:r>
      <w:r>
        <w:rPr>
          <w:rFonts w:ascii="Times New Roman" w:hAnsi="Times New Roman" w:cs="Times New Roman"/>
          <w:sz w:val="24"/>
          <w:szCs w:val="24"/>
        </w:rPr>
        <w:t xml:space="preserve"> con 11 compañías, en el año 2009, a </w:t>
      </w:r>
      <w:r w:rsidR="00151BFC">
        <w:rPr>
          <w:rFonts w:ascii="Times New Roman" w:hAnsi="Times New Roman" w:cs="Times New Roman"/>
          <w:sz w:val="24"/>
          <w:szCs w:val="24"/>
        </w:rPr>
        <w:t>$ 3.</w:t>
      </w:r>
      <w:r w:rsidR="00FB4B04">
        <w:rPr>
          <w:rFonts w:ascii="Times New Roman" w:hAnsi="Times New Roman" w:cs="Times New Roman"/>
          <w:sz w:val="24"/>
          <w:szCs w:val="24"/>
        </w:rPr>
        <w:t>197 bn</w:t>
      </w:r>
      <w:r>
        <w:rPr>
          <w:rFonts w:ascii="Times New Roman" w:hAnsi="Times New Roman" w:cs="Times New Roman"/>
          <w:sz w:val="24"/>
          <w:szCs w:val="24"/>
        </w:rPr>
        <w:t xml:space="preserve"> con 15 compañías, en el año 2019.  </w:t>
      </w:r>
    </w:p>
    <w:p w:rsidR="001E6FAE" w:rsidRDefault="001E6FAE" w:rsidP="001E6FAE">
      <w:pPr>
        <w:spacing w:line="240" w:lineRule="auto"/>
        <w:jc w:val="both"/>
        <w:rPr>
          <w:rFonts w:ascii="Times New Roman" w:hAnsi="Times New Roman" w:cs="Times New Roman"/>
          <w:sz w:val="24"/>
          <w:szCs w:val="24"/>
        </w:rPr>
      </w:pPr>
    </w:p>
    <w:p w:rsidR="001E6FAE" w:rsidRDefault="001E6FAE" w:rsidP="001E6FAE">
      <w:pPr>
        <w:jc w:val="both"/>
        <w:rPr>
          <w:rFonts w:ascii="Times New Roman" w:hAnsi="Times New Roman" w:cs="Times New Roman"/>
          <w:sz w:val="24"/>
          <w:szCs w:val="24"/>
        </w:rPr>
      </w:pPr>
      <w:r w:rsidRPr="00DA16C6">
        <w:rPr>
          <w:rFonts w:ascii="Times New Roman" w:hAnsi="Times New Roman" w:cs="Times New Roman"/>
          <w:b/>
          <w:noProof/>
          <w:sz w:val="24"/>
          <w:szCs w:val="24"/>
          <w:lang w:eastAsia="es-ES"/>
        </w:rPr>
        <w:drawing>
          <wp:inline distT="0" distB="0" distL="0" distR="0" wp14:anchorId="5439640C" wp14:editId="38C00A3C">
            <wp:extent cx="5731510" cy="3810000"/>
            <wp:effectExtent l="0" t="0" r="2540" b="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731510" cy="3810000"/>
                    </a:xfrm>
                    <a:prstGeom prst="rect">
                      <a:avLst/>
                    </a:prstGeom>
                  </pic:spPr>
                </pic:pic>
              </a:graphicData>
            </a:graphic>
          </wp:inline>
        </w:drawing>
      </w:r>
    </w:p>
    <w:p w:rsidR="001E6FAE" w:rsidRDefault="001E6FAE" w:rsidP="001E6FAE">
      <w:pPr>
        <w:jc w:val="both"/>
        <w:rPr>
          <w:rFonts w:ascii="Times New Roman" w:hAnsi="Times New Roman" w:cs="Times New Roman"/>
          <w:sz w:val="24"/>
          <w:szCs w:val="24"/>
        </w:rPr>
      </w:pPr>
      <w:r w:rsidRPr="00DA16C6">
        <w:rPr>
          <w:rFonts w:ascii="Times New Roman" w:hAnsi="Times New Roman" w:cs="Times New Roman"/>
          <w:b/>
          <w:noProof/>
          <w:sz w:val="24"/>
          <w:szCs w:val="24"/>
          <w:lang w:eastAsia="es-ES"/>
        </w:rPr>
        <w:lastRenderedPageBreak/>
        <w:drawing>
          <wp:inline distT="0" distB="0" distL="0" distR="0" wp14:anchorId="7A312A84" wp14:editId="4B3901FD">
            <wp:extent cx="5731510" cy="3778250"/>
            <wp:effectExtent l="0" t="0" r="2540" b="0"/>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731510" cy="3778250"/>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En el cuadro anterior puede observarse el destacado incremento en el valor de mercado (capitalización) de las corporaciones de los EEUU (276</w:t>
      </w:r>
      <w:r w:rsidR="00FC1CBD">
        <w:rPr>
          <w:rFonts w:ascii="Times New Roman" w:hAnsi="Times New Roman" w:cs="Times New Roman"/>
          <w:sz w:val="24"/>
          <w:szCs w:val="24"/>
        </w:rPr>
        <w:t xml:space="preserve"> </w:t>
      </w:r>
      <w:r>
        <w:rPr>
          <w:rFonts w:ascii="Times New Roman" w:hAnsi="Times New Roman" w:cs="Times New Roman"/>
          <w:sz w:val="24"/>
          <w:szCs w:val="24"/>
        </w:rPr>
        <w:t>%, de crecimiento 2009-2019). Aunque hay otros países con un mayor margen de capitalización  bursátil (Irlanda, Corea del Sur, India, Bélgica, Dinamarca o Sudáfrica), ninguno tiene un volumen de mercado significativo. Ni siquiera la suma de todos los mercados representados en el Global Top 100 (incluyendo a China), alcanzan una magnitud comparable con el de los Estados Unidos.</w:t>
      </w:r>
    </w:p>
    <w:p w:rsidR="001E6FAE" w:rsidRDefault="001E6FAE" w:rsidP="001E6FAE">
      <w:pPr>
        <w:spacing w:line="240" w:lineRule="auto"/>
        <w:jc w:val="both"/>
        <w:rPr>
          <w:rFonts w:ascii="Times New Roman" w:hAnsi="Times New Roman" w:cs="Times New Roman"/>
          <w:sz w:val="24"/>
          <w:szCs w:val="24"/>
        </w:rPr>
      </w:pPr>
      <w:r w:rsidRPr="0028715F">
        <w:rPr>
          <w:rFonts w:ascii="Times New Roman" w:hAnsi="Times New Roman" w:cs="Times New Roman"/>
          <w:noProof/>
          <w:sz w:val="24"/>
          <w:szCs w:val="24"/>
          <w:lang w:eastAsia="es-ES"/>
        </w:rPr>
        <w:drawing>
          <wp:inline distT="0" distB="0" distL="0" distR="0" wp14:anchorId="12405C10" wp14:editId="4A189E8A">
            <wp:extent cx="5734050" cy="2813050"/>
            <wp:effectExtent l="0" t="0" r="0" b="6350"/>
            <wp:docPr id="457" name="Imagen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731510" cy="2811804"/>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El cuadro anterior confirma lo señalado hasta el momento: la amplia ventaja del sector tecnológico en el ranking de las 10 empresas con mayor capitalización de mercado del Global Top 100, en valores absolutos, en el período 2009-2019.</w:t>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Solo 3 de las 10 empresas no son del sector tecnológico (o con negocios vinculados con el sector). </w:t>
      </w:r>
    </w:p>
    <w:p w:rsidR="001E6FAE" w:rsidRDefault="001E6FAE" w:rsidP="001E6FAE">
      <w:pPr>
        <w:spacing w:line="240" w:lineRule="auto"/>
        <w:jc w:val="both"/>
        <w:rPr>
          <w:rFonts w:ascii="Times New Roman" w:hAnsi="Times New Roman" w:cs="Times New Roman"/>
          <w:sz w:val="24"/>
          <w:szCs w:val="24"/>
        </w:rPr>
      </w:pPr>
      <w:r w:rsidRPr="00DA16C6">
        <w:rPr>
          <w:rFonts w:ascii="Times New Roman" w:hAnsi="Times New Roman" w:cs="Times New Roman"/>
          <w:b/>
          <w:noProof/>
          <w:sz w:val="24"/>
          <w:szCs w:val="24"/>
          <w:lang w:eastAsia="es-ES"/>
        </w:rPr>
        <w:drawing>
          <wp:inline distT="0" distB="0" distL="0" distR="0" wp14:anchorId="73F56976" wp14:editId="28DBC5FC">
            <wp:extent cx="5734050" cy="2825750"/>
            <wp:effectExtent l="0" t="0" r="0" b="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731510" cy="2824498"/>
                    </a:xfrm>
                    <a:prstGeom prst="rect">
                      <a:avLst/>
                    </a:prstGeom>
                  </pic:spPr>
                </pic:pic>
              </a:graphicData>
            </a:graphic>
          </wp:inline>
        </w:drawing>
      </w:r>
      <w:r>
        <w:rPr>
          <w:rFonts w:ascii="Times New Roman" w:hAnsi="Times New Roman" w:cs="Times New Roman"/>
          <w:sz w:val="24"/>
          <w:szCs w:val="24"/>
        </w:rPr>
        <w:t xml:space="preserve"> </w:t>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Si la comparación la hacemos en valores relativos, como porcentaje de crecimiento en el período (2009-2019), observamos que hay compañías tecnológicas que han alcanzado un incremento del 6.081</w:t>
      </w:r>
      <w:r w:rsidR="00FC1CBD">
        <w:rPr>
          <w:rFonts w:ascii="Times New Roman" w:hAnsi="Times New Roman" w:cs="Times New Roman"/>
          <w:sz w:val="24"/>
          <w:szCs w:val="24"/>
        </w:rPr>
        <w:t xml:space="preserve"> </w:t>
      </w:r>
      <w:r>
        <w:rPr>
          <w:rFonts w:ascii="Times New Roman" w:hAnsi="Times New Roman" w:cs="Times New Roman"/>
          <w:sz w:val="24"/>
          <w:szCs w:val="24"/>
        </w:rPr>
        <w:t>% en su valor de mercado (Netflix), seguida de Tencent, con un incremento del 3.187</w:t>
      </w:r>
      <w:r w:rsidR="00FC1CBD">
        <w:rPr>
          <w:rFonts w:ascii="Times New Roman" w:hAnsi="Times New Roman" w:cs="Times New Roman"/>
          <w:sz w:val="24"/>
          <w:szCs w:val="24"/>
        </w:rPr>
        <w:t xml:space="preserve"> </w:t>
      </w:r>
      <w:r>
        <w:rPr>
          <w:rFonts w:ascii="Times New Roman" w:hAnsi="Times New Roman" w:cs="Times New Roman"/>
          <w:sz w:val="24"/>
          <w:szCs w:val="24"/>
        </w:rPr>
        <w:t>%. La primera empresa industrial de la lista (DowDuPont) registra un incremento del 1.443</w:t>
      </w:r>
      <w:r w:rsidR="00FC1CBD">
        <w:rPr>
          <w:rFonts w:ascii="Times New Roman" w:hAnsi="Times New Roman" w:cs="Times New Roman"/>
          <w:sz w:val="24"/>
          <w:szCs w:val="24"/>
        </w:rPr>
        <w:t xml:space="preserve"> </w:t>
      </w:r>
      <w:r>
        <w:rPr>
          <w:rFonts w:ascii="Times New Roman" w:hAnsi="Times New Roman" w:cs="Times New Roman"/>
          <w:sz w:val="24"/>
          <w:szCs w:val="24"/>
        </w:rPr>
        <w:t>%, y la primera empresa financiera representada (Mastercard) alcanza un incremento del 1.015</w:t>
      </w:r>
      <w:r w:rsidR="00FC1CBD">
        <w:rPr>
          <w:rFonts w:ascii="Times New Roman" w:hAnsi="Times New Roman" w:cs="Times New Roman"/>
          <w:sz w:val="24"/>
          <w:szCs w:val="24"/>
        </w:rPr>
        <w:t xml:space="preserve"> </w:t>
      </w:r>
      <w:r>
        <w:rPr>
          <w:rFonts w:ascii="Times New Roman" w:hAnsi="Times New Roman" w:cs="Times New Roman"/>
          <w:sz w:val="24"/>
          <w:szCs w:val="24"/>
        </w:rPr>
        <w:t xml:space="preserve">%. El sector tecnológico saca ventaja también en cuanto a crecimiento relativo (% de incremento del valor de mercado) en el período 2009-2019. </w:t>
      </w:r>
    </w:p>
    <w:p w:rsidR="001E6FAE" w:rsidRDefault="001E6FAE" w:rsidP="001E6FAE">
      <w:pPr>
        <w:spacing w:line="240" w:lineRule="auto"/>
        <w:jc w:val="both"/>
        <w:rPr>
          <w:rFonts w:ascii="Times New Roman" w:hAnsi="Times New Roman" w:cs="Times New Roman"/>
          <w:sz w:val="24"/>
          <w:szCs w:val="24"/>
        </w:rPr>
      </w:pPr>
      <w:r w:rsidRPr="00492C9F">
        <w:rPr>
          <w:rFonts w:ascii="Times New Roman" w:hAnsi="Times New Roman" w:cs="Times New Roman"/>
          <w:b/>
          <w:noProof/>
          <w:sz w:val="24"/>
          <w:szCs w:val="24"/>
          <w:lang w:eastAsia="es-ES"/>
        </w:rPr>
        <w:drawing>
          <wp:inline distT="0" distB="0" distL="0" distR="0" wp14:anchorId="0537F3BA" wp14:editId="4E8DD639">
            <wp:extent cx="5734049" cy="2844800"/>
            <wp:effectExtent l="0" t="0" r="635" b="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5731510" cy="2843540"/>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cuadro anterior, destaca la importancia del sector tecnológico en comparación con los demás sectores en cuanto porcentaje de cambio en el valor de mercado, así como en la mejora en el índice de performance. Resulta interesante comprobar la “decadencia” de los sectores “Consumer Goods” y “Oil &amp; Gas”, cuyos índices de performance permanecen </w:t>
      </w:r>
      <w:r>
        <w:rPr>
          <w:rFonts w:ascii="Times New Roman" w:hAnsi="Times New Roman" w:cs="Times New Roman"/>
          <w:sz w:val="24"/>
          <w:szCs w:val="24"/>
        </w:rPr>
        <w:lastRenderedPageBreak/>
        <w:t xml:space="preserve">“underperformed” en el periodo analizado (2009-2019). Todo un símbolo de los nuevos tiempos. </w:t>
      </w:r>
    </w:p>
    <w:p w:rsidR="001E6FAE" w:rsidRPr="002774AC" w:rsidRDefault="001E6FAE" w:rsidP="001E6FAE">
      <w:pPr>
        <w:spacing w:line="240" w:lineRule="auto"/>
        <w:jc w:val="both"/>
        <w:rPr>
          <w:rFonts w:ascii="Times New Roman" w:hAnsi="Times New Roman" w:cs="Times New Roman"/>
          <w:sz w:val="24"/>
          <w:szCs w:val="24"/>
        </w:rPr>
      </w:pPr>
      <w:r w:rsidRPr="00FE130B">
        <w:rPr>
          <w:rFonts w:ascii="Times New Roman" w:hAnsi="Times New Roman" w:cs="Times New Roman"/>
          <w:color w:val="FF0000"/>
          <w:sz w:val="24"/>
          <w:szCs w:val="24"/>
        </w:rPr>
        <w:t>Para aquellos interesados en los datos más recientes (al momento de realizar el estudio)</w:t>
      </w:r>
      <w:r>
        <w:rPr>
          <w:rFonts w:ascii="Times New Roman" w:hAnsi="Times New Roman" w:cs="Times New Roman"/>
          <w:sz w:val="24"/>
          <w:szCs w:val="24"/>
        </w:rPr>
        <w:t>, les dejo alguna información de referencia. A partir de ella, pueden ustedes, hacer más cálculos.</w:t>
      </w:r>
    </w:p>
    <w:p w:rsidR="001E6FAE" w:rsidRDefault="001E6FAE" w:rsidP="001E6FAE">
      <w:pPr>
        <w:rPr>
          <w:rFonts w:ascii="Times New Roman" w:hAnsi="Times New Roman" w:cs="Times New Roman"/>
          <w:b/>
          <w:sz w:val="24"/>
          <w:szCs w:val="24"/>
        </w:rPr>
      </w:pPr>
      <w:r w:rsidRPr="00587670">
        <w:rPr>
          <w:rFonts w:ascii="Times New Roman" w:hAnsi="Times New Roman" w:cs="Times New Roman"/>
          <w:b/>
          <w:noProof/>
          <w:sz w:val="24"/>
          <w:szCs w:val="24"/>
          <w:lang w:eastAsia="es-ES"/>
        </w:rPr>
        <w:drawing>
          <wp:inline distT="0" distB="0" distL="0" distR="0" wp14:anchorId="6A533EAC" wp14:editId="16984DE3">
            <wp:extent cx="2791215" cy="314369"/>
            <wp:effectExtent l="0" t="0" r="0" b="9525"/>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2791215" cy="314369"/>
                    </a:xfrm>
                    <a:prstGeom prst="rect">
                      <a:avLst/>
                    </a:prstGeom>
                  </pic:spPr>
                </pic:pic>
              </a:graphicData>
            </a:graphic>
          </wp:inline>
        </w:drawing>
      </w:r>
      <w:r w:rsidRPr="00587670">
        <w:rPr>
          <w:rFonts w:ascii="Times New Roman" w:hAnsi="Times New Roman" w:cs="Times New Roman"/>
          <w:b/>
          <w:noProof/>
          <w:sz w:val="24"/>
          <w:szCs w:val="24"/>
          <w:lang w:eastAsia="es-ES"/>
        </w:rPr>
        <w:drawing>
          <wp:inline distT="0" distB="0" distL="0" distR="0" wp14:anchorId="6BF0CB8A" wp14:editId="0FBD5151">
            <wp:extent cx="1705213" cy="314369"/>
            <wp:effectExtent l="0" t="0" r="0" b="9525"/>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1705213" cy="314369"/>
                    </a:xfrm>
                    <a:prstGeom prst="rect">
                      <a:avLst/>
                    </a:prstGeom>
                  </pic:spPr>
                </pic:pic>
              </a:graphicData>
            </a:graphic>
          </wp:inline>
        </w:drawing>
      </w:r>
      <w:r>
        <w:rPr>
          <w:rFonts w:ascii="Times New Roman" w:hAnsi="Times New Roman" w:cs="Times New Roman"/>
          <w:b/>
          <w:sz w:val="24"/>
          <w:szCs w:val="24"/>
        </w:rPr>
        <w:t xml:space="preserve">  </w:t>
      </w:r>
    </w:p>
    <w:p w:rsidR="001E6FAE" w:rsidRDefault="001E6FAE" w:rsidP="001E6FAE">
      <w:pPr>
        <w:rPr>
          <w:rFonts w:ascii="Times New Roman" w:hAnsi="Times New Roman" w:cs="Times New Roman"/>
          <w:b/>
          <w:sz w:val="24"/>
          <w:szCs w:val="24"/>
        </w:rPr>
      </w:pPr>
      <w:r>
        <w:rPr>
          <w:rFonts w:ascii="Times New Roman" w:hAnsi="Times New Roman" w:cs="Times New Roman"/>
          <w:b/>
          <w:sz w:val="24"/>
          <w:szCs w:val="24"/>
        </w:rPr>
        <w:t>(Datos al 21/5/20)</w:t>
      </w:r>
    </w:p>
    <w:p w:rsidR="001E6FAE" w:rsidRDefault="001E6FAE" w:rsidP="001E6FAE">
      <w:pPr>
        <w:rPr>
          <w:rFonts w:ascii="Times New Roman" w:hAnsi="Times New Roman" w:cs="Times New Roman"/>
          <w:b/>
          <w:sz w:val="24"/>
          <w:szCs w:val="24"/>
        </w:rPr>
      </w:pPr>
      <w:r w:rsidRPr="00587670">
        <w:rPr>
          <w:rFonts w:ascii="Times New Roman" w:hAnsi="Times New Roman" w:cs="Times New Roman"/>
          <w:b/>
          <w:noProof/>
          <w:sz w:val="24"/>
          <w:szCs w:val="24"/>
          <w:lang w:eastAsia="es-ES"/>
        </w:rPr>
        <w:drawing>
          <wp:inline distT="0" distB="0" distL="0" distR="0" wp14:anchorId="64F6CC55" wp14:editId="6B09D81B">
            <wp:extent cx="5728443" cy="2561664"/>
            <wp:effectExtent l="0" t="0" r="5715" b="0"/>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5731510" cy="2563035"/>
                    </a:xfrm>
                    <a:prstGeom prst="rect">
                      <a:avLst/>
                    </a:prstGeom>
                  </pic:spPr>
                </pic:pic>
              </a:graphicData>
            </a:graphic>
          </wp:inline>
        </w:drawing>
      </w:r>
    </w:p>
    <w:p w:rsidR="001E6FAE" w:rsidRDefault="001E6FAE" w:rsidP="001E6FAE">
      <w:pPr>
        <w:rPr>
          <w:noProof/>
          <w:lang w:eastAsia="es-ES"/>
        </w:rPr>
      </w:pPr>
      <w:r w:rsidRPr="00587670">
        <w:rPr>
          <w:rFonts w:ascii="Times New Roman" w:hAnsi="Times New Roman" w:cs="Times New Roman"/>
          <w:b/>
          <w:noProof/>
          <w:sz w:val="24"/>
          <w:szCs w:val="24"/>
          <w:lang w:eastAsia="es-ES"/>
        </w:rPr>
        <w:drawing>
          <wp:inline distT="0" distB="0" distL="0" distR="0" wp14:anchorId="6BEC1EDB" wp14:editId="5C68AE52">
            <wp:extent cx="2790265" cy="3684494"/>
            <wp:effectExtent l="0" t="0" r="0" b="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2791928" cy="3686690"/>
                    </a:xfrm>
                    <a:prstGeom prst="rect">
                      <a:avLst/>
                    </a:prstGeom>
                  </pic:spPr>
                </pic:pic>
              </a:graphicData>
            </a:graphic>
          </wp:inline>
        </w:drawing>
      </w:r>
      <w:r w:rsidRPr="00587670">
        <w:rPr>
          <w:noProof/>
          <w:lang w:eastAsia="es-ES"/>
        </w:rPr>
        <w:t xml:space="preserve"> </w:t>
      </w:r>
      <w:r w:rsidRPr="00587670">
        <w:rPr>
          <w:rFonts w:ascii="Times New Roman" w:hAnsi="Times New Roman" w:cs="Times New Roman"/>
          <w:b/>
          <w:noProof/>
          <w:sz w:val="24"/>
          <w:szCs w:val="24"/>
          <w:lang w:eastAsia="es-ES"/>
        </w:rPr>
        <w:drawing>
          <wp:inline distT="0" distB="0" distL="0" distR="0" wp14:anchorId="36F455E2" wp14:editId="568F8DA0">
            <wp:extent cx="2810436" cy="3657600"/>
            <wp:effectExtent l="0" t="0" r="952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2810829" cy="3658111"/>
                    </a:xfrm>
                    <a:prstGeom prst="rect">
                      <a:avLst/>
                    </a:prstGeom>
                  </pic:spPr>
                </pic:pic>
              </a:graphicData>
            </a:graphic>
          </wp:inline>
        </w:drawing>
      </w:r>
    </w:p>
    <w:p w:rsidR="001E6FAE" w:rsidRDefault="001E6FAE" w:rsidP="001E6FAE">
      <w:pPr>
        <w:rPr>
          <w:noProof/>
          <w:lang w:eastAsia="es-ES"/>
        </w:rPr>
      </w:pPr>
      <w:r>
        <w:rPr>
          <w:noProof/>
          <w:lang w:eastAsia="es-ES"/>
        </w:rPr>
        <w:lastRenderedPageBreak/>
        <w:drawing>
          <wp:inline distT="0" distB="0" distL="0" distR="0" wp14:anchorId="15C4199C" wp14:editId="1F1731B1">
            <wp:extent cx="5727700" cy="8801100"/>
            <wp:effectExtent l="0" t="0" r="6350" b="0"/>
            <wp:docPr id="458" name="Imagen 458" descr="Inditex se cuela en la lista de las 100 empresas más grandes del mundo d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ditex se cuela en la lista de las 100 empresas más grandes del mundo de 2019"/>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731510" cy="8806954"/>
                    </a:xfrm>
                    <a:prstGeom prst="rect">
                      <a:avLst/>
                    </a:prstGeom>
                    <a:noFill/>
                    <a:ln>
                      <a:noFill/>
                    </a:ln>
                  </pic:spPr>
                </pic:pic>
              </a:graphicData>
            </a:graphic>
          </wp:inline>
        </w:drawing>
      </w:r>
    </w:p>
    <w:p w:rsidR="001E6FAE" w:rsidRDefault="001E6FAE" w:rsidP="001E6FAE">
      <w:pPr>
        <w:rPr>
          <w:noProof/>
          <w:lang w:eastAsia="es-ES"/>
        </w:rPr>
      </w:pPr>
      <w:r>
        <w:rPr>
          <w:noProof/>
          <w:lang w:eastAsia="es-ES"/>
        </w:rPr>
        <w:lastRenderedPageBreak/>
        <w:drawing>
          <wp:inline distT="0" distB="0" distL="0" distR="0" wp14:anchorId="651A113E" wp14:editId="34147075">
            <wp:extent cx="5731510" cy="8014970"/>
            <wp:effectExtent l="0" t="0" r="2540" b="5080"/>
            <wp:docPr id="459" name="Imagen 459" descr="Inditex se cuela en la lista de las 100 empresas más grandes del mundo d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ditex se cuela en la lista de las 100 empresas más grandes del mundo de 2019"/>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731510" cy="8014970"/>
                    </a:xfrm>
                    <a:prstGeom prst="rect">
                      <a:avLst/>
                    </a:prstGeom>
                    <a:noFill/>
                    <a:ln>
                      <a:noFill/>
                    </a:ln>
                  </pic:spPr>
                </pic:pic>
              </a:graphicData>
            </a:graphic>
          </wp:inline>
        </w:drawing>
      </w:r>
    </w:p>
    <w:p w:rsidR="001E6FAE" w:rsidRDefault="001E6FAE" w:rsidP="001E6FAE">
      <w:pPr>
        <w:rPr>
          <w:noProof/>
          <w:lang w:eastAsia="es-ES"/>
        </w:rPr>
      </w:pPr>
    </w:p>
    <w:p w:rsidR="001E6FAE" w:rsidRPr="00304772" w:rsidRDefault="001E6FAE" w:rsidP="001E6FAE">
      <w:pPr>
        <w:rPr>
          <w:rFonts w:ascii="Times New Roman" w:hAnsi="Times New Roman" w:cs="Times New Roman"/>
          <w:b/>
          <w:sz w:val="24"/>
          <w:szCs w:val="24"/>
        </w:rPr>
      </w:pPr>
      <w:r w:rsidRPr="00587670">
        <w:rPr>
          <w:rFonts w:ascii="Times New Roman" w:hAnsi="Times New Roman" w:cs="Times New Roman"/>
          <w:b/>
          <w:noProof/>
          <w:sz w:val="24"/>
          <w:szCs w:val="24"/>
          <w:lang w:eastAsia="es-ES"/>
        </w:rPr>
        <w:lastRenderedPageBreak/>
        <w:drawing>
          <wp:inline distT="0" distB="0" distL="0" distR="0" wp14:anchorId="7E807E90" wp14:editId="228448C2">
            <wp:extent cx="6223000" cy="2482850"/>
            <wp:effectExtent l="0" t="0" r="6350" b="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6223667" cy="2483116"/>
                    </a:xfrm>
                    <a:prstGeom prst="rect">
                      <a:avLst/>
                    </a:prstGeom>
                  </pic:spPr>
                </pic:pic>
              </a:graphicData>
            </a:graphic>
          </wp:inline>
        </w:drawing>
      </w:r>
      <w:r w:rsidRPr="000470ED">
        <w:rPr>
          <w:rFonts w:ascii="Times New Roman" w:hAnsi="Times New Roman" w:cs="Times New Roman"/>
          <w:sz w:val="24"/>
          <w:szCs w:val="24"/>
        </w:rPr>
        <w:t xml:space="preserve">(Fuente: Empresas por capitalización de mercado  -  Wikipedia - </w:t>
      </w:r>
      <w:r w:rsidRPr="00C13757">
        <w:rPr>
          <w:rFonts w:ascii="Times New Roman" w:hAnsi="Times New Roman" w:cs="Times New Roman"/>
          <w:b/>
          <w:sz w:val="24"/>
          <w:szCs w:val="24"/>
        </w:rPr>
        <w:t>22/5/20</w:t>
      </w:r>
      <w:r w:rsidRPr="000470ED">
        <w:rPr>
          <w:rFonts w:ascii="Times New Roman" w:hAnsi="Times New Roman" w:cs="Times New Roman"/>
          <w:sz w:val="24"/>
          <w:szCs w:val="24"/>
        </w:rPr>
        <w:t>)</w:t>
      </w:r>
    </w:p>
    <w:p w:rsidR="001E6FAE" w:rsidRPr="00FB4B04" w:rsidRDefault="001E6FAE" w:rsidP="001E6FAE">
      <w:pPr>
        <w:spacing w:line="240" w:lineRule="auto"/>
        <w:jc w:val="both"/>
        <w:rPr>
          <w:rFonts w:ascii="Times New Roman" w:hAnsi="Times New Roman" w:cs="Times New Roman"/>
          <w:b/>
          <w:sz w:val="24"/>
          <w:szCs w:val="24"/>
        </w:rPr>
      </w:pPr>
      <w:r w:rsidRPr="00FB4B04">
        <w:rPr>
          <w:rFonts w:ascii="Times New Roman" w:hAnsi="Times New Roman" w:cs="Times New Roman"/>
          <w:b/>
          <w:sz w:val="24"/>
          <w:szCs w:val="24"/>
        </w:rPr>
        <w:t>Ahora, vamos a las prim</w:t>
      </w:r>
      <w:r w:rsidR="00151BFC">
        <w:rPr>
          <w:rFonts w:ascii="Times New Roman" w:hAnsi="Times New Roman" w:cs="Times New Roman"/>
          <w:b/>
          <w:sz w:val="24"/>
          <w:szCs w:val="24"/>
        </w:rPr>
        <w:t>eras radiografías del mercado en</w:t>
      </w:r>
      <w:r w:rsidRPr="00FB4B04">
        <w:rPr>
          <w:rFonts w:ascii="Times New Roman" w:hAnsi="Times New Roman" w:cs="Times New Roman"/>
          <w:b/>
          <w:sz w:val="24"/>
          <w:szCs w:val="24"/>
        </w:rPr>
        <w:t xml:space="preserve"> la cris</w:t>
      </w:r>
      <w:r w:rsidR="00151BFC">
        <w:rPr>
          <w:rFonts w:ascii="Times New Roman" w:hAnsi="Times New Roman" w:cs="Times New Roman"/>
          <w:b/>
          <w:sz w:val="24"/>
          <w:szCs w:val="24"/>
        </w:rPr>
        <w:t>is sanitaria (Covid-</w:t>
      </w:r>
      <w:r w:rsidRPr="00FB4B04">
        <w:rPr>
          <w:rFonts w:ascii="Times New Roman" w:hAnsi="Times New Roman" w:cs="Times New Roman"/>
          <w:b/>
          <w:sz w:val="24"/>
          <w:szCs w:val="24"/>
        </w:rPr>
        <w:t>19)</w:t>
      </w:r>
    </w:p>
    <w:p w:rsidR="001E6FAE" w:rsidRDefault="001E6FAE" w:rsidP="001E6FAE">
      <w:pPr>
        <w:spacing w:line="240" w:lineRule="auto"/>
        <w:jc w:val="both"/>
        <w:rPr>
          <w:rFonts w:ascii="Times New Roman" w:hAnsi="Times New Roman" w:cs="Times New Roman"/>
          <w:sz w:val="24"/>
          <w:szCs w:val="24"/>
        </w:rPr>
      </w:pPr>
      <w:r>
        <w:rPr>
          <w:noProof/>
          <w:lang w:eastAsia="es-ES"/>
        </w:rPr>
        <w:drawing>
          <wp:inline distT="0" distB="0" distL="0" distR="0" wp14:anchorId="032CB3E8" wp14:editId="64FE8E6A">
            <wp:extent cx="5725203" cy="2933700"/>
            <wp:effectExtent l="0" t="0" r="8890" b="0"/>
            <wp:docPr id="30" name="Imagen 30" descr="https://www.vozpopuli.com/2020/05/20/opinion/SP500-Earnings-Covid19-Riestra-Delgado_1356774416_15024957_660x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vozpopuli.com/2020/05/20/opinion/SP500-Earnings-Covid19-Riestra-Delgado_1356774416_15024957_660x371.jpg"/>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731510" cy="2936932"/>
                    </a:xfrm>
                    <a:prstGeom prst="rect">
                      <a:avLst/>
                    </a:prstGeom>
                    <a:noFill/>
                    <a:ln>
                      <a:noFill/>
                    </a:ln>
                  </pic:spPr>
                </pic:pic>
              </a:graphicData>
            </a:graphic>
          </wp:inline>
        </w:drawing>
      </w:r>
    </w:p>
    <w:p w:rsidR="001E6FAE" w:rsidRDefault="001E6FAE" w:rsidP="001E6FAE">
      <w:pPr>
        <w:spacing w:line="240" w:lineRule="auto"/>
        <w:jc w:val="both"/>
      </w:pPr>
      <w:r>
        <w:rPr>
          <w:noProof/>
          <w:lang w:eastAsia="es-ES"/>
        </w:rPr>
        <w:drawing>
          <wp:inline distT="0" distB="0" distL="0" distR="0" wp14:anchorId="6975D758" wp14:editId="68D33810">
            <wp:extent cx="5727700" cy="2432050"/>
            <wp:effectExtent l="0" t="0" r="6350" b="6350"/>
            <wp:docPr id="31" name="Imagen 31" descr="https://www.vozpopuli.com/2020/05/20/opinion/Operating-Margin-Covid19-Riestra-Delgado_1356774417_15024997_660x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vozpopuli.com/2020/05/20/opinion/Operating-Margin-Covid19-Riestra-Delgado_1356774417_15024997_660x371.jp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725203" cy="2430990"/>
                    </a:xfrm>
                    <a:prstGeom prst="rect">
                      <a:avLst/>
                    </a:prstGeom>
                    <a:noFill/>
                    <a:ln>
                      <a:noFill/>
                    </a:ln>
                  </pic:spPr>
                </pic:pic>
              </a:graphicData>
            </a:graphic>
          </wp:inline>
        </w:drawing>
      </w:r>
      <w:r w:rsidRPr="00FF0955">
        <w:t xml:space="preserve"> </w:t>
      </w:r>
    </w:p>
    <w:p w:rsidR="001E6FAE" w:rsidRDefault="001E6FAE" w:rsidP="001E6FAE">
      <w:pPr>
        <w:spacing w:line="240" w:lineRule="auto"/>
        <w:jc w:val="both"/>
      </w:pPr>
      <w:r>
        <w:rPr>
          <w:noProof/>
          <w:lang w:eastAsia="es-ES"/>
        </w:rPr>
        <w:lastRenderedPageBreak/>
        <w:drawing>
          <wp:inline distT="0" distB="0" distL="0" distR="0" wp14:anchorId="3BEA944D" wp14:editId="31482FC1">
            <wp:extent cx="5726136" cy="2209800"/>
            <wp:effectExtent l="0" t="0" r="8255" b="0"/>
            <wp:docPr id="32" name="Imagen 32" descr="https://www.vozpopuli.com/2020/05/20/opinion/Operating-Changes-Covid19-Riestra-Delgado_1356774418_15025042_660x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vozpopuli.com/2020/05/20/opinion/Operating-Changes-Covid19-Riestra-Delgado_1356774418_15025042_660x335.jp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731510" cy="2211874"/>
                    </a:xfrm>
                    <a:prstGeom prst="rect">
                      <a:avLst/>
                    </a:prstGeom>
                    <a:noFill/>
                    <a:ln>
                      <a:noFill/>
                    </a:ln>
                  </pic:spPr>
                </pic:pic>
              </a:graphicData>
            </a:graphic>
          </wp:inline>
        </w:drawing>
      </w:r>
    </w:p>
    <w:p w:rsidR="001E6FAE" w:rsidRDefault="001E6FAE" w:rsidP="001E6FAE">
      <w:pPr>
        <w:spacing w:line="240" w:lineRule="auto"/>
        <w:jc w:val="both"/>
        <w:rPr>
          <w:rFonts w:ascii="Times New Roman" w:hAnsi="Times New Roman" w:cs="Times New Roman"/>
          <w:sz w:val="24"/>
          <w:szCs w:val="24"/>
        </w:rPr>
      </w:pPr>
      <w:r>
        <w:rPr>
          <w:noProof/>
          <w:lang w:eastAsia="es-ES"/>
        </w:rPr>
        <w:drawing>
          <wp:inline distT="0" distB="0" distL="0" distR="0" wp14:anchorId="3A383799" wp14:editId="19B9B829">
            <wp:extent cx="5734050" cy="2978150"/>
            <wp:effectExtent l="0" t="0" r="0" b="0"/>
            <wp:docPr id="33" name="Imagen 33" descr="https://www.vozpopuli.com/2020/05/20/opinion/SP500-Covid19-Luis-Riestra-Delgado_1356774419_15025078_660x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vozpopuli.com/2020/05/20/opinion/SP500-Covid19-Luis-Riestra-Delgado_1356774419_15025078_660x371.jp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31510" cy="2976831"/>
                    </a:xfrm>
                    <a:prstGeom prst="rect">
                      <a:avLst/>
                    </a:prstGeom>
                    <a:noFill/>
                    <a:ln>
                      <a:noFill/>
                    </a:ln>
                  </pic:spPr>
                </pic:pic>
              </a:graphicData>
            </a:graphic>
          </wp:inline>
        </w:drawing>
      </w:r>
    </w:p>
    <w:p w:rsidR="001E6FAE" w:rsidRPr="00010E6C" w:rsidRDefault="001E6FAE" w:rsidP="001E6FAE">
      <w:pPr>
        <w:spacing w:line="240" w:lineRule="auto"/>
        <w:jc w:val="both"/>
        <w:rPr>
          <w:rFonts w:ascii="Times New Roman" w:hAnsi="Times New Roman" w:cs="Times New Roman"/>
          <w:sz w:val="24"/>
          <w:szCs w:val="24"/>
        </w:rPr>
      </w:pPr>
      <w:r>
        <w:rPr>
          <w:noProof/>
          <w:lang w:eastAsia="es-ES"/>
        </w:rPr>
        <w:drawing>
          <wp:inline distT="0" distB="0" distL="0" distR="0" wp14:anchorId="541D44A6" wp14:editId="01DF7BEF">
            <wp:extent cx="5734050" cy="2692400"/>
            <wp:effectExtent l="0" t="0" r="0" b="0"/>
            <wp:docPr id="250" name="Imagen 250" descr="https://www.vozpopuli.com/2020/05/20/opinion/SP500-Earnings-Covid19-Riestra-Delgado_1356774420_15025118_660x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vozpopuli.com/2020/05/20/opinion/SP500-Earnings-Covid19-Riestra-Delgado_1356774420_15025118_660x371.jp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731510" cy="2691207"/>
                    </a:xfrm>
                    <a:prstGeom prst="rect">
                      <a:avLst/>
                    </a:prstGeom>
                    <a:noFill/>
                    <a:ln>
                      <a:noFill/>
                    </a:ln>
                  </pic:spPr>
                </pic:pic>
              </a:graphicData>
            </a:graphic>
          </wp:inline>
        </w:drawing>
      </w:r>
    </w:p>
    <w:p w:rsidR="001E6FAE" w:rsidRPr="00D2333E" w:rsidRDefault="001E6FAE" w:rsidP="001E6FAE">
      <w:pPr>
        <w:spacing w:line="240" w:lineRule="auto"/>
        <w:jc w:val="both"/>
        <w:rPr>
          <w:rFonts w:ascii="Times New Roman" w:hAnsi="Times New Roman" w:cs="Times New Roman"/>
          <w:sz w:val="24"/>
          <w:szCs w:val="24"/>
        </w:rPr>
      </w:pPr>
      <w:r w:rsidRPr="00D2333E">
        <w:rPr>
          <w:rFonts w:ascii="Times New Roman" w:hAnsi="Times New Roman" w:cs="Times New Roman"/>
          <w:sz w:val="24"/>
          <w:szCs w:val="24"/>
        </w:rPr>
        <w:t xml:space="preserve">Los dos cuadros anteriores presentan una panorámica histórica más amplia, que permiten analizar la evolución del S &amp; P 500 en un período largo, así como el impacto de varias crisis. </w:t>
      </w:r>
    </w:p>
    <w:p w:rsidR="001E6FAE" w:rsidRPr="00FB4B04" w:rsidRDefault="001E6FAE" w:rsidP="001E6FAE">
      <w:pPr>
        <w:spacing w:line="240" w:lineRule="auto"/>
        <w:jc w:val="both"/>
        <w:rPr>
          <w:rFonts w:ascii="Times New Roman" w:hAnsi="Times New Roman" w:cs="Times New Roman"/>
          <w:sz w:val="24"/>
          <w:szCs w:val="24"/>
        </w:rPr>
      </w:pPr>
      <w:r w:rsidRPr="00FB4B04">
        <w:rPr>
          <w:rFonts w:ascii="Times New Roman" w:hAnsi="Times New Roman" w:cs="Times New Roman"/>
          <w:b/>
          <w:sz w:val="24"/>
          <w:szCs w:val="24"/>
        </w:rPr>
        <w:lastRenderedPageBreak/>
        <w:t>Una “passeggiata” por Wall Street (con la “intercesión” de San Google): Mayo 2020</w:t>
      </w:r>
    </w:p>
    <w:p w:rsidR="001E6FAE" w:rsidRDefault="001E6FAE" w:rsidP="001E6FAE">
      <w:pPr>
        <w:spacing w:line="240" w:lineRule="auto"/>
        <w:jc w:val="both"/>
        <w:rPr>
          <w:rFonts w:ascii="Times New Roman" w:hAnsi="Times New Roman" w:cs="Times New Roman"/>
          <w:b/>
          <w:color w:val="FF0000"/>
          <w:sz w:val="24"/>
          <w:szCs w:val="24"/>
          <w:lang w:val="en-US"/>
        </w:rPr>
      </w:pPr>
      <w:r>
        <w:rPr>
          <w:noProof/>
          <w:lang w:eastAsia="es-ES"/>
        </w:rPr>
        <w:drawing>
          <wp:inline distT="0" distB="0" distL="0" distR="0" wp14:anchorId="233B622D" wp14:editId="38320C59">
            <wp:extent cx="5734050" cy="2355850"/>
            <wp:effectExtent l="0" t="0" r="0" b="6350"/>
            <wp:docPr id="448" name="Imagen 448" descr="Evolución histórica del S&amp;P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volución histórica del S&amp;P 50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31510" cy="2354806"/>
                    </a:xfrm>
                    <a:prstGeom prst="rect">
                      <a:avLst/>
                    </a:prstGeom>
                    <a:noFill/>
                    <a:ln>
                      <a:noFill/>
                    </a:ln>
                  </pic:spPr>
                </pic:pic>
              </a:graphicData>
            </a:graphic>
          </wp:inline>
        </w:drawing>
      </w:r>
    </w:p>
    <w:p w:rsidR="001E6FAE" w:rsidRDefault="001E6FAE" w:rsidP="001E6FAE">
      <w:pPr>
        <w:spacing w:line="240" w:lineRule="auto"/>
        <w:jc w:val="both"/>
        <w:rPr>
          <w:rFonts w:ascii="Times New Roman" w:hAnsi="Times New Roman" w:cs="Times New Roman"/>
          <w:b/>
          <w:color w:val="FF0000"/>
          <w:sz w:val="24"/>
          <w:szCs w:val="24"/>
          <w:lang w:val="en-US"/>
        </w:rPr>
      </w:pPr>
      <w:r>
        <w:rPr>
          <w:noProof/>
          <w:lang w:eastAsia="es-ES"/>
        </w:rPr>
        <w:drawing>
          <wp:inline distT="0" distB="0" distL="0" distR="0" wp14:anchorId="5D3481C6" wp14:editId="42638024">
            <wp:extent cx="5726780" cy="2850777"/>
            <wp:effectExtent l="0" t="0" r="7620" b="6985"/>
            <wp:docPr id="449" name="Imagen 449" descr="Evolución histórica del SP 500 desde 1964-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volución histórica del SP 500 desde 1964-2016"/>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731510" cy="2853132"/>
                    </a:xfrm>
                    <a:prstGeom prst="rect">
                      <a:avLst/>
                    </a:prstGeom>
                    <a:noFill/>
                    <a:ln>
                      <a:noFill/>
                    </a:ln>
                  </pic:spPr>
                </pic:pic>
              </a:graphicData>
            </a:graphic>
          </wp:inline>
        </w:drawing>
      </w:r>
    </w:p>
    <w:p w:rsidR="001E6FAE" w:rsidRDefault="001E6FAE" w:rsidP="001E6FAE">
      <w:pPr>
        <w:spacing w:line="240" w:lineRule="auto"/>
        <w:jc w:val="both"/>
        <w:rPr>
          <w:rFonts w:ascii="Times New Roman" w:hAnsi="Times New Roman" w:cs="Times New Roman"/>
          <w:b/>
          <w:color w:val="FF0000"/>
          <w:sz w:val="24"/>
          <w:szCs w:val="24"/>
          <w:lang w:val="en-US"/>
        </w:rPr>
      </w:pPr>
      <w:r>
        <w:rPr>
          <w:noProof/>
          <w:lang w:eastAsia="es-ES"/>
        </w:rPr>
        <w:drawing>
          <wp:inline distT="0" distB="0" distL="0" distR="0" wp14:anchorId="3B95AFB1" wp14:editId="7881E101">
            <wp:extent cx="5726429" cy="2756647"/>
            <wp:effectExtent l="0" t="0" r="8255" b="5715"/>
            <wp:docPr id="450" name="Imagen 450" descr="S&amp;P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amp;P 500"/>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731510" cy="2759093"/>
                    </a:xfrm>
                    <a:prstGeom prst="rect">
                      <a:avLst/>
                    </a:prstGeom>
                    <a:noFill/>
                    <a:ln>
                      <a:noFill/>
                    </a:ln>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r>
        <w:rPr>
          <w:noProof/>
          <w:lang w:eastAsia="es-ES"/>
        </w:rPr>
        <w:lastRenderedPageBreak/>
        <w:drawing>
          <wp:inline distT="0" distB="0" distL="0" distR="0" wp14:anchorId="41A9EE99" wp14:editId="2F334A3C">
            <wp:extent cx="5735169" cy="2480982"/>
            <wp:effectExtent l="0" t="0" r="0" b="0"/>
            <wp:docPr id="451" name="Imagen 451" descr="El S&amp;P 500 bate récord en resultados gracias a la reforma fisc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 S&amp;P 500 bate récord en resultados gracias a la reforma fiscal ..."/>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731510" cy="2479399"/>
                    </a:xfrm>
                    <a:prstGeom prst="rect">
                      <a:avLst/>
                    </a:prstGeom>
                    <a:noFill/>
                    <a:ln>
                      <a:noFill/>
                    </a:ln>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r>
        <w:rPr>
          <w:noProof/>
          <w:lang w:eastAsia="es-ES"/>
        </w:rPr>
        <w:drawing>
          <wp:inline distT="0" distB="0" distL="0" distR="0" wp14:anchorId="37CFC3F8" wp14:editId="389DD2FE">
            <wp:extent cx="5728447" cy="3771900"/>
            <wp:effectExtent l="0" t="0" r="5715" b="0"/>
            <wp:docPr id="452" name="Imagen 452" descr="El S&amp;P 500 lleva una década subiendo al 17,5% anual, y este 201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l S&amp;P 500 lleva una década subiendo al 17,5% anual, y este 2019 ..."/>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731510" cy="3773917"/>
                    </a:xfrm>
                    <a:prstGeom prst="rect">
                      <a:avLst/>
                    </a:prstGeom>
                    <a:noFill/>
                    <a:ln>
                      <a:noFill/>
                    </a:ln>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S&amp;P 500 (El Economista - </w:t>
      </w:r>
      <w:r w:rsidRPr="001B4ACC">
        <w:rPr>
          <w:rFonts w:ascii="Times New Roman" w:hAnsi="Times New Roman" w:cs="Times New Roman"/>
          <w:b/>
          <w:sz w:val="24"/>
          <w:szCs w:val="24"/>
          <w:lang w:val="en-US"/>
        </w:rPr>
        <w:t>23/5/20</w:t>
      </w:r>
      <w:r>
        <w:rPr>
          <w:rFonts w:ascii="Times New Roman" w:hAnsi="Times New Roman" w:cs="Times New Roman"/>
          <w:sz w:val="24"/>
          <w:szCs w:val="24"/>
          <w:lang w:val="en-US"/>
        </w:rPr>
        <w:t>)</w:t>
      </w:r>
    </w:p>
    <w:p w:rsidR="001E6FAE" w:rsidRDefault="001E6FAE" w:rsidP="001E6FAE">
      <w:pPr>
        <w:spacing w:line="240" w:lineRule="auto"/>
        <w:jc w:val="both"/>
        <w:rPr>
          <w:rFonts w:ascii="Times New Roman" w:hAnsi="Times New Roman" w:cs="Times New Roman"/>
          <w:sz w:val="24"/>
          <w:szCs w:val="24"/>
          <w:lang w:val="en-US"/>
        </w:rPr>
      </w:pPr>
      <w:r w:rsidRPr="00612FE0">
        <w:rPr>
          <w:rFonts w:ascii="Times New Roman" w:hAnsi="Times New Roman" w:cs="Times New Roman"/>
          <w:noProof/>
          <w:sz w:val="24"/>
          <w:szCs w:val="24"/>
          <w:lang w:eastAsia="es-ES"/>
        </w:rPr>
        <w:drawing>
          <wp:inline distT="0" distB="0" distL="0" distR="0" wp14:anchorId="3761742F" wp14:editId="30B30937">
            <wp:extent cx="5721060" cy="1969994"/>
            <wp:effectExtent l="0" t="0" r="0" b="0"/>
            <wp:docPr id="453" name="Imagen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5721060" cy="1969994"/>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r w:rsidRPr="006F489F">
        <w:rPr>
          <w:rFonts w:ascii="Times New Roman" w:hAnsi="Times New Roman" w:cs="Times New Roman"/>
          <w:noProof/>
          <w:sz w:val="24"/>
          <w:szCs w:val="24"/>
          <w:lang w:eastAsia="es-ES"/>
        </w:rPr>
        <w:lastRenderedPageBreak/>
        <w:drawing>
          <wp:inline distT="0" distB="0" distL="0" distR="0" wp14:anchorId="31AAF62A" wp14:editId="06B278FC">
            <wp:extent cx="5727699" cy="2787650"/>
            <wp:effectExtent l="0" t="0" r="6985" b="0"/>
            <wp:docPr id="454" name="Imagen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731510" cy="2789505"/>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lang w:val="en-US"/>
        </w:rPr>
      </w:pPr>
      <w:r w:rsidRPr="00612FE0">
        <w:rPr>
          <w:rFonts w:ascii="Times New Roman" w:hAnsi="Times New Roman" w:cs="Times New Roman"/>
          <w:noProof/>
          <w:sz w:val="24"/>
          <w:szCs w:val="24"/>
          <w:lang w:eastAsia="es-ES"/>
        </w:rPr>
        <w:drawing>
          <wp:inline distT="0" distB="0" distL="0" distR="0" wp14:anchorId="084C1944" wp14:editId="6A7207B6">
            <wp:extent cx="5730203" cy="2749550"/>
            <wp:effectExtent l="0" t="0" r="4445" b="0"/>
            <wp:docPr id="455" name="Imagen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5731510" cy="2750177"/>
                    </a:xfrm>
                    <a:prstGeom prst="rect">
                      <a:avLst/>
                    </a:prstGeom>
                  </pic:spPr>
                </pic:pic>
              </a:graphicData>
            </a:graphic>
          </wp:inline>
        </w:drawing>
      </w:r>
    </w:p>
    <w:p w:rsidR="001E6FAE" w:rsidRDefault="001E6FAE" w:rsidP="001E6FAE">
      <w:pPr>
        <w:spacing w:line="240" w:lineRule="auto"/>
        <w:jc w:val="both"/>
        <w:rPr>
          <w:rFonts w:ascii="Times New Roman" w:hAnsi="Times New Roman" w:cs="Times New Roman"/>
          <w:sz w:val="24"/>
          <w:szCs w:val="24"/>
          <w:shd w:val="clear" w:color="auto" w:fill="FFFFFF"/>
        </w:rPr>
      </w:pPr>
      <w:r w:rsidRPr="00DD5436">
        <w:rPr>
          <w:rFonts w:ascii="Times New Roman" w:hAnsi="Times New Roman" w:cs="Times New Roman"/>
          <w:sz w:val="24"/>
          <w:szCs w:val="24"/>
          <w:shd w:val="clear" w:color="auto" w:fill="FFFFFF"/>
        </w:rPr>
        <w:t>EURO STOXX 50®</w:t>
      </w:r>
    </w:p>
    <w:p w:rsidR="0053075D" w:rsidRDefault="001E6FAE" w:rsidP="001E6FAE">
      <w:pPr>
        <w:spacing w:line="240" w:lineRule="auto"/>
        <w:jc w:val="both"/>
        <w:rPr>
          <w:rFonts w:ascii="Times New Roman" w:hAnsi="Times New Roman" w:cs="Times New Roman"/>
          <w:noProof/>
          <w:sz w:val="24"/>
          <w:szCs w:val="24"/>
          <w:shd w:val="clear" w:color="auto" w:fill="FFFFFF"/>
          <w:lang w:eastAsia="es-ES"/>
        </w:rPr>
        <w:sectPr w:rsidR="0053075D" w:rsidSect="001E6FAE">
          <w:pgSz w:w="11906" w:h="16838"/>
          <w:pgMar w:top="1440" w:right="1440" w:bottom="1440" w:left="1440" w:header="709" w:footer="709" w:gutter="0"/>
          <w:cols w:space="708"/>
          <w:docGrid w:linePitch="360"/>
        </w:sectPr>
      </w:pPr>
      <w:r>
        <w:rPr>
          <w:rFonts w:ascii="Times New Roman" w:hAnsi="Times New Roman" w:cs="Times New Roman"/>
          <w:noProof/>
          <w:sz w:val="24"/>
          <w:szCs w:val="24"/>
          <w:shd w:val="clear" w:color="auto" w:fill="FFFFFF"/>
          <w:lang w:eastAsia="es-ES"/>
        </w:rPr>
        <w:t>n</w:t>
      </w:r>
      <w:r w:rsidRPr="00DD5436">
        <w:rPr>
          <w:rFonts w:ascii="Times New Roman" w:hAnsi="Times New Roman" w:cs="Times New Roman"/>
          <w:noProof/>
          <w:sz w:val="24"/>
          <w:szCs w:val="24"/>
          <w:shd w:val="clear" w:color="auto" w:fill="FFFFFF"/>
          <w:lang w:eastAsia="es-ES"/>
        </w:rPr>
        <w:drawing>
          <wp:inline distT="0" distB="0" distL="0" distR="0" wp14:anchorId="7DD1D0D5" wp14:editId="754574FC">
            <wp:extent cx="5731510" cy="2445385"/>
            <wp:effectExtent l="0" t="0" r="2540" b="0"/>
            <wp:docPr id="456" name="Imagen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5731510" cy="2445385"/>
                    </a:xfrm>
                    <a:prstGeom prst="rect">
                      <a:avLst/>
                    </a:prstGeom>
                  </pic:spPr>
                </pic:pic>
              </a:graphicData>
            </a:graphic>
          </wp:inline>
        </w:drawing>
      </w:r>
    </w:p>
    <w:p w:rsidR="0053075D" w:rsidRPr="00797BBF" w:rsidRDefault="00C655CF" w:rsidP="0053075D">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lastRenderedPageBreak/>
        <w:t xml:space="preserve">Cálculo </w:t>
      </w:r>
      <w:r w:rsidR="0053075D" w:rsidRPr="00797BBF">
        <w:rPr>
          <w:rFonts w:ascii="Times New Roman" w:hAnsi="Times New Roman" w:cs="Times New Roman"/>
          <w:b/>
          <w:sz w:val="24"/>
          <w:szCs w:val="24"/>
          <w:shd w:val="clear" w:color="auto" w:fill="FFFFFF"/>
        </w:rPr>
        <w:t>de las “pérdidas</w:t>
      </w:r>
      <w:r>
        <w:rPr>
          <w:rFonts w:ascii="Times New Roman" w:hAnsi="Times New Roman" w:cs="Times New Roman"/>
          <w:b/>
          <w:sz w:val="24"/>
          <w:szCs w:val="24"/>
          <w:shd w:val="clear" w:color="auto" w:fill="FFFFFF"/>
        </w:rPr>
        <w:t>” (o perdedores) en el proceso de</w:t>
      </w:r>
      <w:r w:rsidR="0053075D" w:rsidRPr="00797BBF">
        <w:rPr>
          <w:rFonts w:ascii="Times New Roman" w:hAnsi="Times New Roman" w:cs="Times New Roman"/>
          <w:b/>
          <w:sz w:val="24"/>
          <w:szCs w:val="24"/>
          <w:shd w:val="clear" w:color="auto" w:fill="FFFFFF"/>
        </w:rPr>
        <w:t xml:space="preserve"> globalización</w:t>
      </w:r>
    </w:p>
    <w:p w:rsidR="0053075D" w:rsidRPr="002F06AB" w:rsidRDefault="0053075D" w:rsidP="0053075D">
      <w:pPr>
        <w:spacing w:line="240" w:lineRule="auto"/>
        <w:jc w:val="both"/>
        <w:rPr>
          <w:rFonts w:ascii="Times New Roman" w:hAnsi="Times New Roman" w:cs="Times New Roman"/>
          <w:color w:val="FF0000"/>
          <w:sz w:val="24"/>
          <w:szCs w:val="24"/>
          <w:shd w:val="clear" w:color="auto" w:fill="FFFFFF"/>
        </w:rPr>
      </w:pPr>
      <w:r w:rsidRPr="00F40786">
        <w:rPr>
          <w:rFonts w:ascii="Times New Roman" w:hAnsi="Times New Roman" w:cs="Times New Roman"/>
          <w:b/>
          <w:color w:val="FF0000"/>
          <w:sz w:val="24"/>
          <w:szCs w:val="24"/>
          <w:shd w:val="clear" w:color="auto" w:fill="FFFFFF"/>
        </w:rPr>
        <w:t>(-) Aumento de las importaciones dura</w:t>
      </w:r>
      <w:r w:rsidR="00B54D85">
        <w:rPr>
          <w:rFonts w:ascii="Times New Roman" w:hAnsi="Times New Roman" w:cs="Times New Roman"/>
          <w:b/>
          <w:color w:val="FF0000"/>
          <w:sz w:val="24"/>
          <w:szCs w:val="24"/>
          <w:shd w:val="clear" w:color="auto" w:fill="FFFFFF"/>
        </w:rPr>
        <w:t>nte el proceso de globalización</w:t>
      </w:r>
    </w:p>
    <w:p w:rsidR="0053075D" w:rsidRDefault="0053075D" w:rsidP="0053075D">
      <w:pPr>
        <w:spacing w:line="240" w:lineRule="auto"/>
        <w:jc w:val="both"/>
        <w:rPr>
          <w:rFonts w:ascii="Times New Roman" w:hAnsi="Times New Roman" w:cs="Times New Roman"/>
          <w:color w:val="FF0000"/>
          <w:sz w:val="24"/>
          <w:szCs w:val="24"/>
          <w:shd w:val="clear" w:color="auto" w:fill="FFFFFF"/>
        </w:rPr>
      </w:pPr>
      <w:r w:rsidRPr="00780DE3">
        <w:rPr>
          <w:rFonts w:ascii="Times New Roman" w:hAnsi="Times New Roman" w:cs="Times New Roman"/>
          <w:b/>
          <w:noProof/>
          <w:sz w:val="24"/>
          <w:szCs w:val="24"/>
          <w:lang w:eastAsia="es-ES"/>
        </w:rPr>
        <w:drawing>
          <wp:inline distT="0" distB="0" distL="0" distR="0" wp14:anchorId="5539F7C5" wp14:editId="2BE33289">
            <wp:extent cx="7461250" cy="1930400"/>
            <wp:effectExtent l="0" t="0" r="6350" b="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7476385" cy="1934316"/>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2000, 405,4 miles de millones de dólares; Año 2018, 2.830,8 miles</w:t>
      </w:r>
      <w:r w:rsidR="00642E5A">
        <w:rPr>
          <w:rFonts w:ascii="Times New Roman" w:hAnsi="Times New Roman" w:cs="Times New Roman"/>
          <w:sz w:val="24"/>
          <w:szCs w:val="24"/>
          <w:shd w:val="clear" w:color="auto" w:fill="FFFFFF"/>
        </w:rPr>
        <w:t xml:space="preserve"> de millones de dólares; Var. 5</w:t>
      </w:r>
      <w:r>
        <w:rPr>
          <w:rFonts w:ascii="Times New Roman" w:hAnsi="Times New Roman" w:cs="Times New Roman"/>
          <w:sz w:val="24"/>
          <w:szCs w:val="24"/>
          <w:shd w:val="clear" w:color="auto" w:fill="FFFFFF"/>
        </w:rPr>
        <w:t xml:space="preserve">98 % </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2000, 829,2 miles de millones de dólares; Año 2018, 1.832,3 miles</w:t>
      </w:r>
      <w:r w:rsidR="00642E5A">
        <w:rPr>
          <w:rFonts w:ascii="Times New Roman" w:hAnsi="Times New Roman" w:cs="Times New Roman"/>
          <w:sz w:val="24"/>
          <w:szCs w:val="24"/>
          <w:shd w:val="clear" w:color="auto" w:fill="FFFFFF"/>
        </w:rPr>
        <w:t xml:space="preserve"> de millones de dólares; Var. 1</w:t>
      </w:r>
      <w:r>
        <w:rPr>
          <w:rFonts w:ascii="Times New Roman" w:hAnsi="Times New Roman" w:cs="Times New Roman"/>
          <w:sz w:val="24"/>
          <w:szCs w:val="24"/>
          <w:shd w:val="clear" w:color="auto" w:fill="FFFFFF"/>
        </w:rPr>
        <w:t>21 %</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2000, 1.829,4 miles de millones de dólares; Año 2018, 4.874,0 miles</w:t>
      </w:r>
      <w:r w:rsidR="00642E5A">
        <w:rPr>
          <w:rFonts w:ascii="Times New Roman" w:hAnsi="Times New Roman" w:cs="Times New Roman"/>
          <w:sz w:val="24"/>
          <w:szCs w:val="24"/>
          <w:shd w:val="clear" w:color="auto" w:fill="FFFFFF"/>
        </w:rPr>
        <w:t xml:space="preserve"> de millones de dólares; Var. 1</w:t>
      </w:r>
      <w:r>
        <w:rPr>
          <w:rFonts w:ascii="Times New Roman" w:hAnsi="Times New Roman" w:cs="Times New Roman"/>
          <w:sz w:val="24"/>
          <w:szCs w:val="24"/>
          <w:shd w:val="clear" w:color="auto" w:fill="FFFFFF"/>
        </w:rPr>
        <w:t>66 %</w:t>
      </w:r>
    </w:p>
    <w:p w:rsidR="00642E5A" w:rsidRDefault="00642E5A" w:rsidP="0053075D">
      <w:pPr>
        <w:spacing w:line="240" w:lineRule="auto"/>
        <w:jc w:val="both"/>
        <w:rPr>
          <w:rFonts w:ascii="Times New Roman" w:hAnsi="Times New Roman" w:cs="Times New Roman"/>
          <w:sz w:val="24"/>
          <w:szCs w:val="24"/>
          <w:shd w:val="clear" w:color="auto" w:fill="FFFFFF"/>
        </w:rPr>
      </w:pPr>
    </w:p>
    <w:p w:rsidR="0053075D" w:rsidRPr="009C40A4" w:rsidRDefault="0053075D" w:rsidP="0053075D">
      <w:pPr>
        <w:spacing w:line="240" w:lineRule="auto"/>
        <w:jc w:val="both"/>
        <w:rPr>
          <w:rFonts w:ascii="Times New Roman" w:eastAsia="Times New Roman" w:hAnsi="Times New Roman" w:cs="Times New Roman"/>
          <w:b/>
          <w:bCs/>
          <w:color w:val="111111"/>
          <w:kern w:val="36"/>
          <w:sz w:val="24"/>
          <w:szCs w:val="24"/>
          <w:lang w:eastAsia="es-ES"/>
        </w:rPr>
      </w:pPr>
    </w:p>
    <w:p w:rsidR="0053075D" w:rsidRPr="009C40A4" w:rsidRDefault="0053075D" w:rsidP="0053075D">
      <w:pPr>
        <w:spacing w:line="240" w:lineRule="auto"/>
        <w:jc w:val="both"/>
        <w:rPr>
          <w:rFonts w:ascii="Times New Roman" w:eastAsia="Times New Roman" w:hAnsi="Times New Roman" w:cs="Times New Roman"/>
          <w:b/>
          <w:bCs/>
          <w:color w:val="111111"/>
          <w:kern w:val="36"/>
          <w:sz w:val="24"/>
          <w:szCs w:val="24"/>
          <w:lang w:eastAsia="es-ES"/>
        </w:rPr>
      </w:pPr>
    </w:p>
    <w:p w:rsidR="0053075D" w:rsidRPr="009C40A4" w:rsidRDefault="0053075D" w:rsidP="0053075D">
      <w:pPr>
        <w:spacing w:line="240" w:lineRule="auto"/>
        <w:jc w:val="both"/>
        <w:rPr>
          <w:rFonts w:ascii="Times New Roman" w:eastAsia="Times New Roman" w:hAnsi="Times New Roman" w:cs="Times New Roman"/>
          <w:b/>
          <w:bCs/>
          <w:color w:val="111111"/>
          <w:kern w:val="36"/>
          <w:sz w:val="24"/>
          <w:szCs w:val="24"/>
          <w:lang w:eastAsia="es-ES"/>
        </w:rPr>
      </w:pPr>
    </w:p>
    <w:p w:rsidR="0053075D" w:rsidRPr="009C40A4" w:rsidRDefault="0053075D" w:rsidP="0053075D">
      <w:pPr>
        <w:spacing w:line="240" w:lineRule="auto"/>
        <w:jc w:val="both"/>
        <w:rPr>
          <w:rFonts w:ascii="Times New Roman" w:eastAsia="Times New Roman" w:hAnsi="Times New Roman" w:cs="Times New Roman"/>
          <w:b/>
          <w:bCs/>
          <w:color w:val="111111"/>
          <w:kern w:val="36"/>
          <w:sz w:val="24"/>
          <w:szCs w:val="24"/>
          <w:lang w:eastAsia="es-ES"/>
        </w:rPr>
      </w:pPr>
    </w:p>
    <w:p w:rsidR="0053075D" w:rsidRPr="009C40A4" w:rsidRDefault="0053075D" w:rsidP="0053075D">
      <w:pPr>
        <w:spacing w:line="240" w:lineRule="auto"/>
        <w:jc w:val="both"/>
        <w:rPr>
          <w:rFonts w:ascii="Times New Roman" w:eastAsia="Times New Roman" w:hAnsi="Times New Roman" w:cs="Times New Roman"/>
          <w:b/>
          <w:bCs/>
          <w:color w:val="111111"/>
          <w:kern w:val="36"/>
          <w:sz w:val="24"/>
          <w:szCs w:val="24"/>
          <w:lang w:eastAsia="es-ES"/>
        </w:rPr>
      </w:pPr>
    </w:p>
    <w:p w:rsidR="0053075D" w:rsidRPr="009C40A4" w:rsidRDefault="0053075D" w:rsidP="0053075D">
      <w:pPr>
        <w:spacing w:line="240" w:lineRule="auto"/>
        <w:jc w:val="both"/>
        <w:rPr>
          <w:rFonts w:ascii="Times New Roman" w:eastAsia="Times New Roman" w:hAnsi="Times New Roman" w:cs="Times New Roman"/>
          <w:b/>
          <w:bCs/>
          <w:color w:val="111111"/>
          <w:kern w:val="36"/>
          <w:sz w:val="24"/>
          <w:szCs w:val="24"/>
          <w:lang w:eastAsia="es-ES"/>
        </w:rPr>
      </w:pPr>
    </w:p>
    <w:p w:rsidR="0053075D" w:rsidRPr="00F40786" w:rsidRDefault="0053075D" w:rsidP="0053075D">
      <w:pPr>
        <w:spacing w:line="240" w:lineRule="auto"/>
        <w:jc w:val="both"/>
        <w:rPr>
          <w:rFonts w:ascii="Times New Roman" w:hAnsi="Times New Roman" w:cs="Times New Roman"/>
          <w:b/>
          <w:sz w:val="24"/>
          <w:szCs w:val="24"/>
          <w:lang w:val="en-US"/>
        </w:rPr>
      </w:pPr>
      <w:r w:rsidRPr="00105A2A">
        <w:rPr>
          <w:rFonts w:ascii="Times New Roman" w:eastAsia="Times New Roman" w:hAnsi="Times New Roman" w:cs="Times New Roman"/>
          <w:b/>
          <w:bCs/>
          <w:color w:val="111111"/>
          <w:kern w:val="36"/>
          <w:sz w:val="24"/>
          <w:szCs w:val="24"/>
          <w:lang w:val="en-US" w:eastAsia="es-ES"/>
        </w:rPr>
        <w:lastRenderedPageBreak/>
        <w:t>Global value chains and trade</w:t>
      </w:r>
      <w:r>
        <w:rPr>
          <w:rFonts w:ascii="Times New Roman" w:eastAsia="Times New Roman" w:hAnsi="Times New Roman" w:cs="Times New Roman"/>
          <w:b/>
          <w:bCs/>
          <w:color w:val="111111"/>
          <w:kern w:val="36"/>
          <w:sz w:val="24"/>
          <w:szCs w:val="24"/>
          <w:lang w:val="en-US" w:eastAsia="es-ES"/>
        </w:rPr>
        <w:t xml:space="preserve"> (</w:t>
      </w:r>
      <w:r w:rsidRPr="00F40786">
        <w:rPr>
          <w:rFonts w:ascii="Times New Roman" w:hAnsi="Times New Roman" w:cs="Times New Roman"/>
          <w:b/>
          <w:sz w:val="24"/>
          <w:szCs w:val="24"/>
          <w:lang w:val="en-US"/>
        </w:rPr>
        <w:t>OECD Economic Surveys: China 2019</w:t>
      </w:r>
      <w:r>
        <w:rPr>
          <w:rFonts w:ascii="Times New Roman" w:hAnsi="Times New Roman" w:cs="Times New Roman"/>
          <w:b/>
          <w:sz w:val="24"/>
          <w:szCs w:val="24"/>
          <w:lang w:val="en-US"/>
        </w:rPr>
        <w:t>)</w:t>
      </w:r>
    </w:p>
    <w:p w:rsidR="0053075D" w:rsidRDefault="0053075D" w:rsidP="0053075D">
      <w:pPr>
        <w:spacing w:line="240" w:lineRule="auto"/>
        <w:jc w:val="both"/>
        <w:rPr>
          <w:rFonts w:ascii="Times New Roman" w:hAnsi="Times New Roman" w:cs="Times New Roman"/>
          <w:sz w:val="24"/>
          <w:szCs w:val="24"/>
          <w:lang w:val="en-US"/>
        </w:rPr>
      </w:pPr>
      <w:r w:rsidRPr="00026A23">
        <w:rPr>
          <w:rFonts w:ascii="Times New Roman" w:hAnsi="Times New Roman" w:cs="Times New Roman"/>
          <w:noProof/>
          <w:sz w:val="24"/>
          <w:szCs w:val="24"/>
          <w:lang w:eastAsia="es-ES"/>
        </w:rPr>
        <w:drawing>
          <wp:inline distT="0" distB="0" distL="0" distR="0" wp14:anchorId="46166FCF" wp14:editId="65CC4152">
            <wp:extent cx="7799294" cy="1438836"/>
            <wp:effectExtent l="0" t="0" r="0" b="9525"/>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7829649" cy="1444436"/>
                    </a:xfrm>
                    <a:prstGeom prst="rect">
                      <a:avLst/>
                    </a:prstGeom>
                  </pic:spPr>
                </pic:pic>
              </a:graphicData>
            </a:graphic>
          </wp:inline>
        </w:drawing>
      </w:r>
      <w:r w:rsidRPr="00026A23">
        <w:rPr>
          <w:rFonts w:ascii="Times New Roman" w:hAnsi="Times New Roman" w:cs="Times New Roman"/>
          <w:noProof/>
          <w:sz w:val="24"/>
          <w:szCs w:val="24"/>
          <w:lang w:eastAsia="es-ES"/>
        </w:rPr>
        <w:drawing>
          <wp:inline distT="0" distB="0" distL="0" distR="0" wp14:anchorId="67F2E0EC" wp14:editId="6BAB9A6B">
            <wp:extent cx="7799294" cy="188259"/>
            <wp:effectExtent l="0" t="0" r="0" b="2540"/>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7799294" cy="188259"/>
                    </a:xfrm>
                    <a:prstGeom prst="rect">
                      <a:avLst/>
                    </a:prstGeom>
                  </pic:spPr>
                </pic:pic>
              </a:graphicData>
            </a:graphic>
          </wp:inline>
        </w:drawing>
      </w:r>
      <w:r w:rsidRPr="00026A23">
        <w:rPr>
          <w:rFonts w:ascii="Times New Roman" w:hAnsi="Times New Roman" w:cs="Times New Roman"/>
          <w:noProof/>
          <w:sz w:val="24"/>
          <w:szCs w:val="24"/>
          <w:lang w:eastAsia="es-ES"/>
        </w:rPr>
        <w:drawing>
          <wp:inline distT="0" distB="0" distL="0" distR="0" wp14:anchorId="314FEF29" wp14:editId="6296CE23">
            <wp:extent cx="7799294" cy="201706"/>
            <wp:effectExtent l="0" t="0" r="0" b="8255"/>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7799294" cy="201706"/>
                    </a:xfrm>
                    <a:prstGeom prst="rect">
                      <a:avLst/>
                    </a:prstGeom>
                  </pic:spPr>
                </pic:pic>
              </a:graphicData>
            </a:graphic>
          </wp:inline>
        </w:drawing>
      </w:r>
      <w:r w:rsidRPr="00026A23">
        <w:rPr>
          <w:rFonts w:ascii="Times New Roman" w:hAnsi="Times New Roman" w:cs="Times New Roman"/>
          <w:noProof/>
          <w:sz w:val="24"/>
          <w:szCs w:val="24"/>
          <w:lang w:eastAsia="es-ES"/>
        </w:rPr>
        <w:drawing>
          <wp:inline distT="0" distB="0" distL="0" distR="0" wp14:anchorId="4E6EF12D" wp14:editId="11272ABC">
            <wp:extent cx="7799294" cy="853888"/>
            <wp:effectExtent l="0" t="0" r="0" b="3810"/>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7799303" cy="853889"/>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sz w:val="24"/>
          <w:szCs w:val="24"/>
          <w:lang w:val="en-US"/>
        </w:rPr>
      </w:pPr>
      <w:r w:rsidRPr="002944EB">
        <w:rPr>
          <w:rFonts w:ascii="Times New Roman" w:hAnsi="Times New Roman" w:cs="Times New Roman"/>
          <w:noProof/>
          <w:sz w:val="24"/>
          <w:szCs w:val="24"/>
          <w:lang w:eastAsia="es-ES"/>
        </w:rPr>
        <w:drawing>
          <wp:inline distT="0" distB="0" distL="0" distR="0" wp14:anchorId="269F2A8B" wp14:editId="432FCB78">
            <wp:extent cx="7745506" cy="1371600"/>
            <wp:effectExtent l="0" t="0" r="8255" b="0"/>
            <wp:docPr id="460" name="Imagen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7759336" cy="1374049"/>
                    </a:xfrm>
                    <a:prstGeom prst="rect">
                      <a:avLst/>
                    </a:prstGeom>
                  </pic:spPr>
                </pic:pic>
              </a:graphicData>
            </a:graphic>
          </wp:inline>
        </w:drawing>
      </w:r>
      <w:r w:rsidRPr="002944EB">
        <w:rPr>
          <w:rFonts w:ascii="Times New Roman" w:hAnsi="Times New Roman" w:cs="Times New Roman"/>
          <w:noProof/>
          <w:sz w:val="24"/>
          <w:szCs w:val="24"/>
          <w:lang w:eastAsia="es-ES"/>
        </w:rPr>
        <w:drawing>
          <wp:inline distT="0" distB="0" distL="0" distR="0" wp14:anchorId="1B9DA48B" wp14:editId="09BE3C32">
            <wp:extent cx="7745506" cy="181536"/>
            <wp:effectExtent l="0" t="0" r="0" b="9525"/>
            <wp:docPr id="461" name="Imagen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7745506" cy="181536"/>
                    </a:xfrm>
                    <a:prstGeom prst="rect">
                      <a:avLst/>
                    </a:prstGeom>
                  </pic:spPr>
                </pic:pic>
              </a:graphicData>
            </a:graphic>
          </wp:inline>
        </w:drawing>
      </w:r>
      <w:r w:rsidRPr="002944EB">
        <w:rPr>
          <w:rFonts w:ascii="Times New Roman" w:hAnsi="Times New Roman" w:cs="Times New Roman"/>
          <w:noProof/>
          <w:sz w:val="24"/>
          <w:szCs w:val="24"/>
          <w:lang w:eastAsia="es-ES"/>
        </w:rPr>
        <w:drawing>
          <wp:inline distT="0" distB="0" distL="0" distR="0" wp14:anchorId="6217F984" wp14:editId="4CCC355D">
            <wp:extent cx="7745506" cy="168088"/>
            <wp:effectExtent l="0" t="0" r="0" b="3810"/>
            <wp:docPr id="462" name="Imagen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7888280" cy="171186"/>
                    </a:xfrm>
                    <a:prstGeom prst="rect">
                      <a:avLst/>
                    </a:prstGeom>
                  </pic:spPr>
                </pic:pic>
              </a:graphicData>
            </a:graphic>
          </wp:inline>
        </w:drawing>
      </w:r>
      <w:r w:rsidRPr="002944EB">
        <w:rPr>
          <w:rFonts w:ascii="Times New Roman" w:hAnsi="Times New Roman" w:cs="Times New Roman"/>
          <w:noProof/>
          <w:sz w:val="24"/>
          <w:szCs w:val="24"/>
          <w:lang w:eastAsia="es-ES"/>
        </w:rPr>
        <w:drawing>
          <wp:inline distT="0" distB="0" distL="0" distR="0" wp14:anchorId="512806A7" wp14:editId="079414A8">
            <wp:extent cx="7745506" cy="853888"/>
            <wp:effectExtent l="0" t="0" r="0" b="3810"/>
            <wp:docPr id="463" name="Imagen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7745506" cy="853888"/>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sz w:val="24"/>
          <w:szCs w:val="24"/>
          <w:lang w:val="en-US"/>
        </w:rPr>
      </w:pPr>
      <w:r w:rsidRPr="00866F5A">
        <w:rPr>
          <w:rFonts w:ascii="Times New Roman" w:hAnsi="Times New Roman" w:cs="Times New Roman"/>
          <w:noProof/>
          <w:sz w:val="24"/>
          <w:szCs w:val="24"/>
          <w:lang w:eastAsia="es-ES"/>
        </w:rPr>
        <w:lastRenderedPageBreak/>
        <w:drawing>
          <wp:inline distT="0" distB="0" distL="0" distR="0" wp14:anchorId="56E9184B" wp14:editId="4755D5FA">
            <wp:extent cx="7469841" cy="1202690"/>
            <wp:effectExtent l="0" t="0" r="0" b="0"/>
            <wp:docPr id="464" name="Imagen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7469841" cy="1202690"/>
                    </a:xfrm>
                    <a:prstGeom prst="rect">
                      <a:avLst/>
                    </a:prstGeom>
                  </pic:spPr>
                </pic:pic>
              </a:graphicData>
            </a:graphic>
          </wp:inline>
        </w:drawing>
      </w:r>
      <w:r w:rsidRPr="003C399C">
        <w:rPr>
          <w:rFonts w:ascii="Times New Roman" w:hAnsi="Times New Roman" w:cs="Times New Roman"/>
          <w:noProof/>
          <w:sz w:val="24"/>
          <w:szCs w:val="24"/>
          <w:lang w:eastAsia="es-ES"/>
        </w:rPr>
        <w:drawing>
          <wp:inline distT="0" distB="0" distL="0" distR="0" wp14:anchorId="42FEC4C4" wp14:editId="42CF7117">
            <wp:extent cx="7469841" cy="141194"/>
            <wp:effectExtent l="0" t="0" r="0" b="0"/>
            <wp:docPr id="465" name="Imagen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7609113" cy="143827"/>
                    </a:xfrm>
                    <a:prstGeom prst="rect">
                      <a:avLst/>
                    </a:prstGeom>
                  </pic:spPr>
                </pic:pic>
              </a:graphicData>
            </a:graphic>
          </wp:inline>
        </w:drawing>
      </w:r>
      <w:r w:rsidRPr="003C399C">
        <w:rPr>
          <w:rFonts w:ascii="Times New Roman" w:hAnsi="Times New Roman" w:cs="Times New Roman"/>
          <w:noProof/>
          <w:sz w:val="24"/>
          <w:szCs w:val="24"/>
          <w:lang w:eastAsia="es-ES"/>
        </w:rPr>
        <w:drawing>
          <wp:inline distT="0" distB="0" distL="0" distR="0" wp14:anchorId="2B3249B0" wp14:editId="43419F9B">
            <wp:extent cx="7469841" cy="692523"/>
            <wp:effectExtent l="0" t="0" r="0" b="0"/>
            <wp:docPr id="466" name="Imagen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7469841" cy="692523"/>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sz w:val="24"/>
          <w:szCs w:val="24"/>
          <w:lang w:val="en-US"/>
        </w:rPr>
      </w:pPr>
      <w:r w:rsidRPr="003C399C">
        <w:rPr>
          <w:rFonts w:ascii="Times New Roman" w:hAnsi="Times New Roman" w:cs="Times New Roman"/>
          <w:noProof/>
          <w:sz w:val="24"/>
          <w:szCs w:val="24"/>
          <w:lang w:eastAsia="es-ES"/>
        </w:rPr>
        <w:drawing>
          <wp:inline distT="0" distB="0" distL="0" distR="0" wp14:anchorId="4794DFC4" wp14:editId="35592F9B">
            <wp:extent cx="7510182" cy="1391771"/>
            <wp:effectExtent l="0" t="0" r="0" b="0"/>
            <wp:docPr id="467" name="Imagen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7510182" cy="1391771"/>
                    </a:xfrm>
                    <a:prstGeom prst="rect">
                      <a:avLst/>
                    </a:prstGeom>
                  </pic:spPr>
                </pic:pic>
              </a:graphicData>
            </a:graphic>
          </wp:inline>
        </w:drawing>
      </w:r>
      <w:r w:rsidRPr="003C399C">
        <w:rPr>
          <w:rFonts w:ascii="Times New Roman" w:hAnsi="Times New Roman" w:cs="Times New Roman"/>
          <w:noProof/>
          <w:sz w:val="24"/>
          <w:szCs w:val="24"/>
          <w:lang w:eastAsia="es-ES"/>
        </w:rPr>
        <w:drawing>
          <wp:inline distT="0" distB="0" distL="0" distR="0" wp14:anchorId="39841923" wp14:editId="1BC526AA">
            <wp:extent cx="7550524" cy="168088"/>
            <wp:effectExtent l="0" t="0" r="0" b="3810"/>
            <wp:docPr id="468" name="Imagen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7550524" cy="168088"/>
                    </a:xfrm>
                    <a:prstGeom prst="rect">
                      <a:avLst/>
                    </a:prstGeom>
                  </pic:spPr>
                </pic:pic>
              </a:graphicData>
            </a:graphic>
          </wp:inline>
        </w:drawing>
      </w:r>
      <w:r w:rsidRPr="003C399C">
        <w:rPr>
          <w:rFonts w:ascii="Times New Roman" w:hAnsi="Times New Roman" w:cs="Times New Roman"/>
          <w:noProof/>
          <w:sz w:val="24"/>
          <w:szCs w:val="24"/>
          <w:lang w:eastAsia="es-ES"/>
        </w:rPr>
        <w:drawing>
          <wp:inline distT="0" distB="0" distL="0" distR="0" wp14:anchorId="7568FE27" wp14:editId="57EB196D">
            <wp:extent cx="7550524" cy="679077"/>
            <wp:effectExtent l="0" t="0" r="0" b="6985"/>
            <wp:docPr id="469" name="Imagen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7550524" cy="679077"/>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sz w:val="24"/>
          <w:szCs w:val="24"/>
          <w:lang w:val="en-US"/>
        </w:rPr>
      </w:pPr>
    </w:p>
    <w:p w:rsidR="0053075D" w:rsidRDefault="0053075D" w:rsidP="0053075D">
      <w:pPr>
        <w:spacing w:line="240" w:lineRule="auto"/>
        <w:jc w:val="both"/>
        <w:rPr>
          <w:rFonts w:ascii="Times New Roman" w:hAnsi="Times New Roman" w:cs="Times New Roman"/>
          <w:sz w:val="24"/>
          <w:szCs w:val="24"/>
          <w:lang w:val="en-US"/>
        </w:rPr>
      </w:pPr>
    </w:p>
    <w:p w:rsidR="0053075D" w:rsidRDefault="0053075D" w:rsidP="0053075D">
      <w:pPr>
        <w:spacing w:line="240" w:lineRule="auto"/>
        <w:jc w:val="both"/>
        <w:rPr>
          <w:rFonts w:ascii="Times New Roman" w:hAnsi="Times New Roman" w:cs="Times New Roman"/>
          <w:sz w:val="24"/>
          <w:szCs w:val="24"/>
          <w:lang w:val="en-US"/>
        </w:rPr>
      </w:pPr>
    </w:p>
    <w:p w:rsidR="0053075D" w:rsidRDefault="0053075D" w:rsidP="0053075D">
      <w:pPr>
        <w:spacing w:line="240" w:lineRule="auto"/>
        <w:jc w:val="both"/>
        <w:rPr>
          <w:rFonts w:ascii="Times New Roman" w:hAnsi="Times New Roman" w:cs="Times New Roman"/>
          <w:sz w:val="24"/>
          <w:szCs w:val="24"/>
          <w:lang w:val="en-US"/>
        </w:rPr>
      </w:pPr>
    </w:p>
    <w:p w:rsidR="0053075D" w:rsidRDefault="0053075D" w:rsidP="0053075D">
      <w:pPr>
        <w:spacing w:line="240" w:lineRule="auto"/>
        <w:jc w:val="both"/>
        <w:rPr>
          <w:rFonts w:ascii="Times New Roman" w:hAnsi="Times New Roman" w:cs="Times New Roman"/>
          <w:sz w:val="24"/>
          <w:szCs w:val="24"/>
          <w:lang w:val="en-US"/>
        </w:rPr>
      </w:pPr>
      <w:r w:rsidRPr="00002DC7">
        <w:rPr>
          <w:rFonts w:ascii="Times New Roman" w:hAnsi="Times New Roman" w:cs="Times New Roman"/>
          <w:noProof/>
          <w:sz w:val="24"/>
          <w:szCs w:val="24"/>
          <w:lang w:eastAsia="es-ES"/>
        </w:rPr>
        <w:lastRenderedPageBreak/>
        <w:drawing>
          <wp:inline distT="0" distB="0" distL="0" distR="0" wp14:anchorId="713B3CCB" wp14:editId="08981B8E">
            <wp:extent cx="7873253" cy="1539688"/>
            <wp:effectExtent l="0" t="0" r="0" b="3810"/>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7888923" cy="1542752"/>
                    </a:xfrm>
                    <a:prstGeom prst="rect">
                      <a:avLst/>
                    </a:prstGeom>
                  </pic:spPr>
                </pic:pic>
              </a:graphicData>
            </a:graphic>
          </wp:inline>
        </w:drawing>
      </w:r>
      <w:r w:rsidRPr="00002DC7">
        <w:rPr>
          <w:rFonts w:ascii="Times New Roman" w:hAnsi="Times New Roman" w:cs="Times New Roman"/>
          <w:noProof/>
          <w:sz w:val="24"/>
          <w:szCs w:val="24"/>
          <w:lang w:eastAsia="es-ES"/>
        </w:rPr>
        <w:drawing>
          <wp:inline distT="0" distB="0" distL="0" distR="0" wp14:anchorId="4E65C7F7" wp14:editId="31B51D1B">
            <wp:extent cx="7873253" cy="147917"/>
            <wp:effectExtent l="0" t="0" r="0" b="5080"/>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7972922" cy="149790"/>
                    </a:xfrm>
                    <a:prstGeom prst="rect">
                      <a:avLst/>
                    </a:prstGeom>
                  </pic:spPr>
                </pic:pic>
              </a:graphicData>
            </a:graphic>
          </wp:inline>
        </w:drawing>
      </w:r>
      <w:r w:rsidRPr="00002DC7">
        <w:rPr>
          <w:rFonts w:ascii="Times New Roman" w:hAnsi="Times New Roman" w:cs="Times New Roman"/>
          <w:noProof/>
          <w:sz w:val="24"/>
          <w:szCs w:val="24"/>
          <w:lang w:eastAsia="es-ES"/>
        </w:rPr>
        <w:drawing>
          <wp:inline distT="0" distB="0" distL="0" distR="0" wp14:anchorId="0C2A6E80" wp14:editId="52DDE83C">
            <wp:extent cx="7873253" cy="194982"/>
            <wp:effectExtent l="0" t="0" r="0" b="0"/>
            <wp:docPr id="472" name="Imagen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7873253" cy="194982"/>
                    </a:xfrm>
                    <a:prstGeom prst="rect">
                      <a:avLst/>
                    </a:prstGeom>
                  </pic:spPr>
                </pic:pic>
              </a:graphicData>
            </a:graphic>
          </wp:inline>
        </w:drawing>
      </w:r>
      <w:r w:rsidRPr="00002DC7">
        <w:rPr>
          <w:rFonts w:ascii="Times New Roman" w:hAnsi="Times New Roman" w:cs="Times New Roman"/>
          <w:noProof/>
          <w:sz w:val="24"/>
          <w:szCs w:val="24"/>
          <w:lang w:eastAsia="es-ES"/>
        </w:rPr>
        <w:drawing>
          <wp:inline distT="0" distB="0" distL="0" distR="0" wp14:anchorId="2623276E" wp14:editId="2DAC7470">
            <wp:extent cx="7873253" cy="813547"/>
            <wp:effectExtent l="0" t="0" r="0" b="5715"/>
            <wp:docPr id="473" name="Imagen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7873253" cy="813547"/>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sz w:val="24"/>
          <w:szCs w:val="24"/>
          <w:lang w:val="en-US"/>
        </w:rPr>
      </w:pPr>
      <w:r w:rsidRPr="00002DC7">
        <w:rPr>
          <w:rFonts w:ascii="Times New Roman" w:hAnsi="Times New Roman" w:cs="Times New Roman"/>
          <w:noProof/>
          <w:sz w:val="24"/>
          <w:szCs w:val="24"/>
          <w:lang w:eastAsia="es-ES"/>
        </w:rPr>
        <w:drawing>
          <wp:inline distT="0" distB="0" distL="0" distR="0" wp14:anchorId="4BFBBF7C" wp14:editId="13EDC6E0">
            <wp:extent cx="7698441" cy="1385047"/>
            <wp:effectExtent l="0" t="0" r="0" b="5715"/>
            <wp:docPr id="474" name="Imagen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7715896" cy="1388187"/>
                    </a:xfrm>
                    <a:prstGeom prst="rect">
                      <a:avLst/>
                    </a:prstGeom>
                  </pic:spPr>
                </pic:pic>
              </a:graphicData>
            </a:graphic>
          </wp:inline>
        </w:drawing>
      </w:r>
      <w:r w:rsidRPr="00002DC7">
        <w:rPr>
          <w:rFonts w:ascii="Times New Roman" w:hAnsi="Times New Roman" w:cs="Times New Roman"/>
          <w:noProof/>
          <w:sz w:val="24"/>
          <w:szCs w:val="24"/>
          <w:lang w:eastAsia="es-ES"/>
        </w:rPr>
        <w:drawing>
          <wp:inline distT="0" distB="0" distL="0" distR="0" wp14:anchorId="23F33626" wp14:editId="4471212D">
            <wp:extent cx="7698441" cy="188259"/>
            <wp:effectExtent l="0" t="0" r="0" b="2540"/>
            <wp:docPr id="475" name="Imagen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7698441" cy="188259"/>
                    </a:xfrm>
                    <a:prstGeom prst="rect">
                      <a:avLst/>
                    </a:prstGeom>
                  </pic:spPr>
                </pic:pic>
              </a:graphicData>
            </a:graphic>
          </wp:inline>
        </w:drawing>
      </w:r>
      <w:r w:rsidRPr="00002DC7">
        <w:rPr>
          <w:rFonts w:ascii="Times New Roman" w:hAnsi="Times New Roman" w:cs="Times New Roman"/>
          <w:noProof/>
          <w:sz w:val="24"/>
          <w:szCs w:val="24"/>
          <w:lang w:eastAsia="es-ES"/>
        </w:rPr>
        <w:drawing>
          <wp:inline distT="0" distB="0" distL="0" distR="0" wp14:anchorId="43129F3A" wp14:editId="3C7352C8">
            <wp:extent cx="7698435" cy="161365"/>
            <wp:effectExtent l="0" t="0" r="0" b="0"/>
            <wp:docPr id="476" name="Imagen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7733434" cy="162099"/>
                    </a:xfrm>
                    <a:prstGeom prst="rect">
                      <a:avLst/>
                    </a:prstGeom>
                  </pic:spPr>
                </pic:pic>
              </a:graphicData>
            </a:graphic>
          </wp:inline>
        </w:drawing>
      </w:r>
      <w:r w:rsidRPr="00866F5A">
        <w:rPr>
          <w:rFonts w:ascii="Times New Roman" w:hAnsi="Times New Roman" w:cs="Times New Roman"/>
          <w:noProof/>
          <w:sz w:val="24"/>
          <w:szCs w:val="24"/>
          <w:lang w:eastAsia="es-ES"/>
        </w:rPr>
        <w:drawing>
          <wp:inline distT="0" distB="0" distL="0" distR="0" wp14:anchorId="2F3B8CE9" wp14:editId="1A99A0B6">
            <wp:extent cx="7698431" cy="806824"/>
            <wp:effectExtent l="0" t="0" r="0" b="0"/>
            <wp:docPr id="477" name="Imagen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7698441" cy="806825"/>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sz w:val="24"/>
          <w:szCs w:val="24"/>
          <w:lang w:val="en-US"/>
        </w:rPr>
      </w:pPr>
    </w:p>
    <w:p w:rsidR="0053075D" w:rsidRDefault="0053075D" w:rsidP="0053075D">
      <w:pPr>
        <w:spacing w:line="240" w:lineRule="auto"/>
        <w:jc w:val="both"/>
        <w:rPr>
          <w:rFonts w:ascii="Times New Roman" w:hAnsi="Times New Roman" w:cs="Times New Roman"/>
          <w:sz w:val="24"/>
          <w:szCs w:val="24"/>
          <w:lang w:val="en-US"/>
        </w:rPr>
      </w:pPr>
      <w:r w:rsidRPr="00866F5A">
        <w:rPr>
          <w:rFonts w:ascii="Times New Roman" w:hAnsi="Times New Roman" w:cs="Times New Roman"/>
          <w:noProof/>
          <w:sz w:val="24"/>
          <w:szCs w:val="24"/>
          <w:lang w:eastAsia="es-ES"/>
        </w:rPr>
        <w:lastRenderedPageBreak/>
        <w:drawing>
          <wp:inline distT="0" distB="0" distL="0" distR="0" wp14:anchorId="12B72655" wp14:editId="174657E8">
            <wp:extent cx="7738782" cy="1398494"/>
            <wp:effectExtent l="0" t="0" r="0" b="0"/>
            <wp:docPr id="478" name="Imagen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7741565" cy="1398997"/>
                    </a:xfrm>
                    <a:prstGeom prst="rect">
                      <a:avLst/>
                    </a:prstGeom>
                  </pic:spPr>
                </pic:pic>
              </a:graphicData>
            </a:graphic>
          </wp:inline>
        </w:drawing>
      </w:r>
      <w:r w:rsidRPr="00866F5A">
        <w:rPr>
          <w:rFonts w:ascii="Times New Roman" w:hAnsi="Times New Roman" w:cs="Times New Roman"/>
          <w:noProof/>
          <w:sz w:val="24"/>
          <w:szCs w:val="24"/>
          <w:lang w:eastAsia="es-ES"/>
        </w:rPr>
        <w:drawing>
          <wp:inline distT="0" distB="0" distL="0" distR="0" wp14:anchorId="00A72EA2" wp14:editId="28B4BE0A">
            <wp:extent cx="7738782" cy="154641"/>
            <wp:effectExtent l="0" t="0" r="0" b="0"/>
            <wp:docPr id="479" name="Imagen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7738782" cy="154641"/>
                    </a:xfrm>
                    <a:prstGeom prst="rect">
                      <a:avLst/>
                    </a:prstGeom>
                  </pic:spPr>
                </pic:pic>
              </a:graphicData>
            </a:graphic>
          </wp:inline>
        </w:drawing>
      </w:r>
      <w:r w:rsidRPr="00866F5A">
        <w:rPr>
          <w:rFonts w:ascii="Times New Roman" w:hAnsi="Times New Roman" w:cs="Times New Roman"/>
          <w:noProof/>
          <w:sz w:val="24"/>
          <w:szCs w:val="24"/>
          <w:lang w:eastAsia="es-ES"/>
        </w:rPr>
        <w:drawing>
          <wp:inline distT="0" distB="0" distL="0" distR="0" wp14:anchorId="38EB6086" wp14:editId="38E2C052">
            <wp:extent cx="7738767" cy="168088"/>
            <wp:effectExtent l="0" t="0" r="0" b="3810"/>
            <wp:docPr id="480" name="Imagen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7954748" cy="172779"/>
                    </a:xfrm>
                    <a:prstGeom prst="rect">
                      <a:avLst/>
                    </a:prstGeom>
                  </pic:spPr>
                </pic:pic>
              </a:graphicData>
            </a:graphic>
          </wp:inline>
        </w:drawing>
      </w:r>
      <w:r w:rsidRPr="00866F5A">
        <w:rPr>
          <w:rFonts w:ascii="Times New Roman" w:hAnsi="Times New Roman" w:cs="Times New Roman"/>
          <w:noProof/>
          <w:sz w:val="24"/>
          <w:szCs w:val="24"/>
          <w:lang w:eastAsia="es-ES"/>
        </w:rPr>
        <w:drawing>
          <wp:inline distT="0" distB="0" distL="0" distR="0" wp14:anchorId="6DF8DE75" wp14:editId="7F7B1214">
            <wp:extent cx="7738782" cy="786653"/>
            <wp:effectExtent l="0" t="0" r="0" b="0"/>
            <wp:docPr id="481" name="Imagen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7738782" cy="786653"/>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sz w:val="24"/>
          <w:szCs w:val="24"/>
          <w:lang w:val="en-US"/>
        </w:rPr>
      </w:pPr>
    </w:p>
    <w:p w:rsidR="0053075D" w:rsidRDefault="0053075D" w:rsidP="0053075D">
      <w:pPr>
        <w:spacing w:line="240" w:lineRule="auto"/>
        <w:jc w:val="both"/>
        <w:rPr>
          <w:rFonts w:ascii="Times New Roman" w:hAnsi="Times New Roman" w:cs="Times New Roman"/>
          <w:sz w:val="24"/>
          <w:szCs w:val="24"/>
          <w:lang w:val="en-US"/>
        </w:rPr>
      </w:pPr>
      <w:r w:rsidRPr="00E0630D">
        <w:rPr>
          <w:rFonts w:ascii="Times New Roman" w:hAnsi="Times New Roman" w:cs="Times New Roman"/>
          <w:b/>
          <w:noProof/>
          <w:sz w:val="24"/>
          <w:szCs w:val="24"/>
          <w:lang w:eastAsia="es-ES"/>
        </w:rPr>
        <w:drawing>
          <wp:inline distT="0" distB="0" distL="0" distR="0" wp14:anchorId="2F7198E8" wp14:editId="3403B7B3">
            <wp:extent cx="7543800" cy="2336800"/>
            <wp:effectExtent l="0" t="0" r="0" b="6350"/>
            <wp:docPr id="482" name="Imagen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7553725" cy="2339875"/>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sz w:val="24"/>
          <w:szCs w:val="24"/>
          <w:lang w:val="en-US"/>
        </w:rPr>
        <w:sectPr w:rsidR="0053075D" w:rsidSect="0053075D">
          <w:pgSz w:w="16838" w:h="11906" w:orient="landscape"/>
          <w:pgMar w:top="1440" w:right="1440" w:bottom="1440" w:left="1440" w:header="709" w:footer="709" w:gutter="0"/>
          <w:cols w:space="708"/>
          <w:docGrid w:linePitch="360"/>
        </w:sectPr>
      </w:pPr>
    </w:p>
    <w:p w:rsidR="0053075D" w:rsidRDefault="0053075D" w:rsidP="0053075D">
      <w:pPr>
        <w:spacing w:line="240" w:lineRule="auto"/>
        <w:jc w:val="both"/>
        <w:rPr>
          <w:rFonts w:ascii="Times New Roman" w:hAnsi="Times New Roman" w:cs="Times New Roman"/>
          <w:b/>
          <w:sz w:val="24"/>
          <w:szCs w:val="24"/>
          <w:lang w:val="en-US"/>
        </w:rPr>
      </w:pPr>
      <w:r w:rsidRPr="00D062A9">
        <w:rPr>
          <w:rFonts w:ascii="Times New Roman" w:hAnsi="Times New Roman" w:cs="Times New Roman"/>
          <w:b/>
          <w:sz w:val="24"/>
          <w:szCs w:val="24"/>
          <w:lang w:val="en-US"/>
        </w:rPr>
        <w:lastRenderedPageBreak/>
        <w:t>The Trade in Value Added (TiVA)</w:t>
      </w:r>
      <w:r>
        <w:rPr>
          <w:rFonts w:ascii="Times New Roman" w:hAnsi="Times New Roman" w:cs="Times New Roman"/>
          <w:b/>
          <w:sz w:val="24"/>
          <w:szCs w:val="24"/>
          <w:lang w:val="en-US"/>
        </w:rPr>
        <w:t xml:space="preserve"> - Principal Indicators</w:t>
      </w:r>
    </w:p>
    <w:p w:rsidR="0053075D" w:rsidRPr="00FE130B" w:rsidRDefault="0053075D" w:rsidP="0053075D">
      <w:pPr>
        <w:spacing w:line="240" w:lineRule="auto"/>
        <w:jc w:val="both"/>
        <w:rPr>
          <w:rFonts w:ascii="Times New Roman" w:hAnsi="Times New Roman" w:cs="Times New Roman"/>
          <w:color w:val="FF0000"/>
          <w:sz w:val="24"/>
          <w:szCs w:val="24"/>
          <w:shd w:val="clear" w:color="auto" w:fill="FFFFFF"/>
        </w:rPr>
      </w:pPr>
      <w:r w:rsidRPr="00FE130B">
        <w:rPr>
          <w:rFonts w:ascii="Times New Roman" w:hAnsi="Times New Roman" w:cs="Times New Roman"/>
          <w:b/>
          <w:color w:val="FF0000"/>
          <w:sz w:val="24"/>
          <w:szCs w:val="24"/>
        </w:rPr>
        <w:t>Gross imports</w:t>
      </w:r>
    </w:p>
    <w:p w:rsidR="0053075D" w:rsidRDefault="0053075D" w:rsidP="0053075D">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146,2 miles de millones de dólares; Año 2015, 557,5 miles de millones de dólares; Var. 3,81 - Un incremento equivalente al 281%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854,6 miles de millones de dólares; Año 2015, 1.254,4 miles de millones de dólares; Var. 1,47 - Un incremento equivalente al 47%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613,6 miles de millones de dólares; Año 2015, 888,9 miles de millones de dólares; Var. 1,45 - Un incremento equivalente al 45%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606,7 miles de millones de dólares; Año 2015, 849,3 miles de millones de dólares; Var. 1,40 - Un incremento equivalente al 40% (2015-2005)</w:t>
      </w:r>
    </w:p>
    <w:p w:rsidR="0053075D" w:rsidRPr="00FE130B" w:rsidRDefault="0053075D" w:rsidP="0053075D">
      <w:pPr>
        <w:spacing w:line="240" w:lineRule="auto"/>
        <w:jc w:val="both"/>
        <w:rPr>
          <w:rFonts w:ascii="Times New Roman" w:hAnsi="Times New Roman" w:cs="Times New Roman"/>
          <w:b/>
          <w:color w:val="FF0000"/>
          <w:sz w:val="24"/>
          <w:szCs w:val="24"/>
          <w:shd w:val="clear" w:color="auto" w:fill="FFFFFF"/>
          <w:lang w:val="en-US"/>
        </w:rPr>
      </w:pPr>
      <w:r w:rsidRPr="00FE130B">
        <w:rPr>
          <w:rFonts w:ascii="Times New Roman" w:hAnsi="Times New Roman" w:cs="Times New Roman"/>
          <w:b/>
          <w:color w:val="FF0000"/>
          <w:sz w:val="24"/>
          <w:szCs w:val="24"/>
          <w:shd w:val="clear" w:color="auto" w:fill="FFFFFF"/>
          <w:lang w:val="en-US"/>
        </w:rPr>
        <w:t xml:space="preserve">Domestic value added content of gross imports </w:t>
      </w:r>
    </w:p>
    <w:p w:rsidR="0053075D" w:rsidRDefault="0053075D" w:rsidP="0053075D">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2005, 11,9 miles de millones de dólares; Año 2015, 67,3 miles de millones de dólares; Var. 6,66 - Un incremento equivalente al 566% (2015-2005) </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87,6 miles de millones de dólares; Año 2015, 117,0 miles de millones de dólares; Var. 1,34 - Un incremento equivalente al 34%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78,9 miles de millones de dólares; Año 2015, 91,4 miles de millones de dólares; Var. 1,16 - Un incremento equivalente al 16%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Euro Área: Año 2005,  89,4 miles de millones de dólares; Año 2015, 113,0 miles de millones de dólares; Var. 1,26 - Un incremento equivalente al 26% (2015-2005)</w:t>
      </w:r>
    </w:p>
    <w:p w:rsidR="0053075D" w:rsidRPr="00FE130B" w:rsidRDefault="0053075D" w:rsidP="0053075D">
      <w:pPr>
        <w:spacing w:line="240" w:lineRule="auto"/>
        <w:jc w:val="both"/>
        <w:rPr>
          <w:rFonts w:ascii="Times New Roman" w:hAnsi="Times New Roman" w:cs="Times New Roman"/>
          <w:b/>
          <w:color w:val="FF0000"/>
          <w:sz w:val="24"/>
          <w:szCs w:val="24"/>
          <w:shd w:val="clear" w:color="auto" w:fill="FFFFFF"/>
        </w:rPr>
      </w:pPr>
      <w:r w:rsidRPr="00FE130B">
        <w:rPr>
          <w:rFonts w:ascii="Times New Roman" w:hAnsi="Times New Roman" w:cs="Times New Roman"/>
          <w:b/>
          <w:color w:val="FF0000"/>
          <w:sz w:val="24"/>
          <w:szCs w:val="24"/>
          <w:shd w:val="clear" w:color="auto" w:fill="FFFFFF"/>
        </w:rPr>
        <w:t>Value added</w:t>
      </w:r>
    </w:p>
    <w:p w:rsidR="0053075D" w:rsidRDefault="0053075D" w:rsidP="0053075D">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2005, 2.135,5 miles de millones de dólares; Año 2015, 10.485,7 miles de millones de dólares; Var. 4,91 - Un incremento equivalente al 391% (2015-2005) </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12.748,1 miles de millones de dólares; Año 2015, 17.662,3 miles de millones de dólares; Var. 1,39 - Un incremento equivalente al 39%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13.510,9 miles de millones de dólares; Año 2015, 15.473,2 miles de millones de dólares; Var. 1,15 - Un incremento equivalente al 15%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9.850,5 miles de millones de dólares; Año 2015, 11.005,7 miles de millones de dólares; Var. 1,12 - Un incremento equivalente al 12% (2015-2005)</w:t>
      </w:r>
    </w:p>
    <w:p w:rsidR="0053075D" w:rsidRPr="00FE130B" w:rsidRDefault="0053075D" w:rsidP="0053075D">
      <w:pPr>
        <w:spacing w:line="240" w:lineRule="auto"/>
        <w:jc w:val="both"/>
        <w:rPr>
          <w:rFonts w:ascii="Times New Roman" w:hAnsi="Times New Roman" w:cs="Times New Roman"/>
          <w:b/>
          <w:color w:val="FF0000"/>
          <w:sz w:val="24"/>
          <w:szCs w:val="24"/>
          <w:shd w:val="clear" w:color="auto" w:fill="FFFFFF"/>
          <w:lang w:val="en-US"/>
        </w:rPr>
      </w:pPr>
      <w:r w:rsidRPr="00FE130B">
        <w:rPr>
          <w:rFonts w:ascii="Times New Roman" w:hAnsi="Times New Roman" w:cs="Times New Roman"/>
          <w:b/>
          <w:color w:val="FF0000"/>
          <w:sz w:val="24"/>
          <w:szCs w:val="24"/>
          <w:shd w:val="clear" w:color="auto" w:fill="FFFFFF"/>
          <w:lang w:val="en-US"/>
        </w:rPr>
        <w:t>Foreign value added embodied in domestic final demand</w:t>
      </w:r>
    </w:p>
    <w:p w:rsidR="0053075D" w:rsidRDefault="0053075D" w:rsidP="0053075D">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405,9 miles de millones de dólares; Año 2015, 1.444,5 miles de millones de dólares; Var.  3,56 - Un incremento equivalente al 256%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1.673,6 miles de millones de dólares; Año 2015, 2.222,1 miles de millones de dólares; Var. 1,33 - Un incremento equivalente al 33%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1.358,8 miles de millones de dólares; Año 2015, 1.857,8 miles de millones de dólares; Var.  1,37 - Un incremento equivalente al 37%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Euro Área: Año 2005, 1.293,4 miles de millones de dólares; Año 2015, 1.711,9 miles de millones de dólares; Var. 1,32 - Un incremento equivalente al 32% (2015-2005)</w:t>
      </w:r>
    </w:p>
    <w:p w:rsidR="0053075D" w:rsidRPr="00FE130B" w:rsidRDefault="0053075D" w:rsidP="0053075D">
      <w:pPr>
        <w:spacing w:line="240" w:lineRule="auto"/>
        <w:jc w:val="both"/>
        <w:rPr>
          <w:rFonts w:ascii="Times New Roman" w:hAnsi="Times New Roman" w:cs="Times New Roman"/>
          <w:b/>
          <w:color w:val="FF0000"/>
          <w:sz w:val="24"/>
          <w:szCs w:val="24"/>
          <w:shd w:val="clear" w:color="auto" w:fill="FFFFFF"/>
        </w:rPr>
      </w:pPr>
      <w:r w:rsidRPr="00FE130B">
        <w:rPr>
          <w:rFonts w:ascii="Times New Roman" w:hAnsi="Times New Roman" w:cs="Times New Roman"/>
          <w:b/>
          <w:color w:val="FF0000"/>
          <w:sz w:val="24"/>
          <w:szCs w:val="24"/>
          <w:shd w:val="clear" w:color="auto" w:fill="FFFFFF"/>
        </w:rPr>
        <w:t xml:space="preserve">Gross trade balance </w:t>
      </w:r>
    </w:p>
    <w:p w:rsidR="0053075D" w:rsidRDefault="0053075D" w:rsidP="0053075D">
      <w:pPr>
        <w:spacing w:line="240" w:lineRule="auto"/>
        <w:jc w:val="both"/>
        <w:rPr>
          <w:rFonts w:ascii="Times New Roman" w:hAnsi="Times New Roman" w:cs="Times New Roman"/>
          <w:sz w:val="24"/>
          <w:szCs w:val="24"/>
          <w:shd w:val="clear" w:color="auto" w:fill="FFFFFF"/>
        </w:rPr>
      </w:pPr>
      <w:r w:rsidRPr="000F77F7">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xml:space="preserve">: Año 2005, 96,9 miles de millones de dólares; Año 2015, 305,8  miles de millones de dólares; Var. 3,16 - Un incremento equivalente al 216% (2015-2005) </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(700,8) miles de millones de dólares; Año 2015, (507,0) miles de millones de dólares; Var. -0,28 - Una reducción equivalente al -28%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90.0 miles de millones de dólares; Año 2015, 476,1 miles de millones de dólares; Var. 5,29 - Un incremento equivalente al 429%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144,5 miles de millones de dólares; Año 2015, 456,7 miles de millones de dólares; Var. 3,16 - Un incremento equivalente al 216% (2015-2005)</w:t>
      </w:r>
    </w:p>
    <w:p w:rsidR="0053075D" w:rsidRPr="00FE130B" w:rsidRDefault="0053075D" w:rsidP="0053075D">
      <w:pPr>
        <w:spacing w:line="240" w:lineRule="auto"/>
        <w:jc w:val="both"/>
        <w:rPr>
          <w:rFonts w:ascii="Times New Roman" w:hAnsi="Times New Roman" w:cs="Times New Roman"/>
          <w:b/>
          <w:color w:val="FF0000"/>
          <w:sz w:val="24"/>
          <w:szCs w:val="24"/>
          <w:shd w:val="clear" w:color="auto" w:fill="FFFFFF"/>
        </w:rPr>
      </w:pPr>
      <w:r w:rsidRPr="00FE130B">
        <w:rPr>
          <w:rFonts w:ascii="Times New Roman" w:hAnsi="Times New Roman" w:cs="Times New Roman"/>
          <w:b/>
          <w:color w:val="FF0000"/>
          <w:sz w:val="24"/>
          <w:szCs w:val="24"/>
          <w:shd w:val="clear" w:color="auto" w:fill="FFFFFF"/>
        </w:rPr>
        <w:t>Gross imports, partner shares</w:t>
      </w:r>
    </w:p>
    <w:p w:rsidR="0053075D" w:rsidRDefault="0053075D" w:rsidP="0053075D">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EEUU</w:t>
      </w:r>
    </w:p>
    <w:p w:rsidR="0053075D" w:rsidRDefault="0053075D" w:rsidP="0053075D">
      <w:pPr>
        <w:spacing w:line="240" w:lineRule="auto"/>
        <w:jc w:val="both"/>
        <w:rPr>
          <w:rFonts w:ascii="Times New Roman" w:hAnsi="Times New Roman" w:cs="Times New Roman"/>
          <w:sz w:val="24"/>
          <w:szCs w:val="24"/>
          <w:shd w:val="clear" w:color="auto" w:fill="FFFFFF"/>
        </w:rPr>
      </w:pPr>
      <w:r w:rsidRPr="0032247D">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8,7 %; Año 2015, 12,6 %; Var. 1,45 - Un incremento equivalente al 45%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19,4 %; Año 2015, 19,9 %; Var. 1,03 - Un incremento equivalente al 3%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13,4 %; Año 2015, 14,6 %; Var. 1,08 - Un incremento equivalente al 8% (2015-2005)</w:t>
      </w:r>
    </w:p>
    <w:p w:rsidR="0053075D" w:rsidRPr="005F016C" w:rsidRDefault="0053075D" w:rsidP="0053075D">
      <w:pPr>
        <w:spacing w:line="240" w:lineRule="auto"/>
        <w:jc w:val="both"/>
        <w:rPr>
          <w:rFonts w:ascii="Times New Roman" w:hAnsi="Times New Roman" w:cs="Times New Roman"/>
          <w:b/>
          <w:sz w:val="24"/>
          <w:szCs w:val="24"/>
          <w:shd w:val="clear" w:color="auto" w:fill="FFFFFF"/>
        </w:rPr>
      </w:pPr>
      <w:r w:rsidRPr="005F016C">
        <w:rPr>
          <w:rFonts w:ascii="Times New Roman" w:hAnsi="Times New Roman" w:cs="Times New Roman"/>
          <w:b/>
          <w:sz w:val="24"/>
          <w:szCs w:val="24"/>
          <w:shd w:val="clear" w:color="auto" w:fill="FFFFFF"/>
        </w:rPr>
        <w:t>China</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10,9 %; Año 2015,  19,3 %; Var. 1,77 - Un incremento equivalente al 77%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EU-28: Año 2005, 8,0 %; Año 2015, 15,4 %; Var. 1,93 - Un incremento equivalente al 93%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Euro Área: Año 2005, 5,4 %; Año 2015, 10,3 %; Var. 1,91 - Un incremento equivalente al 91% (2015-2005)</w:t>
      </w:r>
    </w:p>
    <w:p w:rsidR="0053075D" w:rsidRPr="005F016C" w:rsidRDefault="0053075D" w:rsidP="0053075D">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Euro Área</w:t>
      </w:r>
    </w:p>
    <w:p w:rsidR="0053075D" w:rsidRDefault="0053075D" w:rsidP="0053075D">
      <w:pPr>
        <w:spacing w:line="240" w:lineRule="auto"/>
        <w:jc w:val="both"/>
        <w:rPr>
          <w:rFonts w:ascii="Times New Roman" w:hAnsi="Times New Roman" w:cs="Times New Roman"/>
          <w:sz w:val="24"/>
          <w:szCs w:val="24"/>
          <w:shd w:val="clear" w:color="auto" w:fill="FFFFFF"/>
        </w:rPr>
      </w:pPr>
      <w:r w:rsidRPr="0032247D">
        <w:rPr>
          <w:rFonts w:ascii="Times New Roman" w:hAnsi="Times New Roman" w:cs="Times New Roman"/>
          <w:sz w:val="24"/>
          <w:szCs w:val="24"/>
          <w:shd w:val="clear" w:color="auto" w:fill="FFFFFF"/>
        </w:rPr>
        <w:t>China</w:t>
      </w:r>
      <w:r>
        <w:rPr>
          <w:rFonts w:ascii="Times New Roman" w:hAnsi="Times New Roman" w:cs="Times New Roman"/>
          <w:sz w:val="24"/>
          <w:szCs w:val="24"/>
          <w:shd w:val="clear" w:color="auto" w:fill="FFFFFF"/>
        </w:rPr>
        <w:t>: Año 2005, 17,0 %; Año 2015,  16,5 %; Var. -0,03 - Una reducción equivalente al -3% (2015-2005)</w:t>
      </w:r>
    </w:p>
    <w:p w:rsidR="0053075D" w:rsidRDefault="0053075D" w:rsidP="0053075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EEUU: Año 2005,  11,3 %; Año 2015,  12,3 %; Var. 1,09 - Un incremento equivalente al 9% (2015-2005)</w:t>
      </w:r>
    </w:p>
    <w:p w:rsidR="005C1112" w:rsidRDefault="005C1112" w:rsidP="0053075D">
      <w:pPr>
        <w:spacing w:line="240" w:lineRule="auto"/>
        <w:jc w:val="both"/>
        <w:rPr>
          <w:rFonts w:ascii="Times New Roman" w:hAnsi="Times New Roman" w:cs="Times New Roman"/>
          <w:sz w:val="24"/>
          <w:szCs w:val="24"/>
          <w:shd w:val="clear" w:color="auto" w:fill="FFFFFF"/>
        </w:rPr>
      </w:pPr>
    </w:p>
    <w:p w:rsidR="000E4E0C" w:rsidRDefault="000E4E0C" w:rsidP="0053075D">
      <w:pPr>
        <w:spacing w:line="240" w:lineRule="auto"/>
        <w:jc w:val="both"/>
        <w:rPr>
          <w:rFonts w:ascii="Times New Roman" w:hAnsi="Times New Roman" w:cs="Times New Roman"/>
          <w:sz w:val="24"/>
          <w:szCs w:val="24"/>
          <w:shd w:val="clear" w:color="auto" w:fill="FFFFFF"/>
        </w:rPr>
      </w:pPr>
    </w:p>
    <w:p w:rsidR="000E4E0C" w:rsidRDefault="000E4E0C" w:rsidP="0053075D">
      <w:pPr>
        <w:spacing w:line="240" w:lineRule="auto"/>
        <w:jc w:val="both"/>
        <w:rPr>
          <w:rFonts w:ascii="Times New Roman" w:hAnsi="Times New Roman" w:cs="Times New Roman"/>
          <w:sz w:val="24"/>
          <w:szCs w:val="24"/>
          <w:shd w:val="clear" w:color="auto" w:fill="FFFFFF"/>
        </w:rPr>
      </w:pPr>
    </w:p>
    <w:p w:rsidR="000E4E0C" w:rsidRDefault="000E4E0C" w:rsidP="0053075D">
      <w:pPr>
        <w:spacing w:line="240" w:lineRule="auto"/>
        <w:jc w:val="both"/>
        <w:rPr>
          <w:rFonts w:ascii="Times New Roman" w:hAnsi="Times New Roman" w:cs="Times New Roman"/>
          <w:sz w:val="24"/>
          <w:szCs w:val="24"/>
          <w:shd w:val="clear" w:color="auto" w:fill="FFFFFF"/>
        </w:rPr>
      </w:pPr>
    </w:p>
    <w:p w:rsidR="000E4E0C" w:rsidRPr="000E4E0C" w:rsidRDefault="000E4E0C" w:rsidP="000E4E0C">
      <w:pPr>
        <w:spacing w:line="240" w:lineRule="auto"/>
        <w:jc w:val="both"/>
        <w:rPr>
          <w:rFonts w:ascii="Times New Roman" w:hAnsi="Times New Roman" w:cs="Times New Roman"/>
          <w:b/>
          <w:sz w:val="24"/>
          <w:szCs w:val="24"/>
          <w:shd w:val="clear" w:color="auto" w:fill="FFFFFF"/>
        </w:rPr>
      </w:pPr>
      <w:r w:rsidRPr="000E4E0C">
        <w:rPr>
          <w:rFonts w:ascii="Times New Roman" w:hAnsi="Times New Roman" w:cs="Times New Roman"/>
          <w:b/>
          <w:sz w:val="24"/>
          <w:szCs w:val="24"/>
          <w:shd w:val="clear" w:color="auto" w:fill="FFFFFF"/>
        </w:rPr>
        <w:lastRenderedPageBreak/>
        <w:t xml:space="preserve">Cálculo de lado de la perdidas </w:t>
      </w:r>
      <w:r>
        <w:rPr>
          <w:rFonts w:ascii="Times New Roman" w:hAnsi="Times New Roman" w:cs="Times New Roman"/>
          <w:b/>
          <w:sz w:val="24"/>
          <w:szCs w:val="24"/>
          <w:shd w:val="clear" w:color="auto" w:fill="FFFFFF"/>
        </w:rPr>
        <w:t>(continuación)</w:t>
      </w: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r w:rsidRPr="009E14E8">
        <w:rPr>
          <w:rFonts w:ascii="Times New Roman" w:hAnsi="Times New Roman" w:cs="Times New Roman"/>
          <w:b/>
          <w:color w:val="FF0000"/>
          <w:sz w:val="24"/>
          <w:szCs w:val="24"/>
          <w:shd w:val="clear" w:color="auto" w:fill="FFFFFF"/>
        </w:rPr>
        <w:t>(-</w:t>
      </w:r>
      <w:r w:rsidR="00B54D85">
        <w:rPr>
          <w:rFonts w:ascii="Times New Roman" w:hAnsi="Times New Roman" w:cs="Times New Roman"/>
          <w:b/>
          <w:color w:val="FF0000"/>
          <w:sz w:val="24"/>
          <w:szCs w:val="24"/>
          <w:shd w:val="clear" w:color="auto" w:fill="FFFFFF"/>
        </w:rPr>
        <w:t>) Impacto en el nivel de empleo</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Empleo</w:t>
      </w:r>
    </w:p>
    <w:p w:rsidR="000E4E0C" w:rsidRDefault="000E4E0C" w:rsidP="000E4E0C">
      <w:pPr>
        <w:spacing w:line="240" w:lineRule="auto"/>
        <w:jc w:val="both"/>
        <w:rPr>
          <w:rFonts w:ascii="Times New Roman" w:hAnsi="Times New Roman" w:cs="Times New Roman"/>
          <w:sz w:val="24"/>
          <w:szCs w:val="24"/>
          <w:shd w:val="clear" w:color="auto" w:fill="FFFFFF"/>
        </w:rPr>
      </w:pPr>
      <w:r w:rsidRPr="00CD7FD8">
        <w:rPr>
          <w:rFonts w:ascii="Times New Roman" w:hAnsi="Times New Roman" w:cs="Times New Roman"/>
          <w:b/>
          <w:sz w:val="24"/>
          <w:szCs w:val="24"/>
          <w:shd w:val="clear" w:color="auto" w:fill="FFFFFF"/>
        </w:rPr>
        <w:t>China</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pasa del 74,9% en el año 2000, al 65,6% en el año 2019 -Variación 2000-2019: (12,42%)</w:t>
      </w:r>
    </w:p>
    <w:p w:rsidR="000E4E0C" w:rsidRPr="00CD7FD8"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Europa: </w:t>
      </w:r>
      <w:r>
        <w:rPr>
          <w:rFonts w:ascii="Times New Roman" w:hAnsi="Times New Roman" w:cs="Times New Roman"/>
          <w:sz w:val="24"/>
          <w:szCs w:val="24"/>
          <w:shd w:val="clear" w:color="auto" w:fill="FFFFFF"/>
        </w:rPr>
        <w:t>pasa del 51,5% en el año 2000, al 53,9% en el año 2019 -Variación 2000-2019: 4,66%</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EEUU: </w:t>
      </w:r>
      <w:r>
        <w:rPr>
          <w:rFonts w:ascii="Times New Roman" w:hAnsi="Times New Roman" w:cs="Times New Roman"/>
          <w:sz w:val="24"/>
          <w:szCs w:val="24"/>
          <w:shd w:val="clear" w:color="auto" w:fill="FFFFFF"/>
        </w:rPr>
        <w:t>pasa del 63,8% en el año 2000, al 59,8% en el año 2019 -Variación 2000-2019: (6,27%)</w:t>
      </w:r>
    </w:p>
    <w:p w:rsidR="000E4E0C" w:rsidRPr="00040759" w:rsidRDefault="000E4E0C" w:rsidP="000E4E0C">
      <w:pPr>
        <w:spacing w:line="240" w:lineRule="auto"/>
        <w:jc w:val="both"/>
        <w:rPr>
          <w:rFonts w:ascii="Times New Roman" w:hAnsi="Times New Roman" w:cs="Times New Roman"/>
          <w:b/>
          <w:sz w:val="24"/>
          <w:szCs w:val="24"/>
          <w:shd w:val="clear" w:color="auto" w:fill="FFFFFF"/>
        </w:rPr>
      </w:pPr>
      <w:r w:rsidRPr="00040759">
        <w:rPr>
          <w:rFonts w:ascii="Times New Roman" w:hAnsi="Times New Roman" w:cs="Times New Roman"/>
          <w:b/>
          <w:sz w:val="24"/>
          <w:szCs w:val="24"/>
          <w:shd w:val="clear" w:color="auto" w:fill="FFFFFF"/>
        </w:rPr>
        <w:t>Empleo por sectores</w:t>
      </w:r>
    </w:p>
    <w:p w:rsidR="000E4E0C" w:rsidRPr="00040759" w:rsidRDefault="000E4E0C" w:rsidP="000E4E0C">
      <w:pPr>
        <w:spacing w:line="240" w:lineRule="auto"/>
        <w:jc w:val="both"/>
        <w:rPr>
          <w:rFonts w:ascii="Times New Roman" w:hAnsi="Times New Roman" w:cs="Times New Roman"/>
          <w:b/>
          <w:sz w:val="24"/>
          <w:szCs w:val="24"/>
          <w:shd w:val="clear" w:color="auto" w:fill="FFFFFF"/>
        </w:rPr>
      </w:pPr>
      <w:r w:rsidRPr="00040759">
        <w:rPr>
          <w:rFonts w:ascii="Times New Roman" w:hAnsi="Times New Roman" w:cs="Times New Roman"/>
          <w:b/>
          <w:sz w:val="24"/>
          <w:szCs w:val="24"/>
          <w:shd w:val="clear" w:color="auto" w:fill="FFFFFF"/>
        </w:rPr>
        <w:t>China</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Agricultura: pasa del 50% en el año 2000, al 25% en el año 2019 -Variación 2000-2019: (50%)</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Industria: pasa del 22% en el año 2000, al 48% en el año 2019 -Variación 2000-2019: 120,45%</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Servicios: pasa del 27% en el año 2000, al 46% en el año 2019 -Variación 2000-2019: 70,37%</w:t>
      </w:r>
    </w:p>
    <w:p w:rsidR="000E4E0C" w:rsidRPr="00040759"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Europa</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Agricultura: pasa del 6% en el año 2000, al 3% en el año 2019 -Variación 2000-2019: (50%)</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Industria: pasa del 29% en el año 2000, al 22% en el año 2019 -Variación 2000-2019: (24,14%)</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Servicios: pasa del 66% en el año 2000, al 75% en el año 2019 -Variación 2000-2019: 14%</w:t>
      </w:r>
    </w:p>
    <w:p w:rsidR="000E4E0C" w:rsidRPr="00040759"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EEUU</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Agricultura: pasa del 2% en el año 2000, al 1% en el año 2019 -Variación 2000-2019: (50%)</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Industria: pasa del 24% en el año 2000, al 20% en el año 2019 -Variación 2000-2019: (16,67%)</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Servicios: pasa del 74% en el año 2000, al 79% en el año 2019 -Variación 2000-2019: 6,98%</w:t>
      </w:r>
    </w:p>
    <w:p w:rsidR="000E4E0C" w:rsidRDefault="000E4E0C" w:rsidP="000E4E0C">
      <w:pPr>
        <w:spacing w:line="240" w:lineRule="auto"/>
        <w:jc w:val="both"/>
        <w:rPr>
          <w:rFonts w:ascii="Times New Roman" w:hAnsi="Times New Roman" w:cs="Times New Roman"/>
          <w:b/>
          <w:sz w:val="24"/>
          <w:szCs w:val="24"/>
          <w:shd w:val="clear" w:color="auto" w:fill="FFFFFF"/>
        </w:rPr>
      </w:pPr>
      <w:r w:rsidRPr="008E78AD">
        <w:rPr>
          <w:rFonts w:ascii="Times New Roman" w:hAnsi="Times New Roman" w:cs="Times New Roman"/>
          <w:b/>
          <w:sz w:val="24"/>
          <w:szCs w:val="24"/>
          <w:shd w:val="clear" w:color="auto" w:fill="FFFFFF"/>
        </w:rPr>
        <w:t>Fuerza de trabajo</w:t>
      </w:r>
      <w:r>
        <w:rPr>
          <w:rFonts w:ascii="Times New Roman" w:hAnsi="Times New Roman" w:cs="Times New Roman"/>
          <w:b/>
          <w:sz w:val="24"/>
          <w:szCs w:val="24"/>
          <w:shd w:val="clear" w:color="auto" w:fill="FFFFFF"/>
        </w:rPr>
        <w:t xml:space="preserve"> - M</w:t>
      </w:r>
      <w:r w:rsidRPr="008E78AD">
        <w:rPr>
          <w:rFonts w:ascii="Times New Roman" w:hAnsi="Times New Roman" w:cs="Times New Roman"/>
          <w:b/>
          <w:sz w:val="24"/>
          <w:szCs w:val="24"/>
          <w:shd w:val="clear" w:color="auto" w:fill="FFFFFF"/>
        </w:rPr>
        <w:t>últiples sectores</w:t>
      </w:r>
    </w:p>
    <w:p w:rsidR="000E4E0C" w:rsidRDefault="000E4E0C" w:rsidP="000E4E0C">
      <w:pPr>
        <w:spacing w:line="240" w:lineRule="auto"/>
        <w:jc w:val="both"/>
        <w:rPr>
          <w:rFonts w:ascii="Times New Roman" w:hAnsi="Times New Roman" w:cs="Times New Roman"/>
          <w:sz w:val="24"/>
          <w:szCs w:val="24"/>
          <w:shd w:val="clear" w:color="auto" w:fill="FFFFFF"/>
        </w:rPr>
      </w:pPr>
      <w:r w:rsidRPr="00CD7FD8">
        <w:rPr>
          <w:rFonts w:ascii="Times New Roman" w:hAnsi="Times New Roman" w:cs="Times New Roman"/>
          <w:b/>
          <w:sz w:val="24"/>
          <w:szCs w:val="24"/>
          <w:shd w:val="clear" w:color="auto" w:fill="FFFFFF"/>
        </w:rPr>
        <w:t>China</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pasa del 66,4% en el año 2000, al 62,1% en el año 2019 -Variación 2000-2019: (6,48%)</w:t>
      </w:r>
    </w:p>
    <w:p w:rsidR="000E4E0C" w:rsidRPr="00CD7FD8"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Europa: </w:t>
      </w:r>
      <w:r>
        <w:rPr>
          <w:rFonts w:ascii="Times New Roman" w:hAnsi="Times New Roman" w:cs="Times New Roman"/>
          <w:sz w:val="24"/>
          <w:szCs w:val="24"/>
          <w:shd w:val="clear" w:color="auto" w:fill="FFFFFF"/>
        </w:rPr>
        <w:t>pasa del 56,5% en el año 2000, al 53,9% en el año 2019 -Variación 2000-2019: (4,60%)</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EEUU: </w:t>
      </w:r>
      <w:r>
        <w:rPr>
          <w:rFonts w:ascii="Times New Roman" w:hAnsi="Times New Roman" w:cs="Times New Roman"/>
          <w:sz w:val="24"/>
          <w:szCs w:val="24"/>
          <w:shd w:val="clear" w:color="auto" w:fill="FFFFFF"/>
        </w:rPr>
        <w:t>pasa del 63,8% en el año 2000, al 58% en el año 2019 -Variación 2000-2019: (9,09%)</w:t>
      </w:r>
    </w:p>
    <w:p w:rsidR="000E4E0C" w:rsidRDefault="000E4E0C" w:rsidP="000E4E0C">
      <w:pPr>
        <w:spacing w:line="240" w:lineRule="auto"/>
        <w:jc w:val="both"/>
        <w:rPr>
          <w:rFonts w:ascii="Times New Roman" w:hAnsi="Times New Roman" w:cs="Times New Roman"/>
          <w:b/>
          <w:sz w:val="24"/>
          <w:szCs w:val="24"/>
          <w:shd w:val="clear" w:color="auto" w:fill="FFFFFF"/>
        </w:rPr>
      </w:pPr>
      <w:r w:rsidRPr="008E78AD">
        <w:rPr>
          <w:rFonts w:ascii="Times New Roman" w:hAnsi="Times New Roman" w:cs="Times New Roman"/>
          <w:b/>
          <w:sz w:val="24"/>
          <w:szCs w:val="24"/>
          <w:shd w:val="clear" w:color="auto" w:fill="FFFFFF"/>
        </w:rPr>
        <w:lastRenderedPageBreak/>
        <w:t>F</w:t>
      </w:r>
      <w:r>
        <w:rPr>
          <w:rFonts w:ascii="Times New Roman" w:hAnsi="Times New Roman" w:cs="Times New Roman"/>
          <w:b/>
          <w:sz w:val="24"/>
          <w:szCs w:val="24"/>
          <w:shd w:val="clear" w:color="auto" w:fill="FFFFFF"/>
        </w:rPr>
        <w:t>uera de la f</w:t>
      </w:r>
      <w:r w:rsidRPr="008E78AD">
        <w:rPr>
          <w:rFonts w:ascii="Times New Roman" w:hAnsi="Times New Roman" w:cs="Times New Roman"/>
          <w:b/>
          <w:sz w:val="24"/>
          <w:szCs w:val="24"/>
          <w:shd w:val="clear" w:color="auto" w:fill="FFFFFF"/>
        </w:rPr>
        <w:t>uerza de trabajo</w:t>
      </w:r>
      <w:r>
        <w:rPr>
          <w:rFonts w:ascii="Times New Roman" w:hAnsi="Times New Roman" w:cs="Times New Roman"/>
          <w:b/>
          <w:sz w:val="24"/>
          <w:szCs w:val="24"/>
          <w:shd w:val="clear" w:color="auto" w:fill="FFFFFF"/>
        </w:rPr>
        <w:t xml:space="preserve"> - M</w:t>
      </w:r>
      <w:r w:rsidRPr="008E78AD">
        <w:rPr>
          <w:rFonts w:ascii="Times New Roman" w:hAnsi="Times New Roman" w:cs="Times New Roman"/>
          <w:b/>
          <w:sz w:val="24"/>
          <w:szCs w:val="24"/>
          <w:shd w:val="clear" w:color="auto" w:fill="FFFFFF"/>
        </w:rPr>
        <w:t>últiples sectores</w:t>
      </w:r>
    </w:p>
    <w:p w:rsidR="000E4E0C" w:rsidRDefault="000E4E0C" w:rsidP="000E4E0C">
      <w:pPr>
        <w:spacing w:line="240" w:lineRule="auto"/>
        <w:jc w:val="both"/>
        <w:rPr>
          <w:rFonts w:ascii="Times New Roman" w:hAnsi="Times New Roman" w:cs="Times New Roman"/>
          <w:sz w:val="24"/>
          <w:szCs w:val="24"/>
          <w:shd w:val="clear" w:color="auto" w:fill="FFFFFF"/>
        </w:rPr>
      </w:pPr>
      <w:r w:rsidRPr="00CD7FD8">
        <w:rPr>
          <w:rFonts w:ascii="Times New Roman" w:hAnsi="Times New Roman" w:cs="Times New Roman"/>
          <w:b/>
          <w:sz w:val="24"/>
          <w:szCs w:val="24"/>
          <w:shd w:val="clear" w:color="auto" w:fill="FFFFFF"/>
        </w:rPr>
        <w:t>China</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pasa del 22,6% en el año 2000, al 32% en el año 2019 -Variación 2000-2019: 47,59%</w:t>
      </w:r>
    </w:p>
    <w:p w:rsidR="000E4E0C" w:rsidRPr="00CD7FD8"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Europa: </w:t>
      </w:r>
      <w:r>
        <w:rPr>
          <w:rFonts w:ascii="Times New Roman" w:hAnsi="Times New Roman" w:cs="Times New Roman"/>
          <w:sz w:val="24"/>
          <w:szCs w:val="24"/>
          <w:shd w:val="clear" w:color="auto" w:fill="FFFFFF"/>
        </w:rPr>
        <w:t>pasa del 43,5% en el año 2000, al 42% en el año 2019 -Variación 2000-2019: (3,45%)</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EEUU: </w:t>
      </w:r>
      <w:r>
        <w:rPr>
          <w:rFonts w:ascii="Times New Roman" w:hAnsi="Times New Roman" w:cs="Times New Roman"/>
          <w:sz w:val="24"/>
          <w:szCs w:val="24"/>
          <w:shd w:val="clear" w:color="auto" w:fill="FFFFFF"/>
        </w:rPr>
        <w:t>pasa del 33,6% en el año 2000, al 38% en el año 2019 -Variación 2000-2019: 13,10%</w:t>
      </w: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r w:rsidRPr="009E14E8">
        <w:rPr>
          <w:rFonts w:ascii="Times New Roman" w:hAnsi="Times New Roman" w:cs="Times New Roman"/>
          <w:b/>
          <w:color w:val="FF0000"/>
          <w:sz w:val="24"/>
          <w:szCs w:val="24"/>
          <w:shd w:val="clear" w:color="auto" w:fill="FFFFFF"/>
        </w:rPr>
        <w:t xml:space="preserve">(-) Aumento del nivel de </w:t>
      </w:r>
      <w:r w:rsidR="00B54D85">
        <w:rPr>
          <w:rFonts w:ascii="Times New Roman" w:hAnsi="Times New Roman" w:cs="Times New Roman"/>
          <w:b/>
          <w:color w:val="FF0000"/>
          <w:sz w:val="24"/>
          <w:szCs w:val="24"/>
          <w:shd w:val="clear" w:color="auto" w:fill="FFFFFF"/>
        </w:rPr>
        <w:t>desempleo</w:t>
      </w:r>
    </w:p>
    <w:p w:rsidR="000E4E0C" w:rsidRDefault="000E4E0C" w:rsidP="000E4E0C">
      <w:pPr>
        <w:spacing w:line="240" w:lineRule="auto"/>
        <w:jc w:val="both"/>
        <w:rPr>
          <w:rFonts w:ascii="Times New Roman" w:hAnsi="Times New Roman" w:cs="Times New Roman"/>
          <w:sz w:val="24"/>
          <w:szCs w:val="24"/>
          <w:shd w:val="clear" w:color="auto" w:fill="FFFFFF"/>
        </w:rPr>
      </w:pPr>
      <w:r w:rsidRPr="00CD7FD8">
        <w:rPr>
          <w:rFonts w:ascii="Times New Roman" w:hAnsi="Times New Roman" w:cs="Times New Roman"/>
          <w:b/>
          <w:sz w:val="24"/>
          <w:szCs w:val="24"/>
          <w:shd w:val="clear" w:color="auto" w:fill="FFFFFF"/>
        </w:rPr>
        <w:t>China</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pasa del 3,3% en el año 2000, al 4,3% en el año 2019 -Variación 2000-2019: 30,30%</w:t>
      </w:r>
    </w:p>
    <w:p w:rsidR="000E4E0C" w:rsidRPr="00CD7FD8"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Europa: </w:t>
      </w:r>
      <w:r>
        <w:rPr>
          <w:rFonts w:ascii="Times New Roman" w:hAnsi="Times New Roman" w:cs="Times New Roman"/>
          <w:sz w:val="24"/>
          <w:szCs w:val="24"/>
          <w:shd w:val="clear" w:color="auto" w:fill="FFFFFF"/>
        </w:rPr>
        <w:t>pasa del 8,8% en el año 2000, al 7,0% en el año 2019 -Variación 2000-2019: (20,45%)</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EEUU: </w:t>
      </w:r>
      <w:r>
        <w:rPr>
          <w:rFonts w:ascii="Times New Roman" w:hAnsi="Times New Roman" w:cs="Times New Roman"/>
          <w:sz w:val="24"/>
          <w:szCs w:val="24"/>
          <w:shd w:val="clear" w:color="auto" w:fill="FFFFFF"/>
        </w:rPr>
        <w:t>pasa del 4,0% en el año 2000, al 3,7% en el año 2019 -Variación 2000-2019: (7,5%)</w:t>
      </w:r>
    </w:p>
    <w:p w:rsidR="000E4E0C" w:rsidRPr="00942B25" w:rsidRDefault="000E4E0C" w:rsidP="000E4E0C">
      <w:pPr>
        <w:spacing w:line="240" w:lineRule="auto"/>
        <w:jc w:val="both"/>
        <w:rPr>
          <w:rFonts w:ascii="Times New Roman" w:hAnsi="Times New Roman" w:cs="Times New Roman"/>
          <w:b/>
          <w:sz w:val="24"/>
          <w:szCs w:val="24"/>
          <w:shd w:val="clear" w:color="auto" w:fill="FFFFFF"/>
        </w:rPr>
      </w:pPr>
      <w:r w:rsidRPr="00942B25">
        <w:rPr>
          <w:rFonts w:ascii="Times New Roman" w:hAnsi="Times New Roman" w:cs="Times New Roman"/>
          <w:b/>
          <w:sz w:val="24"/>
          <w:szCs w:val="24"/>
          <w:shd w:val="clear" w:color="auto" w:fill="FFFFFF"/>
        </w:rPr>
        <w:t>Europa</w:t>
      </w:r>
    </w:p>
    <w:p w:rsidR="000E4E0C" w:rsidRPr="00E12BB1" w:rsidRDefault="000E4E0C" w:rsidP="000E4E0C">
      <w:pPr>
        <w:spacing w:line="240" w:lineRule="auto"/>
        <w:jc w:val="both"/>
        <w:rPr>
          <w:rFonts w:ascii="Times New Roman" w:hAnsi="Times New Roman" w:cs="Times New Roman"/>
          <w:sz w:val="24"/>
          <w:szCs w:val="24"/>
          <w:shd w:val="clear" w:color="auto" w:fill="FFFFFF"/>
        </w:rPr>
      </w:pPr>
      <w:r w:rsidRPr="00E12BB1">
        <w:rPr>
          <w:rFonts w:ascii="Times New Roman" w:hAnsi="Times New Roman" w:cs="Times New Roman"/>
          <w:sz w:val="24"/>
          <w:szCs w:val="24"/>
          <w:shd w:val="clear" w:color="auto" w:fill="FFFFFF"/>
        </w:rPr>
        <w:t>Para el cálculo del costo del desempleo en Europa (seguridad social) se asumen los siguientes supuestos teóricos:</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 calcula el</w:t>
      </w:r>
      <w:r w:rsidRPr="00E12BB1">
        <w:rPr>
          <w:rFonts w:ascii="Times New Roman" w:hAnsi="Times New Roman" w:cs="Times New Roman"/>
          <w:sz w:val="24"/>
          <w:szCs w:val="24"/>
          <w:shd w:val="clear" w:color="auto" w:fill="FFFFFF"/>
        </w:rPr>
        <w:t xml:space="preserve"> promedio del costo del desempl</w:t>
      </w:r>
      <w:r>
        <w:rPr>
          <w:rFonts w:ascii="Times New Roman" w:hAnsi="Times New Roman" w:cs="Times New Roman"/>
          <w:sz w:val="24"/>
          <w:szCs w:val="24"/>
          <w:shd w:val="clear" w:color="auto" w:fill="FFFFFF"/>
        </w:rPr>
        <w:t>eo de los años 1993 a 1999 (EU-15) en base a los datos históricos de Eurostat. (146.386 millones de euros). Años anteriores no disponibles.</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Luego se compara ese costo promedio teórico (1993-1999) con los datos correspondientes al costo del desempleo de los años 2000 a 2017 (Eurostat), asumiendo que la diferencia anual (positiva o negativa) puede ser atribuible al proceso de globalización económica.</w:t>
      </w:r>
    </w:p>
    <w:p w:rsidR="000E4E0C" w:rsidRPr="00D26EEA"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Promedio años 1993-1999 - EU-15: </w:t>
      </w:r>
      <w:r w:rsidRPr="00D26EEA">
        <w:rPr>
          <w:rFonts w:ascii="Times New Roman" w:hAnsi="Times New Roman" w:cs="Times New Roman"/>
          <w:sz w:val="24"/>
          <w:szCs w:val="24"/>
          <w:shd w:val="clear" w:color="auto" w:fill="FFFFFF"/>
        </w:rPr>
        <w:t>146.386</w:t>
      </w:r>
      <w:r>
        <w:rPr>
          <w:rFonts w:ascii="Times New Roman" w:hAnsi="Times New Roman" w:cs="Times New Roman"/>
          <w:sz w:val="24"/>
          <w:szCs w:val="24"/>
          <w:shd w:val="clear" w:color="auto" w:fill="FFFFFF"/>
        </w:rPr>
        <w:t xml:space="preserve"> (mill. euros) </w:t>
      </w:r>
    </w:p>
    <w:p w:rsidR="000E4E0C" w:rsidRDefault="000E4E0C" w:rsidP="000E4E0C">
      <w:pPr>
        <w:spacing w:line="240" w:lineRule="auto"/>
        <w:jc w:val="both"/>
        <w:rPr>
          <w:rFonts w:ascii="Times New Roman" w:hAnsi="Times New Roman" w:cs="Times New Roman"/>
          <w:b/>
          <w:sz w:val="24"/>
          <w:szCs w:val="24"/>
          <w:shd w:val="clear" w:color="auto" w:fill="FFFFFF"/>
        </w:rPr>
      </w:pPr>
      <w:r w:rsidRPr="004D61F2">
        <w:rPr>
          <w:rFonts w:ascii="Times New Roman" w:hAnsi="Times New Roman" w:cs="Times New Roman"/>
          <w:b/>
          <w:sz w:val="24"/>
          <w:szCs w:val="24"/>
          <w:shd w:val="clear" w:color="auto" w:fill="FFFFFF"/>
        </w:rPr>
        <w:t>Año 2000</w:t>
      </w:r>
      <w:r>
        <w:rPr>
          <w:rFonts w:ascii="Times New Roman" w:hAnsi="Times New Roman" w:cs="Times New Roman"/>
          <w:b/>
          <w:sz w:val="24"/>
          <w:szCs w:val="24"/>
          <w:shd w:val="clear" w:color="auto" w:fill="FFFFFF"/>
        </w:rPr>
        <w:t xml:space="preserve"> - EU-15:</w:t>
      </w:r>
      <w:r w:rsidRPr="00D26EEA">
        <w:rPr>
          <w:rFonts w:ascii="Times New Roman" w:hAnsi="Times New Roman" w:cs="Times New Roman"/>
          <w:sz w:val="24"/>
          <w:szCs w:val="24"/>
          <w:shd w:val="clear" w:color="auto" w:fill="FFFFFF"/>
        </w:rPr>
        <w:t>136.268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xml:space="preserve"> - Variación (2000 vs. prom. 93/99) = (10.118) </w:t>
      </w:r>
      <w:r>
        <w:rPr>
          <w:rFonts w:ascii="Times New Roman" w:hAnsi="Times New Roman" w:cs="Times New Roman"/>
          <w:b/>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2001 - EU-15:</w:t>
      </w:r>
      <w:r>
        <w:rPr>
          <w:rFonts w:ascii="Times New Roman" w:hAnsi="Times New Roman" w:cs="Times New Roman"/>
          <w:sz w:val="24"/>
          <w:szCs w:val="24"/>
          <w:shd w:val="clear" w:color="auto" w:fill="FFFFFF"/>
        </w:rPr>
        <w:t>142.103</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(2001 vs. prom. 93/99) = </w:t>
      </w:r>
      <w:r>
        <w:rPr>
          <w:rFonts w:ascii="Times New Roman" w:hAnsi="Times New Roman" w:cs="Times New Roman"/>
          <w:b/>
          <w:sz w:val="24"/>
          <w:szCs w:val="24"/>
          <w:shd w:val="clear" w:color="auto" w:fill="FFFFFF"/>
        </w:rPr>
        <w:t xml:space="preserve">  </w:t>
      </w:r>
      <w:r w:rsidRPr="00EE5015">
        <w:rPr>
          <w:rFonts w:ascii="Times New Roman" w:hAnsi="Times New Roman" w:cs="Times New Roman"/>
          <w:sz w:val="24"/>
          <w:szCs w:val="24"/>
          <w:shd w:val="clear" w:color="auto" w:fill="FFFFFF"/>
        </w:rPr>
        <w:t>(4.</w:t>
      </w:r>
      <w:r>
        <w:rPr>
          <w:rFonts w:ascii="Times New Roman" w:hAnsi="Times New Roman" w:cs="Times New Roman"/>
          <w:sz w:val="24"/>
          <w:szCs w:val="24"/>
          <w:shd w:val="clear" w:color="auto" w:fill="FFFFFF"/>
        </w:rPr>
        <w:t>283)</w:t>
      </w:r>
    </w:p>
    <w:p w:rsidR="000E4E0C" w:rsidRPr="00D40007"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2002 - EU-15:</w:t>
      </w:r>
      <w:r>
        <w:rPr>
          <w:rFonts w:ascii="Times New Roman" w:hAnsi="Times New Roman" w:cs="Times New Roman"/>
          <w:sz w:val="24"/>
          <w:szCs w:val="24"/>
          <w:shd w:val="clear" w:color="auto" w:fill="FFFFFF"/>
        </w:rPr>
        <w:t>149.560</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xml:space="preserve"> - Variación (2002 vs. prom. 93/99) =  </w:t>
      </w:r>
      <w:r>
        <w:rPr>
          <w:rFonts w:ascii="Times New Roman" w:hAnsi="Times New Roman" w:cs="Times New Roman"/>
          <w:b/>
          <w:sz w:val="24"/>
          <w:szCs w:val="24"/>
          <w:shd w:val="clear" w:color="auto" w:fill="FFFFFF"/>
        </w:rPr>
        <w:t xml:space="preserve">   </w:t>
      </w:r>
      <w:r w:rsidRPr="00D40007">
        <w:rPr>
          <w:rFonts w:ascii="Times New Roman" w:hAnsi="Times New Roman" w:cs="Times New Roman"/>
          <w:sz w:val="24"/>
          <w:szCs w:val="24"/>
          <w:shd w:val="clear" w:color="auto" w:fill="FFFFFF"/>
        </w:rPr>
        <w:t>3,174</w:t>
      </w:r>
    </w:p>
    <w:p w:rsidR="000E4E0C" w:rsidRPr="00D40007"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2003 - EU-15:</w:t>
      </w:r>
      <w:r>
        <w:rPr>
          <w:rFonts w:ascii="Times New Roman" w:hAnsi="Times New Roman" w:cs="Times New Roman"/>
          <w:sz w:val="24"/>
          <w:szCs w:val="24"/>
          <w:shd w:val="clear" w:color="auto" w:fill="FFFFFF"/>
        </w:rPr>
        <w:t>160.166</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(2003 vs. prom. 93/99) = </w:t>
      </w:r>
      <w:r>
        <w:rPr>
          <w:rFonts w:ascii="Times New Roman" w:hAnsi="Times New Roman" w:cs="Times New Roman"/>
          <w:b/>
          <w:sz w:val="24"/>
          <w:szCs w:val="24"/>
          <w:shd w:val="clear" w:color="auto" w:fill="FFFFFF"/>
        </w:rPr>
        <w:t xml:space="preserve"> </w:t>
      </w:r>
      <w:r w:rsidRPr="00D40007">
        <w:rPr>
          <w:rFonts w:ascii="Times New Roman" w:hAnsi="Times New Roman" w:cs="Times New Roman"/>
          <w:sz w:val="24"/>
          <w:szCs w:val="24"/>
          <w:shd w:val="clear" w:color="auto" w:fill="FFFFFF"/>
        </w:rPr>
        <w:t xml:space="preserve"> 13.780</w:t>
      </w:r>
    </w:p>
    <w:p w:rsidR="000E4E0C" w:rsidRPr="00D40007"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2004 - EU-15:</w:t>
      </w:r>
      <w:r>
        <w:rPr>
          <w:rFonts w:ascii="Times New Roman" w:hAnsi="Times New Roman" w:cs="Times New Roman"/>
          <w:sz w:val="24"/>
          <w:szCs w:val="24"/>
          <w:shd w:val="clear" w:color="auto" w:fill="FFFFFF"/>
        </w:rPr>
        <w:t>164.841</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(2004 vs. prom. 93/99)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18.455</w:t>
      </w:r>
    </w:p>
    <w:p w:rsidR="000E4E0C" w:rsidRPr="00D40007"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2005 - EU-27:</w:t>
      </w:r>
      <w:r>
        <w:rPr>
          <w:rFonts w:ascii="Times New Roman" w:hAnsi="Times New Roman" w:cs="Times New Roman"/>
          <w:sz w:val="24"/>
          <w:szCs w:val="24"/>
          <w:shd w:val="clear" w:color="auto" w:fill="FFFFFF"/>
        </w:rPr>
        <w:t>167.979</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xml:space="preserve"> - Variación (2005 vs. prom. 93/99)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21.593</w:t>
      </w:r>
    </w:p>
    <w:p w:rsidR="000E4E0C" w:rsidRPr="00D40007"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2006 - EU-27:</w:t>
      </w:r>
      <w:r>
        <w:rPr>
          <w:rFonts w:ascii="Times New Roman" w:hAnsi="Times New Roman" w:cs="Times New Roman"/>
          <w:sz w:val="24"/>
          <w:szCs w:val="24"/>
          <w:shd w:val="clear" w:color="auto" w:fill="FFFFFF"/>
        </w:rPr>
        <w:t>161.745</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xml:space="preserve"> - Variación (2006 vs. prom. 93/99)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15.359</w:t>
      </w:r>
    </w:p>
    <w:p w:rsidR="000E4E0C" w:rsidRPr="00D40007"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2007 - EU-27:</w:t>
      </w:r>
      <w:r>
        <w:rPr>
          <w:rFonts w:ascii="Times New Roman" w:hAnsi="Times New Roman" w:cs="Times New Roman"/>
          <w:sz w:val="24"/>
          <w:szCs w:val="24"/>
          <w:shd w:val="clear" w:color="auto" w:fill="FFFFFF"/>
        </w:rPr>
        <w:t>160.652</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sz w:val="24"/>
          <w:szCs w:val="24"/>
          <w:shd w:val="clear" w:color="auto" w:fill="FFFFFF"/>
        </w:rPr>
        <w:t xml:space="preserve"> - Variación (2007 vs. prom. 93/99)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14.266</w:t>
      </w:r>
    </w:p>
    <w:p w:rsidR="000E4E0C" w:rsidRPr="00D40007"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2008 - EU-28:</w:t>
      </w:r>
      <w:r>
        <w:rPr>
          <w:rFonts w:ascii="Times New Roman" w:hAnsi="Times New Roman" w:cs="Times New Roman"/>
          <w:sz w:val="24"/>
          <w:szCs w:val="24"/>
          <w:shd w:val="clear" w:color="auto" w:fill="FFFFFF"/>
        </w:rPr>
        <w:t>163.502</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Variación (2008 vs. prom. 93/99)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17.116</w:t>
      </w:r>
    </w:p>
    <w:p w:rsidR="000E4E0C" w:rsidRPr="00D40007"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2009 - EU-28: </w:t>
      </w:r>
      <w:r>
        <w:rPr>
          <w:rFonts w:ascii="Times New Roman" w:hAnsi="Times New Roman" w:cs="Times New Roman"/>
          <w:sz w:val="24"/>
          <w:szCs w:val="24"/>
          <w:shd w:val="clear" w:color="auto" w:fill="FFFFFF"/>
        </w:rPr>
        <w:t>210.177</w:t>
      </w:r>
      <w:r w:rsidRPr="00D26EEA">
        <w:rPr>
          <w:rFonts w:ascii="Times New Roman" w:hAnsi="Times New Roman" w:cs="Times New Roman"/>
          <w:sz w:val="24"/>
          <w:szCs w:val="24"/>
          <w:shd w:val="clear" w:color="auto" w:fill="FFFFFF"/>
        </w:rPr>
        <w:t xml:space="preserve"> (mi</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l.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(2009 vs. prom. 93/99)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63.791</w:t>
      </w:r>
    </w:p>
    <w:p w:rsidR="000E4E0C" w:rsidRPr="00D40007"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2010 - EU-28: </w:t>
      </w:r>
      <w:r>
        <w:rPr>
          <w:rFonts w:ascii="Times New Roman" w:hAnsi="Times New Roman" w:cs="Times New Roman"/>
          <w:sz w:val="24"/>
          <w:szCs w:val="24"/>
          <w:shd w:val="clear" w:color="auto" w:fill="FFFFFF"/>
        </w:rPr>
        <w:t>211.881</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(2010 vs. prom. 93/99)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65.495</w:t>
      </w:r>
    </w:p>
    <w:p w:rsidR="000E4E0C" w:rsidRPr="00D40007"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2011 - EU-28: </w:t>
      </w:r>
      <w:r w:rsidRPr="007B3EFC">
        <w:rPr>
          <w:rFonts w:ascii="Times New Roman" w:hAnsi="Times New Roman" w:cs="Times New Roman"/>
          <w:sz w:val="24"/>
          <w:szCs w:val="24"/>
          <w:shd w:val="clear" w:color="auto" w:fill="FFFFFF"/>
        </w:rPr>
        <w:t>205.556</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(2011 vs. prom. 93/99) = </w:t>
      </w:r>
      <w:r>
        <w:rPr>
          <w:rFonts w:ascii="Times New Roman" w:hAnsi="Times New Roman" w:cs="Times New Roman"/>
          <w:b/>
          <w:sz w:val="24"/>
          <w:szCs w:val="24"/>
          <w:shd w:val="clear" w:color="auto" w:fill="FFFFFF"/>
        </w:rPr>
        <w:t xml:space="preserve">  </w:t>
      </w:r>
      <w:r w:rsidRPr="00D40007">
        <w:rPr>
          <w:rFonts w:ascii="Times New Roman" w:hAnsi="Times New Roman" w:cs="Times New Roman"/>
          <w:sz w:val="24"/>
          <w:szCs w:val="24"/>
          <w:shd w:val="clear" w:color="auto" w:fill="FFFFFF"/>
        </w:rPr>
        <w:t>59.</w:t>
      </w:r>
      <w:r>
        <w:rPr>
          <w:rFonts w:ascii="Times New Roman" w:hAnsi="Times New Roman" w:cs="Times New Roman"/>
          <w:sz w:val="24"/>
          <w:szCs w:val="24"/>
          <w:shd w:val="clear" w:color="auto" w:fill="FFFFFF"/>
        </w:rPr>
        <w:t>170</w:t>
      </w:r>
    </w:p>
    <w:p w:rsidR="000E4E0C" w:rsidRPr="00D40007"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lastRenderedPageBreak/>
        <w:t xml:space="preserve">Año 2012 - EU-28: </w:t>
      </w:r>
      <w:r>
        <w:rPr>
          <w:rFonts w:ascii="Times New Roman" w:hAnsi="Times New Roman" w:cs="Times New Roman"/>
          <w:sz w:val="24"/>
          <w:szCs w:val="24"/>
          <w:shd w:val="clear" w:color="auto" w:fill="FFFFFF"/>
        </w:rPr>
        <w:t>204.749</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(2012 vs. prom. 93/99)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58.363</w:t>
      </w:r>
    </w:p>
    <w:p w:rsidR="000E4E0C" w:rsidRPr="00D40007"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2013 - EU-28:</w:t>
      </w:r>
      <w:r>
        <w:rPr>
          <w:rFonts w:ascii="Times New Roman" w:hAnsi="Times New Roman" w:cs="Times New Roman"/>
          <w:sz w:val="24"/>
          <w:szCs w:val="24"/>
          <w:shd w:val="clear" w:color="auto" w:fill="FFFFFF"/>
        </w:rPr>
        <w:t xml:space="preserve"> 208.802</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(2013 vs. prom. 93/99)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52.881</w:t>
      </w:r>
    </w:p>
    <w:p w:rsidR="000E4E0C" w:rsidRPr="00D40007"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2014 - EU-28:</w:t>
      </w:r>
      <w:r>
        <w:rPr>
          <w:rFonts w:ascii="Times New Roman" w:hAnsi="Times New Roman" w:cs="Times New Roman"/>
          <w:sz w:val="24"/>
          <w:szCs w:val="24"/>
          <w:shd w:val="clear" w:color="auto" w:fill="FFFFFF"/>
        </w:rPr>
        <w:t xml:space="preserve"> 199.267</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(2014 vs. prom. 93/99)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53.438</w:t>
      </w:r>
    </w:p>
    <w:p w:rsidR="000E4E0C" w:rsidRPr="00D40007"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2015 - EU-28:</w:t>
      </w:r>
      <w:r>
        <w:rPr>
          <w:rFonts w:ascii="Times New Roman" w:hAnsi="Times New Roman" w:cs="Times New Roman"/>
          <w:sz w:val="24"/>
          <w:szCs w:val="24"/>
          <w:shd w:val="clear" w:color="auto" w:fill="FFFFFF"/>
        </w:rPr>
        <w:t>192.824</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(2015 vs. prom. 93/99)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46.438</w:t>
      </w:r>
    </w:p>
    <w:p w:rsidR="000E4E0C" w:rsidRPr="00D40007"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2016 - EU-28:</w:t>
      </w:r>
      <w:r>
        <w:rPr>
          <w:rFonts w:ascii="Times New Roman" w:hAnsi="Times New Roman" w:cs="Times New Roman"/>
          <w:sz w:val="24"/>
          <w:szCs w:val="24"/>
          <w:shd w:val="clear" w:color="auto" w:fill="FFFFFF"/>
        </w:rPr>
        <w:t>187.962</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(2016 vs. prom. 93/99) = </w:t>
      </w:r>
      <w:r>
        <w:rPr>
          <w:rFonts w:ascii="Times New Roman" w:hAnsi="Times New Roman" w:cs="Times New Roman"/>
          <w:b/>
          <w:sz w:val="24"/>
          <w:szCs w:val="24"/>
          <w:shd w:val="clear" w:color="auto" w:fill="FFFFFF"/>
        </w:rPr>
        <w:t xml:space="preserve">   </w:t>
      </w:r>
      <w:r w:rsidRPr="00D40007">
        <w:rPr>
          <w:rFonts w:ascii="Times New Roman" w:hAnsi="Times New Roman" w:cs="Times New Roman"/>
          <w:sz w:val="24"/>
          <w:szCs w:val="24"/>
          <w:shd w:val="clear" w:color="auto" w:fill="FFFFFF"/>
        </w:rPr>
        <w:t>41.576</w:t>
      </w:r>
    </w:p>
    <w:p w:rsidR="000E4E0C" w:rsidRPr="00D40007"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2017 - EU-28:</w:t>
      </w:r>
      <w:r>
        <w:rPr>
          <w:rFonts w:ascii="Times New Roman" w:hAnsi="Times New Roman" w:cs="Times New Roman"/>
          <w:sz w:val="24"/>
          <w:szCs w:val="24"/>
          <w:shd w:val="clear" w:color="auto" w:fill="FFFFFF"/>
        </w:rPr>
        <w:t>181.643</w:t>
      </w:r>
      <w:r w:rsidRPr="00D26EEA">
        <w:rPr>
          <w:rFonts w:ascii="Times New Roman" w:hAnsi="Times New Roman" w:cs="Times New Roman"/>
          <w:sz w:val="24"/>
          <w:szCs w:val="24"/>
          <w:shd w:val="clear" w:color="auto" w:fill="FFFFFF"/>
        </w:rPr>
        <w:t xml:space="preserve"> (mil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e</w:t>
      </w:r>
      <w:r w:rsidRPr="00D26EEA">
        <w:rPr>
          <w:rFonts w:ascii="Times New Roman" w:hAnsi="Times New Roman" w:cs="Times New Roman"/>
          <w:sz w:val="24"/>
          <w:szCs w:val="24"/>
          <w:shd w:val="clear" w:color="auto" w:fill="FFFFFF"/>
        </w:rPr>
        <w:t>uros)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(2017 vs. prom. 93/99)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35.257</w:t>
      </w:r>
    </w:p>
    <w:p w:rsidR="000E4E0C" w:rsidRDefault="000E4E0C" w:rsidP="000E4E0C">
      <w:pPr>
        <w:spacing w:line="240" w:lineRule="auto"/>
        <w:jc w:val="both"/>
        <w:rPr>
          <w:rFonts w:ascii="Times New Roman" w:hAnsi="Times New Roman" w:cs="Times New Roman"/>
          <w:b/>
          <w:sz w:val="24"/>
          <w:szCs w:val="24"/>
          <w:shd w:val="clear" w:color="auto" w:fill="FFFFFF"/>
        </w:rPr>
      </w:pPr>
      <w:r w:rsidRPr="00C17D91">
        <w:rPr>
          <w:rFonts w:ascii="Times New Roman" w:hAnsi="Times New Roman" w:cs="Times New Roman"/>
          <w:b/>
          <w:sz w:val="24"/>
          <w:szCs w:val="24"/>
          <w:shd w:val="clear" w:color="auto" w:fill="FFFFFF"/>
        </w:rPr>
        <w:t>EEUU</w:t>
      </w:r>
    </w:p>
    <w:p w:rsidR="000E4E0C" w:rsidRPr="00E12BB1" w:rsidRDefault="000E4E0C" w:rsidP="000E4E0C">
      <w:pPr>
        <w:spacing w:line="240" w:lineRule="auto"/>
        <w:jc w:val="both"/>
        <w:rPr>
          <w:rFonts w:ascii="Times New Roman" w:hAnsi="Times New Roman" w:cs="Times New Roman"/>
          <w:sz w:val="24"/>
          <w:szCs w:val="24"/>
          <w:shd w:val="clear" w:color="auto" w:fill="FFFFFF"/>
        </w:rPr>
      </w:pPr>
      <w:r w:rsidRPr="00E12BB1">
        <w:rPr>
          <w:rFonts w:ascii="Times New Roman" w:hAnsi="Times New Roman" w:cs="Times New Roman"/>
          <w:sz w:val="24"/>
          <w:szCs w:val="24"/>
          <w:shd w:val="clear" w:color="auto" w:fill="FFFFFF"/>
        </w:rPr>
        <w:t xml:space="preserve">Para el cálculo del costo del </w:t>
      </w:r>
      <w:r>
        <w:rPr>
          <w:rFonts w:ascii="Times New Roman" w:hAnsi="Times New Roman" w:cs="Times New Roman"/>
          <w:sz w:val="24"/>
          <w:szCs w:val="24"/>
          <w:shd w:val="clear" w:color="auto" w:fill="FFFFFF"/>
        </w:rPr>
        <w:t>desempleo en EEUU (unemployment insurance</w:t>
      </w:r>
      <w:r w:rsidRPr="00E12BB1">
        <w:rPr>
          <w:rFonts w:ascii="Times New Roman" w:hAnsi="Times New Roman" w:cs="Times New Roman"/>
          <w:sz w:val="24"/>
          <w:szCs w:val="24"/>
          <w:shd w:val="clear" w:color="auto" w:fill="FFFFFF"/>
        </w:rPr>
        <w:t>) se asumen los siguientes supuestos teóricos:</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 calcula el</w:t>
      </w:r>
      <w:r w:rsidRPr="00E12BB1">
        <w:rPr>
          <w:rFonts w:ascii="Times New Roman" w:hAnsi="Times New Roman" w:cs="Times New Roman"/>
          <w:sz w:val="24"/>
          <w:szCs w:val="24"/>
          <w:shd w:val="clear" w:color="auto" w:fill="FFFFFF"/>
        </w:rPr>
        <w:t xml:space="preserve"> promedio del costo del desempl</w:t>
      </w:r>
      <w:r>
        <w:rPr>
          <w:rFonts w:ascii="Times New Roman" w:hAnsi="Times New Roman" w:cs="Times New Roman"/>
          <w:sz w:val="24"/>
          <w:szCs w:val="24"/>
          <w:shd w:val="clear" w:color="auto" w:fill="FFFFFF"/>
        </w:rPr>
        <w:t xml:space="preserve">eo de los años 1995 a 1999 (all categories) en base a los datos históricos de U.S. Department of Labor (miles de dólares).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Luego se compara ese costo promedio teórico (1995-1999) con los datos correspondientes al costo del desempleo de los años 2000 a 2017 (U.S. Department of Labor), asumiendo que la diferencia anual (positiva o negativa) puede ser atribuible al proceso de globalización económica.  No se emplean los años posteriores para homogeneizar con la serie de la UE.</w:t>
      </w:r>
    </w:p>
    <w:p w:rsidR="000E4E0C" w:rsidRDefault="000E4E0C" w:rsidP="000E4E0C">
      <w:pPr>
        <w:spacing w:line="240" w:lineRule="auto"/>
        <w:jc w:val="both"/>
        <w:rPr>
          <w:rFonts w:ascii="Times New Roman" w:hAnsi="Times New Roman" w:cs="Times New Roman"/>
          <w:sz w:val="24"/>
          <w:szCs w:val="24"/>
          <w:shd w:val="clear" w:color="auto" w:fill="FFFFFF"/>
        </w:rPr>
      </w:pPr>
    </w:p>
    <w:p w:rsidR="000E4E0C" w:rsidRDefault="000E4E0C" w:rsidP="000E4E0C">
      <w:pPr>
        <w:spacing w:line="240" w:lineRule="auto"/>
        <w:jc w:val="both"/>
        <w:rPr>
          <w:rFonts w:ascii="Times New Roman" w:hAnsi="Times New Roman" w:cs="Times New Roman"/>
          <w:sz w:val="24"/>
          <w:szCs w:val="24"/>
          <w:shd w:val="clear" w:color="auto" w:fill="FFFFFF"/>
        </w:rPr>
      </w:pPr>
    </w:p>
    <w:p w:rsidR="000E4E0C" w:rsidRDefault="000E4E0C" w:rsidP="000E4E0C">
      <w:pPr>
        <w:spacing w:line="240" w:lineRule="auto"/>
        <w:jc w:val="both"/>
        <w:rPr>
          <w:rFonts w:ascii="Times New Roman" w:hAnsi="Times New Roman" w:cs="Times New Roman"/>
          <w:sz w:val="24"/>
          <w:szCs w:val="24"/>
          <w:shd w:val="clear" w:color="auto" w:fill="FFFFFF"/>
        </w:rPr>
      </w:pPr>
      <w:r w:rsidRPr="009317FA">
        <w:rPr>
          <w:rFonts w:ascii="Times New Roman" w:hAnsi="Times New Roman" w:cs="Times New Roman"/>
          <w:noProof/>
          <w:sz w:val="24"/>
          <w:szCs w:val="24"/>
          <w:shd w:val="clear" w:color="auto" w:fill="FFFFFF"/>
          <w:lang w:eastAsia="es-ES"/>
        </w:rPr>
        <w:drawing>
          <wp:inline distT="0" distB="0" distL="0" distR="0" wp14:anchorId="7904D167" wp14:editId="48E25281">
            <wp:extent cx="2761293" cy="1835523"/>
            <wp:effectExtent l="0" t="0" r="1270" b="0"/>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2762636" cy="1836416"/>
                    </a:xfrm>
                    <a:prstGeom prst="rect">
                      <a:avLst/>
                    </a:prstGeom>
                  </pic:spPr>
                </pic:pic>
              </a:graphicData>
            </a:graphic>
          </wp:inline>
        </w:drawing>
      </w:r>
      <w:r w:rsidRPr="002D6217">
        <w:rPr>
          <w:rFonts w:ascii="Times New Roman" w:hAnsi="Times New Roman" w:cs="Times New Roman"/>
          <w:noProof/>
          <w:sz w:val="24"/>
          <w:szCs w:val="24"/>
          <w:shd w:val="clear" w:color="auto" w:fill="FFFFFF"/>
          <w:lang w:eastAsia="es-ES"/>
        </w:rPr>
        <w:drawing>
          <wp:inline distT="0" distB="0" distL="0" distR="0" wp14:anchorId="2D8402E5" wp14:editId="3C6FD17A">
            <wp:extent cx="2791797" cy="2225488"/>
            <wp:effectExtent l="0" t="0" r="8890" b="3810"/>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2791215" cy="2225024"/>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sz w:val="24"/>
          <w:szCs w:val="24"/>
          <w:shd w:val="clear" w:color="auto" w:fill="FFFFFF"/>
        </w:rPr>
      </w:pPr>
      <w:r w:rsidRPr="00694076">
        <w:rPr>
          <w:rFonts w:ascii="Times New Roman" w:hAnsi="Times New Roman" w:cs="Times New Roman"/>
          <w:noProof/>
          <w:sz w:val="24"/>
          <w:szCs w:val="24"/>
          <w:shd w:val="clear" w:color="auto" w:fill="FFFFFF"/>
          <w:lang w:eastAsia="es-ES"/>
        </w:rPr>
        <w:lastRenderedPageBreak/>
        <w:drawing>
          <wp:inline distT="0" distB="0" distL="0" distR="0" wp14:anchorId="00F452B2" wp14:editId="38152FD6">
            <wp:extent cx="2781300" cy="2433918"/>
            <wp:effectExtent l="0" t="0" r="0" b="5080"/>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2781688" cy="2434258"/>
                    </a:xfrm>
                    <a:prstGeom prst="rect">
                      <a:avLst/>
                    </a:prstGeom>
                  </pic:spPr>
                </pic:pic>
              </a:graphicData>
            </a:graphic>
          </wp:inline>
        </w:drawing>
      </w:r>
      <w:r w:rsidRPr="002D6217">
        <w:rPr>
          <w:rFonts w:ascii="Times New Roman" w:hAnsi="Times New Roman" w:cs="Times New Roman"/>
          <w:noProof/>
          <w:sz w:val="24"/>
          <w:szCs w:val="24"/>
          <w:shd w:val="clear" w:color="auto" w:fill="FFFFFF"/>
          <w:lang w:eastAsia="es-ES"/>
        </w:rPr>
        <w:drawing>
          <wp:inline distT="0" distB="0" distL="0" distR="0" wp14:anchorId="1FD8EEED" wp14:editId="6052B24B">
            <wp:extent cx="2722730" cy="2070847"/>
            <wp:effectExtent l="0" t="0" r="1905" b="5715"/>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2724530" cy="2072216"/>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sz w:val="24"/>
          <w:szCs w:val="24"/>
          <w:shd w:val="clear" w:color="auto" w:fill="FFFFFF"/>
        </w:rPr>
      </w:pPr>
      <w:r w:rsidRPr="00A20833">
        <w:rPr>
          <w:rFonts w:ascii="Times New Roman" w:hAnsi="Times New Roman" w:cs="Times New Roman"/>
          <w:noProof/>
          <w:sz w:val="24"/>
          <w:szCs w:val="24"/>
          <w:shd w:val="clear" w:color="auto" w:fill="FFFFFF"/>
          <w:lang w:eastAsia="es-ES"/>
        </w:rPr>
        <w:drawing>
          <wp:inline distT="0" distB="0" distL="0" distR="0" wp14:anchorId="03E56B68" wp14:editId="13563440">
            <wp:extent cx="2763371" cy="2581835"/>
            <wp:effectExtent l="0" t="0" r="0" b="9525"/>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2762636" cy="2581148"/>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sz w:val="24"/>
          <w:szCs w:val="24"/>
          <w:shd w:val="clear" w:color="auto" w:fill="FFFFFF"/>
        </w:rPr>
      </w:pPr>
      <w:r w:rsidRPr="00694076">
        <w:rPr>
          <w:rFonts w:ascii="Times New Roman" w:hAnsi="Times New Roman" w:cs="Times New Roman"/>
          <w:noProof/>
          <w:sz w:val="24"/>
          <w:szCs w:val="24"/>
          <w:shd w:val="clear" w:color="auto" w:fill="FFFFFF"/>
          <w:lang w:eastAsia="es-ES"/>
        </w:rPr>
        <w:drawing>
          <wp:inline distT="0" distB="0" distL="0" distR="0" wp14:anchorId="5F731133" wp14:editId="5C67B568">
            <wp:extent cx="2677944" cy="2696135"/>
            <wp:effectExtent l="0" t="0" r="8255" b="9525"/>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2676899" cy="2695083"/>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sz w:val="24"/>
          <w:szCs w:val="24"/>
          <w:shd w:val="clear" w:color="auto" w:fill="FFFFFF"/>
        </w:rPr>
      </w:pPr>
      <w:r w:rsidRPr="00694076">
        <w:rPr>
          <w:rFonts w:ascii="Times New Roman" w:hAnsi="Times New Roman" w:cs="Times New Roman"/>
          <w:noProof/>
          <w:sz w:val="24"/>
          <w:szCs w:val="24"/>
          <w:shd w:val="clear" w:color="auto" w:fill="FFFFFF"/>
          <w:lang w:eastAsia="es-ES"/>
        </w:rPr>
        <w:lastRenderedPageBreak/>
        <w:drawing>
          <wp:inline distT="0" distB="0" distL="0" distR="0" wp14:anchorId="56BBED07" wp14:editId="0280FF9C">
            <wp:extent cx="2783541" cy="1808629"/>
            <wp:effectExtent l="0" t="0" r="0" b="1270"/>
            <wp:docPr id="285" name="Imagen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2781688" cy="1807425"/>
                    </a:xfrm>
                    <a:prstGeom prst="rect">
                      <a:avLst/>
                    </a:prstGeom>
                  </pic:spPr>
                </pic:pic>
              </a:graphicData>
            </a:graphic>
          </wp:inline>
        </w:drawing>
      </w:r>
    </w:p>
    <w:p w:rsidR="000E4E0C" w:rsidRDefault="000E4E0C" w:rsidP="000E4E0C">
      <w:pPr>
        <w:spacing w:line="240" w:lineRule="auto"/>
        <w:jc w:val="both"/>
        <w:rPr>
          <w:noProof/>
          <w:lang w:eastAsia="es-ES"/>
        </w:rPr>
      </w:pPr>
      <w:r w:rsidRPr="009317FA">
        <w:rPr>
          <w:rFonts w:ascii="Times New Roman" w:hAnsi="Times New Roman" w:cs="Times New Roman"/>
          <w:sz w:val="24"/>
          <w:szCs w:val="24"/>
          <w:shd w:val="clear" w:color="auto" w:fill="FFFFFF"/>
        </w:rPr>
        <w:t xml:space="preserve"> </w:t>
      </w:r>
      <w:r w:rsidRPr="009317FA">
        <w:rPr>
          <w:rFonts w:ascii="Times New Roman" w:hAnsi="Times New Roman" w:cs="Times New Roman"/>
          <w:noProof/>
          <w:sz w:val="24"/>
          <w:szCs w:val="24"/>
          <w:shd w:val="clear" w:color="auto" w:fill="FFFFFF"/>
          <w:lang w:eastAsia="es-ES"/>
        </w:rPr>
        <w:drawing>
          <wp:inline distT="0" distB="0" distL="0" distR="0" wp14:anchorId="4899A87E" wp14:editId="49E1D020">
            <wp:extent cx="2716306" cy="2938182"/>
            <wp:effectExtent l="0" t="0" r="8255" b="0"/>
            <wp:docPr id="286" name="Imagen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2715004" cy="2936774"/>
                    </a:xfrm>
                    <a:prstGeom prst="rect">
                      <a:avLst/>
                    </a:prstGeom>
                  </pic:spPr>
                </pic:pic>
              </a:graphicData>
            </a:graphic>
          </wp:inline>
        </w:drawing>
      </w:r>
      <w:r w:rsidRPr="009317FA">
        <w:rPr>
          <w:noProof/>
          <w:lang w:eastAsia="es-ES"/>
        </w:rPr>
        <w:t xml:space="preserve"> </w:t>
      </w:r>
    </w:p>
    <w:p w:rsidR="000E4E0C" w:rsidRDefault="000E4E0C" w:rsidP="000E4E0C">
      <w:pPr>
        <w:spacing w:line="240" w:lineRule="auto"/>
        <w:jc w:val="both"/>
        <w:rPr>
          <w:rFonts w:ascii="Times New Roman" w:hAnsi="Times New Roman" w:cs="Times New Roman"/>
          <w:sz w:val="24"/>
          <w:szCs w:val="24"/>
          <w:shd w:val="clear" w:color="auto" w:fill="FFFFFF"/>
        </w:rPr>
      </w:pPr>
      <w:r w:rsidRPr="009317FA">
        <w:rPr>
          <w:rFonts w:ascii="Times New Roman" w:hAnsi="Times New Roman" w:cs="Times New Roman"/>
          <w:noProof/>
          <w:sz w:val="24"/>
          <w:szCs w:val="24"/>
          <w:shd w:val="clear" w:color="auto" w:fill="FFFFFF"/>
          <w:lang w:eastAsia="es-ES"/>
        </w:rPr>
        <w:drawing>
          <wp:inline distT="0" distB="0" distL="0" distR="0" wp14:anchorId="78941FE2" wp14:editId="65980787">
            <wp:extent cx="2678054" cy="2306171"/>
            <wp:effectExtent l="0" t="0" r="8255" b="0"/>
            <wp:docPr id="287" name="Imagen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2676899" cy="2305176"/>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sz w:val="24"/>
          <w:szCs w:val="24"/>
          <w:shd w:val="clear" w:color="auto" w:fill="FFFFFF"/>
        </w:rPr>
      </w:pPr>
      <w:r w:rsidRPr="009317FA">
        <w:rPr>
          <w:rFonts w:ascii="Times New Roman" w:hAnsi="Times New Roman" w:cs="Times New Roman"/>
          <w:noProof/>
          <w:sz w:val="24"/>
          <w:szCs w:val="24"/>
          <w:shd w:val="clear" w:color="auto" w:fill="FFFFFF"/>
          <w:lang w:eastAsia="es-ES"/>
        </w:rPr>
        <w:lastRenderedPageBreak/>
        <w:drawing>
          <wp:inline distT="0" distB="0" distL="0" distR="0" wp14:anchorId="1B73DE9A" wp14:editId="472F7643">
            <wp:extent cx="2723029" cy="2696135"/>
            <wp:effectExtent l="0" t="0" r="1270" b="9525"/>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2724530" cy="2697621"/>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b/>
          <w:sz w:val="24"/>
          <w:szCs w:val="24"/>
          <w:shd w:val="clear" w:color="auto" w:fill="FFFFFF"/>
        </w:rPr>
      </w:pPr>
    </w:p>
    <w:p w:rsidR="000E4E0C" w:rsidRPr="00D26EEA"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Promedio años 1995-1999 - EEUU: </w:t>
      </w:r>
      <w:r>
        <w:rPr>
          <w:rFonts w:ascii="Times New Roman" w:hAnsi="Times New Roman" w:cs="Times New Roman"/>
          <w:sz w:val="24"/>
          <w:szCs w:val="24"/>
          <w:shd w:val="clear" w:color="auto" w:fill="FFFFFF"/>
        </w:rPr>
        <w:t xml:space="preserve">19,72 (miles de mill. de dólares) </w:t>
      </w:r>
    </w:p>
    <w:p w:rsidR="000E4E0C" w:rsidRDefault="000E4E0C" w:rsidP="000E4E0C">
      <w:pPr>
        <w:spacing w:line="240" w:lineRule="auto"/>
        <w:jc w:val="both"/>
        <w:rPr>
          <w:rFonts w:ascii="Times New Roman" w:hAnsi="Times New Roman" w:cs="Times New Roman"/>
          <w:b/>
          <w:sz w:val="24"/>
          <w:szCs w:val="24"/>
          <w:shd w:val="clear" w:color="auto" w:fill="FFFFFF"/>
        </w:rPr>
      </w:pPr>
      <w:r w:rsidRPr="004D61F2">
        <w:rPr>
          <w:rFonts w:ascii="Times New Roman" w:hAnsi="Times New Roman" w:cs="Times New Roman"/>
          <w:b/>
          <w:sz w:val="24"/>
          <w:szCs w:val="24"/>
          <w:shd w:val="clear" w:color="auto" w:fill="FFFFFF"/>
        </w:rPr>
        <w:t>Año 2000</w:t>
      </w:r>
      <w:r>
        <w:rPr>
          <w:rFonts w:ascii="Times New Roman" w:hAnsi="Times New Roman" w:cs="Times New Roman"/>
          <w:b/>
          <w:sz w:val="24"/>
          <w:szCs w:val="24"/>
          <w:shd w:val="clear" w:color="auto" w:fill="FFFFFF"/>
        </w:rPr>
        <w:t xml:space="preserve"> -  EEUU: </w:t>
      </w:r>
      <w:r>
        <w:rPr>
          <w:rFonts w:ascii="Times New Roman" w:hAnsi="Times New Roman" w:cs="Times New Roman"/>
          <w:sz w:val="24"/>
          <w:szCs w:val="24"/>
          <w:shd w:val="clear" w:color="auto" w:fill="FFFFFF"/>
        </w:rPr>
        <w:t xml:space="preserve">20,5 </w:t>
      </w:r>
      <w:r w:rsidRPr="00D26EE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dólares</w:t>
      </w:r>
      <w:r w:rsidRPr="00D26EE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 Variación (2000 vs. prom. 95/99) = </w:t>
      </w:r>
      <w:r>
        <w:rPr>
          <w:rFonts w:ascii="Times New Roman" w:hAnsi="Times New Roman" w:cs="Times New Roman"/>
          <w:b/>
          <w:sz w:val="24"/>
          <w:szCs w:val="24"/>
          <w:shd w:val="clear" w:color="auto" w:fill="FFFFFF"/>
        </w:rPr>
        <w:t xml:space="preserve">  </w:t>
      </w:r>
      <w:r w:rsidRPr="005D04A6">
        <w:rPr>
          <w:rFonts w:ascii="Times New Roman" w:hAnsi="Times New Roman" w:cs="Times New Roman"/>
          <w:sz w:val="24"/>
          <w:szCs w:val="24"/>
          <w:shd w:val="clear" w:color="auto" w:fill="FFFFFF"/>
        </w:rPr>
        <w:t>0,78</w:t>
      </w:r>
      <w:r>
        <w:rPr>
          <w:rFonts w:ascii="Times New Roman" w:hAnsi="Times New Roman" w:cs="Times New Roman"/>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2001 - EEUU: </w:t>
      </w:r>
      <w:r w:rsidRPr="00592D52">
        <w:rPr>
          <w:rFonts w:ascii="Times New Roman" w:hAnsi="Times New Roman" w:cs="Times New Roman"/>
          <w:sz w:val="24"/>
          <w:szCs w:val="24"/>
          <w:shd w:val="clear" w:color="auto" w:fill="FFFFFF"/>
        </w:rPr>
        <w:t>31,5</w:t>
      </w:r>
      <w:r>
        <w:rPr>
          <w:rFonts w:ascii="Times New Roman" w:hAnsi="Times New Roman" w:cs="Times New Roman"/>
          <w:sz w:val="24"/>
          <w:szCs w:val="24"/>
          <w:shd w:val="clear" w:color="auto" w:fill="FFFFFF"/>
        </w:rPr>
        <w:t xml:space="preserve"> </w:t>
      </w:r>
      <w:r w:rsidRPr="00D26EE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dólares</w:t>
      </w:r>
      <w:r w:rsidRPr="00D26EEA">
        <w:rPr>
          <w:rFonts w:ascii="Times New Roman" w:hAnsi="Times New Roman" w:cs="Times New Roman"/>
          <w:sz w:val="24"/>
          <w:szCs w:val="24"/>
          <w:shd w:val="clear" w:color="auto" w:fill="FFFFFF"/>
        </w:rPr>
        <w:t>)</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Variación (2001 vs. prom. 95/99) =  11,78</w:t>
      </w:r>
      <w:r>
        <w:rPr>
          <w:rFonts w:ascii="Times New Roman" w:hAnsi="Times New Roman" w:cs="Times New Roman"/>
          <w:b/>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2002 - EEUU:</w:t>
      </w:r>
      <w:r>
        <w:rPr>
          <w:rFonts w:ascii="Times New Roman" w:hAnsi="Times New Roman" w:cs="Times New Roman"/>
          <w:sz w:val="24"/>
          <w:szCs w:val="24"/>
          <w:shd w:val="clear" w:color="auto" w:fill="FFFFFF"/>
        </w:rPr>
        <w:t xml:space="preserve"> 41,7</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dólares</w:t>
      </w:r>
      <w:r w:rsidRPr="00D26EE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 Variación (2002 vs. prom. 95/99) = 21,98 </w:t>
      </w:r>
      <w:r>
        <w:rPr>
          <w:rFonts w:ascii="Times New Roman" w:hAnsi="Times New Roman" w:cs="Times New Roman"/>
          <w:b/>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2003 - EEUU:</w:t>
      </w:r>
      <w:r>
        <w:rPr>
          <w:rFonts w:ascii="Times New Roman" w:hAnsi="Times New Roman" w:cs="Times New Roman"/>
          <w:sz w:val="24"/>
          <w:szCs w:val="24"/>
          <w:shd w:val="clear" w:color="auto" w:fill="FFFFFF"/>
        </w:rPr>
        <w:t xml:space="preserve"> 41,3</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dólares</w:t>
      </w:r>
      <w:r w:rsidRPr="00D26EEA">
        <w:rPr>
          <w:rFonts w:ascii="Times New Roman" w:hAnsi="Times New Roman" w:cs="Times New Roman"/>
          <w:sz w:val="24"/>
          <w:szCs w:val="24"/>
          <w:shd w:val="clear" w:color="auto" w:fill="FFFFFF"/>
        </w:rPr>
        <w:t>)</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(2003 vs. prom. 95/99) = 21,58 </w:t>
      </w:r>
      <w:r>
        <w:rPr>
          <w:rFonts w:ascii="Times New Roman" w:hAnsi="Times New Roman" w:cs="Times New Roman"/>
          <w:b/>
          <w:sz w:val="24"/>
          <w:szCs w:val="24"/>
          <w:shd w:val="clear" w:color="auto" w:fill="FFFFFF"/>
        </w:rPr>
        <w:t xml:space="preserve">  </w:t>
      </w:r>
    </w:p>
    <w:p w:rsidR="000E4E0C" w:rsidRPr="005D04A6"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2004 - EEUU:</w:t>
      </w:r>
      <w:r>
        <w:rPr>
          <w:rFonts w:ascii="Times New Roman" w:hAnsi="Times New Roman" w:cs="Times New Roman"/>
          <w:sz w:val="24"/>
          <w:szCs w:val="24"/>
          <w:shd w:val="clear" w:color="auto" w:fill="FFFFFF"/>
        </w:rPr>
        <w:t xml:space="preserve"> 34,3</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dólares</w:t>
      </w:r>
      <w:r w:rsidRPr="00D26EEA">
        <w:rPr>
          <w:rFonts w:ascii="Times New Roman" w:hAnsi="Times New Roman" w:cs="Times New Roman"/>
          <w:sz w:val="24"/>
          <w:szCs w:val="24"/>
          <w:shd w:val="clear" w:color="auto" w:fill="FFFFFF"/>
        </w:rPr>
        <w:t>)</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(2004 vs. prom. 95/99) = </w:t>
      </w:r>
      <w:r>
        <w:rPr>
          <w:rFonts w:ascii="Times New Roman" w:hAnsi="Times New Roman" w:cs="Times New Roman"/>
          <w:b/>
          <w:sz w:val="24"/>
          <w:szCs w:val="24"/>
          <w:shd w:val="clear" w:color="auto" w:fill="FFFFFF"/>
        </w:rPr>
        <w:t xml:space="preserve"> </w:t>
      </w:r>
      <w:r w:rsidRPr="005D04A6">
        <w:rPr>
          <w:rFonts w:ascii="Times New Roman" w:hAnsi="Times New Roman" w:cs="Times New Roman"/>
          <w:sz w:val="24"/>
          <w:szCs w:val="24"/>
          <w:shd w:val="clear" w:color="auto" w:fill="FFFFFF"/>
        </w:rPr>
        <w:t>14,58</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2005 - EEUU:</w:t>
      </w:r>
      <w:r>
        <w:rPr>
          <w:rFonts w:ascii="Times New Roman" w:hAnsi="Times New Roman" w:cs="Times New Roman"/>
          <w:sz w:val="24"/>
          <w:szCs w:val="24"/>
          <w:shd w:val="clear" w:color="auto" w:fill="FFFFFF"/>
        </w:rPr>
        <w:t xml:space="preserve"> 31,3</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xml:space="preserve"> - Variación (2005 vs. prom. 95/99) = 11,58</w:t>
      </w:r>
      <w:r>
        <w:rPr>
          <w:rFonts w:ascii="Times New Roman" w:hAnsi="Times New Roman" w:cs="Times New Roman"/>
          <w:b/>
          <w:sz w:val="24"/>
          <w:szCs w:val="24"/>
          <w:shd w:val="clear" w:color="auto" w:fill="FFFFFF"/>
        </w:rPr>
        <w:t xml:space="preserve"> </w:t>
      </w:r>
    </w:p>
    <w:p w:rsidR="000E4E0C" w:rsidRPr="005D04A6"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2006 - EEUU:</w:t>
      </w:r>
      <w:r>
        <w:rPr>
          <w:rFonts w:ascii="Times New Roman" w:hAnsi="Times New Roman" w:cs="Times New Roman"/>
          <w:sz w:val="24"/>
          <w:szCs w:val="24"/>
          <w:shd w:val="clear" w:color="auto" w:fill="FFFFFF"/>
        </w:rPr>
        <w:t xml:space="preserve"> 30,0</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 xml:space="preserve"> - Variación (2006 vs. prom. 95/99)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10,28</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2007 - EEUU:</w:t>
      </w:r>
      <w:r>
        <w:rPr>
          <w:rFonts w:ascii="Times New Roman" w:hAnsi="Times New Roman" w:cs="Times New Roman"/>
          <w:sz w:val="24"/>
          <w:szCs w:val="24"/>
          <w:shd w:val="clear" w:color="auto" w:fill="FFFFFF"/>
        </w:rPr>
        <w:t xml:space="preserve"> 32,5</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dólares</w:t>
      </w:r>
      <w:r w:rsidRPr="00D26EE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 Variación (2007 vs. prom. 95/99) = 12,78</w:t>
      </w:r>
      <w:r>
        <w:rPr>
          <w:rFonts w:ascii="Times New Roman" w:hAnsi="Times New Roman" w:cs="Times New Roman"/>
          <w:b/>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2008 - EEUU:</w:t>
      </w:r>
      <w:r>
        <w:rPr>
          <w:rFonts w:ascii="Times New Roman" w:hAnsi="Times New Roman" w:cs="Times New Roman"/>
          <w:sz w:val="24"/>
          <w:szCs w:val="24"/>
          <w:shd w:val="clear" w:color="auto" w:fill="FFFFFF"/>
        </w:rPr>
        <w:t xml:space="preserve"> 43,0</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Variación (2008 vs. prom. 95/99) = 23,28</w:t>
      </w:r>
      <w:r>
        <w:rPr>
          <w:rFonts w:ascii="Times New Roman" w:hAnsi="Times New Roman" w:cs="Times New Roman"/>
          <w:b/>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2009 - EEUU: </w:t>
      </w:r>
      <w:r>
        <w:rPr>
          <w:rFonts w:ascii="Times New Roman" w:hAnsi="Times New Roman" w:cs="Times New Roman"/>
          <w:sz w:val="24"/>
          <w:szCs w:val="24"/>
          <w:shd w:val="clear" w:color="auto" w:fill="FFFFFF"/>
        </w:rPr>
        <w:t>79,5</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l.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Variación (2009 vs. prom. 95/99) = 59,78</w:t>
      </w:r>
      <w:r>
        <w:rPr>
          <w:rFonts w:ascii="Times New Roman" w:hAnsi="Times New Roman" w:cs="Times New Roman"/>
          <w:b/>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2010 - EEUU: </w:t>
      </w:r>
      <w:r>
        <w:rPr>
          <w:rFonts w:ascii="Times New Roman" w:hAnsi="Times New Roman" w:cs="Times New Roman"/>
          <w:sz w:val="24"/>
          <w:szCs w:val="24"/>
          <w:shd w:val="clear" w:color="auto" w:fill="FFFFFF"/>
        </w:rPr>
        <w:t>58,4</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Variación (2010 vs. prom. 95/99) = 38,68</w:t>
      </w:r>
      <w:r>
        <w:rPr>
          <w:rFonts w:ascii="Times New Roman" w:hAnsi="Times New Roman" w:cs="Times New Roman"/>
          <w:b/>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2011 - EEUU: </w:t>
      </w:r>
      <w:r>
        <w:rPr>
          <w:rFonts w:ascii="Times New Roman" w:hAnsi="Times New Roman" w:cs="Times New Roman"/>
          <w:sz w:val="24"/>
          <w:szCs w:val="24"/>
          <w:shd w:val="clear" w:color="auto" w:fill="FFFFFF"/>
        </w:rPr>
        <w:t>47,1</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Variación (2011 vs. prom. 95/99) = 27,38</w:t>
      </w:r>
      <w:r>
        <w:rPr>
          <w:rFonts w:ascii="Times New Roman" w:hAnsi="Times New Roman" w:cs="Times New Roman"/>
          <w:b/>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2012 - EEUU: </w:t>
      </w:r>
      <w:r>
        <w:rPr>
          <w:rFonts w:ascii="Times New Roman" w:hAnsi="Times New Roman" w:cs="Times New Roman"/>
          <w:sz w:val="24"/>
          <w:szCs w:val="24"/>
          <w:shd w:val="clear" w:color="auto" w:fill="FFFFFF"/>
        </w:rPr>
        <w:t>43,2</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Variación (2012 vs. prom. 95/99) = 23,48</w:t>
      </w:r>
      <w:r>
        <w:rPr>
          <w:rFonts w:ascii="Times New Roman" w:hAnsi="Times New Roman" w:cs="Times New Roman"/>
          <w:b/>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2013 - EEUU:</w:t>
      </w:r>
      <w:r>
        <w:rPr>
          <w:rFonts w:ascii="Times New Roman" w:hAnsi="Times New Roman" w:cs="Times New Roman"/>
          <w:sz w:val="24"/>
          <w:szCs w:val="24"/>
          <w:shd w:val="clear" w:color="auto" w:fill="FFFFFF"/>
        </w:rPr>
        <w:t xml:space="preserve"> 39,4</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Variación (2013 vs. prom. 95/99) = 19,68</w:t>
      </w:r>
      <w:r>
        <w:rPr>
          <w:rFonts w:ascii="Times New Roman" w:hAnsi="Times New Roman" w:cs="Times New Roman"/>
          <w:b/>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2014 - EEUU:</w:t>
      </w:r>
      <w:r>
        <w:rPr>
          <w:rFonts w:ascii="Times New Roman" w:hAnsi="Times New Roman" w:cs="Times New Roman"/>
          <w:sz w:val="24"/>
          <w:szCs w:val="24"/>
          <w:shd w:val="clear" w:color="auto" w:fill="FFFFFF"/>
        </w:rPr>
        <w:t xml:space="preserve"> 35,0</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(2014 vs. prom. 95/99) = 15,28 </w:t>
      </w:r>
      <w:r>
        <w:rPr>
          <w:rFonts w:ascii="Times New Roman" w:hAnsi="Times New Roman" w:cs="Times New Roman"/>
          <w:b/>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2015 - EEUU:</w:t>
      </w:r>
      <w:r>
        <w:rPr>
          <w:rFonts w:ascii="Times New Roman" w:hAnsi="Times New Roman" w:cs="Times New Roman"/>
          <w:sz w:val="24"/>
          <w:szCs w:val="24"/>
          <w:shd w:val="clear" w:color="auto" w:fill="FFFFFF"/>
        </w:rPr>
        <w:t xml:space="preserve"> 32,1</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Variación (2015 vs. prom. 95/99) = 12,38</w:t>
      </w:r>
      <w:r>
        <w:rPr>
          <w:rFonts w:ascii="Times New Roman" w:hAnsi="Times New Roman" w:cs="Times New Roman"/>
          <w:b/>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2016 - EEUU:</w:t>
      </w:r>
      <w:r>
        <w:rPr>
          <w:rFonts w:ascii="Times New Roman" w:hAnsi="Times New Roman" w:cs="Times New Roman"/>
          <w:sz w:val="24"/>
          <w:szCs w:val="24"/>
          <w:shd w:val="clear" w:color="auto" w:fill="FFFFFF"/>
        </w:rPr>
        <w:t xml:space="preserve"> 31,8</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Variación (2016 vs. prom. 95/99) = 12,08</w:t>
      </w:r>
      <w:r>
        <w:rPr>
          <w:rFonts w:ascii="Times New Roman" w:hAnsi="Times New Roman" w:cs="Times New Roman"/>
          <w:b/>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2017 - EEUU:</w:t>
      </w:r>
      <w:r>
        <w:rPr>
          <w:rFonts w:ascii="Times New Roman" w:hAnsi="Times New Roman" w:cs="Times New Roman"/>
          <w:sz w:val="24"/>
          <w:szCs w:val="24"/>
          <w:shd w:val="clear" w:color="auto" w:fill="FFFFFF"/>
        </w:rPr>
        <w:t xml:space="preserve"> 32,1</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miles de </w:t>
      </w:r>
      <w:r w:rsidRPr="00D26EEA">
        <w:rPr>
          <w:rFonts w:ascii="Times New Roman" w:hAnsi="Times New Roman" w:cs="Times New Roman"/>
          <w:sz w:val="24"/>
          <w:szCs w:val="24"/>
          <w:shd w:val="clear" w:color="auto" w:fill="FFFFFF"/>
        </w:rPr>
        <w:t>mil</w:t>
      </w:r>
      <w:r>
        <w:rPr>
          <w:rFonts w:ascii="Times New Roman" w:hAnsi="Times New Roman" w:cs="Times New Roman"/>
          <w:sz w:val="24"/>
          <w:szCs w:val="24"/>
          <w:shd w:val="clear" w:color="auto" w:fill="FFFFFF"/>
        </w:rPr>
        <w:t>l</w:t>
      </w:r>
      <w:r w:rsidRPr="00D26EE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dólare</w:t>
      </w:r>
      <w:r w:rsidRPr="00D26EEA">
        <w:rPr>
          <w:rFonts w:ascii="Times New Roman" w:hAnsi="Times New Roman" w:cs="Times New Roman"/>
          <w:sz w:val="24"/>
          <w:szCs w:val="24"/>
          <w:shd w:val="clear" w:color="auto" w:fill="FFFFFF"/>
        </w:rPr>
        <w:t>s)</w:t>
      </w:r>
      <w:r w:rsidRPr="007B3EF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Variación (2017 vs. prom. 95/99) = 12,38</w:t>
      </w:r>
      <w:r>
        <w:rPr>
          <w:rFonts w:ascii="Times New Roman" w:hAnsi="Times New Roman" w:cs="Times New Roman"/>
          <w:b/>
          <w:sz w:val="24"/>
          <w:szCs w:val="24"/>
          <w:shd w:val="clear" w:color="auto" w:fill="FFFFFF"/>
        </w:rPr>
        <w:t xml:space="preserve"> </w:t>
      </w:r>
    </w:p>
    <w:p w:rsidR="000E4E0C" w:rsidRPr="00740C91" w:rsidRDefault="000E4E0C" w:rsidP="000E4E0C">
      <w:pPr>
        <w:spacing w:line="240" w:lineRule="auto"/>
        <w:jc w:val="both"/>
        <w:rPr>
          <w:rFonts w:ascii="Times New Roman" w:hAnsi="Times New Roman" w:cs="Times New Roman"/>
          <w:b/>
          <w:sz w:val="24"/>
          <w:szCs w:val="24"/>
          <w:shd w:val="clear" w:color="auto" w:fill="FFFFFF"/>
        </w:rPr>
      </w:pPr>
      <w:r w:rsidRPr="009E14E8">
        <w:rPr>
          <w:rFonts w:ascii="Times New Roman" w:hAnsi="Times New Roman" w:cs="Times New Roman"/>
          <w:b/>
          <w:color w:val="FF0000"/>
          <w:sz w:val="24"/>
          <w:szCs w:val="24"/>
          <w:shd w:val="clear" w:color="auto" w:fill="FFFFFF"/>
        </w:rPr>
        <w:lastRenderedPageBreak/>
        <w:t>(-) Disminución de los ingresos de l</w:t>
      </w:r>
      <w:r w:rsidR="00B54D85">
        <w:rPr>
          <w:rFonts w:ascii="Times New Roman" w:hAnsi="Times New Roman" w:cs="Times New Roman"/>
          <w:b/>
          <w:color w:val="FF0000"/>
          <w:sz w:val="24"/>
          <w:szCs w:val="24"/>
          <w:shd w:val="clear" w:color="auto" w:fill="FFFFFF"/>
        </w:rPr>
        <w:t>os trabajadores</w:t>
      </w:r>
      <w:r>
        <w:rPr>
          <w:rFonts w:ascii="Times New Roman" w:hAnsi="Times New Roman" w:cs="Times New Roman"/>
          <w:b/>
          <w:color w:val="FF0000"/>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sz w:val="24"/>
          <w:szCs w:val="24"/>
          <w:shd w:val="clear" w:color="auto" w:fill="FFFFFF"/>
        </w:rPr>
      </w:pPr>
      <w:r w:rsidRPr="00661CEA">
        <w:rPr>
          <w:rFonts w:ascii="Times New Roman" w:hAnsi="Times New Roman" w:cs="Times New Roman"/>
          <w:b/>
          <w:sz w:val="24"/>
          <w:szCs w:val="24"/>
          <w:shd w:val="clear" w:color="auto" w:fill="FFFFFF"/>
        </w:rPr>
        <w:t>Europa</w:t>
      </w:r>
    </w:p>
    <w:p w:rsidR="000E4E0C" w:rsidRPr="00661CEA"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Para el cálculo de la disminución de los ingresos de los trabajadores se utiliza la serie Eurostat: Mean and median income by age and sex (2000-2018). Como en los primeros años hay variación en la cantidad de países miembro, se indica en cada caso.</w:t>
      </w:r>
    </w:p>
    <w:p w:rsidR="000E4E0C" w:rsidRDefault="000E4E0C" w:rsidP="000E4E0C">
      <w:pPr>
        <w:spacing w:line="240" w:lineRule="auto"/>
        <w:jc w:val="both"/>
        <w:rPr>
          <w:rFonts w:ascii="Times New Roman" w:hAnsi="Times New Roman" w:cs="Times New Roman"/>
          <w:b/>
          <w:sz w:val="24"/>
          <w:szCs w:val="24"/>
        </w:rPr>
      </w:pPr>
      <w:r w:rsidRPr="00233C3D">
        <w:rPr>
          <w:rFonts w:ascii="Times New Roman" w:hAnsi="Times New Roman" w:cs="Times New Roman"/>
          <w:b/>
          <w:noProof/>
          <w:sz w:val="24"/>
          <w:szCs w:val="24"/>
          <w:lang w:eastAsia="es-ES"/>
        </w:rPr>
        <w:drawing>
          <wp:inline distT="0" distB="0" distL="0" distR="0" wp14:anchorId="14F41CA7" wp14:editId="73FBED09">
            <wp:extent cx="6306671" cy="2655570"/>
            <wp:effectExtent l="0" t="0" r="0" b="0"/>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6303656" cy="2654300"/>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b/>
          <w:sz w:val="24"/>
          <w:szCs w:val="24"/>
        </w:rPr>
      </w:pPr>
      <w:r w:rsidRPr="00233C3D">
        <w:rPr>
          <w:rFonts w:ascii="Times New Roman" w:hAnsi="Times New Roman" w:cs="Times New Roman"/>
          <w:b/>
          <w:noProof/>
          <w:sz w:val="24"/>
          <w:szCs w:val="24"/>
          <w:lang w:eastAsia="es-ES"/>
        </w:rPr>
        <w:drawing>
          <wp:inline distT="0" distB="0" distL="0" distR="0" wp14:anchorId="6F6E9F03" wp14:editId="01D734B9">
            <wp:extent cx="6306671" cy="2425700"/>
            <wp:effectExtent l="0" t="0" r="0" b="0"/>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6316256" cy="2429387"/>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b/>
          <w:sz w:val="24"/>
          <w:szCs w:val="24"/>
        </w:rPr>
      </w:pPr>
    </w:p>
    <w:p w:rsidR="000E4E0C" w:rsidRDefault="000E4E0C" w:rsidP="000E4E0C">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Año 2000 - EU-15 - </w:t>
      </w:r>
      <w:r w:rsidRPr="009D4525">
        <w:rPr>
          <w:rFonts w:ascii="Times New Roman" w:hAnsi="Times New Roman" w:cs="Times New Roman"/>
          <w:sz w:val="24"/>
          <w:szCs w:val="24"/>
        </w:rPr>
        <w:t>13.009 (euros)</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2001 - EU-15 - </w:t>
      </w:r>
      <w:r>
        <w:rPr>
          <w:rFonts w:ascii="Times New Roman" w:hAnsi="Times New Roman" w:cs="Times New Roman"/>
          <w:sz w:val="24"/>
          <w:szCs w:val="24"/>
        </w:rPr>
        <w:t>13.866</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(2001 vs. 2000): 857 euros</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2002 - EU-15 - </w:t>
      </w:r>
      <w:r>
        <w:rPr>
          <w:rFonts w:ascii="Times New Roman" w:hAnsi="Times New Roman" w:cs="Times New Roman"/>
          <w:sz w:val="24"/>
          <w:szCs w:val="24"/>
        </w:rPr>
        <w:t>N/D</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2003 - EU-15 - </w:t>
      </w:r>
      <w:r>
        <w:rPr>
          <w:rFonts w:ascii="Times New Roman" w:hAnsi="Times New Roman" w:cs="Times New Roman"/>
          <w:sz w:val="24"/>
          <w:szCs w:val="24"/>
        </w:rPr>
        <w:t>N/D</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2004 - EU-15 - </w:t>
      </w:r>
      <w:r>
        <w:rPr>
          <w:rFonts w:ascii="Times New Roman" w:hAnsi="Times New Roman" w:cs="Times New Roman"/>
          <w:sz w:val="24"/>
          <w:szCs w:val="24"/>
        </w:rPr>
        <w:t>N/D</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2005 - EU-27 - </w:t>
      </w:r>
      <w:r>
        <w:rPr>
          <w:rFonts w:ascii="Times New Roman" w:hAnsi="Times New Roman" w:cs="Times New Roman"/>
          <w:sz w:val="24"/>
          <w:szCs w:val="24"/>
        </w:rPr>
        <w:t>12.646</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(2005 vs. 2000): (363) euros</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Año 2006 - EU-27 - </w:t>
      </w:r>
      <w:r>
        <w:rPr>
          <w:rFonts w:ascii="Times New Roman" w:hAnsi="Times New Roman" w:cs="Times New Roman"/>
          <w:sz w:val="24"/>
          <w:szCs w:val="24"/>
        </w:rPr>
        <w:t>12.953</w:t>
      </w:r>
      <w:r w:rsidRPr="009D4525">
        <w:rPr>
          <w:rFonts w:ascii="Times New Roman" w:hAnsi="Times New Roman" w:cs="Times New Roman"/>
          <w:sz w:val="24"/>
          <w:szCs w:val="24"/>
        </w:rPr>
        <w:t xml:space="preserve"> (euros)</w:t>
      </w:r>
      <w:r w:rsidRPr="00414C1D">
        <w:rPr>
          <w:rFonts w:ascii="Times New Roman" w:hAnsi="Times New Roman" w:cs="Times New Roman"/>
          <w:sz w:val="24"/>
          <w:szCs w:val="24"/>
        </w:rPr>
        <w:t xml:space="preserve"> </w:t>
      </w: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Variación (2006 vs. 2000):    (56) euros</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2007 - EU-27 - </w:t>
      </w:r>
      <w:r w:rsidRPr="009D4525">
        <w:rPr>
          <w:rFonts w:ascii="Times New Roman" w:hAnsi="Times New Roman" w:cs="Times New Roman"/>
          <w:sz w:val="24"/>
          <w:szCs w:val="24"/>
        </w:rPr>
        <w:t>13.</w:t>
      </w:r>
      <w:r>
        <w:rPr>
          <w:rFonts w:ascii="Times New Roman" w:hAnsi="Times New Roman" w:cs="Times New Roman"/>
          <w:sz w:val="24"/>
          <w:szCs w:val="24"/>
        </w:rPr>
        <w:t>919</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 xml:space="preserve">Variación (2007 vs. 2000):    905 euros </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2008 - EU-27 - </w:t>
      </w:r>
      <w:r>
        <w:rPr>
          <w:rFonts w:ascii="Times New Roman" w:hAnsi="Times New Roman" w:cs="Times New Roman"/>
          <w:sz w:val="24"/>
          <w:szCs w:val="24"/>
        </w:rPr>
        <w:t>14.623</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(2008 vs. 2000): 1.614 euros</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2009 - EU-27 - </w:t>
      </w:r>
      <w:r>
        <w:rPr>
          <w:rFonts w:ascii="Times New Roman" w:hAnsi="Times New Roman" w:cs="Times New Roman"/>
          <w:sz w:val="24"/>
          <w:szCs w:val="24"/>
        </w:rPr>
        <w:t>14.775</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(2009 vs. 2000): 1.766 euros</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2010 - EU-28 - </w:t>
      </w:r>
      <w:r>
        <w:rPr>
          <w:rFonts w:ascii="Times New Roman" w:hAnsi="Times New Roman" w:cs="Times New Roman"/>
          <w:sz w:val="24"/>
          <w:szCs w:val="24"/>
        </w:rPr>
        <w:t>14.841</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(2010 vs. 2000): 1.832 euros</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2011 - EU-28 - </w:t>
      </w:r>
      <w:r>
        <w:rPr>
          <w:rFonts w:ascii="Times New Roman" w:hAnsi="Times New Roman" w:cs="Times New Roman"/>
          <w:sz w:val="24"/>
          <w:szCs w:val="24"/>
        </w:rPr>
        <w:t>14.960</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(2011 vs. 2000): 1,951 euros</w:t>
      </w:r>
    </w:p>
    <w:p w:rsidR="000E4E0C" w:rsidRPr="00414C1D"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2012 - EU-28 - </w:t>
      </w:r>
      <w:r>
        <w:rPr>
          <w:rFonts w:ascii="Times New Roman" w:hAnsi="Times New Roman" w:cs="Times New Roman"/>
          <w:sz w:val="24"/>
          <w:szCs w:val="24"/>
        </w:rPr>
        <w:t>15.456</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(2012 vs. 2000): 2,447 euros</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2013 - EU-28 - </w:t>
      </w:r>
      <w:r>
        <w:rPr>
          <w:rFonts w:ascii="Times New Roman" w:hAnsi="Times New Roman" w:cs="Times New Roman"/>
          <w:sz w:val="24"/>
          <w:szCs w:val="24"/>
        </w:rPr>
        <w:t>15.433</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(2013 vs. 2000): 2.424 euros</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2014 - EU-28 - </w:t>
      </w:r>
      <w:r>
        <w:rPr>
          <w:rFonts w:ascii="Times New Roman" w:hAnsi="Times New Roman" w:cs="Times New Roman"/>
          <w:sz w:val="24"/>
          <w:szCs w:val="24"/>
        </w:rPr>
        <w:t>15.790</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(2014 vs. 2000): 2.781 euros</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2015 - EU-28 - </w:t>
      </w:r>
      <w:r>
        <w:rPr>
          <w:rFonts w:ascii="Times New Roman" w:hAnsi="Times New Roman" w:cs="Times New Roman"/>
          <w:sz w:val="24"/>
          <w:szCs w:val="24"/>
        </w:rPr>
        <w:t>16.128</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(2015 vs. 2000): 3.119 euros</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2016 - EU-28 - </w:t>
      </w:r>
      <w:r>
        <w:rPr>
          <w:rFonts w:ascii="Times New Roman" w:hAnsi="Times New Roman" w:cs="Times New Roman"/>
          <w:sz w:val="24"/>
          <w:szCs w:val="24"/>
        </w:rPr>
        <w:t>16.530</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(2016 vs. 2000): 3.521 euros</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2017 - EU-28 - </w:t>
      </w:r>
      <w:r>
        <w:rPr>
          <w:rFonts w:ascii="Times New Roman" w:hAnsi="Times New Roman" w:cs="Times New Roman"/>
          <w:sz w:val="24"/>
          <w:szCs w:val="24"/>
        </w:rPr>
        <w:t>16.979</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(2017 vs. 2000): 3.970 euros</w:t>
      </w:r>
    </w:p>
    <w:p w:rsidR="000E4E0C"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Año 2018 - EU-28 - </w:t>
      </w:r>
      <w:r>
        <w:rPr>
          <w:rFonts w:ascii="Times New Roman" w:hAnsi="Times New Roman" w:cs="Times New Roman"/>
          <w:sz w:val="24"/>
          <w:szCs w:val="24"/>
        </w:rPr>
        <w:t>17.441</w:t>
      </w:r>
      <w:r w:rsidRPr="009D4525">
        <w:rPr>
          <w:rFonts w:ascii="Times New Roman" w:hAnsi="Times New Roman" w:cs="Times New Roman"/>
          <w:sz w:val="24"/>
          <w:szCs w:val="24"/>
        </w:rPr>
        <w:t xml:space="preserve"> (euros)</w:t>
      </w:r>
      <w:r>
        <w:rPr>
          <w:rFonts w:ascii="Times New Roman" w:hAnsi="Times New Roman" w:cs="Times New Roman"/>
          <w:sz w:val="24"/>
          <w:szCs w:val="24"/>
        </w:rPr>
        <w:t xml:space="preserve"> - </w:t>
      </w:r>
      <w:r>
        <w:rPr>
          <w:rFonts w:ascii="Times New Roman" w:hAnsi="Times New Roman" w:cs="Times New Roman"/>
          <w:sz w:val="24"/>
          <w:szCs w:val="24"/>
          <w:shd w:val="clear" w:color="auto" w:fill="FFFFFF"/>
        </w:rPr>
        <w:t>Variación (2018 vs. 2000): 4.432 euros</w:t>
      </w:r>
    </w:p>
    <w:p w:rsidR="000E4E0C" w:rsidRDefault="000E4E0C" w:rsidP="000E4E0C">
      <w:pPr>
        <w:spacing w:line="240" w:lineRule="auto"/>
        <w:jc w:val="both"/>
        <w:rPr>
          <w:rFonts w:ascii="Times New Roman" w:hAnsi="Times New Roman" w:cs="Times New Roman"/>
          <w:b/>
          <w:sz w:val="24"/>
          <w:szCs w:val="24"/>
          <w:shd w:val="clear" w:color="auto" w:fill="FFFFFF"/>
        </w:rPr>
      </w:pPr>
    </w:p>
    <w:p w:rsidR="000E4E0C" w:rsidRDefault="000E4E0C" w:rsidP="000E4E0C">
      <w:pPr>
        <w:spacing w:line="240" w:lineRule="auto"/>
        <w:jc w:val="both"/>
        <w:rPr>
          <w:rFonts w:ascii="Times New Roman" w:hAnsi="Times New Roman" w:cs="Times New Roman"/>
          <w:b/>
          <w:sz w:val="24"/>
          <w:szCs w:val="24"/>
          <w:shd w:val="clear" w:color="auto" w:fill="FFFFFF"/>
        </w:rPr>
      </w:pPr>
      <w:r w:rsidRPr="00661CEA">
        <w:rPr>
          <w:rFonts w:ascii="Times New Roman" w:hAnsi="Times New Roman" w:cs="Times New Roman"/>
          <w:b/>
          <w:sz w:val="24"/>
          <w:szCs w:val="24"/>
          <w:shd w:val="clear" w:color="auto" w:fill="FFFFFF"/>
        </w:rPr>
        <w:t>EEUU</w:t>
      </w:r>
    </w:p>
    <w:p w:rsidR="000E4E0C" w:rsidRPr="009D4525" w:rsidRDefault="000E4E0C" w:rsidP="000E4E0C">
      <w:pPr>
        <w:spacing w:line="240" w:lineRule="auto"/>
        <w:jc w:val="both"/>
        <w:rPr>
          <w:rFonts w:ascii="Times New Roman" w:hAnsi="Times New Roman" w:cs="Times New Roman"/>
          <w:sz w:val="24"/>
          <w:szCs w:val="24"/>
          <w:shd w:val="clear" w:color="auto" w:fill="FFFFFF"/>
        </w:rPr>
      </w:pPr>
      <w:r w:rsidRPr="00661CEA">
        <w:rPr>
          <w:rFonts w:ascii="Times New Roman" w:hAnsi="Times New Roman" w:cs="Times New Roman"/>
          <w:sz w:val="24"/>
          <w:szCs w:val="24"/>
          <w:shd w:val="clear" w:color="auto" w:fill="FFFFFF"/>
        </w:rPr>
        <w:t>Para</w:t>
      </w:r>
      <w:r>
        <w:rPr>
          <w:rFonts w:ascii="Times New Roman" w:hAnsi="Times New Roman" w:cs="Times New Roman"/>
          <w:sz w:val="24"/>
          <w:szCs w:val="24"/>
          <w:shd w:val="clear" w:color="auto" w:fill="FFFFFF"/>
        </w:rPr>
        <w:t xml:space="preserve"> el cálculo de la disminución de los salarios se utilizan los datos publicados por </w:t>
      </w:r>
      <w:r w:rsidRPr="00661CEA">
        <w:rPr>
          <w:rFonts w:ascii="Times New Roman" w:hAnsi="Times New Roman" w:cs="Times New Roman"/>
          <w:sz w:val="24"/>
          <w:szCs w:val="24"/>
          <w:shd w:val="clear" w:color="auto" w:fill="FFFFFF"/>
        </w:rPr>
        <w:t>United States Census Bureau</w:t>
      </w:r>
      <w:r>
        <w:rPr>
          <w:rFonts w:ascii="Times New Roman" w:hAnsi="Times New Roman" w:cs="Times New Roman"/>
          <w:sz w:val="24"/>
          <w:szCs w:val="24"/>
          <w:shd w:val="clear" w:color="auto" w:fill="FFFFFF"/>
        </w:rPr>
        <w:t xml:space="preserve"> (2000-2018). El importe de los salarios abonados en cada año se divide por la cantidad de empleados registrados en el mismo período, y se calcula el salario promedio para cada año.</w:t>
      </w: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t>Employment - 2000</w:t>
      </w:r>
    </w:p>
    <w:tbl>
      <w:tblPr>
        <w:tblW w:w="5700" w:type="dxa"/>
        <w:tblInd w:w="55" w:type="dxa"/>
        <w:tblCellMar>
          <w:left w:w="70" w:type="dxa"/>
          <w:right w:w="70" w:type="dxa"/>
        </w:tblCellMar>
        <w:tblLook w:val="04A0" w:firstRow="1" w:lastRow="0" w:firstColumn="1" w:lastColumn="0" w:noHBand="0" w:noVBand="1"/>
      </w:tblPr>
      <w:tblGrid>
        <w:gridCol w:w="2180"/>
        <w:gridCol w:w="2180"/>
        <w:gridCol w:w="1340"/>
      </w:tblGrid>
      <w:tr w:rsidR="000E4E0C" w:rsidRPr="00D117D9" w:rsidTr="000E4E0C">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0E4E0C" w:rsidRPr="00D117D9" w:rsidRDefault="000E4E0C" w:rsidP="000E4E0C">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single" w:sz="4" w:space="0" w:color="auto"/>
              <w:left w:val="nil"/>
              <w:bottom w:val="nil"/>
              <w:right w:val="single" w:sz="4" w:space="0" w:color="auto"/>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0E4E0C" w:rsidRPr="00D117D9" w:rsidTr="000E4E0C">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0E4E0C" w:rsidRPr="00D117D9" w:rsidRDefault="000E4E0C" w:rsidP="000E4E0C">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nil"/>
              <w:left w:val="nil"/>
              <w:bottom w:val="nil"/>
              <w:right w:val="single" w:sz="4" w:space="0" w:color="auto"/>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0E4E0C" w:rsidRPr="00D117D9" w:rsidTr="000E4E0C">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DATA TYPE</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D117D9" w:rsidRDefault="000E4E0C" w:rsidP="000E4E0C">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TOTAL</w:t>
            </w:r>
          </w:p>
        </w:tc>
      </w:tr>
      <w:tr w:rsidR="000E4E0C" w:rsidRPr="00D117D9" w:rsidTr="000E4E0C">
        <w:trPr>
          <w:trHeight w:val="225"/>
        </w:trPr>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Firms</w:t>
            </w:r>
          </w:p>
        </w:tc>
        <w:tc>
          <w:tcPr>
            <w:tcW w:w="134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5.652.544</w:t>
            </w:r>
          </w:p>
        </w:tc>
      </w:tr>
      <w:tr w:rsidR="000E4E0C" w:rsidRPr="00D117D9" w:rsidTr="000E4E0C">
        <w:trPr>
          <w:trHeight w:val="225"/>
        </w:trPr>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Establishments</w:t>
            </w:r>
          </w:p>
        </w:tc>
        <w:tc>
          <w:tcPr>
            <w:tcW w:w="134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7.070.048</w:t>
            </w:r>
          </w:p>
        </w:tc>
      </w:tr>
      <w:tr w:rsidR="000E4E0C" w:rsidRPr="00D117D9" w:rsidTr="000E4E0C">
        <w:trPr>
          <w:trHeight w:val="225"/>
        </w:trPr>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Employment</w:t>
            </w:r>
          </w:p>
        </w:tc>
        <w:tc>
          <w:tcPr>
            <w:tcW w:w="134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114.064.976</w:t>
            </w:r>
          </w:p>
        </w:tc>
      </w:tr>
      <w:tr w:rsidR="000E4E0C" w:rsidRPr="00D117D9" w:rsidTr="000E4E0C">
        <w:trPr>
          <w:trHeight w:val="225"/>
        </w:trPr>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Annual Payroll ($1,000)</w:t>
            </w:r>
          </w:p>
        </w:tc>
        <w:tc>
          <w:tcPr>
            <w:tcW w:w="134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3.879.430.052</w:t>
            </w:r>
          </w:p>
        </w:tc>
      </w:tr>
    </w:tbl>
    <w:p w:rsidR="000E4E0C" w:rsidRDefault="000E4E0C" w:rsidP="000E4E0C">
      <w:pPr>
        <w:rPr>
          <w:rFonts w:ascii="Times New Roman" w:hAnsi="Times New Roman" w:cs="Times New Roman"/>
          <w:b/>
          <w:sz w:val="24"/>
          <w:szCs w:val="24"/>
          <w:lang w:val="en-US"/>
        </w:rPr>
      </w:pP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t>Employment - 2001</w:t>
      </w:r>
    </w:p>
    <w:tbl>
      <w:tblPr>
        <w:tblW w:w="5700" w:type="dxa"/>
        <w:tblInd w:w="55" w:type="dxa"/>
        <w:tblCellMar>
          <w:left w:w="70" w:type="dxa"/>
          <w:right w:w="70" w:type="dxa"/>
        </w:tblCellMar>
        <w:tblLook w:val="04A0" w:firstRow="1" w:lastRow="0" w:firstColumn="1" w:lastColumn="0" w:noHBand="0" w:noVBand="1"/>
      </w:tblPr>
      <w:tblGrid>
        <w:gridCol w:w="2180"/>
        <w:gridCol w:w="2180"/>
        <w:gridCol w:w="1340"/>
      </w:tblGrid>
      <w:tr w:rsidR="000E4E0C" w:rsidRPr="00D117D9" w:rsidTr="000E4E0C">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0E4E0C" w:rsidRPr="00D117D9" w:rsidRDefault="000E4E0C" w:rsidP="000E4E0C">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nil"/>
              <w:left w:val="nil"/>
              <w:bottom w:val="nil"/>
              <w:right w:val="single" w:sz="4" w:space="0" w:color="auto"/>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0E4E0C" w:rsidRPr="00D117D9" w:rsidTr="000E4E0C">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DATA TYPE</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D117D9" w:rsidRDefault="000E4E0C" w:rsidP="000E4E0C">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TOTAL</w:t>
            </w:r>
          </w:p>
        </w:tc>
      </w:tr>
      <w:tr w:rsidR="000E4E0C" w:rsidRPr="00D117D9" w:rsidTr="000E4E0C">
        <w:trPr>
          <w:trHeight w:val="225"/>
        </w:trPr>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Firms</w:t>
            </w:r>
          </w:p>
        </w:tc>
        <w:tc>
          <w:tcPr>
            <w:tcW w:w="134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5.657.774</w:t>
            </w:r>
          </w:p>
        </w:tc>
      </w:tr>
      <w:tr w:rsidR="000E4E0C" w:rsidRPr="00D117D9" w:rsidTr="000E4E0C">
        <w:trPr>
          <w:trHeight w:val="225"/>
        </w:trPr>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Establishments</w:t>
            </w:r>
          </w:p>
        </w:tc>
        <w:tc>
          <w:tcPr>
            <w:tcW w:w="134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7.095.302</w:t>
            </w:r>
          </w:p>
        </w:tc>
      </w:tr>
      <w:tr w:rsidR="000E4E0C" w:rsidRPr="00D117D9" w:rsidTr="000E4E0C">
        <w:trPr>
          <w:trHeight w:val="225"/>
        </w:trPr>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Employment</w:t>
            </w:r>
          </w:p>
        </w:tc>
        <w:tc>
          <w:tcPr>
            <w:tcW w:w="134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115.061.184</w:t>
            </w:r>
          </w:p>
        </w:tc>
      </w:tr>
      <w:tr w:rsidR="000E4E0C" w:rsidRPr="00D117D9" w:rsidTr="000E4E0C">
        <w:trPr>
          <w:trHeight w:val="225"/>
        </w:trPr>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Annual Payroll ($1,000)</w:t>
            </w:r>
          </w:p>
        </w:tc>
        <w:tc>
          <w:tcPr>
            <w:tcW w:w="134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3.989.086.323</w:t>
            </w:r>
          </w:p>
        </w:tc>
      </w:tr>
    </w:tbl>
    <w:p w:rsidR="000E4E0C" w:rsidRDefault="000E4E0C" w:rsidP="000E4E0C">
      <w:pPr>
        <w:rPr>
          <w:rFonts w:ascii="Times New Roman" w:hAnsi="Times New Roman" w:cs="Times New Roman"/>
          <w:b/>
          <w:sz w:val="24"/>
          <w:szCs w:val="24"/>
          <w:lang w:val="en-US"/>
        </w:rPr>
      </w:pPr>
    </w:p>
    <w:p w:rsidR="000E4E0C" w:rsidRDefault="000E4E0C" w:rsidP="000E4E0C">
      <w:pPr>
        <w:rPr>
          <w:rFonts w:ascii="Times New Roman" w:hAnsi="Times New Roman" w:cs="Times New Roman"/>
          <w:b/>
          <w:sz w:val="24"/>
          <w:szCs w:val="24"/>
          <w:lang w:val="en-US"/>
        </w:rPr>
      </w:pP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Employment - 2002</w:t>
      </w:r>
    </w:p>
    <w:tbl>
      <w:tblPr>
        <w:tblW w:w="6020" w:type="dxa"/>
        <w:tblInd w:w="55" w:type="dxa"/>
        <w:tblCellMar>
          <w:left w:w="70" w:type="dxa"/>
          <w:right w:w="70" w:type="dxa"/>
        </w:tblCellMar>
        <w:tblLook w:val="04A0" w:firstRow="1" w:lastRow="0" w:firstColumn="1" w:lastColumn="0" w:noHBand="0" w:noVBand="1"/>
      </w:tblPr>
      <w:tblGrid>
        <w:gridCol w:w="2180"/>
        <w:gridCol w:w="2180"/>
        <w:gridCol w:w="1660"/>
      </w:tblGrid>
      <w:tr w:rsidR="000E4E0C" w:rsidRPr="00A77801" w:rsidTr="000E4E0C">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0E4E0C" w:rsidRPr="00A77801" w:rsidRDefault="000E4E0C" w:rsidP="000E4E0C">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1660" w:type="dxa"/>
            <w:tcBorders>
              <w:top w:val="single" w:sz="4" w:space="0" w:color="auto"/>
              <w:left w:val="nil"/>
              <w:bottom w:val="nil"/>
              <w:right w:val="single" w:sz="4" w:space="0" w:color="auto"/>
            </w:tcBorders>
            <w:shd w:val="clear" w:color="auto" w:fill="auto"/>
            <w:noWrap/>
            <w:vAlign w:val="bottom"/>
            <w:hideMark/>
          </w:tcPr>
          <w:p w:rsidR="000E4E0C" w:rsidRPr="00A77801" w:rsidRDefault="000E4E0C" w:rsidP="000E4E0C">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 </w:t>
            </w:r>
          </w:p>
        </w:tc>
      </w:tr>
      <w:tr w:rsidR="000E4E0C" w:rsidRPr="00A77801" w:rsidTr="000E4E0C">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0E4E0C" w:rsidRPr="00A77801" w:rsidRDefault="000E4E0C" w:rsidP="000E4E0C">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1660" w:type="dxa"/>
            <w:tcBorders>
              <w:top w:val="nil"/>
              <w:left w:val="nil"/>
              <w:bottom w:val="nil"/>
              <w:right w:val="single" w:sz="4" w:space="0" w:color="auto"/>
            </w:tcBorders>
            <w:shd w:val="clear" w:color="auto" w:fill="auto"/>
            <w:noWrap/>
            <w:vAlign w:val="bottom"/>
            <w:hideMark/>
          </w:tcPr>
          <w:p w:rsidR="000E4E0C" w:rsidRPr="00A77801" w:rsidRDefault="000E4E0C" w:rsidP="000E4E0C">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 </w:t>
            </w:r>
          </w:p>
        </w:tc>
      </w:tr>
      <w:tr w:rsidR="000E4E0C" w:rsidRPr="00A77801" w:rsidTr="000E4E0C">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DATA TYPE</w:t>
            </w:r>
          </w:p>
        </w:tc>
        <w:tc>
          <w:tcPr>
            <w:tcW w:w="1660" w:type="dxa"/>
            <w:tcBorders>
              <w:top w:val="nil"/>
              <w:left w:val="nil"/>
              <w:bottom w:val="single" w:sz="4" w:space="0" w:color="auto"/>
              <w:right w:val="single" w:sz="4" w:space="0" w:color="auto"/>
            </w:tcBorders>
            <w:shd w:val="clear" w:color="auto" w:fill="auto"/>
            <w:noWrap/>
            <w:vAlign w:val="bottom"/>
            <w:hideMark/>
          </w:tcPr>
          <w:p w:rsidR="000E4E0C" w:rsidRPr="00A77801" w:rsidRDefault="000E4E0C" w:rsidP="000E4E0C">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TOTAL</w:t>
            </w:r>
          </w:p>
        </w:tc>
      </w:tr>
      <w:tr w:rsidR="000E4E0C" w:rsidRPr="00A77801" w:rsidTr="000E4E0C">
        <w:trPr>
          <w:trHeight w:val="225"/>
        </w:trPr>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Firms</w:t>
            </w:r>
          </w:p>
        </w:tc>
        <w:tc>
          <w:tcPr>
            <w:tcW w:w="166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5.697.759</w:t>
            </w:r>
          </w:p>
        </w:tc>
      </w:tr>
      <w:tr w:rsidR="000E4E0C" w:rsidRPr="00A77801" w:rsidTr="000E4E0C">
        <w:trPr>
          <w:trHeight w:val="225"/>
        </w:trPr>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Establishments</w:t>
            </w:r>
          </w:p>
        </w:tc>
        <w:tc>
          <w:tcPr>
            <w:tcW w:w="166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7.200.770</w:t>
            </w:r>
          </w:p>
        </w:tc>
      </w:tr>
      <w:tr w:rsidR="000E4E0C" w:rsidRPr="00A77801" w:rsidTr="000E4E0C">
        <w:trPr>
          <w:trHeight w:val="225"/>
        </w:trPr>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Employment</w:t>
            </w:r>
          </w:p>
        </w:tc>
        <w:tc>
          <w:tcPr>
            <w:tcW w:w="166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112.400.654</w:t>
            </w:r>
          </w:p>
        </w:tc>
      </w:tr>
      <w:tr w:rsidR="000E4E0C" w:rsidRPr="00A77801" w:rsidTr="000E4E0C">
        <w:trPr>
          <w:trHeight w:val="225"/>
        </w:trPr>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Annual Payroll ($1,000)</w:t>
            </w:r>
          </w:p>
        </w:tc>
        <w:tc>
          <w:tcPr>
            <w:tcW w:w="166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3.943.179.606</w:t>
            </w:r>
          </w:p>
        </w:tc>
      </w:tr>
      <w:tr w:rsidR="000E4E0C" w:rsidRPr="00A77801" w:rsidTr="000E4E0C">
        <w:trPr>
          <w:trHeight w:val="225"/>
        </w:trPr>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Receipts ($1,000)</w:t>
            </w:r>
          </w:p>
        </w:tc>
        <w:tc>
          <w:tcPr>
            <w:tcW w:w="166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22.062.528.196</w:t>
            </w:r>
          </w:p>
        </w:tc>
      </w:tr>
    </w:tbl>
    <w:p w:rsidR="000E4E0C" w:rsidRDefault="000E4E0C" w:rsidP="000E4E0C">
      <w:pPr>
        <w:rPr>
          <w:rFonts w:ascii="Times New Roman" w:hAnsi="Times New Roman" w:cs="Times New Roman"/>
          <w:b/>
          <w:sz w:val="24"/>
          <w:szCs w:val="24"/>
          <w:lang w:val="en-US"/>
        </w:rPr>
      </w:pP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t>Employment - 2003</w:t>
      </w:r>
    </w:p>
    <w:tbl>
      <w:tblPr>
        <w:tblW w:w="5700" w:type="dxa"/>
        <w:tblInd w:w="55" w:type="dxa"/>
        <w:tblCellMar>
          <w:left w:w="70" w:type="dxa"/>
          <w:right w:w="70" w:type="dxa"/>
        </w:tblCellMar>
        <w:tblLook w:val="04A0" w:firstRow="1" w:lastRow="0" w:firstColumn="1" w:lastColumn="0" w:noHBand="0" w:noVBand="1"/>
      </w:tblPr>
      <w:tblGrid>
        <w:gridCol w:w="2180"/>
        <w:gridCol w:w="2180"/>
        <w:gridCol w:w="1340"/>
      </w:tblGrid>
      <w:tr w:rsidR="000E4E0C" w:rsidRPr="00A77801" w:rsidTr="000E4E0C">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0E4E0C" w:rsidRPr="00A77801" w:rsidRDefault="000E4E0C" w:rsidP="000E4E0C">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1340" w:type="dxa"/>
            <w:tcBorders>
              <w:top w:val="single" w:sz="4" w:space="0" w:color="auto"/>
              <w:left w:val="nil"/>
              <w:bottom w:val="nil"/>
              <w:right w:val="single" w:sz="4" w:space="0" w:color="auto"/>
            </w:tcBorders>
            <w:shd w:val="clear" w:color="auto" w:fill="auto"/>
            <w:noWrap/>
            <w:vAlign w:val="bottom"/>
            <w:hideMark/>
          </w:tcPr>
          <w:p w:rsidR="000E4E0C" w:rsidRPr="00A77801" w:rsidRDefault="000E4E0C" w:rsidP="000E4E0C">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 </w:t>
            </w:r>
          </w:p>
        </w:tc>
      </w:tr>
      <w:tr w:rsidR="000E4E0C" w:rsidRPr="00A77801" w:rsidTr="000E4E0C">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0E4E0C" w:rsidRPr="00A77801" w:rsidRDefault="000E4E0C" w:rsidP="000E4E0C">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 </w:t>
            </w:r>
          </w:p>
        </w:tc>
        <w:tc>
          <w:tcPr>
            <w:tcW w:w="1340" w:type="dxa"/>
            <w:tcBorders>
              <w:top w:val="nil"/>
              <w:left w:val="nil"/>
              <w:bottom w:val="nil"/>
              <w:right w:val="single" w:sz="4" w:space="0" w:color="auto"/>
            </w:tcBorders>
            <w:shd w:val="clear" w:color="auto" w:fill="auto"/>
            <w:noWrap/>
            <w:vAlign w:val="bottom"/>
            <w:hideMark/>
          </w:tcPr>
          <w:p w:rsidR="000E4E0C" w:rsidRPr="00A77801" w:rsidRDefault="000E4E0C" w:rsidP="000E4E0C">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 </w:t>
            </w:r>
          </w:p>
        </w:tc>
      </w:tr>
      <w:tr w:rsidR="000E4E0C" w:rsidRPr="00A77801" w:rsidTr="000E4E0C">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DATA TYPE</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A77801" w:rsidRDefault="000E4E0C" w:rsidP="000E4E0C">
            <w:pPr>
              <w:spacing w:after="0" w:line="240" w:lineRule="auto"/>
              <w:jc w:val="center"/>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TOTAL</w:t>
            </w:r>
          </w:p>
        </w:tc>
      </w:tr>
      <w:tr w:rsidR="000E4E0C" w:rsidRPr="00A77801" w:rsidTr="000E4E0C">
        <w:trPr>
          <w:trHeight w:val="225"/>
        </w:trPr>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r w:rsidRPr="00A77801">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Firms</w:t>
            </w:r>
          </w:p>
        </w:tc>
        <w:tc>
          <w:tcPr>
            <w:tcW w:w="134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5.767.127</w:t>
            </w:r>
          </w:p>
        </w:tc>
      </w:tr>
      <w:tr w:rsidR="000E4E0C" w:rsidRPr="00A77801" w:rsidTr="000E4E0C">
        <w:trPr>
          <w:trHeight w:val="225"/>
        </w:trPr>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Establishments</w:t>
            </w:r>
          </w:p>
        </w:tc>
        <w:tc>
          <w:tcPr>
            <w:tcW w:w="134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7.254.745</w:t>
            </w:r>
          </w:p>
        </w:tc>
      </w:tr>
      <w:tr w:rsidR="000E4E0C" w:rsidRPr="00A77801" w:rsidTr="000E4E0C">
        <w:trPr>
          <w:trHeight w:val="225"/>
        </w:trPr>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Employment</w:t>
            </w:r>
          </w:p>
        </w:tc>
        <w:tc>
          <w:tcPr>
            <w:tcW w:w="134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113.398.043</w:t>
            </w:r>
          </w:p>
        </w:tc>
      </w:tr>
      <w:tr w:rsidR="000E4E0C" w:rsidRPr="00A77801" w:rsidTr="000E4E0C">
        <w:trPr>
          <w:trHeight w:val="225"/>
        </w:trPr>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rPr>
                <w:rFonts w:ascii="Arial" w:eastAsia="Times New Roman" w:hAnsi="Arial" w:cs="Arial"/>
                <w:sz w:val="16"/>
                <w:szCs w:val="16"/>
                <w:lang w:eastAsia="es-ES"/>
              </w:rPr>
            </w:pPr>
            <w:r w:rsidRPr="00A77801">
              <w:rPr>
                <w:rFonts w:ascii="Arial" w:eastAsia="Times New Roman" w:hAnsi="Arial" w:cs="Arial"/>
                <w:sz w:val="16"/>
                <w:szCs w:val="16"/>
                <w:lang w:eastAsia="es-ES"/>
              </w:rPr>
              <w:t>Annual Payroll ($1,000)</w:t>
            </w:r>
          </w:p>
        </w:tc>
        <w:tc>
          <w:tcPr>
            <w:tcW w:w="1340" w:type="dxa"/>
            <w:tcBorders>
              <w:top w:val="nil"/>
              <w:left w:val="nil"/>
              <w:bottom w:val="nil"/>
              <w:right w:val="nil"/>
            </w:tcBorders>
            <w:shd w:val="clear" w:color="auto" w:fill="auto"/>
            <w:noWrap/>
            <w:vAlign w:val="bottom"/>
            <w:hideMark/>
          </w:tcPr>
          <w:p w:rsidR="000E4E0C" w:rsidRPr="00A77801" w:rsidRDefault="000E4E0C" w:rsidP="000E4E0C">
            <w:pPr>
              <w:spacing w:after="0" w:line="240" w:lineRule="auto"/>
              <w:jc w:val="right"/>
              <w:rPr>
                <w:rFonts w:ascii="Arial" w:eastAsia="Times New Roman" w:hAnsi="Arial" w:cs="Arial"/>
                <w:sz w:val="16"/>
                <w:szCs w:val="16"/>
                <w:lang w:eastAsia="es-ES"/>
              </w:rPr>
            </w:pPr>
            <w:r w:rsidRPr="00A77801">
              <w:rPr>
                <w:rFonts w:ascii="Arial" w:eastAsia="Times New Roman" w:hAnsi="Arial" w:cs="Arial"/>
                <w:sz w:val="16"/>
                <w:szCs w:val="16"/>
                <w:lang w:eastAsia="es-ES"/>
              </w:rPr>
              <w:t>4.040.888.841</w:t>
            </w:r>
          </w:p>
        </w:tc>
      </w:tr>
    </w:tbl>
    <w:p w:rsidR="000E4E0C" w:rsidRDefault="000E4E0C" w:rsidP="000E4E0C">
      <w:pPr>
        <w:rPr>
          <w:rFonts w:ascii="Times New Roman" w:hAnsi="Times New Roman" w:cs="Times New Roman"/>
          <w:b/>
          <w:sz w:val="24"/>
          <w:szCs w:val="24"/>
          <w:lang w:val="en-US"/>
        </w:rPr>
      </w:pP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t>Employment - 2004</w:t>
      </w:r>
    </w:p>
    <w:tbl>
      <w:tblPr>
        <w:tblW w:w="5700" w:type="dxa"/>
        <w:tblInd w:w="55" w:type="dxa"/>
        <w:tblCellMar>
          <w:left w:w="70" w:type="dxa"/>
          <w:right w:w="70" w:type="dxa"/>
        </w:tblCellMar>
        <w:tblLook w:val="04A0" w:firstRow="1" w:lastRow="0" w:firstColumn="1" w:lastColumn="0" w:noHBand="0" w:noVBand="1"/>
      </w:tblPr>
      <w:tblGrid>
        <w:gridCol w:w="2180"/>
        <w:gridCol w:w="2180"/>
        <w:gridCol w:w="1340"/>
      </w:tblGrid>
      <w:tr w:rsidR="000E4E0C" w:rsidRPr="00D117D9" w:rsidTr="000E4E0C">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0E4E0C" w:rsidRPr="00D117D9" w:rsidRDefault="000E4E0C" w:rsidP="000E4E0C">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single" w:sz="4" w:space="0" w:color="auto"/>
              <w:left w:val="nil"/>
              <w:bottom w:val="nil"/>
              <w:right w:val="single" w:sz="4" w:space="0" w:color="auto"/>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0E4E0C" w:rsidRPr="00D117D9" w:rsidTr="000E4E0C">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0E4E0C" w:rsidRPr="00D117D9" w:rsidRDefault="000E4E0C" w:rsidP="000E4E0C">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 </w:t>
            </w:r>
          </w:p>
        </w:tc>
        <w:tc>
          <w:tcPr>
            <w:tcW w:w="1340" w:type="dxa"/>
            <w:tcBorders>
              <w:top w:val="nil"/>
              <w:left w:val="nil"/>
              <w:bottom w:val="nil"/>
              <w:right w:val="single" w:sz="4" w:space="0" w:color="auto"/>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 </w:t>
            </w:r>
          </w:p>
        </w:tc>
      </w:tr>
      <w:tr w:rsidR="000E4E0C" w:rsidRPr="00D117D9" w:rsidTr="000E4E0C">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DATA TYPE</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D117D9" w:rsidRDefault="000E4E0C" w:rsidP="000E4E0C">
            <w:pPr>
              <w:spacing w:after="0" w:line="240" w:lineRule="auto"/>
              <w:jc w:val="center"/>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TOTAL</w:t>
            </w:r>
          </w:p>
        </w:tc>
      </w:tr>
      <w:tr w:rsidR="000E4E0C" w:rsidRPr="00D117D9" w:rsidTr="000E4E0C">
        <w:trPr>
          <w:trHeight w:val="225"/>
        </w:trPr>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r w:rsidRPr="00D117D9">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Firms</w:t>
            </w:r>
          </w:p>
        </w:tc>
        <w:tc>
          <w:tcPr>
            <w:tcW w:w="134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5.885.784</w:t>
            </w:r>
          </w:p>
        </w:tc>
      </w:tr>
      <w:tr w:rsidR="000E4E0C" w:rsidRPr="00D117D9" w:rsidTr="000E4E0C">
        <w:trPr>
          <w:trHeight w:val="225"/>
        </w:trPr>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Establishments</w:t>
            </w:r>
          </w:p>
        </w:tc>
        <w:tc>
          <w:tcPr>
            <w:tcW w:w="134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7.387.724</w:t>
            </w:r>
          </w:p>
        </w:tc>
      </w:tr>
      <w:tr w:rsidR="000E4E0C" w:rsidRPr="00D117D9" w:rsidTr="000E4E0C">
        <w:trPr>
          <w:trHeight w:val="225"/>
        </w:trPr>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Employment</w:t>
            </w:r>
          </w:p>
        </w:tc>
        <w:tc>
          <w:tcPr>
            <w:tcW w:w="134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115.074.924</w:t>
            </w:r>
          </w:p>
        </w:tc>
      </w:tr>
      <w:tr w:rsidR="000E4E0C" w:rsidRPr="00D117D9" w:rsidTr="000E4E0C">
        <w:trPr>
          <w:trHeight w:val="225"/>
        </w:trPr>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rPr>
                <w:rFonts w:ascii="Arial" w:eastAsia="Times New Roman" w:hAnsi="Arial" w:cs="Arial"/>
                <w:sz w:val="16"/>
                <w:szCs w:val="16"/>
                <w:lang w:eastAsia="es-ES"/>
              </w:rPr>
            </w:pPr>
            <w:r w:rsidRPr="00D117D9">
              <w:rPr>
                <w:rFonts w:ascii="Arial" w:eastAsia="Times New Roman" w:hAnsi="Arial" w:cs="Arial"/>
                <w:sz w:val="16"/>
                <w:szCs w:val="16"/>
                <w:lang w:eastAsia="es-ES"/>
              </w:rPr>
              <w:t>Annual Payroll ($1,000)</w:t>
            </w:r>
          </w:p>
        </w:tc>
        <w:tc>
          <w:tcPr>
            <w:tcW w:w="1340" w:type="dxa"/>
            <w:tcBorders>
              <w:top w:val="nil"/>
              <w:left w:val="nil"/>
              <w:bottom w:val="nil"/>
              <w:right w:val="nil"/>
            </w:tcBorders>
            <w:shd w:val="clear" w:color="auto" w:fill="auto"/>
            <w:noWrap/>
            <w:vAlign w:val="bottom"/>
            <w:hideMark/>
          </w:tcPr>
          <w:p w:rsidR="000E4E0C" w:rsidRPr="00D117D9" w:rsidRDefault="000E4E0C" w:rsidP="000E4E0C">
            <w:pPr>
              <w:spacing w:after="0" w:line="240" w:lineRule="auto"/>
              <w:jc w:val="right"/>
              <w:rPr>
                <w:rFonts w:ascii="Arial" w:eastAsia="Times New Roman" w:hAnsi="Arial" w:cs="Arial"/>
                <w:sz w:val="16"/>
                <w:szCs w:val="16"/>
                <w:lang w:eastAsia="es-ES"/>
              </w:rPr>
            </w:pPr>
            <w:r w:rsidRPr="00D117D9">
              <w:rPr>
                <w:rFonts w:ascii="Arial" w:eastAsia="Times New Roman" w:hAnsi="Arial" w:cs="Arial"/>
                <w:sz w:val="16"/>
                <w:szCs w:val="16"/>
                <w:lang w:eastAsia="es-ES"/>
              </w:rPr>
              <w:t>4.253.995.732</w:t>
            </w:r>
          </w:p>
        </w:tc>
      </w:tr>
    </w:tbl>
    <w:p w:rsidR="000E4E0C" w:rsidRDefault="000E4E0C" w:rsidP="000E4E0C">
      <w:pPr>
        <w:rPr>
          <w:rFonts w:ascii="Times New Roman" w:hAnsi="Times New Roman" w:cs="Times New Roman"/>
          <w:b/>
          <w:sz w:val="24"/>
          <w:szCs w:val="24"/>
          <w:lang w:val="en-US"/>
        </w:rPr>
      </w:pP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t>Employment - 2005</w:t>
      </w:r>
    </w:p>
    <w:tbl>
      <w:tblPr>
        <w:tblW w:w="5900" w:type="dxa"/>
        <w:tblInd w:w="55" w:type="dxa"/>
        <w:tblCellMar>
          <w:left w:w="70" w:type="dxa"/>
          <w:right w:w="70" w:type="dxa"/>
        </w:tblCellMar>
        <w:tblLook w:val="04A0" w:firstRow="1" w:lastRow="0" w:firstColumn="1" w:lastColumn="0" w:noHBand="0" w:noVBand="1"/>
      </w:tblPr>
      <w:tblGrid>
        <w:gridCol w:w="2180"/>
        <w:gridCol w:w="2180"/>
        <w:gridCol w:w="1540"/>
      </w:tblGrid>
      <w:tr w:rsidR="000E4E0C" w:rsidRPr="00F71F26" w:rsidTr="000E4E0C">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0E4E0C" w:rsidRPr="00F71F26" w:rsidRDefault="000E4E0C" w:rsidP="000E4E0C">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1540" w:type="dxa"/>
            <w:tcBorders>
              <w:top w:val="single" w:sz="4" w:space="0" w:color="auto"/>
              <w:left w:val="nil"/>
              <w:bottom w:val="nil"/>
              <w:right w:val="single" w:sz="4" w:space="0" w:color="auto"/>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 </w:t>
            </w:r>
          </w:p>
        </w:tc>
      </w:tr>
      <w:tr w:rsidR="000E4E0C" w:rsidRPr="00F71F26" w:rsidTr="000E4E0C">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0E4E0C" w:rsidRPr="00F71F26" w:rsidRDefault="000E4E0C" w:rsidP="000E4E0C">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1540" w:type="dxa"/>
            <w:tcBorders>
              <w:top w:val="nil"/>
              <w:left w:val="nil"/>
              <w:bottom w:val="nil"/>
              <w:right w:val="single" w:sz="4" w:space="0" w:color="auto"/>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 </w:t>
            </w:r>
          </w:p>
        </w:tc>
      </w:tr>
      <w:tr w:rsidR="000E4E0C" w:rsidRPr="00F71F26" w:rsidTr="000E4E0C">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DATA TYPE</w:t>
            </w:r>
          </w:p>
        </w:tc>
        <w:tc>
          <w:tcPr>
            <w:tcW w:w="1540" w:type="dxa"/>
            <w:tcBorders>
              <w:top w:val="nil"/>
              <w:left w:val="nil"/>
              <w:bottom w:val="single" w:sz="4" w:space="0" w:color="auto"/>
              <w:right w:val="single" w:sz="4" w:space="0" w:color="auto"/>
            </w:tcBorders>
            <w:shd w:val="clear" w:color="auto" w:fill="auto"/>
            <w:noWrap/>
            <w:vAlign w:val="bottom"/>
            <w:hideMark/>
          </w:tcPr>
          <w:p w:rsidR="000E4E0C" w:rsidRPr="00F71F26" w:rsidRDefault="000E4E0C" w:rsidP="000E4E0C">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TOTAL</w:t>
            </w:r>
          </w:p>
        </w:tc>
      </w:tr>
      <w:tr w:rsidR="000E4E0C" w:rsidRPr="00F71F26" w:rsidTr="000E4E0C">
        <w:trPr>
          <w:trHeight w:val="225"/>
        </w:trPr>
        <w:tc>
          <w:tcPr>
            <w:tcW w:w="218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Firms</w:t>
            </w:r>
          </w:p>
        </w:tc>
        <w:tc>
          <w:tcPr>
            <w:tcW w:w="154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5.983.546</w:t>
            </w:r>
          </w:p>
        </w:tc>
      </w:tr>
      <w:tr w:rsidR="000E4E0C" w:rsidRPr="00F71F26" w:rsidTr="000E4E0C">
        <w:trPr>
          <w:trHeight w:val="225"/>
        </w:trPr>
        <w:tc>
          <w:tcPr>
            <w:tcW w:w="218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Establishments</w:t>
            </w:r>
          </w:p>
        </w:tc>
        <w:tc>
          <w:tcPr>
            <w:tcW w:w="154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7.499.702</w:t>
            </w:r>
          </w:p>
        </w:tc>
      </w:tr>
      <w:tr w:rsidR="000E4E0C" w:rsidRPr="00F71F26" w:rsidTr="000E4E0C">
        <w:trPr>
          <w:trHeight w:val="225"/>
        </w:trPr>
        <w:tc>
          <w:tcPr>
            <w:tcW w:w="218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Employment</w:t>
            </w:r>
          </w:p>
        </w:tc>
        <w:tc>
          <w:tcPr>
            <w:tcW w:w="154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116.317.003</w:t>
            </w:r>
          </w:p>
        </w:tc>
      </w:tr>
      <w:tr w:rsidR="000E4E0C" w:rsidRPr="00F71F26" w:rsidTr="000E4E0C">
        <w:trPr>
          <w:trHeight w:val="225"/>
        </w:trPr>
        <w:tc>
          <w:tcPr>
            <w:tcW w:w="218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Annual Payroll ($1,000)</w:t>
            </w:r>
          </w:p>
        </w:tc>
        <w:tc>
          <w:tcPr>
            <w:tcW w:w="154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4.482.722.481</w:t>
            </w:r>
          </w:p>
        </w:tc>
      </w:tr>
    </w:tbl>
    <w:p w:rsidR="000E4E0C" w:rsidRDefault="000E4E0C" w:rsidP="000E4E0C">
      <w:pPr>
        <w:rPr>
          <w:rFonts w:ascii="Times New Roman" w:hAnsi="Times New Roman" w:cs="Times New Roman"/>
          <w:b/>
          <w:sz w:val="24"/>
          <w:szCs w:val="24"/>
          <w:lang w:val="en-US"/>
        </w:rPr>
      </w:pPr>
    </w:p>
    <w:p w:rsidR="000E4E0C" w:rsidRDefault="005C1112" w:rsidP="000E4E0C">
      <w:pPr>
        <w:rPr>
          <w:rFonts w:ascii="Times New Roman" w:hAnsi="Times New Roman" w:cs="Times New Roman"/>
          <w:b/>
          <w:sz w:val="24"/>
          <w:szCs w:val="24"/>
          <w:lang w:val="en-US"/>
        </w:rPr>
      </w:pPr>
      <w:r>
        <w:rPr>
          <w:rFonts w:ascii="Times New Roman" w:hAnsi="Times New Roman" w:cs="Times New Roman"/>
          <w:b/>
          <w:sz w:val="24"/>
          <w:szCs w:val="24"/>
          <w:lang w:val="en-US"/>
        </w:rPr>
        <w:t>Employment</w:t>
      </w:r>
      <w:r w:rsidR="000E4E0C">
        <w:rPr>
          <w:rFonts w:ascii="Times New Roman" w:hAnsi="Times New Roman" w:cs="Times New Roman"/>
          <w:b/>
          <w:sz w:val="24"/>
          <w:szCs w:val="24"/>
          <w:lang w:val="en-US"/>
        </w:rPr>
        <w:t xml:space="preserve"> - 2006</w:t>
      </w:r>
    </w:p>
    <w:tbl>
      <w:tblPr>
        <w:tblW w:w="5900" w:type="dxa"/>
        <w:tblInd w:w="55" w:type="dxa"/>
        <w:tblCellMar>
          <w:left w:w="70" w:type="dxa"/>
          <w:right w:w="70" w:type="dxa"/>
        </w:tblCellMar>
        <w:tblLook w:val="04A0" w:firstRow="1" w:lastRow="0" w:firstColumn="1" w:lastColumn="0" w:noHBand="0" w:noVBand="1"/>
      </w:tblPr>
      <w:tblGrid>
        <w:gridCol w:w="2180"/>
        <w:gridCol w:w="2180"/>
        <w:gridCol w:w="1540"/>
      </w:tblGrid>
      <w:tr w:rsidR="000E4E0C" w:rsidRPr="00F71F26" w:rsidTr="000E4E0C">
        <w:trPr>
          <w:trHeight w:val="225"/>
        </w:trPr>
        <w:tc>
          <w:tcPr>
            <w:tcW w:w="2180" w:type="dxa"/>
            <w:tcBorders>
              <w:top w:val="single" w:sz="4" w:space="0" w:color="auto"/>
              <w:left w:val="single" w:sz="4" w:space="0" w:color="auto"/>
              <w:bottom w:val="nil"/>
              <w:right w:val="single" w:sz="4" w:space="0" w:color="auto"/>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2180" w:type="dxa"/>
            <w:tcBorders>
              <w:top w:val="single" w:sz="4" w:space="0" w:color="auto"/>
              <w:left w:val="nil"/>
              <w:bottom w:val="nil"/>
              <w:right w:val="single" w:sz="4" w:space="0" w:color="auto"/>
            </w:tcBorders>
            <w:shd w:val="clear" w:color="auto" w:fill="auto"/>
            <w:noWrap/>
            <w:vAlign w:val="bottom"/>
            <w:hideMark/>
          </w:tcPr>
          <w:p w:rsidR="000E4E0C" w:rsidRPr="00F71F26" w:rsidRDefault="000E4E0C" w:rsidP="000E4E0C">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1540" w:type="dxa"/>
            <w:tcBorders>
              <w:top w:val="single" w:sz="4" w:space="0" w:color="auto"/>
              <w:left w:val="nil"/>
              <w:bottom w:val="nil"/>
              <w:right w:val="single" w:sz="4" w:space="0" w:color="auto"/>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 </w:t>
            </w:r>
          </w:p>
        </w:tc>
      </w:tr>
      <w:tr w:rsidR="000E4E0C" w:rsidRPr="00F71F26" w:rsidTr="000E4E0C">
        <w:trPr>
          <w:trHeight w:val="225"/>
        </w:trPr>
        <w:tc>
          <w:tcPr>
            <w:tcW w:w="2180" w:type="dxa"/>
            <w:tcBorders>
              <w:top w:val="nil"/>
              <w:left w:val="single" w:sz="4" w:space="0" w:color="auto"/>
              <w:bottom w:val="nil"/>
              <w:right w:val="single" w:sz="4" w:space="0" w:color="auto"/>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2180" w:type="dxa"/>
            <w:tcBorders>
              <w:top w:val="nil"/>
              <w:left w:val="nil"/>
              <w:bottom w:val="nil"/>
              <w:right w:val="single" w:sz="4" w:space="0" w:color="auto"/>
            </w:tcBorders>
            <w:shd w:val="clear" w:color="auto" w:fill="auto"/>
            <w:noWrap/>
            <w:vAlign w:val="bottom"/>
            <w:hideMark/>
          </w:tcPr>
          <w:p w:rsidR="000E4E0C" w:rsidRPr="00F71F26" w:rsidRDefault="000E4E0C" w:rsidP="000E4E0C">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 </w:t>
            </w:r>
          </w:p>
        </w:tc>
        <w:tc>
          <w:tcPr>
            <w:tcW w:w="1540" w:type="dxa"/>
            <w:tcBorders>
              <w:top w:val="nil"/>
              <w:left w:val="nil"/>
              <w:bottom w:val="nil"/>
              <w:right w:val="single" w:sz="4" w:space="0" w:color="auto"/>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 </w:t>
            </w:r>
          </w:p>
        </w:tc>
      </w:tr>
      <w:tr w:rsidR="000E4E0C" w:rsidRPr="00F71F26" w:rsidTr="000E4E0C">
        <w:trPr>
          <w:trHeight w:val="225"/>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AREA</w:t>
            </w:r>
          </w:p>
        </w:tc>
        <w:tc>
          <w:tcPr>
            <w:tcW w:w="2180" w:type="dxa"/>
            <w:tcBorders>
              <w:top w:val="nil"/>
              <w:left w:val="nil"/>
              <w:bottom w:val="single" w:sz="4" w:space="0" w:color="auto"/>
              <w:right w:val="single" w:sz="4" w:space="0" w:color="auto"/>
            </w:tcBorders>
            <w:shd w:val="clear" w:color="auto" w:fill="auto"/>
            <w:noWrap/>
            <w:vAlign w:val="bottom"/>
            <w:hideMark/>
          </w:tcPr>
          <w:p w:rsidR="000E4E0C" w:rsidRPr="00F71F26" w:rsidRDefault="000E4E0C" w:rsidP="000E4E0C">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DATA TYPE</w:t>
            </w:r>
          </w:p>
        </w:tc>
        <w:tc>
          <w:tcPr>
            <w:tcW w:w="1540" w:type="dxa"/>
            <w:tcBorders>
              <w:top w:val="nil"/>
              <w:left w:val="nil"/>
              <w:bottom w:val="single" w:sz="4" w:space="0" w:color="auto"/>
              <w:right w:val="single" w:sz="4" w:space="0" w:color="auto"/>
            </w:tcBorders>
            <w:shd w:val="clear" w:color="auto" w:fill="auto"/>
            <w:noWrap/>
            <w:vAlign w:val="bottom"/>
            <w:hideMark/>
          </w:tcPr>
          <w:p w:rsidR="000E4E0C" w:rsidRPr="00F71F26" w:rsidRDefault="000E4E0C" w:rsidP="000E4E0C">
            <w:pPr>
              <w:spacing w:after="0" w:line="240" w:lineRule="auto"/>
              <w:jc w:val="center"/>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TOTAL</w:t>
            </w:r>
          </w:p>
        </w:tc>
      </w:tr>
      <w:tr w:rsidR="000E4E0C" w:rsidRPr="00F71F26" w:rsidTr="000E4E0C">
        <w:trPr>
          <w:trHeight w:val="225"/>
        </w:trPr>
        <w:tc>
          <w:tcPr>
            <w:tcW w:w="218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b/>
                <w:bCs/>
                <w:sz w:val="16"/>
                <w:szCs w:val="16"/>
                <w:lang w:eastAsia="es-ES"/>
              </w:rPr>
            </w:pPr>
            <w:r w:rsidRPr="00F71F26">
              <w:rPr>
                <w:rFonts w:ascii="Arial" w:eastAsia="Times New Roman" w:hAnsi="Arial" w:cs="Arial"/>
                <w:b/>
                <w:bCs/>
                <w:sz w:val="16"/>
                <w:szCs w:val="16"/>
                <w:lang w:eastAsia="es-ES"/>
              </w:rPr>
              <w:t>United States</w:t>
            </w:r>
          </w:p>
        </w:tc>
        <w:tc>
          <w:tcPr>
            <w:tcW w:w="218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Firms</w:t>
            </w:r>
          </w:p>
        </w:tc>
        <w:tc>
          <w:tcPr>
            <w:tcW w:w="154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6.022.127</w:t>
            </w:r>
          </w:p>
        </w:tc>
      </w:tr>
      <w:tr w:rsidR="000E4E0C" w:rsidRPr="00F71F26" w:rsidTr="000E4E0C">
        <w:trPr>
          <w:trHeight w:val="225"/>
        </w:trPr>
        <w:tc>
          <w:tcPr>
            <w:tcW w:w="218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Establishments</w:t>
            </w:r>
          </w:p>
        </w:tc>
        <w:tc>
          <w:tcPr>
            <w:tcW w:w="154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7.601.160</w:t>
            </w:r>
          </w:p>
        </w:tc>
      </w:tr>
      <w:tr w:rsidR="000E4E0C" w:rsidRPr="00F71F26" w:rsidTr="000E4E0C">
        <w:trPr>
          <w:trHeight w:val="225"/>
        </w:trPr>
        <w:tc>
          <w:tcPr>
            <w:tcW w:w="218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Employment</w:t>
            </w:r>
          </w:p>
        </w:tc>
        <w:tc>
          <w:tcPr>
            <w:tcW w:w="154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119.917.165</w:t>
            </w:r>
          </w:p>
        </w:tc>
      </w:tr>
      <w:tr w:rsidR="000E4E0C" w:rsidRPr="00F71F26" w:rsidTr="000E4E0C">
        <w:trPr>
          <w:trHeight w:val="225"/>
        </w:trPr>
        <w:tc>
          <w:tcPr>
            <w:tcW w:w="218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b/>
                <w:bCs/>
                <w:sz w:val="16"/>
                <w:szCs w:val="16"/>
                <w:lang w:eastAsia="es-ES"/>
              </w:rPr>
            </w:pPr>
          </w:p>
        </w:tc>
        <w:tc>
          <w:tcPr>
            <w:tcW w:w="218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sz w:val="16"/>
                <w:szCs w:val="16"/>
                <w:lang w:eastAsia="es-ES"/>
              </w:rPr>
            </w:pPr>
            <w:r w:rsidRPr="00F71F26">
              <w:rPr>
                <w:rFonts w:ascii="Arial" w:eastAsia="Times New Roman" w:hAnsi="Arial" w:cs="Arial"/>
                <w:sz w:val="16"/>
                <w:szCs w:val="16"/>
                <w:lang w:eastAsia="es-ES"/>
              </w:rPr>
              <w:t>Annual Payroll ($1,000)</w:t>
            </w:r>
          </w:p>
        </w:tc>
        <w:tc>
          <w:tcPr>
            <w:tcW w:w="1540" w:type="dxa"/>
            <w:tcBorders>
              <w:top w:val="nil"/>
              <w:left w:val="nil"/>
              <w:bottom w:val="nil"/>
              <w:right w:val="nil"/>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sz w:val="16"/>
                <w:szCs w:val="16"/>
                <w:lang w:eastAsia="es-ES"/>
              </w:rPr>
            </w:pPr>
            <w:r w:rsidRPr="00F71F26">
              <w:rPr>
                <w:rFonts w:ascii="Arial" w:eastAsia="Times New Roman" w:hAnsi="Arial" w:cs="Arial"/>
                <w:sz w:val="16"/>
                <w:szCs w:val="16"/>
                <w:lang w:eastAsia="es-ES"/>
              </w:rPr>
              <w:t>4.792.429.911</w:t>
            </w:r>
          </w:p>
        </w:tc>
      </w:tr>
    </w:tbl>
    <w:p w:rsidR="000E4E0C" w:rsidRDefault="000E4E0C" w:rsidP="000E4E0C">
      <w:pPr>
        <w:rPr>
          <w:rFonts w:ascii="Times New Roman" w:hAnsi="Times New Roman" w:cs="Times New Roman"/>
          <w:b/>
          <w:sz w:val="24"/>
          <w:szCs w:val="24"/>
          <w:lang w:val="en-US"/>
        </w:rPr>
        <w:sectPr w:rsidR="000E4E0C" w:rsidSect="000E4E0C">
          <w:pgSz w:w="11906" w:h="16838"/>
          <w:pgMar w:top="1440" w:right="1440" w:bottom="1440" w:left="1440" w:header="709" w:footer="709" w:gutter="0"/>
          <w:cols w:space="708"/>
          <w:docGrid w:linePitch="360"/>
        </w:sectPr>
      </w:pP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Employment - 2007</w:t>
      </w:r>
    </w:p>
    <w:tbl>
      <w:tblPr>
        <w:tblW w:w="1322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gridCol w:w="1340"/>
        <w:gridCol w:w="1340"/>
      </w:tblGrid>
      <w:tr w:rsidR="000E4E0C" w:rsidRPr="00F71F26" w:rsidTr="000E4E0C">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F71F26" w:rsidRDefault="000E4E0C" w:rsidP="000E4E0C">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F71F26" w:rsidRDefault="000E4E0C" w:rsidP="000E4E0C">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F71F26" w:rsidRDefault="000E4E0C" w:rsidP="000E4E0C">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F71F26" w:rsidRDefault="000E4E0C" w:rsidP="000E4E0C">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0E4E0C" w:rsidRPr="00F71F26" w:rsidRDefault="000E4E0C" w:rsidP="000E4E0C">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F71F26" w:rsidRDefault="000E4E0C" w:rsidP="000E4E0C">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F71F26" w:rsidRDefault="000E4E0C" w:rsidP="000E4E0C">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 xml:space="preserve">ANNUAL PAYROLL </w:t>
            </w:r>
            <w:r w:rsidRPr="00F71F26">
              <w:rPr>
                <w:rFonts w:ascii="Arial" w:eastAsia="Times New Roman" w:hAnsi="Arial" w:cs="Arial"/>
                <w:b/>
                <w:bCs/>
                <w:color w:val="FF0000"/>
                <w:sz w:val="16"/>
                <w:szCs w:val="16"/>
                <w:lang w:eastAsia="es-ES"/>
              </w:rPr>
              <w:t>($1,000)</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F71F26" w:rsidRDefault="000E4E0C" w:rsidP="000E4E0C">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ANNUAL PAYROLL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F71F26" w:rsidRDefault="000E4E0C" w:rsidP="000E4E0C">
            <w:pPr>
              <w:spacing w:after="0" w:line="240" w:lineRule="auto"/>
              <w:jc w:val="center"/>
              <w:rPr>
                <w:rFonts w:ascii="Arial" w:eastAsia="Times New Roman" w:hAnsi="Arial" w:cs="Arial"/>
                <w:b/>
                <w:bCs/>
                <w:color w:val="000000"/>
                <w:sz w:val="16"/>
                <w:szCs w:val="16"/>
                <w:lang w:eastAsia="es-ES"/>
              </w:rPr>
            </w:pPr>
            <w:r w:rsidRPr="00F71F26">
              <w:rPr>
                <w:rFonts w:ascii="Arial" w:eastAsia="Times New Roman" w:hAnsi="Arial" w:cs="Arial"/>
                <w:b/>
                <w:bCs/>
                <w:color w:val="000000"/>
                <w:sz w:val="16"/>
                <w:szCs w:val="16"/>
                <w:lang w:eastAsia="es-ES"/>
              </w:rPr>
              <w:t xml:space="preserve">RECEIPTS </w:t>
            </w:r>
            <w:r w:rsidRPr="00F71F26">
              <w:rPr>
                <w:rFonts w:ascii="Arial" w:eastAsia="Times New Roman" w:hAnsi="Arial" w:cs="Arial"/>
                <w:b/>
                <w:bCs/>
                <w:color w:val="FF0000"/>
                <w:sz w:val="16"/>
                <w:szCs w:val="16"/>
                <w:lang w:eastAsia="es-ES"/>
              </w:rPr>
              <w:t>($1,000)</w:t>
            </w:r>
          </w:p>
        </w:tc>
      </w:tr>
      <w:tr w:rsidR="000E4E0C" w:rsidRPr="00F71F26"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r>
      <w:tr w:rsidR="000E4E0C" w:rsidRPr="00F71F26"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F71F26" w:rsidRDefault="000E4E0C" w:rsidP="000E4E0C">
            <w:pPr>
              <w:spacing w:after="0" w:line="240" w:lineRule="auto"/>
              <w:rPr>
                <w:rFonts w:ascii="Arial" w:eastAsia="Times New Roman" w:hAnsi="Arial" w:cs="Arial"/>
                <w:b/>
                <w:bCs/>
                <w:color w:val="000000"/>
                <w:sz w:val="16"/>
                <w:szCs w:val="16"/>
                <w:lang w:eastAsia="es-ES"/>
              </w:rPr>
            </w:pPr>
          </w:p>
        </w:tc>
      </w:tr>
      <w:tr w:rsidR="000E4E0C" w:rsidRPr="00F71F26" w:rsidTr="000E4E0C">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F71F26" w:rsidRDefault="000E4E0C" w:rsidP="000E4E0C">
            <w:pPr>
              <w:spacing w:after="0" w:line="240" w:lineRule="auto"/>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1:   Total</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6.049.655</w:t>
            </w:r>
          </w:p>
        </w:tc>
        <w:tc>
          <w:tcPr>
            <w:tcW w:w="1660" w:type="dxa"/>
            <w:tcBorders>
              <w:top w:val="nil"/>
              <w:left w:val="nil"/>
              <w:bottom w:val="single" w:sz="4" w:space="0" w:color="auto"/>
              <w:right w:val="single" w:sz="4" w:space="0" w:color="auto"/>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7.705.018</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120.604.265</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F71F26" w:rsidRDefault="000E4E0C" w:rsidP="000E4E0C">
            <w:pPr>
              <w:spacing w:after="0" w:line="240" w:lineRule="auto"/>
              <w:jc w:val="center"/>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5.026.778.232</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F71F26" w:rsidRDefault="000E4E0C" w:rsidP="000E4E0C">
            <w:pPr>
              <w:spacing w:after="0" w:line="240" w:lineRule="auto"/>
              <w:jc w:val="center"/>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F71F26" w:rsidRDefault="000E4E0C" w:rsidP="000E4E0C">
            <w:pPr>
              <w:spacing w:after="0" w:line="240" w:lineRule="auto"/>
              <w:jc w:val="right"/>
              <w:rPr>
                <w:rFonts w:ascii="Arial" w:eastAsia="Times New Roman" w:hAnsi="Arial" w:cs="Arial"/>
                <w:color w:val="000000"/>
                <w:sz w:val="16"/>
                <w:szCs w:val="16"/>
                <w:lang w:eastAsia="es-ES"/>
              </w:rPr>
            </w:pPr>
            <w:r w:rsidRPr="00F71F26">
              <w:rPr>
                <w:rFonts w:ascii="Arial" w:eastAsia="Times New Roman" w:hAnsi="Arial" w:cs="Arial"/>
                <w:color w:val="000000"/>
                <w:sz w:val="16"/>
                <w:szCs w:val="16"/>
                <w:lang w:eastAsia="es-ES"/>
              </w:rPr>
              <w:t>29.746.741.904</w:t>
            </w:r>
          </w:p>
        </w:tc>
      </w:tr>
    </w:tbl>
    <w:p w:rsidR="000E4E0C" w:rsidRDefault="000E4E0C" w:rsidP="000E4E0C">
      <w:pPr>
        <w:rPr>
          <w:rFonts w:ascii="Times New Roman" w:hAnsi="Times New Roman" w:cs="Times New Roman"/>
          <w:b/>
          <w:sz w:val="24"/>
          <w:szCs w:val="24"/>
          <w:lang w:val="en-US"/>
        </w:rPr>
      </w:pP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t>Employment - 2008</w:t>
      </w:r>
    </w:p>
    <w:tbl>
      <w:tblPr>
        <w:tblW w:w="1054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tblGrid>
      <w:tr w:rsidR="000E4E0C" w:rsidRPr="002D13DD" w:rsidTr="000E4E0C">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   Total</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5.930.132</w:t>
            </w:r>
          </w:p>
        </w:tc>
        <w:tc>
          <w:tcPr>
            <w:tcW w:w="166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7.601.169</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120.903.551</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5.130.509.178</w:t>
            </w:r>
          </w:p>
        </w:tc>
      </w:tr>
    </w:tbl>
    <w:p w:rsidR="000E4E0C" w:rsidRDefault="000E4E0C" w:rsidP="000E4E0C">
      <w:pPr>
        <w:rPr>
          <w:rFonts w:ascii="Times New Roman" w:hAnsi="Times New Roman" w:cs="Times New Roman"/>
          <w:b/>
          <w:sz w:val="24"/>
          <w:szCs w:val="24"/>
          <w:lang w:val="en-US"/>
        </w:rPr>
      </w:pP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t>Employment - 2009</w:t>
      </w:r>
    </w:p>
    <w:tbl>
      <w:tblPr>
        <w:tblW w:w="1054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tblGrid>
      <w:tr w:rsidR="000E4E0C" w:rsidRPr="002D13DD" w:rsidTr="000E4E0C">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   Total</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5.767.306</w:t>
            </w:r>
          </w:p>
        </w:tc>
        <w:tc>
          <w:tcPr>
            <w:tcW w:w="166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7.433.465</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114.509.626</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4.855.545.239</w:t>
            </w:r>
          </w:p>
        </w:tc>
      </w:tr>
    </w:tbl>
    <w:p w:rsidR="000E4E0C" w:rsidRDefault="000E4E0C" w:rsidP="000E4E0C">
      <w:pPr>
        <w:rPr>
          <w:rFonts w:ascii="Times New Roman" w:hAnsi="Times New Roman" w:cs="Times New Roman"/>
          <w:b/>
          <w:sz w:val="24"/>
          <w:szCs w:val="24"/>
          <w:lang w:val="en-US"/>
        </w:rPr>
      </w:pP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t>Employment - 2010</w:t>
      </w:r>
    </w:p>
    <w:tbl>
      <w:tblPr>
        <w:tblW w:w="1054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tblGrid>
      <w:tr w:rsidR="000E4E0C" w:rsidRPr="002D13DD" w:rsidTr="000E4E0C">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   Total</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5.734.538</w:t>
            </w:r>
          </w:p>
        </w:tc>
        <w:tc>
          <w:tcPr>
            <w:tcW w:w="166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7.396.628</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111.970.095</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4.940.983.369</w:t>
            </w:r>
          </w:p>
        </w:tc>
      </w:tr>
    </w:tbl>
    <w:p w:rsidR="000E4E0C" w:rsidRDefault="000E4E0C" w:rsidP="000E4E0C">
      <w:pPr>
        <w:rPr>
          <w:rFonts w:ascii="Times New Roman" w:hAnsi="Times New Roman" w:cs="Times New Roman"/>
          <w:b/>
          <w:sz w:val="24"/>
          <w:szCs w:val="24"/>
          <w:lang w:val="en-US"/>
        </w:rPr>
      </w:pP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t>Employment - 2011</w:t>
      </w:r>
    </w:p>
    <w:tbl>
      <w:tblPr>
        <w:tblW w:w="1054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tblGrid>
      <w:tr w:rsidR="000E4E0C" w:rsidRPr="002D13DD" w:rsidTr="000E4E0C">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   Total</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5.684.424</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7.354.043</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113.425.965</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5.164.897.905</w:t>
            </w:r>
          </w:p>
        </w:tc>
      </w:tr>
    </w:tbl>
    <w:p w:rsidR="000E4E0C" w:rsidRDefault="000E4E0C" w:rsidP="000E4E0C">
      <w:pPr>
        <w:rPr>
          <w:rFonts w:ascii="Times New Roman" w:hAnsi="Times New Roman" w:cs="Times New Roman"/>
          <w:b/>
          <w:sz w:val="24"/>
          <w:szCs w:val="24"/>
          <w:lang w:val="en-US"/>
        </w:rPr>
      </w:pP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t>Employment - 2012</w:t>
      </w:r>
    </w:p>
    <w:tbl>
      <w:tblPr>
        <w:tblW w:w="1322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gridCol w:w="1340"/>
        <w:gridCol w:w="1340"/>
      </w:tblGrid>
      <w:tr w:rsidR="000E4E0C" w:rsidRPr="002D13DD" w:rsidTr="000E4E0C">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ANNUAL PAYROLL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RECEIPTS </w:t>
            </w:r>
            <w:r w:rsidRPr="002D13DD">
              <w:rPr>
                <w:rFonts w:ascii="Arial" w:eastAsia="Times New Roman" w:hAnsi="Arial" w:cs="Arial"/>
                <w:b/>
                <w:bCs/>
                <w:color w:val="FF0000"/>
                <w:sz w:val="16"/>
                <w:szCs w:val="16"/>
                <w:lang w:eastAsia="es-ES"/>
              </w:rPr>
              <w:t>($1,000)</w:t>
            </w: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5.726.160</w:t>
            </w:r>
          </w:p>
        </w:tc>
        <w:tc>
          <w:tcPr>
            <w:tcW w:w="166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7.431.808</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115.938.468</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5.414.255.995</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32.637.809.977</w:t>
            </w:r>
          </w:p>
        </w:tc>
      </w:tr>
    </w:tbl>
    <w:p w:rsidR="000E4E0C" w:rsidRDefault="000E4E0C" w:rsidP="000E4E0C">
      <w:pPr>
        <w:rPr>
          <w:rFonts w:ascii="Times New Roman" w:hAnsi="Times New Roman" w:cs="Times New Roman"/>
          <w:b/>
          <w:sz w:val="24"/>
          <w:szCs w:val="24"/>
          <w:lang w:val="en-US"/>
        </w:rPr>
      </w:pP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Employment - 2013</w:t>
      </w:r>
    </w:p>
    <w:tbl>
      <w:tblPr>
        <w:tblW w:w="1054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tblGrid>
      <w:tr w:rsidR="000E4E0C" w:rsidRPr="002D13DD" w:rsidTr="000E4E0C">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5.775.055</w:t>
            </w:r>
          </w:p>
        </w:tc>
        <w:tc>
          <w:tcPr>
            <w:tcW w:w="166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7.488.353</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118.266.253</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5.621.697.325</w:t>
            </w:r>
          </w:p>
        </w:tc>
      </w:tr>
    </w:tbl>
    <w:p w:rsidR="000E4E0C" w:rsidRDefault="000E4E0C" w:rsidP="000E4E0C">
      <w:pPr>
        <w:rPr>
          <w:rFonts w:ascii="Times New Roman" w:hAnsi="Times New Roman" w:cs="Times New Roman"/>
          <w:b/>
          <w:sz w:val="24"/>
          <w:szCs w:val="24"/>
          <w:lang w:val="en-US"/>
        </w:rPr>
      </w:pP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t>Employment - 2014</w:t>
      </w:r>
    </w:p>
    <w:tbl>
      <w:tblPr>
        <w:tblW w:w="1054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tblGrid>
      <w:tr w:rsidR="000E4E0C" w:rsidRPr="002D13DD" w:rsidTr="000E4E0C">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5.825.458</w:t>
            </w:r>
          </w:p>
        </w:tc>
        <w:tc>
          <w:tcPr>
            <w:tcW w:w="166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7.563.084</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121.069.944</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5.940.186.911</w:t>
            </w:r>
          </w:p>
        </w:tc>
      </w:tr>
    </w:tbl>
    <w:p w:rsidR="000E4E0C" w:rsidRDefault="000E4E0C" w:rsidP="000E4E0C">
      <w:pPr>
        <w:rPr>
          <w:rFonts w:ascii="Times New Roman" w:hAnsi="Times New Roman" w:cs="Times New Roman"/>
          <w:b/>
          <w:sz w:val="24"/>
          <w:szCs w:val="24"/>
          <w:lang w:val="en-US"/>
        </w:rPr>
      </w:pP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t>Employment - 2015</w:t>
      </w:r>
    </w:p>
    <w:tbl>
      <w:tblPr>
        <w:tblW w:w="1054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tblGrid>
      <w:tr w:rsidR="000E4E0C" w:rsidRPr="002D13DD" w:rsidTr="000E4E0C">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5.900.731</w:t>
            </w:r>
          </w:p>
        </w:tc>
        <w:tc>
          <w:tcPr>
            <w:tcW w:w="166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7.663.938</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124.085.947</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6.253.488.252</w:t>
            </w:r>
          </w:p>
        </w:tc>
      </w:tr>
    </w:tbl>
    <w:p w:rsidR="000E4E0C" w:rsidRDefault="000E4E0C" w:rsidP="000E4E0C">
      <w:pPr>
        <w:rPr>
          <w:rFonts w:ascii="Times New Roman" w:hAnsi="Times New Roman" w:cs="Times New Roman"/>
          <w:b/>
          <w:sz w:val="24"/>
          <w:szCs w:val="24"/>
          <w:lang w:val="en-US"/>
        </w:rPr>
      </w:pP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t>Employment - 2016</w:t>
      </w:r>
    </w:p>
    <w:tbl>
      <w:tblPr>
        <w:tblW w:w="10540" w:type="dxa"/>
        <w:tblInd w:w="55" w:type="dxa"/>
        <w:tblCellMar>
          <w:left w:w="70" w:type="dxa"/>
          <w:right w:w="70" w:type="dxa"/>
        </w:tblCellMar>
        <w:tblLook w:val="04A0" w:firstRow="1" w:lastRow="0" w:firstColumn="1" w:lastColumn="0" w:noHBand="0" w:noVBand="1"/>
      </w:tblPr>
      <w:tblGrid>
        <w:gridCol w:w="2180"/>
        <w:gridCol w:w="1340"/>
        <w:gridCol w:w="1340"/>
        <w:gridCol w:w="1660"/>
        <w:gridCol w:w="1340"/>
        <w:gridCol w:w="1340"/>
        <w:gridCol w:w="1340"/>
      </w:tblGrid>
      <w:tr w:rsidR="000E4E0C" w:rsidRPr="002D13DD" w:rsidTr="000E4E0C">
        <w:trPr>
          <w:trHeight w:val="300"/>
        </w:trPr>
        <w:tc>
          <w:tcPr>
            <w:tcW w:w="21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66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5.954.684</w:t>
            </w:r>
          </w:p>
        </w:tc>
        <w:tc>
          <w:tcPr>
            <w:tcW w:w="166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7.757.807</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126.752.238</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3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6.435.142.055</w:t>
            </w:r>
          </w:p>
        </w:tc>
      </w:tr>
    </w:tbl>
    <w:p w:rsidR="000E4E0C" w:rsidRDefault="000E4E0C" w:rsidP="000E4E0C">
      <w:pPr>
        <w:rPr>
          <w:rFonts w:ascii="Times New Roman" w:hAnsi="Times New Roman" w:cs="Times New Roman"/>
          <w:b/>
          <w:sz w:val="24"/>
          <w:szCs w:val="24"/>
          <w:lang w:val="en-US"/>
        </w:rPr>
      </w:pPr>
    </w:p>
    <w:p w:rsidR="000E4E0C" w:rsidRDefault="000E4E0C" w:rsidP="000E4E0C">
      <w:pPr>
        <w:rPr>
          <w:rFonts w:ascii="Times New Roman" w:hAnsi="Times New Roman" w:cs="Times New Roman"/>
          <w:b/>
          <w:sz w:val="24"/>
          <w:szCs w:val="24"/>
          <w:lang w:val="en-US"/>
        </w:rPr>
      </w:pPr>
      <w:r>
        <w:rPr>
          <w:rFonts w:ascii="Times New Roman" w:hAnsi="Times New Roman" w:cs="Times New Roman"/>
          <w:b/>
          <w:sz w:val="24"/>
          <w:szCs w:val="24"/>
          <w:lang w:val="en-US"/>
        </w:rPr>
        <w:t>Employment - 2017</w:t>
      </w:r>
    </w:p>
    <w:tbl>
      <w:tblPr>
        <w:tblW w:w="11060" w:type="dxa"/>
        <w:tblInd w:w="55" w:type="dxa"/>
        <w:tblCellMar>
          <w:left w:w="70" w:type="dxa"/>
          <w:right w:w="70" w:type="dxa"/>
        </w:tblCellMar>
        <w:tblLook w:val="04A0" w:firstRow="1" w:lastRow="0" w:firstColumn="1" w:lastColumn="0" w:noHBand="0" w:noVBand="1"/>
      </w:tblPr>
      <w:tblGrid>
        <w:gridCol w:w="2120"/>
        <w:gridCol w:w="1480"/>
        <w:gridCol w:w="1200"/>
        <w:gridCol w:w="1900"/>
        <w:gridCol w:w="1440"/>
        <w:gridCol w:w="1480"/>
        <w:gridCol w:w="1440"/>
      </w:tblGrid>
      <w:tr w:rsidR="000E4E0C" w:rsidRPr="002D13DD" w:rsidTr="000E4E0C">
        <w:trPr>
          <w:trHeight w:val="300"/>
        </w:trPr>
        <w:tc>
          <w:tcPr>
            <w:tcW w:w="212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GEOGRAPHIC AREA DESCRIPTION</w:t>
            </w:r>
          </w:p>
        </w:tc>
        <w:tc>
          <w:tcPr>
            <w:tcW w:w="14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ENTERPRISE EMPLOYMENT SIZE</w:t>
            </w:r>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FIRMS</w:t>
            </w:r>
          </w:p>
        </w:tc>
        <w:tc>
          <w:tcPr>
            <w:tcW w:w="190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NUMBER OF ESTABLISHMENTS</w:t>
            </w:r>
          </w:p>
        </w:tc>
        <w:tc>
          <w:tcPr>
            <w:tcW w:w="14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w:t>
            </w:r>
          </w:p>
        </w:tc>
        <w:tc>
          <w:tcPr>
            <w:tcW w:w="148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EMPLOYMENT NOISE FLAG</w:t>
            </w:r>
          </w:p>
        </w:tc>
        <w:tc>
          <w:tcPr>
            <w:tcW w:w="144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0E4E0C" w:rsidRPr="002D13DD" w:rsidRDefault="000E4E0C" w:rsidP="000E4E0C">
            <w:pPr>
              <w:spacing w:after="0" w:line="240" w:lineRule="auto"/>
              <w:jc w:val="center"/>
              <w:rPr>
                <w:rFonts w:ascii="Arial" w:eastAsia="Times New Roman" w:hAnsi="Arial" w:cs="Arial"/>
                <w:b/>
                <w:bCs/>
                <w:color w:val="000000"/>
                <w:sz w:val="16"/>
                <w:szCs w:val="16"/>
                <w:lang w:eastAsia="es-ES"/>
              </w:rPr>
            </w:pPr>
            <w:r w:rsidRPr="002D13DD">
              <w:rPr>
                <w:rFonts w:ascii="Arial" w:eastAsia="Times New Roman" w:hAnsi="Arial" w:cs="Arial"/>
                <w:b/>
                <w:bCs/>
                <w:color w:val="000000"/>
                <w:sz w:val="16"/>
                <w:szCs w:val="16"/>
                <w:lang w:eastAsia="es-ES"/>
              </w:rPr>
              <w:t xml:space="preserve">ANNUAL PAYROLL </w:t>
            </w:r>
            <w:r w:rsidRPr="002D13DD">
              <w:rPr>
                <w:rFonts w:ascii="Arial" w:eastAsia="Times New Roman" w:hAnsi="Arial" w:cs="Arial"/>
                <w:b/>
                <w:bCs/>
                <w:color w:val="FF0000"/>
                <w:sz w:val="16"/>
                <w:szCs w:val="16"/>
                <w:lang w:eastAsia="es-ES"/>
              </w:rPr>
              <w:t>($1,000)</w:t>
            </w:r>
          </w:p>
        </w:tc>
      </w:tr>
      <w:tr w:rsidR="000E4E0C" w:rsidRPr="002D13DD" w:rsidTr="000E4E0C">
        <w:trPr>
          <w:trHeight w:val="300"/>
        </w:trPr>
        <w:tc>
          <w:tcPr>
            <w:tcW w:w="212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4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90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4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4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4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2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4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90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4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48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c>
          <w:tcPr>
            <w:tcW w:w="1440" w:type="dxa"/>
            <w:vMerge/>
            <w:tcBorders>
              <w:top w:val="single" w:sz="4" w:space="0" w:color="auto"/>
              <w:left w:val="single" w:sz="4" w:space="0" w:color="auto"/>
              <w:bottom w:val="single" w:sz="4" w:space="0" w:color="000000"/>
              <w:right w:val="single" w:sz="4" w:space="0" w:color="auto"/>
            </w:tcBorders>
            <w:vAlign w:val="center"/>
            <w:hideMark/>
          </w:tcPr>
          <w:p w:rsidR="000E4E0C" w:rsidRPr="002D13DD" w:rsidRDefault="000E4E0C" w:rsidP="000E4E0C">
            <w:pPr>
              <w:spacing w:after="0" w:line="240" w:lineRule="auto"/>
              <w:rPr>
                <w:rFonts w:ascii="Arial" w:eastAsia="Times New Roman" w:hAnsi="Arial" w:cs="Arial"/>
                <w:b/>
                <w:bCs/>
                <w:color w:val="000000"/>
                <w:sz w:val="16"/>
                <w:szCs w:val="16"/>
                <w:lang w:eastAsia="es-ES"/>
              </w:rPr>
            </w:pPr>
          </w:p>
        </w:tc>
      </w:tr>
      <w:tr w:rsidR="000E4E0C" w:rsidRPr="002D13DD" w:rsidTr="000E4E0C">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United States</w:t>
            </w:r>
          </w:p>
        </w:tc>
        <w:tc>
          <w:tcPr>
            <w:tcW w:w="148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01:  Total</w:t>
            </w:r>
          </w:p>
        </w:tc>
        <w:tc>
          <w:tcPr>
            <w:tcW w:w="120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5.996.900</w:t>
            </w:r>
          </w:p>
        </w:tc>
        <w:tc>
          <w:tcPr>
            <w:tcW w:w="190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7.860.674</w:t>
            </w:r>
          </w:p>
        </w:tc>
        <w:tc>
          <w:tcPr>
            <w:tcW w:w="14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128.591.812</w:t>
            </w:r>
          </w:p>
        </w:tc>
        <w:tc>
          <w:tcPr>
            <w:tcW w:w="148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center"/>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G</w:t>
            </w:r>
          </w:p>
        </w:tc>
        <w:tc>
          <w:tcPr>
            <w:tcW w:w="1440" w:type="dxa"/>
            <w:tcBorders>
              <w:top w:val="nil"/>
              <w:left w:val="nil"/>
              <w:bottom w:val="single" w:sz="4" w:space="0" w:color="auto"/>
              <w:right w:val="single" w:sz="4" w:space="0" w:color="auto"/>
            </w:tcBorders>
            <w:shd w:val="clear" w:color="auto" w:fill="auto"/>
            <w:noWrap/>
            <w:vAlign w:val="bottom"/>
            <w:hideMark/>
          </w:tcPr>
          <w:p w:rsidR="000E4E0C" w:rsidRPr="002D13DD" w:rsidRDefault="000E4E0C" w:rsidP="000E4E0C">
            <w:pPr>
              <w:spacing w:after="0" w:line="240" w:lineRule="auto"/>
              <w:jc w:val="right"/>
              <w:rPr>
                <w:rFonts w:ascii="Arial" w:eastAsia="Times New Roman" w:hAnsi="Arial" w:cs="Arial"/>
                <w:color w:val="000000"/>
                <w:sz w:val="16"/>
                <w:szCs w:val="16"/>
                <w:lang w:eastAsia="es-ES"/>
              </w:rPr>
            </w:pPr>
            <w:r w:rsidRPr="002D13DD">
              <w:rPr>
                <w:rFonts w:ascii="Arial" w:eastAsia="Times New Roman" w:hAnsi="Arial" w:cs="Arial"/>
                <w:color w:val="000000"/>
                <w:sz w:val="16"/>
                <w:szCs w:val="16"/>
                <w:lang w:eastAsia="es-ES"/>
              </w:rPr>
              <w:t>6.725.346.754</w:t>
            </w:r>
          </w:p>
        </w:tc>
      </w:tr>
    </w:tbl>
    <w:p w:rsidR="000E4E0C" w:rsidRDefault="000E4E0C" w:rsidP="000E4E0C">
      <w:pPr>
        <w:rPr>
          <w:rFonts w:ascii="Times New Roman" w:hAnsi="Times New Roman" w:cs="Times New Roman"/>
          <w:b/>
          <w:sz w:val="24"/>
          <w:szCs w:val="24"/>
          <w:lang w:val="en-US"/>
        </w:rPr>
      </w:pPr>
    </w:p>
    <w:p w:rsidR="000E4E0C" w:rsidRPr="00302903" w:rsidRDefault="000E4E0C" w:rsidP="000E4E0C">
      <w:pPr>
        <w:jc w:val="both"/>
        <w:rPr>
          <w:rFonts w:ascii="Times New Roman" w:hAnsi="Times New Roman" w:cs="Times New Roman"/>
          <w:sz w:val="24"/>
          <w:szCs w:val="24"/>
        </w:rPr>
      </w:pPr>
      <w:r w:rsidRPr="00302903">
        <w:rPr>
          <w:rFonts w:ascii="Times New Roman" w:hAnsi="Times New Roman" w:cs="Times New Roman"/>
          <w:b/>
          <w:sz w:val="24"/>
          <w:szCs w:val="24"/>
        </w:rPr>
        <w:t xml:space="preserve">Año 2000 - EEUU: </w:t>
      </w:r>
      <w:r w:rsidRPr="00302903">
        <w:rPr>
          <w:rFonts w:ascii="Times New Roman" w:hAnsi="Times New Roman" w:cs="Times New Roman"/>
          <w:sz w:val="24"/>
          <w:szCs w:val="24"/>
        </w:rPr>
        <w:t xml:space="preserve">3.879,4 (m. </w:t>
      </w:r>
      <w:r>
        <w:rPr>
          <w:rFonts w:ascii="Times New Roman" w:hAnsi="Times New Roman" w:cs="Times New Roman"/>
          <w:sz w:val="24"/>
          <w:szCs w:val="24"/>
        </w:rPr>
        <w:t xml:space="preserve">de mil. de dólares) / 114,1 (millones de trab.) = 34.000 US$ </w:t>
      </w:r>
    </w:p>
    <w:p w:rsidR="000E4E0C" w:rsidRDefault="000E4E0C" w:rsidP="000E4E0C">
      <w:pPr>
        <w:jc w:val="both"/>
        <w:rPr>
          <w:rFonts w:ascii="Times New Roman" w:hAnsi="Times New Roman" w:cs="Times New Roman"/>
          <w:sz w:val="24"/>
          <w:szCs w:val="24"/>
        </w:rPr>
      </w:pPr>
      <w:r>
        <w:rPr>
          <w:rFonts w:ascii="Times New Roman" w:hAnsi="Times New Roman" w:cs="Times New Roman"/>
          <w:b/>
          <w:sz w:val="24"/>
          <w:szCs w:val="24"/>
        </w:rPr>
        <w:t>Año 2001</w:t>
      </w:r>
      <w:r w:rsidRPr="00302903">
        <w:rPr>
          <w:rFonts w:ascii="Times New Roman" w:hAnsi="Times New Roman" w:cs="Times New Roman"/>
          <w:b/>
          <w:sz w:val="24"/>
          <w:szCs w:val="24"/>
        </w:rPr>
        <w:t xml:space="preserve"> - EEUU:</w:t>
      </w:r>
      <w:r>
        <w:rPr>
          <w:rFonts w:ascii="Times New Roman" w:hAnsi="Times New Roman" w:cs="Times New Roman"/>
          <w:b/>
          <w:sz w:val="24"/>
          <w:szCs w:val="24"/>
        </w:rPr>
        <w:t xml:space="preserve"> </w:t>
      </w:r>
      <w:r>
        <w:rPr>
          <w:rFonts w:ascii="Times New Roman" w:hAnsi="Times New Roman" w:cs="Times New Roman"/>
          <w:sz w:val="24"/>
          <w:szCs w:val="24"/>
        </w:rPr>
        <w:t>3.989,1</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115,1 (millones de trab.) = 34.658 US$</w:t>
      </w:r>
    </w:p>
    <w:p w:rsidR="000E4E0C" w:rsidRPr="00302903" w:rsidRDefault="000E4E0C" w:rsidP="000E4E0C">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(2001 vs. 2000):   658 dólares </w:t>
      </w:r>
      <w:r>
        <w:rPr>
          <w:rFonts w:ascii="Times New Roman" w:hAnsi="Times New Roman" w:cs="Times New Roman"/>
          <w:sz w:val="24"/>
          <w:szCs w:val="24"/>
        </w:rPr>
        <w:t xml:space="preserve"> </w:t>
      </w:r>
    </w:p>
    <w:p w:rsidR="000E4E0C" w:rsidRDefault="000E4E0C" w:rsidP="000E4E0C">
      <w:pPr>
        <w:jc w:val="both"/>
        <w:rPr>
          <w:rFonts w:ascii="Times New Roman" w:hAnsi="Times New Roman" w:cs="Times New Roman"/>
          <w:sz w:val="24"/>
          <w:szCs w:val="24"/>
        </w:rPr>
      </w:pPr>
      <w:r>
        <w:rPr>
          <w:rFonts w:ascii="Times New Roman" w:hAnsi="Times New Roman" w:cs="Times New Roman"/>
          <w:b/>
          <w:sz w:val="24"/>
          <w:szCs w:val="24"/>
        </w:rPr>
        <w:t>Año 2002</w:t>
      </w:r>
      <w:r w:rsidRPr="00302903">
        <w:rPr>
          <w:rFonts w:ascii="Times New Roman" w:hAnsi="Times New Roman" w:cs="Times New Roman"/>
          <w:b/>
          <w:sz w:val="24"/>
          <w:szCs w:val="24"/>
        </w:rPr>
        <w:t xml:space="preserve"> - EEUU:</w:t>
      </w:r>
      <w:r w:rsidRPr="00302903">
        <w:rPr>
          <w:rFonts w:ascii="Times New Roman" w:hAnsi="Times New Roman" w:cs="Times New Roman"/>
          <w:sz w:val="24"/>
          <w:szCs w:val="24"/>
        </w:rPr>
        <w:t xml:space="preserve"> </w:t>
      </w:r>
      <w:r>
        <w:rPr>
          <w:rFonts w:ascii="Times New Roman" w:hAnsi="Times New Roman" w:cs="Times New Roman"/>
          <w:sz w:val="24"/>
          <w:szCs w:val="24"/>
        </w:rPr>
        <w:t>3.943,2</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112,4 (millones de trab.) = 35.082 US$</w:t>
      </w:r>
    </w:p>
    <w:p w:rsidR="000E4E0C" w:rsidRPr="00302903" w:rsidRDefault="000E4E0C" w:rsidP="000E4E0C">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(2002 vs. 2000): </w:t>
      </w:r>
      <w:r>
        <w:rPr>
          <w:rFonts w:ascii="Times New Roman" w:hAnsi="Times New Roman" w:cs="Times New Roman"/>
          <w:sz w:val="24"/>
          <w:szCs w:val="24"/>
        </w:rPr>
        <w:t xml:space="preserve">1.052 dólares </w:t>
      </w:r>
    </w:p>
    <w:p w:rsidR="000E4E0C" w:rsidRDefault="000E4E0C" w:rsidP="000E4E0C">
      <w:pPr>
        <w:jc w:val="both"/>
        <w:rPr>
          <w:rFonts w:ascii="Times New Roman" w:hAnsi="Times New Roman" w:cs="Times New Roman"/>
          <w:sz w:val="24"/>
          <w:szCs w:val="24"/>
        </w:rPr>
      </w:pPr>
      <w:r>
        <w:rPr>
          <w:rFonts w:ascii="Times New Roman" w:hAnsi="Times New Roman" w:cs="Times New Roman"/>
          <w:b/>
          <w:sz w:val="24"/>
          <w:szCs w:val="24"/>
        </w:rPr>
        <w:lastRenderedPageBreak/>
        <w:t>Año 2003</w:t>
      </w:r>
      <w:r w:rsidRPr="00302903">
        <w:rPr>
          <w:rFonts w:ascii="Times New Roman" w:hAnsi="Times New Roman" w:cs="Times New Roman"/>
          <w:b/>
          <w:sz w:val="24"/>
          <w:szCs w:val="24"/>
        </w:rPr>
        <w:t xml:space="preserve"> - EEUU:</w:t>
      </w:r>
      <w:r>
        <w:rPr>
          <w:rFonts w:ascii="Times New Roman" w:hAnsi="Times New Roman" w:cs="Times New Roman"/>
          <w:b/>
          <w:sz w:val="24"/>
          <w:szCs w:val="24"/>
        </w:rPr>
        <w:t xml:space="preserve"> </w:t>
      </w:r>
      <w:r>
        <w:rPr>
          <w:rFonts w:ascii="Times New Roman" w:hAnsi="Times New Roman" w:cs="Times New Roman"/>
          <w:sz w:val="24"/>
          <w:szCs w:val="24"/>
        </w:rPr>
        <w:t>4.040,9</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113,4 (millones de trab.) = 35.634 US$</w:t>
      </w:r>
    </w:p>
    <w:p w:rsidR="000E4E0C" w:rsidRPr="00302903" w:rsidRDefault="000E4E0C" w:rsidP="000E4E0C">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(2003 vs. 2000): 1.634 dólares </w:t>
      </w:r>
      <w:r>
        <w:rPr>
          <w:rFonts w:ascii="Times New Roman" w:hAnsi="Times New Roman" w:cs="Times New Roman"/>
          <w:sz w:val="24"/>
          <w:szCs w:val="24"/>
        </w:rPr>
        <w:t xml:space="preserve"> </w:t>
      </w:r>
    </w:p>
    <w:p w:rsidR="000E4E0C" w:rsidRDefault="000E4E0C" w:rsidP="000E4E0C">
      <w:pPr>
        <w:jc w:val="both"/>
        <w:rPr>
          <w:rFonts w:ascii="Times New Roman" w:hAnsi="Times New Roman" w:cs="Times New Roman"/>
          <w:sz w:val="24"/>
          <w:szCs w:val="24"/>
        </w:rPr>
      </w:pPr>
      <w:r>
        <w:rPr>
          <w:rFonts w:ascii="Times New Roman" w:hAnsi="Times New Roman" w:cs="Times New Roman"/>
          <w:b/>
          <w:sz w:val="24"/>
          <w:szCs w:val="24"/>
        </w:rPr>
        <w:t>Año 2004</w:t>
      </w:r>
      <w:r w:rsidRPr="00302903">
        <w:rPr>
          <w:rFonts w:ascii="Times New Roman" w:hAnsi="Times New Roman" w:cs="Times New Roman"/>
          <w:b/>
          <w:sz w:val="24"/>
          <w:szCs w:val="24"/>
        </w:rPr>
        <w:t xml:space="preserve"> - EEUU:</w:t>
      </w:r>
      <w:r w:rsidRPr="00302903">
        <w:rPr>
          <w:rFonts w:ascii="Times New Roman" w:hAnsi="Times New Roman" w:cs="Times New Roman"/>
          <w:sz w:val="24"/>
          <w:szCs w:val="24"/>
        </w:rPr>
        <w:t xml:space="preserve"> </w:t>
      </w:r>
      <w:r>
        <w:rPr>
          <w:rFonts w:ascii="Times New Roman" w:hAnsi="Times New Roman" w:cs="Times New Roman"/>
          <w:sz w:val="24"/>
          <w:szCs w:val="24"/>
        </w:rPr>
        <w:t>4.254,0</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115,1 (millones de trab.) = 36.959 US$</w:t>
      </w:r>
    </w:p>
    <w:p w:rsidR="000E4E0C" w:rsidRPr="00302903" w:rsidRDefault="000E4E0C" w:rsidP="000E4E0C">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(2004 vs. 2000): 2.559 dólares </w:t>
      </w:r>
      <w:r>
        <w:rPr>
          <w:rFonts w:ascii="Times New Roman" w:hAnsi="Times New Roman" w:cs="Times New Roman"/>
          <w:sz w:val="24"/>
          <w:szCs w:val="24"/>
        </w:rPr>
        <w:t xml:space="preserve"> </w:t>
      </w:r>
    </w:p>
    <w:p w:rsidR="000E4E0C" w:rsidRDefault="000E4E0C" w:rsidP="000E4E0C">
      <w:pPr>
        <w:jc w:val="both"/>
        <w:rPr>
          <w:rFonts w:ascii="Times New Roman" w:hAnsi="Times New Roman" w:cs="Times New Roman"/>
          <w:sz w:val="24"/>
          <w:szCs w:val="24"/>
        </w:rPr>
      </w:pPr>
      <w:r>
        <w:rPr>
          <w:rFonts w:ascii="Times New Roman" w:hAnsi="Times New Roman" w:cs="Times New Roman"/>
          <w:b/>
          <w:sz w:val="24"/>
          <w:szCs w:val="24"/>
        </w:rPr>
        <w:t>Año 2005</w:t>
      </w:r>
      <w:r w:rsidRPr="00302903">
        <w:rPr>
          <w:rFonts w:ascii="Times New Roman" w:hAnsi="Times New Roman" w:cs="Times New Roman"/>
          <w:b/>
          <w:sz w:val="24"/>
          <w:szCs w:val="24"/>
        </w:rPr>
        <w:t xml:space="preserve"> - EEUU:</w:t>
      </w:r>
      <w:r w:rsidRPr="00302903">
        <w:rPr>
          <w:rFonts w:ascii="Times New Roman" w:hAnsi="Times New Roman" w:cs="Times New Roman"/>
          <w:sz w:val="24"/>
          <w:szCs w:val="24"/>
        </w:rPr>
        <w:t xml:space="preserve"> </w:t>
      </w:r>
      <w:r>
        <w:rPr>
          <w:rFonts w:ascii="Times New Roman" w:hAnsi="Times New Roman" w:cs="Times New Roman"/>
          <w:sz w:val="24"/>
          <w:szCs w:val="24"/>
        </w:rPr>
        <w:t>4.482,7</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116,3 (millones de trab.) = 38.544 US$</w:t>
      </w:r>
    </w:p>
    <w:p w:rsidR="000E4E0C" w:rsidRPr="00302903" w:rsidRDefault="000E4E0C" w:rsidP="000E4E0C">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(2005 vs. 2000): </w:t>
      </w:r>
      <w:r>
        <w:rPr>
          <w:rFonts w:ascii="Times New Roman" w:hAnsi="Times New Roman" w:cs="Times New Roman"/>
          <w:sz w:val="24"/>
          <w:szCs w:val="24"/>
        </w:rPr>
        <w:t>4.544 dólares</w:t>
      </w:r>
    </w:p>
    <w:p w:rsidR="000E4E0C" w:rsidRDefault="000E4E0C" w:rsidP="000E4E0C">
      <w:pPr>
        <w:jc w:val="both"/>
        <w:rPr>
          <w:rFonts w:ascii="Times New Roman" w:hAnsi="Times New Roman" w:cs="Times New Roman"/>
          <w:sz w:val="24"/>
          <w:szCs w:val="24"/>
        </w:rPr>
      </w:pPr>
      <w:r>
        <w:rPr>
          <w:rFonts w:ascii="Times New Roman" w:hAnsi="Times New Roman" w:cs="Times New Roman"/>
          <w:b/>
          <w:sz w:val="24"/>
          <w:szCs w:val="24"/>
        </w:rPr>
        <w:t>Año 2006</w:t>
      </w:r>
      <w:r w:rsidRPr="00302903">
        <w:rPr>
          <w:rFonts w:ascii="Times New Roman" w:hAnsi="Times New Roman" w:cs="Times New Roman"/>
          <w:b/>
          <w:sz w:val="24"/>
          <w:szCs w:val="24"/>
        </w:rPr>
        <w:t xml:space="preserve"> - EEUU:</w:t>
      </w:r>
      <w:r w:rsidRPr="00302903">
        <w:rPr>
          <w:rFonts w:ascii="Times New Roman" w:hAnsi="Times New Roman" w:cs="Times New Roman"/>
          <w:sz w:val="24"/>
          <w:szCs w:val="24"/>
        </w:rPr>
        <w:t xml:space="preserve"> </w:t>
      </w:r>
      <w:r>
        <w:rPr>
          <w:rFonts w:ascii="Times New Roman" w:hAnsi="Times New Roman" w:cs="Times New Roman"/>
          <w:sz w:val="24"/>
          <w:szCs w:val="24"/>
        </w:rPr>
        <w:t>4.792,4</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120,0 (millones de trab.) = 39.937 US$</w:t>
      </w:r>
    </w:p>
    <w:p w:rsidR="000E4E0C" w:rsidRPr="00302903" w:rsidRDefault="000E4E0C" w:rsidP="000E4E0C">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(2006 vs. 2000): </w:t>
      </w:r>
      <w:r>
        <w:rPr>
          <w:rFonts w:ascii="Times New Roman" w:hAnsi="Times New Roman" w:cs="Times New Roman"/>
          <w:sz w:val="24"/>
          <w:szCs w:val="24"/>
        </w:rPr>
        <w:t>5.937 dólares</w:t>
      </w:r>
    </w:p>
    <w:p w:rsidR="000E4E0C" w:rsidRDefault="000E4E0C" w:rsidP="000E4E0C">
      <w:pPr>
        <w:jc w:val="both"/>
        <w:rPr>
          <w:rFonts w:ascii="Times New Roman" w:hAnsi="Times New Roman" w:cs="Times New Roman"/>
          <w:sz w:val="24"/>
          <w:szCs w:val="24"/>
        </w:rPr>
      </w:pPr>
      <w:r>
        <w:rPr>
          <w:rFonts w:ascii="Times New Roman" w:hAnsi="Times New Roman" w:cs="Times New Roman"/>
          <w:b/>
          <w:sz w:val="24"/>
          <w:szCs w:val="24"/>
        </w:rPr>
        <w:t>Año 2007</w:t>
      </w:r>
      <w:r w:rsidRPr="00302903">
        <w:rPr>
          <w:rFonts w:ascii="Times New Roman" w:hAnsi="Times New Roman" w:cs="Times New Roman"/>
          <w:b/>
          <w:sz w:val="24"/>
          <w:szCs w:val="24"/>
        </w:rPr>
        <w:t xml:space="preserve"> - EEUU:</w:t>
      </w:r>
      <w:r w:rsidRPr="00302903">
        <w:rPr>
          <w:rFonts w:ascii="Times New Roman" w:hAnsi="Times New Roman" w:cs="Times New Roman"/>
          <w:sz w:val="24"/>
          <w:szCs w:val="24"/>
        </w:rPr>
        <w:t xml:space="preserve"> </w:t>
      </w:r>
      <w:r>
        <w:rPr>
          <w:rFonts w:ascii="Times New Roman" w:hAnsi="Times New Roman" w:cs="Times New Roman"/>
          <w:sz w:val="24"/>
          <w:szCs w:val="24"/>
        </w:rPr>
        <w:t>5.026,8</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120,6 (millones de trab.) = 41.682 US$</w:t>
      </w:r>
    </w:p>
    <w:p w:rsidR="000E4E0C" w:rsidRPr="00302903" w:rsidRDefault="000E4E0C" w:rsidP="000E4E0C">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(2007 vs. 2000): </w:t>
      </w:r>
      <w:r>
        <w:rPr>
          <w:rFonts w:ascii="Times New Roman" w:hAnsi="Times New Roman" w:cs="Times New Roman"/>
          <w:sz w:val="24"/>
          <w:szCs w:val="24"/>
        </w:rPr>
        <w:t>7.682 dólares</w:t>
      </w:r>
    </w:p>
    <w:p w:rsidR="000E4E0C" w:rsidRDefault="000E4E0C" w:rsidP="000E4E0C">
      <w:pPr>
        <w:jc w:val="both"/>
        <w:rPr>
          <w:rFonts w:ascii="Times New Roman" w:hAnsi="Times New Roman" w:cs="Times New Roman"/>
          <w:sz w:val="24"/>
          <w:szCs w:val="24"/>
        </w:rPr>
      </w:pPr>
      <w:r>
        <w:rPr>
          <w:rFonts w:ascii="Times New Roman" w:hAnsi="Times New Roman" w:cs="Times New Roman"/>
          <w:b/>
          <w:sz w:val="24"/>
          <w:szCs w:val="24"/>
        </w:rPr>
        <w:t>Año 2008</w:t>
      </w:r>
      <w:r w:rsidRPr="00302903">
        <w:rPr>
          <w:rFonts w:ascii="Times New Roman" w:hAnsi="Times New Roman" w:cs="Times New Roman"/>
          <w:b/>
          <w:sz w:val="24"/>
          <w:szCs w:val="24"/>
        </w:rPr>
        <w:t xml:space="preserve"> - EEUU:</w:t>
      </w:r>
      <w:r w:rsidRPr="00302903">
        <w:rPr>
          <w:rFonts w:ascii="Times New Roman" w:hAnsi="Times New Roman" w:cs="Times New Roman"/>
          <w:sz w:val="24"/>
          <w:szCs w:val="24"/>
        </w:rPr>
        <w:t xml:space="preserve"> </w:t>
      </w:r>
      <w:r>
        <w:rPr>
          <w:rFonts w:ascii="Times New Roman" w:hAnsi="Times New Roman" w:cs="Times New Roman"/>
          <w:sz w:val="24"/>
          <w:szCs w:val="24"/>
        </w:rPr>
        <w:t>5.130,5</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120,9 (millones de trab.) = 42.436 US$</w:t>
      </w:r>
    </w:p>
    <w:p w:rsidR="000E4E0C" w:rsidRPr="00302903" w:rsidRDefault="000E4E0C" w:rsidP="000E4E0C">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(2008 vs. 2000): </w:t>
      </w:r>
      <w:r>
        <w:rPr>
          <w:rFonts w:ascii="Times New Roman" w:hAnsi="Times New Roman" w:cs="Times New Roman"/>
          <w:sz w:val="24"/>
          <w:szCs w:val="24"/>
        </w:rPr>
        <w:t>8.436 dólares</w:t>
      </w:r>
    </w:p>
    <w:p w:rsidR="000E4E0C" w:rsidRDefault="000E4E0C" w:rsidP="000E4E0C">
      <w:pPr>
        <w:jc w:val="both"/>
        <w:rPr>
          <w:rFonts w:ascii="Times New Roman" w:hAnsi="Times New Roman" w:cs="Times New Roman"/>
          <w:sz w:val="24"/>
          <w:szCs w:val="24"/>
        </w:rPr>
      </w:pPr>
      <w:r>
        <w:rPr>
          <w:rFonts w:ascii="Times New Roman" w:hAnsi="Times New Roman" w:cs="Times New Roman"/>
          <w:b/>
          <w:sz w:val="24"/>
          <w:szCs w:val="24"/>
        </w:rPr>
        <w:t>Año 2009</w:t>
      </w:r>
      <w:r w:rsidRPr="00302903">
        <w:rPr>
          <w:rFonts w:ascii="Times New Roman" w:hAnsi="Times New Roman" w:cs="Times New Roman"/>
          <w:b/>
          <w:sz w:val="24"/>
          <w:szCs w:val="24"/>
        </w:rPr>
        <w:t xml:space="preserve"> - EEUU:</w:t>
      </w:r>
      <w:r w:rsidRPr="00302903">
        <w:rPr>
          <w:rFonts w:ascii="Times New Roman" w:hAnsi="Times New Roman" w:cs="Times New Roman"/>
          <w:sz w:val="24"/>
          <w:szCs w:val="24"/>
        </w:rPr>
        <w:t xml:space="preserve"> </w:t>
      </w:r>
      <w:r>
        <w:rPr>
          <w:rFonts w:ascii="Times New Roman" w:hAnsi="Times New Roman" w:cs="Times New Roman"/>
          <w:sz w:val="24"/>
          <w:szCs w:val="24"/>
        </w:rPr>
        <w:t>4.855,5</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114,5 (millones de trab.) = 42.406 US$</w:t>
      </w:r>
    </w:p>
    <w:p w:rsidR="000E4E0C" w:rsidRPr="00302903" w:rsidRDefault="000E4E0C" w:rsidP="000E4E0C">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(2009 vs. 2000): </w:t>
      </w:r>
      <w:r>
        <w:rPr>
          <w:rFonts w:ascii="Times New Roman" w:hAnsi="Times New Roman" w:cs="Times New Roman"/>
          <w:sz w:val="24"/>
          <w:szCs w:val="24"/>
        </w:rPr>
        <w:t>8.406 dólares</w:t>
      </w:r>
    </w:p>
    <w:p w:rsidR="000E4E0C" w:rsidRDefault="000E4E0C" w:rsidP="000E4E0C">
      <w:pPr>
        <w:jc w:val="both"/>
        <w:rPr>
          <w:rFonts w:ascii="Times New Roman" w:hAnsi="Times New Roman" w:cs="Times New Roman"/>
          <w:sz w:val="24"/>
          <w:szCs w:val="24"/>
        </w:rPr>
      </w:pPr>
      <w:r>
        <w:rPr>
          <w:rFonts w:ascii="Times New Roman" w:hAnsi="Times New Roman" w:cs="Times New Roman"/>
          <w:b/>
          <w:sz w:val="24"/>
          <w:szCs w:val="24"/>
        </w:rPr>
        <w:t>Año 2010</w:t>
      </w:r>
      <w:r w:rsidRPr="00302903">
        <w:rPr>
          <w:rFonts w:ascii="Times New Roman" w:hAnsi="Times New Roman" w:cs="Times New Roman"/>
          <w:b/>
          <w:sz w:val="24"/>
          <w:szCs w:val="24"/>
        </w:rPr>
        <w:t xml:space="preserve"> - EEUU:</w:t>
      </w:r>
      <w:r w:rsidRPr="00302903">
        <w:rPr>
          <w:rFonts w:ascii="Times New Roman" w:hAnsi="Times New Roman" w:cs="Times New Roman"/>
          <w:sz w:val="24"/>
          <w:szCs w:val="24"/>
        </w:rPr>
        <w:t xml:space="preserve"> </w:t>
      </w:r>
      <w:r>
        <w:rPr>
          <w:rFonts w:ascii="Times New Roman" w:hAnsi="Times New Roman" w:cs="Times New Roman"/>
          <w:sz w:val="24"/>
          <w:szCs w:val="24"/>
        </w:rPr>
        <w:t>4.941,0</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112,0 (millones de trab.) = 44.116 US$</w:t>
      </w:r>
    </w:p>
    <w:p w:rsidR="000E4E0C" w:rsidRDefault="000E4E0C" w:rsidP="000E4E0C">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Variación (2010 vs. 2000): 10.116 dólares</w:t>
      </w:r>
    </w:p>
    <w:p w:rsidR="000E4E0C" w:rsidRDefault="000E4E0C" w:rsidP="000E4E0C">
      <w:pPr>
        <w:jc w:val="both"/>
        <w:rPr>
          <w:rFonts w:ascii="Times New Roman" w:hAnsi="Times New Roman" w:cs="Times New Roman"/>
          <w:sz w:val="24"/>
          <w:szCs w:val="24"/>
        </w:rPr>
      </w:pPr>
      <w:r>
        <w:rPr>
          <w:rFonts w:ascii="Times New Roman" w:hAnsi="Times New Roman" w:cs="Times New Roman"/>
          <w:b/>
          <w:sz w:val="24"/>
          <w:szCs w:val="24"/>
        </w:rPr>
        <w:t>Año 2011</w:t>
      </w:r>
      <w:r w:rsidRPr="00302903">
        <w:rPr>
          <w:rFonts w:ascii="Times New Roman" w:hAnsi="Times New Roman" w:cs="Times New Roman"/>
          <w:b/>
          <w:sz w:val="24"/>
          <w:szCs w:val="24"/>
        </w:rPr>
        <w:t xml:space="preserve"> - EEUU:</w:t>
      </w:r>
      <w:r w:rsidRPr="00302903">
        <w:rPr>
          <w:rFonts w:ascii="Times New Roman" w:hAnsi="Times New Roman" w:cs="Times New Roman"/>
          <w:sz w:val="24"/>
          <w:szCs w:val="24"/>
        </w:rPr>
        <w:t xml:space="preserve"> </w:t>
      </w:r>
      <w:r>
        <w:rPr>
          <w:rFonts w:ascii="Times New Roman" w:hAnsi="Times New Roman" w:cs="Times New Roman"/>
          <w:sz w:val="24"/>
          <w:szCs w:val="24"/>
        </w:rPr>
        <w:t>5.164,9</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113,4 (millones de trab.) = 45.546 US$</w:t>
      </w:r>
    </w:p>
    <w:p w:rsidR="000E4E0C" w:rsidRPr="00302903" w:rsidRDefault="000E4E0C" w:rsidP="000E4E0C">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(2011 vs. 2000): </w:t>
      </w:r>
      <w:r>
        <w:rPr>
          <w:rFonts w:ascii="Times New Roman" w:hAnsi="Times New Roman" w:cs="Times New Roman"/>
          <w:sz w:val="24"/>
          <w:szCs w:val="24"/>
        </w:rPr>
        <w:t>11.546 dólares</w:t>
      </w:r>
    </w:p>
    <w:p w:rsidR="000E4E0C" w:rsidRDefault="000E4E0C" w:rsidP="000E4E0C">
      <w:pPr>
        <w:jc w:val="both"/>
        <w:rPr>
          <w:rFonts w:ascii="Times New Roman" w:hAnsi="Times New Roman" w:cs="Times New Roman"/>
          <w:sz w:val="24"/>
          <w:szCs w:val="24"/>
        </w:rPr>
      </w:pPr>
      <w:r>
        <w:rPr>
          <w:rFonts w:ascii="Times New Roman" w:hAnsi="Times New Roman" w:cs="Times New Roman"/>
          <w:b/>
          <w:sz w:val="24"/>
          <w:szCs w:val="24"/>
        </w:rPr>
        <w:t>Año 2012</w:t>
      </w:r>
      <w:r w:rsidRPr="00302903">
        <w:rPr>
          <w:rFonts w:ascii="Times New Roman" w:hAnsi="Times New Roman" w:cs="Times New Roman"/>
          <w:b/>
          <w:sz w:val="24"/>
          <w:szCs w:val="24"/>
        </w:rPr>
        <w:t xml:space="preserve"> - EEUU:</w:t>
      </w:r>
      <w:r w:rsidRPr="00302903">
        <w:rPr>
          <w:rFonts w:ascii="Times New Roman" w:hAnsi="Times New Roman" w:cs="Times New Roman"/>
          <w:sz w:val="24"/>
          <w:szCs w:val="24"/>
        </w:rPr>
        <w:t xml:space="preserve"> </w:t>
      </w:r>
      <w:r>
        <w:rPr>
          <w:rFonts w:ascii="Times New Roman" w:hAnsi="Times New Roman" w:cs="Times New Roman"/>
          <w:sz w:val="24"/>
          <w:szCs w:val="24"/>
        </w:rPr>
        <w:t>5.414,3</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115,9 (millones de trab.) = 46.715 US$</w:t>
      </w:r>
    </w:p>
    <w:p w:rsidR="000E4E0C" w:rsidRPr="00302903" w:rsidRDefault="000E4E0C" w:rsidP="000E4E0C">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(2012 vs. 2000): </w:t>
      </w:r>
      <w:r>
        <w:rPr>
          <w:rFonts w:ascii="Times New Roman" w:hAnsi="Times New Roman" w:cs="Times New Roman"/>
          <w:sz w:val="24"/>
          <w:szCs w:val="24"/>
        </w:rPr>
        <w:t>12.715 dólares</w:t>
      </w:r>
    </w:p>
    <w:p w:rsidR="000E4E0C" w:rsidRDefault="000E4E0C" w:rsidP="000E4E0C">
      <w:pPr>
        <w:jc w:val="both"/>
        <w:rPr>
          <w:rFonts w:ascii="Times New Roman" w:hAnsi="Times New Roman" w:cs="Times New Roman"/>
          <w:sz w:val="24"/>
          <w:szCs w:val="24"/>
        </w:rPr>
      </w:pPr>
      <w:r>
        <w:rPr>
          <w:rFonts w:ascii="Times New Roman" w:hAnsi="Times New Roman" w:cs="Times New Roman"/>
          <w:b/>
          <w:sz w:val="24"/>
          <w:szCs w:val="24"/>
        </w:rPr>
        <w:t>Año 2013</w:t>
      </w:r>
      <w:r w:rsidRPr="00302903">
        <w:rPr>
          <w:rFonts w:ascii="Times New Roman" w:hAnsi="Times New Roman" w:cs="Times New Roman"/>
          <w:b/>
          <w:sz w:val="24"/>
          <w:szCs w:val="24"/>
        </w:rPr>
        <w:t xml:space="preserve"> - EEUU:</w:t>
      </w:r>
      <w:r w:rsidRPr="00302903">
        <w:rPr>
          <w:rFonts w:ascii="Times New Roman" w:hAnsi="Times New Roman" w:cs="Times New Roman"/>
          <w:sz w:val="24"/>
          <w:szCs w:val="24"/>
        </w:rPr>
        <w:t xml:space="preserve"> </w:t>
      </w:r>
      <w:r>
        <w:rPr>
          <w:rFonts w:ascii="Times New Roman" w:hAnsi="Times New Roman" w:cs="Times New Roman"/>
          <w:sz w:val="24"/>
          <w:szCs w:val="24"/>
        </w:rPr>
        <w:t>5.621,7</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118,3 (millones de trab.) = 47.521 US$</w:t>
      </w:r>
    </w:p>
    <w:p w:rsidR="000E4E0C" w:rsidRPr="00302903" w:rsidRDefault="000E4E0C" w:rsidP="000E4E0C">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(2013 vs. 2000): </w:t>
      </w:r>
      <w:r>
        <w:rPr>
          <w:rFonts w:ascii="Times New Roman" w:hAnsi="Times New Roman" w:cs="Times New Roman"/>
          <w:sz w:val="24"/>
          <w:szCs w:val="24"/>
        </w:rPr>
        <w:t>13.521 dólares</w:t>
      </w:r>
    </w:p>
    <w:p w:rsidR="000E4E0C" w:rsidRDefault="000E4E0C" w:rsidP="000E4E0C">
      <w:pPr>
        <w:jc w:val="both"/>
        <w:rPr>
          <w:rFonts w:ascii="Times New Roman" w:hAnsi="Times New Roman" w:cs="Times New Roman"/>
          <w:sz w:val="24"/>
          <w:szCs w:val="24"/>
        </w:rPr>
      </w:pPr>
      <w:r>
        <w:rPr>
          <w:rFonts w:ascii="Times New Roman" w:hAnsi="Times New Roman" w:cs="Times New Roman"/>
          <w:b/>
          <w:sz w:val="24"/>
          <w:szCs w:val="24"/>
        </w:rPr>
        <w:t>Año 2014</w:t>
      </w:r>
      <w:r w:rsidRPr="00302903">
        <w:rPr>
          <w:rFonts w:ascii="Times New Roman" w:hAnsi="Times New Roman" w:cs="Times New Roman"/>
          <w:b/>
          <w:sz w:val="24"/>
          <w:szCs w:val="24"/>
        </w:rPr>
        <w:t xml:space="preserve"> - EEUU:</w:t>
      </w:r>
      <w:r w:rsidRPr="00302903">
        <w:rPr>
          <w:rFonts w:ascii="Times New Roman" w:hAnsi="Times New Roman" w:cs="Times New Roman"/>
          <w:sz w:val="24"/>
          <w:szCs w:val="24"/>
        </w:rPr>
        <w:t xml:space="preserve"> </w:t>
      </w:r>
      <w:r>
        <w:rPr>
          <w:rFonts w:ascii="Times New Roman" w:hAnsi="Times New Roman" w:cs="Times New Roman"/>
          <w:sz w:val="24"/>
          <w:szCs w:val="24"/>
        </w:rPr>
        <w:t>5.940,2</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121,1 (millones de trab.) = 49.052 US$</w:t>
      </w:r>
    </w:p>
    <w:p w:rsidR="000E4E0C" w:rsidRPr="00302903" w:rsidRDefault="000E4E0C" w:rsidP="000E4E0C">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(2014 vs. 2000): </w:t>
      </w:r>
      <w:r>
        <w:rPr>
          <w:rFonts w:ascii="Times New Roman" w:hAnsi="Times New Roman" w:cs="Times New Roman"/>
          <w:sz w:val="24"/>
          <w:szCs w:val="24"/>
        </w:rPr>
        <w:t>15.052 dólares</w:t>
      </w:r>
    </w:p>
    <w:p w:rsidR="000E4E0C" w:rsidRDefault="000E4E0C" w:rsidP="000E4E0C">
      <w:pPr>
        <w:jc w:val="both"/>
        <w:rPr>
          <w:rFonts w:ascii="Times New Roman" w:hAnsi="Times New Roman" w:cs="Times New Roman"/>
          <w:sz w:val="24"/>
          <w:szCs w:val="24"/>
        </w:rPr>
      </w:pPr>
      <w:r>
        <w:rPr>
          <w:rFonts w:ascii="Times New Roman" w:hAnsi="Times New Roman" w:cs="Times New Roman"/>
          <w:b/>
          <w:sz w:val="24"/>
          <w:szCs w:val="24"/>
        </w:rPr>
        <w:t>Año 2015</w:t>
      </w:r>
      <w:r w:rsidRPr="00302903">
        <w:rPr>
          <w:rFonts w:ascii="Times New Roman" w:hAnsi="Times New Roman" w:cs="Times New Roman"/>
          <w:b/>
          <w:sz w:val="24"/>
          <w:szCs w:val="24"/>
        </w:rPr>
        <w:t xml:space="preserve"> - EEUU:</w:t>
      </w:r>
      <w:r w:rsidRPr="00302903">
        <w:rPr>
          <w:rFonts w:ascii="Times New Roman" w:hAnsi="Times New Roman" w:cs="Times New Roman"/>
          <w:sz w:val="24"/>
          <w:szCs w:val="24"/>
        </w:rPr>
        <w:t xml:space="preserve"> </w:t>
      </w:r>
      <w:r>
        <w:rPr>
          <w:rFonts w:ascii="Times New Roman" w:hAnsi="Times New Roman" w:cs="Times New Roman"/>
          <w:sz w:val="24"/>
          <w:szCs w:val="24"/>
        </w:rPr>
        <w:t>6.253,5</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124,1 (millones de trab.) = 50.391 US$</w:t>
      </w:r>
    </w:p>
    <w:p w:rsidR="000E4E0C" w:rsidRPr="00302903" w:rsidRDefault="000E4E0C" w:rsidP="000E4E0C">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Variación (2015 vs. 2000): 16.391 dólares</w:t>
      </w:r>
      <w:r>
        <w:rPr>
          <w:rFonts w:ascii="Times New Roman" w:hAnsi="Times New Roman" w:cs="Times New Roman"/>
          <w:sz w:val="24"/>
          <w:szCs w:val="24"/>
        </w:rPr>
        <w:t xml:space="preserve"> </w:t>
      </w:r>
    </w:p>
    <w:p w:rsidR="000E4E0C" w:rsidRDefault="000E4E0C" w:rsidP="000E4E0C">
      <w:pPr>
        <w:jc w:val="both"/>
        <w:rPr>
          <w:rFonts w:ascii="Times New Roman" w:hAnsi="Times New Roman" w:cs="Times New Roman"/>
          <w:sz w:val="24"/>
          <w:szCs w:val="24"/>
        </w:rPr>
      </w:pPr>
      <w:r w:rsidRPr="00302903">
        <w:rPr>
          <w:rFonts w:ascii="Times New Roman" w:hAnsi="Times New Roman" w:cs="Times New Roman"/>
          <w:b/>
          <w:sz w:val="24"/>
          <w:szCs w:val="24"/>
        </w:rPr>
        <w:t>Año 2016 - EEUU:</w:t>
      </w:r>
      <w:r w:rsidRPr="00302903">
        <w:rPr>
          <w:rFonts w:ascii="Times New Roman" w:hAnsi="Times New Roman" w:cs="Times New Roman"/>
          <w:sz w:val="24"/>
          <w:szCs w:val="24"/>
        </w:rPr>
        <w:t xml:space="preserve"> </w:t>
      </w:r>
      <w:r>
        <w:rPr>
          <w:rFonts w:ascii="Times New Roman" w:hAnsi="Times New Roman" w:cs="Times New Roman"/>
          <w:sz w:val="24"/>
          <w:szCs w:val="24"/>
        </w:rPr>
        <w:t>6.435,1</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126,8 (millones de trab.) = 50.750 US$</w:t>
      </w:r>
    </w:p>
    <w:p w:rsidR="000E4E0C" w:rsidRPr="00302903" w:rsidRDefault="000E4E0C" w:rsidP="000E4E0C">
      <w:pPr>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shd w:val="clear" w:color="auto" w:fill="FFFFFF"/>
        </w:rPr>
        <w:t xml:space="preserve">Variación (2016 vs. 2000): </w:t>
      </w:r>
      <w:r>
        <w:rPr>
          <w:rFonts w:ascii="Times New Roman" w:hAnsi="Times New Roman" w:cs="Times New Roman"/>
          <w:sz w:val="24"/>
          <w:szCs w:val="24"/>
        </w:rPr>
        <w:t>16.750 dólares</w:t>
      </w:r>
    </w:p>
    <w:p w:rsidR="000E4E0C" w:rsidRDefault="000E4E0C" w:rsidP="000E4E0C">
      <w:pPr>
        <w:jc w:val="both"/>
        <w:rPr>
          <w:rFonts w:ascii="Times New Roman" w:hAnsi="Times New Roman" w:cs="Times New Roman"/>
          <w:sz w:val="24"/>
          <w:szCs w:val="24"/>
        </w:rPr>
      </w:pPr>
      <w:r w:rsidRPr="00302903">
        <w:rPr>
          <w:rFonts w:ascii="Times New Roman" w:hAnsi="Times New Roman" w:cs="Times New Roman"/>
          <w:b/>
          <w:sz w:val="24"/>
          <w:szCs w:val="24"/>
        </w:rPr>
        <w:t>Año 2017 - EEUU:</w:t>
      </w:r>
      <w:r w:rsidRPr="00302903">
        <w:rPr>
          <w:rFonts w:ascii="Times New Roman" w:hAnsi="Times New Roman" w:cs="Times New Roman"/>
          <w:sz w:val="24"/>
          <w:szCs w:val="24"/>
        </w:rPr>
        <w:t xml:space="preserve"> </w:t>
      </w:r>
      <w:r>
        <w:rPr>
          <w:rFonts w:ascii="Times New Roman" w:hAnsi="Times New Roman" w:cs="Times New Roman"/>
          <w:sz w:val="24"/>
          <w:szCs w:val="24"/>
        </w:rPr>
        <w:t>6.725,3</w:t>
      </w:r>
      <w:r w:rsidRPr="00302903">
        <w:rPr>
          <w:rFonts w:ascii="Times New Roman" w:hAnsi="Times New Roman" w:cs="Times New Roman"/>
          <w:sz w:val="24"/>
          <w:szCs w:val="24"/>
        </w:rPr>
        <w:t xml:space="preserve"> (m. </w:t>
      </w:r>
      <w:r>
        <w:rPr>
          <w:rFonts w:ascii="Times New Roman" w:hAnsi="Times New Roman" w:cs="Times New Roman"/>
          <w:sz w:val="24"/>
          <w:szCs w:val="24"/>
        </w:rPr>
        <w:t>de mil. de dólares) / 128,6 (millones de trab.) = 52.296 US$</w:t>
      </w:r>
    </w:p>
    <w:p w:rsidR="000E4E0C" w:rsidRPr="00302903" w:rsidRDefault="000E4E0C" w:rsidP="000E4E0C">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Variación (2017 vs. 2000): </w:t>
      </w:r>
      <w:r>
        <w:rPr>
          <w:rFonts w:ascii="Times New Roman" w:hAnsi="Times New Roman" w:cs="Times New Roman"/>
          <w:sz w:val="24"/>
          <w:szCs w:val="24"/>
        </w:rPr>
        <w:t>18.296 dólares</w:t>
      </w: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r w:rsidRPr="009E14E8">
        <w:rPr>
          <w:rFonts w:ascii="Times New Roman" w:hAnsi="Times New Roman" w:cs="Times New Roman"/>
          <w:b/>
          <w:color w:val="FF0000"/>
          <w:sz w:val="24"/>
          <w:szCs w:val="24"/>
          <w:shd w:val="clear" w:color="auto" w:fill="FFFFFF"/>
        </w:rPr>
        <w:t xml:space="preserve">(-) Alteración en </w:t>
      </w:r>
      <w:r>
        <w:rPr>
          <w:rFonts w:ascii="Times New Roman" w:hAnsi="Times New Roman" w:cs="Times New Roman"/>
          <w:b/>
          <w:color w:val="FF0000"/>
          <w:sz w:val="24"/>
          <w:szCs w:val="24"/>
          <w:shd w:val="clear" w:color="auto" w:fill="FFFFFF"/>
        </w:rPr>
        <w:t>la distribución de los ingresos</w:t>
      </w:r>
    </w:p>
    <w:p w:rsidR="000E4E0C" w:rsidRPr="00002BEF" w:rsidRDefault="000E4E0C" w:rsidP="000E4E0C">
      <w:pPr>
        <w:spacing w:line="240" w:lineRule="auto"/>
        <w:jc w:val="both"/>
        <w:rPr>
          <w:rFonts w:ascii="Times New Roman" w:hAnsi="Times New Roman" w:cs="Times New Roman"/>
          <w:b/>
          <w:sz w:val="24"/>
          <w:szCs w:val="24"/>
          <w:shd w:val="clear" w:color="auto" w:fill="FFFFFF"/>
        </w:rPr>
      </w:pPr>
      <w:r w:rsidRPr="00002BEF">
        <w:rPr>
          <w:rFonts w:ascii="Times New Roman" w:hAnsi="Times New Roman" w:cs="Times New Roman"/>
          <w:b/>
          <w:sz w:val="24"/>
          <w:szCs w:val="24"/>
          <w:shd w:val="clear" w:color="auto" w:fill="FFFFFF"/>
        </w:rPr>
        <w:t>Europa</w:t>
      </w:r>
    </w:p>
    <w:p w:rsidR="000E4E0C" w:rsidRDefault="000E4E0C" w:rsidP="000E4E0C">
      <w:pPr>
        <w:spacing w:line="240" w:lineRule="auto"/>
        <w:jc w:val="both"/>
        <w:rPr>
          <w:rFonts w:ascii="Times New Roman" w:hAnsi="Times New Roman" w:cs="Times New Roman"/>
          <w:sz w:val="24"/>
          <w:szCs w:val="24"/>
          <w:shd w:val="clear" w:color="auto" w:fill="FFFFFF"/>
        </w:rPr>
      </w:pPr>
      <w:r w:rsidRPr="007D3EE7">
        <w:rPr>
          <w:rFonts w:ascii="Times New Roman" w:hAnsi="Times New Roman" w:cs="Times New Roman"/>
          <w:sz w:val="24"/>
          <w:szCs w:val="24"/>
          <w:shd w:val="clear" w:color="auto" w:fill="FFFFFF"/>
        </w:rPr>
        <w:t>Para calcular este</w:t>
      </w:r>
      <w:r>
        <w:rPr>
          <w:rFonts w:ascii="Times New Roman" w:hAnsi="Times New Roman" w:cs="Times New Roman"/>
          <w:sz w:val="24"/>
          <w:szCs w:val="24"/>
          <w:shd w:val="clear" w:color="auto" w:fill="FFFFFF"/>
        </w:rPr>
        <w:t xml:space="preserve"> Apartado se recurre a el cuadro: Income quintile share ratio S80/S20 for disposable income - Eurostat (2004-2018). Años anteriores no disponibles.</w:t>
      </w:r>
    </w:p>
    <w:p w:rsidR="000E4E0C" w:rsidRDefault="000E4E0C" w:rsidP="000E4E0C">
      <w:pPr>
        <w:spacing w:line="240" w:lineRule="auto"/>
        <w:jc w:val="both"/>
        <w:rPr>
          <w:rFonts w:ascii="Times New Roman" w:hAnsi="Times New Roman" w:cs="Times New Roman"/>
          <w:sz w:val="24"/>
          <w:szCs w:val="24"/>
          <w:shd w:val="clear" w:color="auto" w:fill="FFFFFF"/>
        </w:rPr>
      </w:pPr>
      <w:r w:rsidRPr="00EB4930">
        <w:rPr>
          <w:rFonts w:ascii="Times New Roman" w:hAnsi="Times New Roman" w:cs="Times New Roman"/>
          <w:sz w:val="24"/>
          <w:szCs w:val="24"/>
          <w:shd w:val="clear" w:color="auto" w:fill="FFFFFF"/>
        </w:rPr>
        <w:t>El ratio de distribución de la renta por quintiles es una medida del grado de desigualdad de la distribución de la renta en un país</w:t>
      </w:r>
      <w:r>
        <w:rPr>
          <w:rFonts w:ascii="Times New Roman" w:hAnsi="Times New Roman" w:cs="Times New Roman"/>
          <w:sz w:val="24"/>
          <w:szCs w:val="24"/>
          <w:shd w:val="clear" w:color="auto" w:fill="FFFFFF"/>
        </w:rPr>
        <w:t xml:space="preserve"> (o región)</w:t>
      </w:r>
      <w:r w:rsidRPr="00EB4930">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w:t>
      </w:r>
      <w:r w:rsidRPr="005019FF">
        <w:rPr>
          <w:rFonts w:ascii="Times New Roman" w:hAnsi="Times New Roman" w:cs="Times New Roman"/>
          <w:sz w:val="24"/>
          <w:szCs w:val="24"/>
          <w:shd w:val="clear" w:color="auto" w:fill="FFFFFF"/>
        </w:rPr>
        <w:t>Participación del 20</w:t>
      </w:r>
      <w:r w:rsidR="00FC1CBD">
        <w:rPr>
          <w:rFonts w:ascii="Times New Roman" w:hAnsi="Times New Roman" w:cs="Times New Roman"/>
          <w:sz w:val="24"/>
          <w:szCs w:val="24"/>
          <w:shd w:val="clear" w:color="auto" w:fill="FFFFFF"/>
        </w:rPr>
        <w:t xml:space="preserve"> </w:t>
      </w:r>
      <w:r w:rsidRPr="005019FF">
        <w:rPr>
          <w:rFonts w:ascii="Times New Roman" w:hAnsi="Times New Roman" w:cs="Times New Roman"/>
          <w:sz w:val="24"/>
          <w:szCs w:val="24"/>
          <w:shd w:val="clear" w:color="auto" w:fill="FFFFFF"/>
        </w:rPr>
        <w:t>% más pobre en el ingreso nacional</w:t>
      </w:r>
      <w:r>
        <w:rPr>
          <w:rFonts w:ascii="Times New Roman" w:hAnsi="Times New Roman" w:cs="Times New Roman"/>
          <w:sz w:val="24"/>
          <w:szCs w:val="24"/>
          <w:shd w:val="clear" w:color="auto" w:fill="FFFFFF"/>
        </w:rPr>
        <w:t xml:space="preserve"> (o regional). Interpretación del dato: Año 2004 Ratio 5,0 significa que</w:t>
      </w:r>
      <w:r w:rsidRPr="005019FF">
        <w:rPr>
          <w:rFonts w:ascii="Times New Roman" w:hAnsi="Times New Roman" w:cs="Times New Roman"/>
          <w:sz w:val="24"/>
          <w:szCs w:val="24"/>
          <w:shd w:val="clear" w:color="auto" w:fill="FFFFFF"/>
        </w:rPr>
        <w:t xml:space="preserve"> la renta total equivalente recibida por el quintil de renta</w:t>
      </w:r>
      <w:r>
        <w:rPr>
          <w:rFonts w:ascii="Times New Roman" w:hAnsi="Times New Roman" w:cs="Times New Roman"/>
          <w:sz w:val="24"/>
          <w:szCs w:val="24"/>
          <w:shd w:val="clear" w:color="auto" w:fill="FFFFFF"/>
        </w:rPr>
        <w:t xml:space="preserve"> superior fue 5</w:t>
      </w:r>
      <w:r w:rsidRPr="005019FF">
        <w:rPr>
          <w:rFonts w:ascii="Times New Roman" w:hAnsi="Times New Roman" w:cs="Times New Roman"/>
          <w:sz w:val="24"/>
          <w:szCs w:val="24"/>
          <w:shd w:val="clear" w:color="auto" w:fill="FFFFFF"/>
        </w:rPr>
        <w:t xml:space="preserve"> veces superior a la recibida por el quintil de renta más baja.</w:t>
      </w:r>
    </w:p>
    <w:p w:rsidR="000E4E0C" w:rsidRDefault="000E4E0C" w:rsidP="000E4E0C">
      <w:pPr>
        <w:spacing w:line="240" w:lineRule="auto"/>
        <w:jc w:val="both"/>
        <w:rPr>
          <w:rFonts w:ascii="Times New Roman" w:hAnsi="Times New Roman" w:cs="Times New Roman"/>
          <w:sz w:val="24"/>
          <w:szCs w:val="24"/>
          <w:shd w:val="clear" w:color="auto" w:fill="FFFFFF"/>
        </w:rPr>
      </w:pPr>
      <w:r w:rsidRPr="00016F14">
        <w:rPr>
          <w:rFonts w:ascii="Times New Roman" w:hAnsi="Times New Roman" w:cs="Times New Roman"/>
          <w:noProof/>
          <w:sz w:val="24"/>
          <w:szCs w:val="24"/>
          <w:shd w:val="clear" w:color="auto" w:fill="FFFFFF"/>
          <w:lang w:eastAsia="es-ES"/>
        </w:rPr>
        <w:drawing>
          <wp:inline distT="0" distB="0" distL="0" distR="0" wp14:anchorId="68D1DAFD" wp14:editId="55CB0C4D">
            <wp:extent cx="5883088" cy="1646194"/>
            <wp:effectExtent l="0" t="0" r="3810" b="0"/>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5900084" cy="1650950"/>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sz w:val="24"/>
          <w:szCs w:val="24"/>
          <w:shd w:val="clear" w:color="auto" w:fill="FFFFFF"/>
        </w:rPr>
      </w:pPr>
      <w:r w:rsidRPr="00016F14">
        <w:rPr>
          <w:rFonts w:ascii="Times New Roman" w:hAnsi="Times New Roman" w:cs="Times New Roman"/>
          <w:noProof/>
          <w:sz w:val="24"/>
          <w:szCs w:val="24"/>
          <w:shd w:val="clear" w:color="auto" w:fill="FFFFFF"/>
          <w:lang w:eastAsia="es-ES"/>
        </w:rPr>
        <w:drawing>
          <wp:inline distT="0" distB="0" distL="0" distR="0" wp14:anchorId="4CA8C1B7" wp14:editId="011C5563">
            <wp:extent cx="5909982" cy="1553135"/>
            <wp:effectExtent l="0" t="0" r="0" b="9525"/>
            <wp:docPr id="309" name="Imagen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5906209" cy="1552143"/>
                    </a:xfrm>
                    <a:prstGeom prst="rect">
                      <a:avLst/>
                    </a:prstGeom>
                  </pic:spPr>
                </pic:pic>
              </a:graphicData>
            </a:graphic>
          </wp:inline>
        </w:drawing>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w:t>
      </w:r>
      <w:r w:rsidRPr="001D24E3">
        <w:rPr>
          <w:rFonts w:ascii="Times New Roman" w:hAnsi="Times New Roman" w:cs="Times New Roman"/>
          <w:b/>
          <w:sz w:val="24"/>
          <w:szCs w:val="24"/>
          <w:shd w:val="clear" w:color="auto" w:fill="FFFFFF"/>
        </w:rPr>
        <w:t xml:space="preserve"> 2004 -</w:t>
      </w:r>
      <w:r>
        <w:rPr>
          <w:rFonts w:ascii="Times New Roman" w:hAnsi="Times New Roman" w:cs="Times New Roman"/>
          <w:b/>
          <w:sz w:val="24"/>
          <w:szCs w:val="24"/>
          <w:shd w:val="clear" w:color="auto" w:fill="FFFFFF"/>
        </w:rPr>
        <w:t xml:space="preserve"> EU-19: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5,0 - Año base para la comparación. Anteriores no disponibles.</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5,03 - Variación 2005-2004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6,0 %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4,95</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2006-2004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(1,0)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sidRPr="00EB4930">
        <w:rPr>
          <w:rFonts w:ascii="Times New Roman" w:hAnsi="Times New Roman" w:cs="Times New Roman"/>
          <w:sz w:val="24"/>
          <w:szCs w:val="24"/>
          <w:shd w:val="clear" w:color="auto" w:fill="FFFFFF"/>
        </w:rPr>
        <w:t>5,02</w:t>
      </w:r>
      <w:r>
        <w:rPr>
          <w:rFonts w:ascii="Times New Roman" w:hAnsi="Times New Roman" w:cs="Times New Roman"/>
          <w:sz w:val="24"/>
          <w:szCs w:val="24"/>
          <w:shd w:val="clear" w:color="auto" w:fill="FFFFFF"/>
        </w:rPr>
        <w:t xml:space="preserve"> - Variación 2007-2004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4,0 %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sidRPr="001D24E3">
        <w:rPr>
          <w:rFonts w:ascii="Times New Roman" w:hAnsi="Times New Roman" w:cs="Times New Roman"/>
          <w:sz w:val="24"/>
          <w:szCs w:val="24"/>
          <w:shd w:val="clear" w:color="auto" w:fill="FFFFFF"/>
        </w:rPr>
        <w:t>A</w:t>
      </w:r>
      <w:r>
        <w:rPr>
          <w:rFonts w:ascii="Times New Roman" w:hAnsi="Times New Roman" w:cs="Times New Roman"/>
          <w:b/>
          <w:sz w:val="24"/>
          <w:szCs w:val="24"/>
          <w:shd w:val="clear" w:color="auto" w:fill="FFFFFF"/>
        </w:rPr>
        <w:t>ño 2008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sidRPr="00EB4930">
        <w:rPr>
          <w:rFonts w:ascii="Times New Roman" w:hAnsi="Times New Roman" w:cs="Times New Roman"/>
          <w:sz w:val="24"/>
          <w:szCs w:val="24"/>
          <w:shd w:val="clear" w:color="auto" w:fill="FFFFFF"/>
        </w:rPr>
        <w:t>5,01</w:t>
      </w:r>
      <w:r>
        <w:rPr>
          <w:rFonts w:ascii="Times New Roman" w:hAnsi="Times New Roman" w:cs="Times New Roman"/>
          <w:sz w:val="24"/>
          <w:szCs w:val="24"/>
          <w:shd w:val="clear" w:color="auto" w:fill="FFFFFF"/>
        </w:rPr>
        <w:t xml:space="preserve"> - Variación 2008-2004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2,0 %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4,92 - Variación 2009-2004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(1,6) %</w:t>
      </w:r>
      <w:r w:rsidRPr="001D24E3">
        <w:rPr>
          <w:rFonts w:ascii="Times New Roman" w:hAnsi="Times New Roman" w:cs="Times New Roman"/>
          <w:sz w:val="24"/>
          <w:szCs w:val="24"/>
          <w:shd w:val="clear" w:color="auto" w:fill="FFFFFF"/>
        </w:rPr>
        <w:t xml:space="preserve"> </w:t>
      </w:r>
    </w:p>
    <w:p w:rsidR="000E4E0C" w:rsidRPr="005019FF" w:rsidRDefault="00D87818"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w:t>
      </w:r>
      <w:r w:rsidR="000E4E0C">
        <w:rPr>
          <w:rFonts w:ascii="Times New Roman" w:hAnsi="Times New Roman" w:cs="Times New Roman"/>
          <w:b/>
          <w:sz w:val="24"/>
          <w:szCs w:val="24"/>
          <w:shd w:val="clear" w:color="auto" w:fill="FFFFFF"/>
        </w:rPr>
        <w:t xml:space="preserve"> 2010</w:t>
      </w:r>
      <w:r w:rsidR="000E4E0C" w:rsidRPr="001D24E3">
        <w:rPr>
          <w:rFonts w:ascii="Times New Roman" w:hAnsi="Times New Roman" w:cs="Times New Roman"/>
          <w:b/>
          <w:sz w:val="24"/>
          <w:szCs w:val="24"/>
          <w:shd w:val="clear" w:color="auto" w:fill="FFFFFF"/>
        </w:rPr>
        <w:t xml:space="preserve"> -</w:t>
      </w:r>
      <w:r w:rsidR="000E4E0C">
        <w:rPr>
          <w:rFonts w:ascii="Times New Roman" w:hAnsi="Times New Roman" w:cs="Times New Roman"/>
          <w:b/>
          <w:sz w:val="24"/>
          <w:szCs w:val="24"/>
          <w:shd w:val="clear" w:color="auto" w:fill="FFFFFF"/>
        </w:rPr>
        <w:t xml:space="preserve"> EU</w:t>
      </w:r>
      <w:r w:rsidR="000E4E0C" w:rsidRPr="001D24E3">
        <w:rPr>
          <w:rFonts w:ascii="Times New Roman" w:hAnsi="Times New Roman" w:cs="Times New Roman"/>
          <w:b/>
          <w:sz w:val="24"/>
          <w:szCs w:val="24"/>
          <w:shd w:val="clear" w:color="auto" w:fill="FFFFFF"/>
        </w:rPr>
        <w:t>-</w:t>
      </w:r>
      <w:r w:rsidR="000E4E0C">
        <w:rPr>
          <w:rFonts w:ascii="Times New Roman" w:hAnsi="Times New Roman" w:cs="Times New Roman"/>
          <w:b/>
          <w:sz w:val="24"/>
          <w:szCs w:val="24"/>
          <w:shd w:val="clear" w:color="auto" w:fill="FFFFFF"/>
        </w:rPr>
        <w:t>28:</w:t>
      </w:r>
      <w:r w:rsidR="000E4E0C" w:rsidRPr="001D24E3">
        <w:rPr>
          <w:rFonts w:ascii="Times New Roman" w:hAnsi="Times New Roman" w:cs="Times New Roman"/>
          <w:sz w:val="24"/>
          <w:szCs w:val="24"/>
          <w:shd w:val="clear" w:color="auto" w:fill="FFFFFF"/>
        </w:rPr>
        <w:t xml:space="preserve"> Ratio</w:t>
      </w:r>
      <w:r w:rsidR="000E4E0C">
        <w:rPr>
          <w:rFonts w:ascii="Times New Roman" w:hAnsi="Times New Roman" w:cs="Times New Roman"/>
          <w:b/>
          <w:sz w:val="24"/>
          <w:szCs w:val="24"/>
          <w:shd w:val="clear" w:color="auto" w:fill="FFFFFF"/>
        </w:rPr>
        <w:t xml:space="preserve"> </w:t>
      </w:r>
      <w:r w:rsidR="000E4E0C">
        <w:rPr>
          <w:rFonts w:ascii="Times New Roman" w:hAnsi="Times New Roman" w:cs="Times New Roman"/>
          <w:sz w:val="24"/>
          <w:szCs w:val="24"/>
          <w:shd w:val="clear" w:color="auto" w:fill="FFFFFF"/>
        </w:rPr>
        <w:t>4,94</w:t>
      </w:r>
      <w:r w:rsidR="000E4E0C" w:rsidRPr="001D24E3">
        <w:rPr>
          <w:rFonts w:ascii="Times New Roman" w:hAnsi="Times New Roman" w:cs="Times New Roman"/>
          <w:sz w:val="24"/>
          <w:szCs w:val="24"/>
          <w:shd w:val="clear" w:color="auto" w:fill="FFFFFF"/>
        </w:rPr>
        <w:t xml:space="preserve"> </w:t>
      </w:r>
      <w:r w:rsidR="000E4E0C">
        <w:rPr>
          <w:rFonts w:ascii="Times New Roman" w:hAnsi="Times New Roman" w:cs="Times New Roman"/>
          <w:sz w:val="24"/>
          <w:szCs w:val="24"/>
          <w:shd w:val="clear" w:color="auto" w:fill="FFFFFF"/>
        </w:rPr>
        <w:t>- Variación 2010-2004 = (1,2) %</w:t>
      </w:r>
    </w:p>
    <w:p w:rsidR="000E4E0C" w:rsidRDefault="00D87818"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w:t>
      </w:r>
      <w:bookmarkStart w:id="0" w:name="_GoBack"/>
      <w:bookmarkEnd w:id="0"/>
      <w:r w:rsidR="000E4E0C">
        <w:rPr>
          <w:rFonts w:ascii="Times New Roman" w:hAnsi="Times New Roman" w:cs="Times New Roman"/>
          <w:b/>
          <w:sz w:val="24"/>
          <w:szCs w:val="24"/>
          <w:shd w:val="clear" w:color="auto" w:fill="FFFFFF"/>
        </w:rPr>
        <w:t xml:space="preserve"> 2011</w:t>
      </w:r>
      <w:r w:rsidR="000E4E0C" w:rsidRPr="001D24E3">
        <w:rPr>
          <w:rFonts w:ascii="Times New Roman" w:hAnsi="Times New Roman" w:cs="Times New Roman"/>
          <w:b/>
          <w:sz w:val="24"/>
          <w:szCs w:val="24"/>
          <w:shd w:val="clear" w:color="auto" w:fill="FFFFFF"/>
        </w:rPr>
        <w:t xml:space="preserve"> </w:t>
      </w:r>
      <w:r w:rsidR="000E4E0C">
        <w:rPr>
          <w:rFonts w:ascii="Times New Roman" w:hAnsi="Times New Roman" w:cs="Times New Roman"/>
          <w:b/>
          <w:sz w:val="24"/>
          <w:szCs w:val="24"/>
          <w:shd w:val="clear" w:color="auto" w:fill="FFFFFF"/>
        </w:rPr>
        <w:t>- EU</w:t>
      </w:r>
      <w:r w:rsidR="000E4E0C" w:rsidRPr="001D24E3">
        <w:rPr>
          <w:rFonts w:ascii="Times New Roman" w:hAnsi="Times New Roman" w:cs="Times New Roman"/>
          <w:b/>
          <w:sz w:val="24"/>
          <w:szCs w:val="24"/>
          <w:shd w:val="clear" w:color="auto" w:fill="FFFFFF"/>
        </w:rPr>
        <w:t>-</w:t>
      </w:r>
      <w:r w:rsidR="000E4E0C">
        <w:rPr>
          <w:rFonts w:ascii="Times New Roman" w:hAnsi="Times New Roman" w:cs="Times New Roman"/>
          <w:b/>
          <w:sz w:val="24"/>
          <w:szCs w:val="24"/>
          <w:shd w:val="clear" w:color="auto" w:fill="FFFFFF"/>
        </w:rPr>
        <w:t>28:</w:t>
      </w:r>
      <w:r w:rsidR="000E4E0C" w:rsidRPr="001D24E3">
        <w:rPr>
          <w:rFonts w:ascii="Times New Roman" w:hAnsi="Times New Roman" w:cs="Times New Roman"/>
          <w:b/>
          <w:sz w:val="24"/>
          <w:szCs w:val="24"/>
          <w:shd w:val="clear" w:color="auto" w:fill="FFFFFF"/>
        </w:rPr>
        <w:t xml:space="preserve"> </w:t>
      </w:r>
      <w:r w:rsidR="000E4E0C" w:rsidRPr="001D24E3">
        <w:rPr>
          <w:rFonts w:ascii="Times New Roman" w:hAnsi="Times New Roman" w:cs="Times New Roman"/>
          <w:sz w:val="24"/>
          <w:szCs w:val="24"/>
          <w:shd w:val="clear" w:color="auto" w:fill="FFFFFF"/>
        </w:rPr>
        <w:t>Ratio</w:t>
      </w:r>
      <w:r w:rsidR="000E4E0C">
        <w:rPr>
          <w:rFonts w:ascii="Times New Roman" w:hAnsi="Times New Roman" w:cs="Times New Roman"/>
          <w:b/>
          <w:sz w:val="24"/>
          <w:szCs w:val="24"/>
          <w:shd w:val="clear" w:color="auto" w:fill="FFFFFF"/>
        </w:rPr>
        <w:t xml:space="preserve"> </w:t>
      </w:r>
      <w:r w:rsidR="000E4E0C" w:rsidRPr="001D24E3">
        <w:rPr>
          <w:rFonts w:ascii="Times New Roman" w:hAnsi="Times New Roman" w:cs="Times New Roman"/>
          <w:sz w:val="24"/>
          <w:szCs w:val="24"/>
          <w:shd w:val="clear" w:color="auto" w:fill="FFFFFF"/>
        </w:rPr>
        <w:t>5,03</w:t>
      </w:r>
      <w:r w:rsidR="000E4E0C">
        <w:rPr>
          <w:rFonts w:ascii="Times New Roman" w:hAnsi="Times New Roman" w:cs="Times New Roman"/>
          <w:sz w:val="24"/>
          <w:szCs w:val="24"/>
          <w:shd w:val="clear" w:color="auto" w:fill="FFFFFF"/>
        </w:rPr>
        <w:t xml:space="preserve"> - Variación 2011-2004 = </w:t>
      </w:r>
      <w:r w:rsidR="000E4E0C" w:rsidRPr="001D24E3">
        <w:rPr>
          <w:rFonts w:ascii="Times New Roman" w:hAnsi="Times New Roman" w:cs="Times New Roman"/>
          <w:sz w:val="24"/>
          <w:szCs w:val="24"/>
          <w:shd w:val="clear" w:color="auto" w:fill="FFFFFF"/>
        </w:rPr>
        <w:t xml:space="preserve"> </w:t>
      </w:r>
      <w:r w:rsidR="000E4E0C">
        <w:rPr>
          <w:rFonts w:ascii="Times New Roman" w:hAnsi="Times New Roman" w:cs="Times New Roman"/>
          <w:sz w:val="24"/>
          <w:szCs w:val="24"/>
          <w:shd w:val="clear" w:color="auto" w:fill="FFFFFF"/>
        </w:rPr>
        <w:t xml:space="preserve"> 6,0 %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lastRenderedPageBreak/>
        <w:t>Año 2012</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5,98 - Variación 2012-2004 =  19,6 %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5,0   - Variación 2013-2004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0</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w:t>
      </w:r>
      <w:r w:rsidRPr="001D24E3">
        <w:rPr>
          <w:rFonts w:ascii="Times New Roman" w:hAnsi="Times New Roman" w:cs="Times New Roman"/>
          <w:b/>
          <w:sz w:val="24"/>
          <w:szCs w:val="24"/>
          <w:shd w:val="clear" w:color="auto" w:fill="FFFFFF"/>
        </w:rPr>
        <w:t>4 -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5,20 - Variación 2014-2004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4,0 %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5,22 - Variación 2015-2004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4,4 %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5,16 - Variación 2016-2004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3,2 %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5,08 - Variación 2017-2004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1,6 %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5,12 - Variación 2018-2004 =    2,4 %</w:t>
      </w:r>
    </w:p>
    <w:p w:rsidR="000E4E0C" w:rsidRDefault="000E4E0C" w:rsidP="000E4E0C">
      <w:pPr>
        <w:spacing w:line="240" w:lineRule="auto"/>
        <w:jc w:val="both"/>
        <w:rPr>
          <w:rFonts w:ascii="Times New Roman" w:hAnsi="Times New Roman" w:cs="Times New Roman"/>
          <w:b/>
          <w:sz w:val="24"/>
          <w:szCs w:val="24"/>
          <w:shd w:val="clear" w:color="auto" w:fill="FFFFFF"/>
        </w:rPr>
      </w:pPr>
      <w:r w:rsidRPr="00740C91">
        <w:rPr>
          <w:rFonts w:ascii="Times New Roman" w:hAnsi="Times New Roman" w:cs="Times New Roman"/>
          <w:b/>
          <w:sz w:val="24"/>
          <w:szCs w:val="24"/>
          <w:shd w:val="clear" w:color="auto" w:fill="FFFFFF"/>
        </w:rPr>
        <w:t>EEUU</w:t>
      </w:r>
    </w:p>
    <w:p w:rsidR="000E4E0C" w:rsidRDefault="000E4E0C" w:rsidP="000E4E0C">
      <w:pPr>
        <w:spacing w:line="240" w:lineRule="auto"/>
        <w:jc w:val="both"/>
        <w:rPr>
          <w:rFonts w:ascii="Times New Roman" w:hAnsi="Times New Roman" w:cs="Times New Roman"/>
          <w:sz w:val="24"/>
          <w:szCs w:val="24"/>
          <w:shd w:val="clear" w:color="auto" w:fill="FFFFFF"/>
        </w:rPr>
      </w:pPr>
      <w:r w:rsidRPr="007D3EE7">
        <w:rPr>
          <w:rFonts w:ascii="Times New Roman" w:hAnsi="Times New Roman" w:cs="Times New Roman"/>
          <w:sz w:val="24"/>
          <w:szCs w:val="24"/>
          <w:shd w:val="clear" w:color="auto" w:fill="FFFFFF"/>
        </w:rPr>
        <w:t>Para calcular este</w:t>
      </w:r>
      <w:r>
        <w:rPr>
          <w:rFonts w:ascii="Times New Roman" w:hAnsi="Times New Roman" w:cs="Times New Roman"/>
          <w:sz w:val="24"/>
          <w:szCs w:val="24"/>
          <w:shd w:val="clear" w:color="auto" w:fill="FFFFFF"/>
        </w:rPr>
        <w:t xml:space="preserve"> Apartado se recurre a el cuadro: Shares of household Income of Selected Percentiles S80/S20 (2000-2018) - </w:t>
      </w:r>
      <w:r w:rsidRPr="00740C91">
        <w:rPr>
          <w:rFonts w:ascii="Times New Roman" w:hAnsi="Times New Roman" w:cs="Times New Roman"/>
          <w:sz w:val="24"/>
          <w:szCs w:val="24"/>
          <w:shd w:val="clear" w:color="auto" w:fill="FFFFFF"/>
        </w:rPr>
        <w:t>US Census Bureau</w:t>
      </w:r>
      <w:r>
        <w:rPr>
          <w:rFonts w:ascii="Times New Roman" w:hAnsi="Times New Roman" w:cs="Times New Roman"/>
          <w:sz w:val="24"/>
          <w:szCs w:val="24"/>
          <w:shd w:val="clear" w:color="auto" w:fill="FFFFFF"/>
        </w:rPr>
        <w:t>.</w:t>
      </w:r>
    </w:p>
    <w:p w:rsidR="000E4E0C" w:rsidRDefault="000E4E0C" w:rsidP="000E4E0C">
      <w:pPr>
        <w:spacing w:line="240" w:lineRule="auto"/>
        <w:jc w:val="both"/>
        <w:rPr>
          <w:rFonts w:ascii="Times New Roman" w:hAnsi="Times New Roman" w:cs="Times New Roman"/>
          <w:sz w:val="24"/>
          <w:szCs w:val="24"/>
          <w:shd w:val="clear" w:color="auto" w:fill="FFFFFF"/>
        </w:rPr>
      </w:pPr>
      <w:r w:rsidRPr="00EB4930">
        <w:rPr>
          <w:rFonts w:ascii="Times New Roman" w:hAnsi="Times New Roman" w:cs="Times New Roman"/>
          <w:sz w:val="24"/>
          <w:szCs w:val="24"/>
          <w:shd w:val="clear" w:color="auto" w:fill="FFFFFF"/>
        </w:rPr>
        <w:t>El ratio de distribución de la renta por quintiles es una medida del grado de desigualdad de la distribución de la renta en un país</w:t>
      </w:r>
      <w:r>
        <w:rPr>
          <w:rFonts w:ascii="Times New Roman" w:hAnsi="Times New Roman" w:cs="Times New Roman"/>
          <w:sz w:val="24"/>
          <w:szCs w:val="24"/>
          <w:shd w:val="clear" w:color="auto" w:fill="FFFFFF"/>
        </w:rPr>
        <w:t xml:space="preserve"> (o región)</w:t>
      </w:r>
      <w:r w:rsidRPr="00EB4930">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w:t>
      </w:r>
      <w:r w:rsidRPr="005019FF">
        <w:rPr>
          <w:rFonts w:ascii="Times New Roman" w:hAnsi="Times New Roman" w:cs="Times New Roman"/>
          <w:sz w:val="24"/>
          <w:szCs w:val="24"/>
          <w:shd w:val="clear" w:color="auto" w:fill="FFFFFF"/>
        </w:rPr>
        <w:t>Participación del 20</w:t>
      </w:r>
      <w:r w:rsidR="00FC1CBD">
        <w:rPr>
          <w:rFonts w:ascii="Times New Roman" w:hAnsi="Times New Roman" w:cs="Times New Roman"/>
          <w:sz w:val="24"/>
          <w:szCs w:val="24"/>
          <w:shd w:val="clear" w:color="auto" w:fill="FFFFFF"/>
        </w:rPr>
        <w:t xml:space="preserve"> </w:t>
      </w:r>
      <w:r w:rsidRPr="005019FF">
        <w:rPr>
          <w:rFonts w:ascii="Times New Roman" w:hAnsi="Times New Roman" w:cs="Times New Roman"/>
          <w:sz w:val="24"/>
          <w:szCs w:val="24"/>
          <w:shd w:val="clear" w:color="auto" w:fill="FFFFFF"/>
        </w:rPr>
        <w:t>% más pobre en el ingreso nacional</w:t>
      </w:r>
      <w:r>
        <w:rPr>
          <w:rFonts w:ascii="Times New Roman" w:hAnsi="Times New Roman" w:cs="Times New Roman"/>
          <w:sz w:val="24"/>
          <w:szCs w:val="24"/>
          <w:shd w:val="clear" w:color="auto" w:fill="FFFFFF"/>
        </w:rPr>
        <w:t xml:space="preserve"> (o regional). Interpretación del dato: Año 2000 Ratio 4,56 significa que</w:t>
      </w:r>
      <w:r w:rsidRPr="005019FF">
        <w:rPr>
          <w:rFonts w:ascii="Times New Roman" w:hAnsi="Times New Roman" w:cs="Times New Roman"/>
          <w:sz w:val="24"/>
          <w:szCs w:val="24"/>
          <w:shd w:val="clear" w:color="auto" w:fill="FFFFFF"/>
        </w:rPr>
        <w:t xml:space="preserve"> la renta total equivalente recibida por el quintil de renta</w:t>
      </w:r>
      <w:r>
        <w:rPr>
          <w:rFonts w:ascii="Times New Roman" w:hAnsi="Times New Roman" w:cs="Times New Roman"/>
          <w:sz w:val="24"/>
          <w:szCs w:val="24"/>
          <w:shd w:val="clear" w:color="auto" w:fill="FFFFFF"/>
        </w:rPr>
        <w:t xml:space="preserve"> superior fue 4,56</w:t>
      </w:r>
      <w:r w:rsidRPr="005019FF">
        <w:rPr>
          <w:rFonts w:ascii="Times New Roman" w:hAnsi="Times New Roman" w:cs="Times New Roman"/>
          <w:sz w:val="24"/>
          <w:szCs w:val="24"/>
          <w:shd w:val="clear" w:color="auto" w:fill="FFFFFF"/>
        </w:rPr>
        <w:t xml:space="preserve"> veces superior a la recibida por el quintil de renta más baja.</w:t>
      </w:r>
    </w:p>
    <w:p w:rsidR="000E4E0C" w:rsidRDefault="000E4E0C" w:rsidP="000E4E0C">
      <w:pPr>
        <w:spacing w:line="240" w:lineRule="auto"/>
        <w:jc w:val="both"/>
        <w:rPr>
          <w:rFonts w:ascii="Times New Roman" w:hAnsi="Times New Roman" w:cs="Times New Roman"/>
          <w:sz w:val="24"/>
          <w:szCs w:val="24"/>
          <w:shd w:val="clear" w:color="auto" w:fill="FFFFFF"/>
        </w:rPr>
      </w:pPr>
      <w:r w:rsidRPr="00016F14">
        <w:rPr>
          <w:rFonts w:ascii="Times New Roman" w:hAnsi="Times New Roman" w:cs="Times New Roman"/>
          <w:noProof/>
          <w:sz w:val="24"/>
          <w:szCs w:val="24"/>
          <w:shd w:val="clear" w:color="auto" w:fill="FFFFFF"/>
          <w:lang w:eastAsia="es-ES"/>
        </w:rPr>
        <w:drawing>
          <wp:inline distT="0" distB="0" distL="0" distR="0" wp14:anchorId="456C9A55" wp14:editId="72697B01">
            <wp:extent cx="5963771" cy="1371600"/>
            <wp:effectExtent l="0" t="0" r="0" b="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5988542" cy="1377297"/>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2000 -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4,56 - Año base para la comparación.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2001 -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4,65 - Variación 2001-2000 =  1,97 %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2002 -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4,69 - Variación 2002-2000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2,85 %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2003 -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4,83 - Variación 2003-2000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5,92 %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2004 -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4,76 - Variación 2004-2000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4,39 %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2005 -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4,78 - Variación 2005-2000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4,82</w:t>
      </w:r>
      <w:r w:rsidR="00FC1CB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2006 -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4,84 - Variación 2006-2000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6,14 %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2007 -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4,93 - Variación 2007-2000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8,11 %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2008 -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4,84 - Variación 2008-2000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6,14 %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2009 -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4,89 - Variación 2009-2000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7,24 %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2010 -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5,0   - Variación 2010-2000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9,65 %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lastRenderedPageBreak/>
        <w:t xml:space="preserve">Año 2011 -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5,01 - Variación 2011-2000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9,87 %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2012 -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5,05 - Variación 2012-2000 = 10,75 %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2013 -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5,16 - Variación 2013-2000 = 13,16 % </w:t>
      </w:r>
      <w:r w:rsidRPr="001D24E3">
        <w:rPr>
          <w:rFonts w:ascii="Times New Roman" w:hAnsi="Times New Roman" w:cs="Times New Roman"/>
          <w:sz w:val="24"/>
          <w:szCs w:val="24"/>
          <w:shd w:val="clear" w:color="auto" w:fill="FFFFFF"/>
        </w:rPr>
        <w:t xml:space="preserve">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2014 - EEUU:</w:t>
      </w:r>
      <w:r w:rsidRPr="00B74217">
        <w:rPr>
          <w:rFonts w:ascii="Times New Roman" w:hAnsi="Times New Roman" w:cs="Times New Roman"/>
          <w:sz w:val="24"/>
          <w:szCs w:val="24"/>
          <w:shd w:val="clear" w:color="auto" w:fill="FFFFFF"/>
        </w:rPr>
        <w:t xml:space="preserve">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5,24 - Variación 2014-2000 = 14,92 %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2015 -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5,13 - Variación 2015-2000 = 12,50 %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2016 -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5,04 - Variación 2016-2000 = 10.53 %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2017 -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5,13 - Variación 2017-2000 = 12,50 %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2018 - EEUU: </w:t>
      </w:r>
      <w:r w:rsidRPr="001D24E3">
        <w:rPr>
          <w:rFonts w:ascii="Times New Roman" w:hAnsi="Times New Roman" w:cs="Times New Roman"/>
          <w:sz w:val="24"/>
          <w:szCs w:val="24"/>
          <w:shd w:val="clear" w:color="auto" w:fill="FFFFFF"/>
        </w:rPr>
        <w:t>Ratio</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5,08 - Variación 2018-2000 = 11,40 %</w:t>
      </w:r>
      <w:r w:rsidRPr="001D24E3">
        <w:rPr>
          <w:rFonts w:ascii="Times New Roman" w:hAnsi="Times New Roman" w:cs="Times New Roman"/>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w:t>
      </w:r>
      <w:r w:rsidR="00B54D85">
        <w:rPr>
          <w:rFonts w:ascii="Times New Roman" w:hAnsi="Times New Roman" w:cs="Times New Roman"/>
          <w:b/>
          <w:color w:val="FF0000"/>
          <w:sz w:val="24"/>
          <w:szCs w:val="24"/>
          <w:shd w:val="clear" w:color="auto" w:fill="FFFFFF"/>
        </w:rPr>
        <w:t>) Aumento de la pobreza</w:t>
      </w:r>
    </w:p>
    <w:p w:rsidR="000E4E0C" w:rsidRDefault="000E4E0C" w:rsidP="000E4E0C">
      <w:pPr>
        <w:spacing w:line="240" w:lineRule="auto"/>
        <w:jc w:val="both"/>
        <w:rPr>
          <w:rFonts w:ascii="Times New Roman" w:hAnsi="Times New Roman" w:cs="Times New Roman"/>
          <w:b/>
          <w:sz w:val="24"/>
          <w:szCs w:val="24"/>
          <w:shd w:val="clear" w:color="auto" w:fill="FFFFFF"/>
        </w:rPr>
      </w:pPr>
      <w:r w:rsidRPr="00C16A99">
        <w:rPr>
          <w:rFonts w:ascii="Times New Roman" w:hAnsi="Times New Roman" w:cs="Times New Roman"/>
          <w:b/>
          <w:sz w:val="24"/>
          <w:szCs w:val="24"/>
          <w:shd w:val="clear" w:color="auto" w:fill="FFFFFF"/>
        </w:rPr>
        <w:t>Europa</w:t>
      </w:r>
    </w:p>
    <w:p w:rsidR="000E4E0C" w:rsidRPr="00185600"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Para el cálculo del aumento de la pobreza se utiliza la serie People at risk or social exclusión by age and sex de Eurostat (2008-2018).</w:t>
      </w: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r w:rsidRPr="0093208E">
        <w:rPr>
          <w:rFonts w:ascii="Times New Roman" w:hAnsi="Times New Roman" w:cs="Times New Roman"/>
          <w:b/>
          <w:noProof/>
          <w:color w:val="FF0000"/>
          <w:sz w:val="24"/>
          <w:szCs w:val="24"/>
          <w:shd w:val="clear" w:color="auto" w:fill="FFFFFF"/>
          <w:lang w:eastAsia="es-ES"/>
        </w:rPr>
        <w:drawing>
          <wp:inline distT="0" distB="0" distL="0" distR="0" wp14:anchorId="5B25EEE6" wp14:editId="594ADD7F">
            <wp:extent cx="6071347" cy="1647265"/>
            <wp:effectExtent l="0" t="0" r="5715" b="0"/>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6067471" cy="1646213"/>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r w:rsidRPr="0035443E">
        <w:rPr>
          <w:rFonts w:ascii="Times New Roman" w:hAnsi="Times New Roman" w:cs="Times New Roman"/>
          <w:b/>
          <w:noProof/>
          <w:color w:val="FF0000"/>
          <w:sz w:val="24"/>
          <w:szCs w:val="24"/>
          <w:shd w:val="clear" w:color="auto" w:fill="FFFFFF"/>
          <w:lang w:eastAsia="es-ES"/>
        </w:rPr>
        <w:drawing>
          <wp:inline distT="0" distB="0" distL="0" distR="0" wp14:anchorId="773FB1EB" wp14:editId="61997463">
            <wp:extent cx="6138581" cy="2265829"/>
            <wp:effectExtent l="0" t="0" r="0" b="1270"/>
            <wp:docPr id="315" name="Imagen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6144961" cy="2268184"/>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r w:rsidRPr="0035443E">
        <w:rPr>
          <w:rFonts w:ascii="Times New Roman" w:hAnsi="Times New Roman" w:cs="Times New Roman"/>
          <w:b/>
          <w:noProof/>
          <w:color w:val="FF0000"/>
          <w:sz w:val="24"/>
          <w:szCs w:val="24"/>
          <w:shd w:val="clear" w:color="auto" w:fill="FFFFFF"/>
          <w:lang w:eastAsia="es-ES"/>
        </w:rPr>
        <w:lastRenderedPageBreak/>
        <w:drawing>
          <wp:inline distT="0" distB="0" distL="0" distR="0" wp14:anchorId="7CCB6890" wp14:editId="22774836">
            <wp:extent cx="6138582" cy="2366682"/>
            <wp:effectExtent l="0" t="0" r="0" b="0"/>
            <wp:docPr id="316" name="Imagen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6147326" cy="2370053"/>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r w:rsidRPr="00081EA9">
        <w:rPr>
          <w:rFonts w:ascii="Times New Roman" w:hAnsi="Times New Roman" w:cs="Times New Roman"/>
          <w:b/>
          <w:noProof/>
          <w:color w:val="FF0000"/>
          <w:sz w:val="24"/>
          <w:szCs w:val="24"/>
          <w:shd w:val="clear" w:color="auto" w:fill="FFFFFF"/>
          <w:lang w:eastAsia="es-ES"/>
        </w:rPr>
        <w:drawing>
          <wp:inline distT="0" distB="0" distL="0" distR="0" wp14:anchorId="62CB8C25" wp14:editId="35CC433B">
            <wp:extent cx="6071347" cy="1889312"/>
            <wp:effectExtent l="0" t="0" r="5715" b="0"/>
            <wp:docPr id="317" name="Imagen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6082382" cy="1892746"/>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r w:rsidRPr="005A1A67">
        <w:rPr>
          <w:rFonts w:ascii="Times New Roman" w:hAnsi="Times New Roman" w:cs="Times New Roman"/>
          <w:b/>
          <w:noProof/>
          <w:color w:val="FF0000"/>
          <w:sz w:val="24"/>
          <w:szCs w:val="24"/>
          <w:shd w:val="clear" w:color="auto" w:fill="FFFFFF"/>
          <w:lang w:eastAsia="es-ES"/>
        </w:rPr>
        <w:drawing>
          <wp:inline distT="0" distB="0" distL="0" distR="0" wp14:anchorId="2F44B790" wp14:editId="7A42E75A">
            <wp:extent cx="6091518" cy="1983441"/>
            <wp:effectExtent l="0" t="0" r="5080" b="0"/>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6090222" cy="1983019"/>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r w:rsidRPr="00A05ADC">
        <w:rPr>
          <w:rFonts w:ascii="Times New Roman" w:hAnsi="Times New Roman" w:cs="Times New Roman"/>
          <w:b/>
          <w:noProof/>
          <w:color w:val="FF0000"/>
          <w:sz w:val="24"/>
          <w:szCs w:val="24"/>
          <w:shd w:val="clear" w:color="auto" w:fill="FFFFFF"/>
          <w:lang w:eastAsia="es-ES"/>
        </w:rPr>
        <w:drawing>
          <wp:inline distT="0" distB="0" distL="0" distR="0" wp14:anchorId="1AFE7A45" wp14:editId="2FA57C50">
            <wp:extent cx="6091518" cy="1969995"/>
            <wp:effectExtent l="0" t="0" r="5080" b="0"/>
            <wp:docPr id="319"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6091625" cy="1970030"/>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lastRenderedPageBreak/>
        <w:t>(-</w:t>
      </w:r>
      <w:r w:rsidR="00B54D85">
        <w:rPr>
          <w:rFonts w:ascii="Times New Roman" w:hAnsi="Times New Roman" w:cs="Times New Roman"/>
          <w:b/>
          <w:color w:val="FF0000"/>
          <w:sz w:val="24"/>
          <w:szCs w:val="24"/>
          <w:shd w:val="clear" w:color="auto" w:fill="FFFFFF"/>
        </w:rPr>
        <w:t>) Aumento de la pobreza</w:t>
      </w:r>
    </w:p>
    <w:p w:rsidR="000E4E0C" w:rsidRPr="00C16A99" w:rsidRDefault="000E4E0C" w:rsidP="000E4E0C">
      <w:pPr>
        <w:spacing w:line="240" w:lineRule="auto"/>
        <w:jc w:val="both"/>
        <w:rPr>
          <w:rFonts w:ascii="Times New Roman" w:hAnsi="Times New Roman" w:cs="Times New Roman"/>
          <w:sz w:val="24"/>
          <w:szCs w:val="24"/>
          <w:shd w:val="clear" w:color="auto" w:fill="FFFFFF"/>
        </w:rPr>
      </w:pPr>
      <w:r w:rsidRPr="00C16A99">
        <w:rPr>
          <w:rFonts w:ascii="Times New Roman" w:hAnsi="Times New Roman" w:cs="Times New Roman"/>
          <w:sz w:val="24"/>
          <w:szCs w:val="24"/>
          <w:shd w:val="clear" w:color="auto" w:fill="FFFFFF"/>
        </w:rPr>
        <w:t>(Datos en miles de personas)</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sidRPr="00C16A99">
        <w:rPr>
          <w:rFonts w:ascii="Times New Roman" w:hAnsi="Times New Roman" w:cs="Times New Roman"/>
          <w:sz w:val="24"/>
          <w:szCs w:val="24"/>
          <w:shd w:val="clear" w:color="auto" w:fill="FFFFFF"/>
        </w:rPr>
        <w:t>116.070</w:t>
      </w:r>
      <w:r>
        <w:rPr>
          <w:rFonts w:ascii="Times New Roman" w:hAnsi="Times New Roman" w:cs="Times New Roman"/>
          <w:sz w:val="24"/>
          <w:szCs w:val="24"/>
          <w:shd w:val="clear" w:color="auto" w:fill="FFFFFF"/>
        </w:rPr>
        <w:t xml:space="preserve">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Año base para la comparación. Anteriores no disponibles.</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Pr>
          <w:rFonts w:ascii="Times New Roman" w:hAnsi="Times New Roman" w:cs="Times New Roman"/>
          <w:sz w:val="24"/>
          <w:szCs w:val="24"/>
          <w:shd w:val="clear" w:color="auto" w:fill="FFFFFF"/>
        </w:rPr>
        <w:t xml:space="preserve"> 114.390</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2009-2008 = (1,45)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117.907</w:t>
      </w:r>
      <w:r>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2010-2008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1,58 %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120.858</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2011-2008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4,12 %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2012</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123.774</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2012-2008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6,64 %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122.852</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2013-2008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5,84 %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w:t>
      </w:r>
      <w:r w:rsidRPr="001D24E3">
        <w:rPr>
          <w:rFonts w:ascii="Times New Roman" w:hAnsi="Times New Roman" w:cs="Times New Roman"/>
          <w:b/>
          <w:sz w:val="24"/>
          <w:szCs w:val="24"/>
          <w:shd w:val="clear" w:color="auto" w:fill="FFFFFF"/>
        </w:rPr>
        <w:t>4 -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122.026</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2014-2008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5,13 %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119.077</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2015-2008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2,59 %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118.060</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2016-2008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1,71 %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112.930</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2017-2008 =   (2,71)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109.870</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2018-2008 =   (5,34) %</w:t>
      </w: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w:t>
      </w:r>
      <w:r w:rsidR="00B54D85">
        <w:rPr>
          <w:rFonts w:ascii="Times New Roman" w:hAnsi="Times New Roman" w:cs="Times New Roman"/>
          <w:b/>
          <w:color w:val="FF0000"/>
          <w:sz w:val="24"/>
          <w:szCs w:val="24"/>
          <w:shd w:val="clear" w:color="auto" w:fill="FFFFFF"/>
        </w:rPr>
        <w:t>) Aumento de la pobreza</w:t>
      </w:r>
    </w:p>
    <w:p w:rsidR="000E4E0C" w:rsidRPr="00C16A99"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(Porcentaje </w:t>
      </w:r>
      <w:r w:rsidRPr="00C16A99">
        <w:rPr>
          <w:rFonts w:ascii="Times New Roman" w:hAnsi="Times New Roman" w:cs="Times New Roman"/>
          <w:sz w:val="24"/>
          <w:szCs w:val="24"/>
          <w:shd w:val="clear" w:color="auto" w:fill="FFFFFF"/>
        </w:rPr>
        <w:t>de personas</w:t>
      </w:r>
      <w:r>
        <w:rPr>
          <w:rFonts w:ascii="Times New Roman" w:hAnsi="Times New Roman" w:cs="Times New Roman"/>
          <w:sz w:val="24"/>
          <w:szCs w:val="24"/>
          <w:shd w:val="clear" w:color="auto" w:fill="FFFFFF"/>
        </w:rPr>
        <w:t xml:space="preserve"> en riesgo de pobreza</w:t>
      </w:r>
      <w:r w:rsidRPr="00C16A99">
        <w:rPr>
          <w:rFonts w:ascii="Times New Roman" w:hAnsi="Times New Roman" w:cs="Times New Roman"/>
          <w:sz w:val="24"/>
          <w:szCs w:val="24"/>
          <w:shd w:val="clear" w:color="auto" w:fill="FFFFFF"/>
        </w:rPr>
        <w:t>)</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Pr>
          <w:rFonts w:ascii="Times New Roman" w:hAnsi="Times New Roman" w:cs="Times New Roman"/>
          <w:sz w:val="24"/>
          <w:szCs w:val="24"/>
          <w:shd w:val="clear" w:color="auto" w:fill="FFFFFF"/>
        </w:rPr>
        <w:t xml:space="preserve">23,7 %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Año base para la comparación. Anteriores no disponibles.</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Pr>
          <w:rFonts w:ascii="Times New Roman" w:hAnsi="Times New Roman" w:cs="Times New Roman"/>
          <w:sz w:val="24"/>
          <w:szCs w:val="24"/>
          <w:shd w:val="clear" w:color="auto" w:fill="FFFFFF"/>
        </w:rPr>
        <w:t xml:space="preserve"> 23,3 %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2009-2008 =   (1,69)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23,8 %</w:t>
      </w:r>
      <w:r>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2010-2008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0,42 %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24,3 %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2011-2008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2,53 %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2012</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24,8 %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2012-2008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4,64 %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24,6 %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2013-2008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3,80 %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w:t>
      </w:r>
      <w:r w:rsidRPr="001D24E3">
        <w:rPr>
          <w:rFonts w:ascii="Times New Roman" w:hAnsi="Times New Roman" w:cs="Times New Roman"/>
          <w:b/>
          <w:sz w:val="24"/>
          <w:szCs w:val="24"/>
          <w:shd w:val="clear" w:color="auto" w:fill="FFFFFF"/>
        </w:rPr>
        <w:t>4 -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24,4 %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2014-2008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2,95 %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23,8 %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2015-2008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0,48 %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23,5 %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2016-2008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(0,84)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22,4 %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2017-2008 =    (5,49)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21,8 %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2018-2008 =    (8,02) %</w:t>
      </w: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w:t>
      </w:r>
      <w:r w:rsidR="00B54D85">
        <w:rPr>
          <w:rFonts w:ascii="Times New Roman" w:hAnsi="Times New Roman" w:cs="Times New Roman"/>
          <w:b/>
          <w:color w:val="FF0000"/>
          <w:sz w:val="24"/>
          <w:szCs w:val="24"/>
          <w:shd w:val="clear" w:color="auto" w:fill="FFFFFF"/>
        </w:rPr>
        <w:t>) Aumento de la pobreza</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Para el cálculo del aumento de trabajadores (personas que trabajan) en riesgo de pobreza se utiliza la serie In work at risk of poverty rate by sex  de Eurostat (2005-2018).</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(Datos en porcentaje de trabajadores con ingresos por debajo del nivel de pobreza)</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lastRenderedPageBreak/>
        <w:t>Año 2005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Pr>
          <w:rFonts w:ascii="Times New Roman" w:hAnsi="Times New Roman" w:cs="Times New Roman"/>
          <w:sz w:val="24"/>
          <w:szCs w:val="24"/>
          <w:shd w:val="clear" w:color="auto" w:fill="FFFFFF"/>
        </w:rPr>
        <w:t>8,2 %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Año base para la comparación.</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Año 2006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sidRPr="00494701">
        <w:rPr>
          <w:rFonts w:ascii="Times New Roman" w:hAnsi="Times New Roman" w:cs="Times New Roman"/>
          <w:sz w:val="24"/>
          <w:szCs w:val="24"/>
          <w:shd w:val="clear" w:color="auto" w:fill="FFFFFF"/>
        </w:rPr>
        <w:t xml:space="preserve">8,1 %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2006-2005 =  (1,22) %</w:t>
      </w:r>
    </w:p>
    <w:p w:rsidR="000E4E0C" w:rsidRPr="00185600"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Pr>
          <w:rFonts w:ascii="Times New Roman" w:hAnsi="Times New Roman" w:cs="Times New Roman"/>
          <w:sz w:val="24"/>
          <w:szCs w:val="24"/>
          <w:shd w:val="clear" w:color="auto" w:fill="FFFFFF"/>
        </w:rPr>
        <w:t xml:space="preserve">8,3 %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2007-2005 =   1,22 %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27: </w:t>
      </w:r>
      <w:r>
        <w:rPr>
          <w:rFonts w:ascii="Times New Roman" w:hAnsi="Times New Roman" w:cs="Times New Roman"/>
          <w:sz w:val="24"/>
          <w:szCs w:val="24"/>
          <w:shd w:val="clear" w:color="auto" w:fill="FFFFFF"/>
        </w:rPr>
        <w:t xml:space="preserve">8,6 %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2008-2005 =   4,88 %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Pr>
          <w:rFonts w:ascii="Times New Roman" w:hAnsi="Times New Roman" w:cs="Times New Roman"/>
          <w:sz w:val="24"/>
          <w:szCs w:val="24"/>
          <w:shd w:val="clear" w:color="auto" w:fill="FFFFFF"/>
        </w:rPr>
        <w:t xml:space="preserve"> 8,4 %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2009-2005 =    2,44 %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8,3 %</w:t>
      </w:r>
      <w:r>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2010-2005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1,22 %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8,8 %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2011-2005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7,32 %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2012</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8,9 %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2012-2005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8,54 %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9,0 %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2013-2005 =   9,76 %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w:t>
      </w:r>
      <w:r w:rsidRPr="001D24E3">
        <w:rPr>
          <w:rFonts w:ascii="Times New Roman" w:hAnsi="Times New Roman" w:cs="Times New Roman"/>
          <w:b/>
          <w:sz w:val="24"/>
          <w:szCs w:val="24"/>
          <w:shd w:val="clear" w:color="auto" w:fill="FFFFFF"/>
        </w:rPr>
        <w:t>4 -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Pr>
          <w:rFonts w:ascii="Times New Roman" w:hAnsi="Times New Roman" w:cs="Times New Roman"/>
          <w:sz w:val="24"/>
          <w:szCs w:val="24"/>
          <w:shd w:val="clear" w:color="auto" w:fill="FFFFFF"/>
        </w:rPr>
        <w:t xml:space="preserve"> 9,5 %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2014-2005 =  15,85 %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9,5 %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2015-2005 =  15,85 %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9,6 %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2016-2005 =  17,07 %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9,4 %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2017-2005 =  14,63 %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9,4 %</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2018-2005 =  14,63 %</w:t>
      </w:r>
    </w:p>
    <w:p w:rsidR="00B54D85" w:rsidRDefault="00B54D85" w:rsidP="000E4E0C">
      <w:pPr>
        <w:spacing w:line="240" w:lineRule="auto"/>
        <w:jc w:val="both"/>
        <w:rPr>
          <w:rFonts w:ascii="Times New Roman" w:hAnsi="Times New Roman" w:cs="Times New Roman"/>
          <w:b/>
          <w:sz w:val="24"/>
          <w:szCs w:val="24"/>
          <w:shd w:val="clear" w:color="auto" w:fill="FFFFFF"/>
        </w:rPr>
      </w:pPr>
    </w:p>
    <w:p w:rsidR="000E4E0C" w:rsidRDefault="000E4E0C" w:rsidP="000E4E0C">
      <w:pPr>
        <w:spacing w:line="240" w:lineRule="auto"/>
        <w:jc w:val="both"/>
        <w:rPr>
          <w:rFonts w:ascii="Times New Roman" w:hAnsi="Times New Roman" w:cs="Times New Roman"/>
          <w:b/>
          <w:sz w:val="24"/>
          <w:szCs w:val="24"/>
          <w:shd w:val="clear" w:color="auto" w:fill="FFFFFF"/>
        </w:rPr>
      </w:pPr>
      <w:r w:rsidRPr="004139A0">
        <w:rPr>
          <w:rFonts w:ascii="Times New Roman" w:hAnsi="Times New Roman" w:cs="Times New Roman"/>
          <w:b/>
          <w:sz w:val="24"/>
          <w:szCs w:val="24"/>
          <w:shd w:val="clear" w:color="auto" w:fill="FFFFFF"/>
        </w:rPr>
        <w:t>EEUU</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Para el cálculo del aumento de la pobreza se utiliza la información del US Census Bureau: Impact on poverty of alternative resource measures (2000-2018)</w:t>
      </w:r>
    </w:p>
    <w:p w:rsidR="000E4E0C" w:rsidRPr="008C0BBB" w:rsidRDefault="000E4E0C" w:rsidP="000E4E0C">
      <w:pPr>
        <w:spacing w:line="240" w:lineRule="auto"/>
        <w:jc w:val="both"/>
        <w:rPr>
          <w:rFonts w:ascii="Times New Roman" w:hAnsi="Times New Roman" w:cs="Times New Roman"/>
          <w:sz w:val="24"/>
          <w:szCs w:val="24"/>
          <w:shd w:val="clear" w:color="auto" w:fill="FFFFFF"/>
        </w:rPr>
      </w:pPr>
    </w:p>
    <w:p w:rsidR="000E4E0C" w:rsidRDefault="000E4E0C" w:rsidP="000E4E0C">
      <w:pPr>
        <w:spacing w:line="240" w:lineRule="auto"/>
        <w:jc w:val="both"/>
        <w:rPr>
          <w:rFonts w:ascii="Times New Roman" w:hAnsi="Times New Roman" w:cs="Times New Roman"/>
          <w:b/>
          <w:sz w:val="24"/>
          <w:szCs w:val="24"/>
          <w:shd w:val="clear" w:color="auto" w:fill="FFFFFF"/>
        </w:rPr>
      </w:pPr>
      <w:r w:rsidRPr="00A7265B">
        <w:rPr>
          <w:rFonts w:ascii="Times New Roman" w:hAnsi="Times New Roman" w:cs="Times New Roman"/>
          <w:b/>
          <w:noProof/>
          <w:sz w:val="24"/>
          <w:szCs w:val="24"/>
          <w:lang w:eastAsia="es-ES"/>
        </w:rPr>
        <w:drawing>
          <wp:inline distT="0" distB="0" distL="0" distR="0" wp14:anchorId="4D41B79D" wp14:editId="6D2DDB92">
            <wp:extent cx="6239435" cy="2689412"/>
            <wp:effectExtent l="0" t="0" r="9525" b="0"/>
            <wp:docPr id="320" name="Imagen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6238126" cy="2688848"/>
                    </a:xfrm>
                    <a:prstGeom prst="rect">
                      <a:avLst/>
                    </a:prstGeom>
                  </pic:spPr>
                </pic:pic>
              </a:graphicData>
            </a:graphic>
          </wp:inline>
        </w:drawing>
      </w:r>
    </w:p>
    <w:p w:rsidR="000E4E0C" w:rsidRPr="0093208E" w:rsidRDefault="000E4E0C" w:rsidP="000E4E0C">
      <w:pPr>
        <w:spacing w:line="240" w:lineRule="auto"/>
        <w:jc w:val="both"/>
        <w:rPr>
          <w:rFonts w:ascii="Times New Roman" w:hAnsi="Times New Roman" w:cs="Times New Roman"/>
          <w:b/>
          <w:sz w:val="24"/>
          <w:szCs w:val="24"/>
          <w:shd w:val="clear" w:color="auto" w:fill="FFFFFF"/>
        </w:rPr>
      </w:pPr>
      <w:r w:rsidRPr="00A83E83">
        <w:rPr>
          <w:rFonts w:ascii="Times New Roman" w:hAnsi="Times New Roman" w:cs="Times New Roman"/>
          <w:b/>
          <w:noProof/>
          <w:sz w:val="24"/>
          <w:szCs w:val="24"/>
          <w:shd w:val="clear" w:color="auto" w:fill="FFFFFF"/>
          <w:lang w:eastAsia="es-ES"/>
        </w:rPr>
        <w:lastRenderedPageBreak/>
        <w:drawing>
          <wp:inline distT="0" distB="0" distL="0" distR="0" wp14:anchorId="1D30E857" wp14:editId="784E05E7">
            <wp:extent cx="6394076" cy="2474259"/>
            <wp:effectExtent l="0" t="0" r="6985" b="2540"/>
            <wp:docPr id="324" name="Imagen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6397495" cy="2475582"/>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sz w:val="24"/>
          <w:szCs w:val="24"/>
          <w:shd w:val="clear" w:color="auto" w:fill="FFFFFF"/>
        </w:rPr>
      </w:pPr>
      <w:r w:rsidRPr="00A83E83">
        <w:rPr>
          <w:rFonts w:ascii="Times New Roman" w:hAnsi="Times New Roman" w:cs="Times New Roman"/>
          <w:noProof/>
          <w:sz w:val="24"/>
          <w:szCs w:val="24"/>
          <w:shd w:val="clear" w:color="auto" w:fill="FFFFFF"/>
          <w:lang w:eastAsia="es-ES"/>
        </w:rPr>
        <w:drawing>
          <wp:inline distT="0" distB="0" distL="0" distR="0" wp14:anchorId="5588983C" wp14:editId="74450F1C">
            <wp:extent cx="5728345" cy="3086100"/>
            <wp:effectExtent l="0" t="0" r="5715" b="0"/>
            <wp:docPr id="326" name="Imagen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5731510" cy="3087805"/>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sz w:val="24"/>
          <w:szCs w:val="24"/>
          <w:shd w:val="clear" w:color="auto" w:fill="FFFFFF"/>
        </w:rPr>
      </w:pPr>
      <w:r w:rsidRPr="00A83E83">
        <w:rPr>
          <w:rFonts w:ascii="Times New Roman" w:hAnsi="Times New Roman" w:cs="Times New Roman"/>
          <w:noProof/>
          <w:sz w:val="24"/>
          <w:szCs w:val="24"/>
          <w:shd w:val="clear" w:color="auto" w:fill="FFFFFF"/>
          <w:lang w:eastAsia="es-ES"/>
        </w:rPr>
        <w:drawing>
          <wp:inline distT="0" distB="0" distL="0" distR="0" wp14:anchorId="724945B1" wp14:editId="0003903D">
            <wp:extent cx="5728447" cy="2938182"/>
            <wp:effectExtent l="0" t="0" r="5715" b="0"/>
            <wp:docPr id="327" name="Imagen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5731510" cy="2939753"/>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lastRenderedPageBreak/>
        <w:t>(-</w:t>
      </w:r>
      <w:r w:rsidR="00B54D85">
        <w:rPr>
          <w:rFonts w:ascii="Times New Roman" w:hAnsi="Times New Roman" w:cs="Times New Roman"/>
          <w:b/>
          <w:color w:val="FF0000"/>
          <w:sz w:val="24"/>
          <w:szCs w:val="24"/>
          <w:shd w:val="clear" w:color="auto" w:fill="FFFFFF"/>
        </w:rPr>
        <w:t>) Aumento de la pobreza</w:t>
      </w:r>
    </w:p>
    <w:p w:rsidR="000E4E0C" w:rsidRPr="004139A0" w:rsidRDefault="000E4E0C" w:rsidP="000E4E0C">
      <w:pPr>
        <w:spacing w:line="240" w:lineRule="auto"/>
        <w:jc w:val="both"/>
        <w:rPr>
          <w:rFonts w:ascii="Times New Roman" w:hAnsi="Times New Roman" w:cs="Times New Roman"/>
          <w:sz w:val="24"/>
          <w:szCs w:val="24"/>
          <w:shd w:val="clear" w:color="auto" w:fill="FFFFFF"/>
        </w:rPr>
      </w:pPr>
      <w:r w:rsidRPr="004139A0">
        <w:rPr>
          <w:rFonts w:ascii="Times New Roman" w:hAnsi="Times New Roman" w:cs="Times New Roman"/>
          <w:sz w:val="24"/>
          <w:szCs w:val="24"/>
          <w:shd w:val="clear" w:color="auto" w:fill="FFFFFF"/>
        </w:rPr>
        <w:t>(Datos en miles de personas)</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2000 - EEUU: </w:t>
      </w:r>
      <w:r>
        <w:rPr>
          <w:rFonts w:ascii="Times New Roman" w:hAnsi="Times New Roman" w:cs="Times New Roman"/>
          <w:sz w:val="24"/>
          <w:szCs w:val="24"/>
          <w:shd w:val="clear" w:color="auto" w:fill="FFFFFF"/>
        </w:rPr>
        <w:t xml:space="preserve">31.581 - Año base para la comparación.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2001 - EEUU: </w:t>
      </w:r>
      <w:r>
        <w:rPr>
          <w:rFonts w:ascii="Times New Roman" w:hAnsi="Times New Roman" w:cs="Times New Roman"/>
          <w:sz w:val="24"/>
          <w:szCs w:val="24"/>
          <w:shd w:val="clear" w:color="auto" w:fill="FFFFFF"/>
        </w:rPr>
        <w:t xml:space="preserve">32.907 - Variación 2001-2000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1,04 %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2002 - EEUU: </w:t>
      </w:r>
      <w:r>
        <w:rPr>
          <w:rFonts w:ascii="Times New Roman" w:hAnsi="Times New Roman" w:cs="Times New Roman"/>
          <w:sz w:val="24"/>
          <w:szCs w:val="24"/>
          <w:shd w:val="clear" w:color="auto" w:fill="FFFFFF"/>
        </w:rPr>
        <w:t xml:space="preserve">31.570 - Variación 2002-2000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(0,03)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2003 - EEUU: </w:t>
      </w:r>
      <w:r>
        <w:rPr>
          <w:rFonts w:ascii="Times New Roman" w:hAnsi="Times New Roman" w:cs="Times New Roman"/>
          <w:sz w:val="24"/>
          <w:szCs w:val="24"/>
          <w:shd w:val="clear" w:color="auto" w:fill="FFFFFF"/>
        </w:rPr>
        <w:t xml:space="preserve">35.861 - Variación 2003-2000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13,59 %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2004 - EEUU: </w:t>
      </w:r>
      <w:r>
        <w:rPr>
          <w:rFonts w:ascii="Times New Roman" w:hAnsi="Times New Roman" w:cs="Times New Roman"/>
          <w:sz w:val="24"/>
          <w:szCs w:val="24"/>
          <w:shd w:val="clear" w:color="auto" w:fill="FFFFFF"/>
        </w:rPr>
        <w:t xml:space="preserve">37.040 - Variación 2004-2000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17,29 %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2005 - EEUU: </w:t>
      </w:r>
      <w:r>
        <w:rPr>
          <w:rFonts w:ascii="Times New Roman" w:hAnsi="Times New Roman" w:cs="Times New Roman"/>
          <w:sz w:val="24"/>
          <w:szCs w:val="24"/>
          <w:shd w:val="clear" w:color="auto" w:fill="FFFFFF"/>
        </w:rPr>
        <w:t xml:space="preserve">36.950 - Variación 2005-2000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11,70 %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2006 - EEUU: </w:t>
      </w:r>
      <w:r>
        <w:rPr>
          <w:rFonts w:ascii="Times New Roman" w:hAnsi="Times New Roman" w:cs="Times New Roman"/>
          <w:sz w:val="24"/>
          <w:szCs w:val="24"/>
          <w:shd w:val="clear" w:color="auto" w:fill="FFFFFF"/>
        </w:rPr>
        <w:t xml:space="preserve">36.460 - Variación 2006-2000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15,49 %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2007 - EEUU: </w:t>
      </w:r>
      <w:r>
        <w:rPr>
          <w:rFonts w:ascii="Times New Roman" w:hAnsi="Times New Roman" w:cs="Times New Roman"/>
          <w:sz w:val="24"/>
          <w:szCs w:val="24"/>
          <w:shd w:val="clear" w:color="auto" w:fill="FFFFFF"/>
        </w:rPr>
        <w:t xml:space="preserve">37.276 - Variación 2007-2000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18,07 %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2008 - EEUU: </w:t>
      </w:r>
      <w:r>
        <w:rPr>
          <w:rFonts w:ascii="Times New Roman" w:hAnsi="Times New Roman" w:cs="Times New Roman"/>
          <w:sz w:val="24"/>
          <w:szCs w:val="24"/>
          <w:shd w:val="clear" w:color="auto" w:fill="FFFFFF"/>
        </w:rPr>
        <w:t xml:space="preserve">39.829 - Variación 2008-2000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26,16 %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2009 - EEUU: </w:t>
      </w:r>
      <w:r>
        <w:rPr>
          <w:rFonts w:ascii="Times New Roman" w:hAnsi="Times New Roman" w:cs="Times New Roman"/>
          <w:sz w:val="24"/>
          <w:szCs w:val="24"/>
          <w:shd w:val="clear" w:color="auto" w:fill="FFFFFF"/>
        </w:rPr>
        <w:t xml:space="preserve">43.569 - Variación 2009-2000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37,96 %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2010 - EEUU: </w:t>
      </w:r>
      <w:r>
        <w:rPr>
          <w:rFonts w:ascii="Times New Roman" w:hAnsi="Times New Roman" w:cs="Times New Roman"/>
          <w:sz w:val="24"/>
          <w:szCs w:val="24"/>
          <w:shd w:val="clear" w:color="auto" w:fill="FFFFFF"/>
        </w:rPr>
        <w:t xml:space="preserve">46.343 - Variación 2010-2000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46,74 %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2011 - EEUU: </w:t>
      </w:r>
      <w:r>
        <w:rPr>
          <w:rFonts w:ascii="Times New Roman" w:hAnsi="Times New Roman" w:cs="Times New Roman"/>
          <w:sz w:val="24"/>
          <w:szCs w:val="24"/>
          <w:shd w:val="clear" w:color="auto" w:fill="FFFFFF"/>
        </w:rPr>
        <w:t xml:space="preserve">46.247 - Variación 2011-2000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46,44 %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2012 - EEUU: </w:t>
      </w:r>
      <w:r>
        <w:rPr>
          <w:rFonts w:ascii="Times New Roman" w:hAnsi="Times New Roman" w:cs="Times New Roman"/>
          <w:sz w:val="24"/>
          <w:szCs w:val="24"/>
          <w:shd w:val="clear" w:color="auto" w:fill="FFFFFF"/>
        </w:rPr>
        <w:t>46.496 - Variación 2012-2000 =   47,23 %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2013 - EEUU: </w:t>
      </w:r>
      <w:r>
        <w:rPr>
          <w:rFonts w:ascii="Times New Roman" w:hAnsi="Times New Roman" w:cs="Times New Roman"/>
          <w:sz w:val="24"/>
          <w:szCs w:val="24"/>
          <w:shd w:val="clear" w:color="auto" w:fill="FFFFFF"/>
        </w:rPr>
        <w:t xml:space="preserve">45.794 - Variación 2013-2000 =   45,00 % </w:t>
      </w:r>
      <w:r w:rsidRPr="001D24E3">
        <w:rPr>
          <w:rFonts w:ascii="Times New Roman" w:hAnsi="Times New Roman" w:cs="Times New Roman"/>
          <w:sz w:val="24"/>
          <w:szCs w:val="24"/>
          <w:shd w:val="clear" w:color="auto" w:fill="FFFFFF"/>
        </w:rPr>
        <w:t xml:space="preserve">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2014 - EEUU:</w:t>
      </w:r>
      <w:r w:rsidRPr="00B74217">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46.657 - Variación 2014-2000 =   47,74 %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2015 - EEUU: </w:t>
      </w:r>
      <w:r>
        <w:rPr>
          <w:rFonts w:ascii="Times New Roman" w:hAnsi="Times New Roman" w:cs="Times New Roman"/>
          <w:sz w:val="24"/>
          <w:szCs w:val="24"/>
          <w:shd w:val="clear" w:color="auto" w:fill="FFFFFF"/>
        </w:rPr>
        <w:t>43.123 - Variación 2015-2000 =   36,55 %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2016 - EEUU: </w:t>
      </w:r>
      <w:r>
        <w:rPr>
          <w:rFonts w:ascii="Times New Roman" w:hAnsi="Times New Roman" w:cs="Times New Roman"/>
          <w:sz w:val="24"/>
          <w:szCs w:val="24"/>
          <w:shd w:val="clear" w:color="auto" w:fill="FFFFFF"/>
        </w:rPr>
        <w:t>40.616 - Variación 2016-2000 =   28,61 %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2017 - EEUU: </w:t>
      </w:r>
      <w:r>
        <w:rPr>
          <w:rFonts w:ascii="Times New Roman" w:hAnsi="Times New Roman" w:cs="Times New Roman"/>
          <w:sz w:val="24"/>
          <w:szCs w:val="24"/>
          <w:shd w:val="clear" w:color="auto" w:fill="FFFFFF"/>
        </w:rPr>
        <w:t>39.631 - Variación 2017-2000 =   25,49 %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2018 - EEUU: </w:t>
      </w:r>
      <w:r>
        <w:rPr>
          <w:rFonts w:ascii="Times New Roman" w:hAnsi="Times New Roman" w:cs="Times New Roman"/>
          <w:sz w:val="24"/>
          <w:szCs w:val="24"/>
          <w:shd w:val="clear" w:color="auto" w:fill="FFFFFF"/>
        </w:rPr>
        <w:t>38.146 - Variación 2018-2000 =   20,79 %</w:t>
      </w:r>
      <w:r w:rsidRPr="001D24E3">
        <w:rPr>
          <w:rFonts w:ascii="Times New Roman" w:hAnsi="Times New Roman" w:cs="Times New Roman"/>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w:t>
      </w:r>
      <w:r w:rsidR="00B54D85">
        <w:rPr>
          <w:rFonts w:ascii="Times New Roman" w:hAnsi="Times New Roman" w:cs="Times New Roman"/>
          <w:b/>
          <w:color w:val="FF0000"/>
          <w:sz w:val="24"/>
          <w:szCs w:val="24"/>
          <w:shd w:val="clear" w:color="auto" w:fill="FFFFFF"/>
        </w:rPr>
        <w:t>) Aumento de la pobreza</w:t>
      </w:r>
    </w:p>
    <w:p w:rsidR="000E4E0C" w:rsidRPr="004139A0"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(Datos en porcentajes</w:t>
      </w:r>
      <w:r w:rsidRPr="004139A0">
        <w:rPr>
          <w:rFonts w:ascii="Times New Roman" w:hAnsi="Times New Roman" w:cs="Times New Roman"/>
          <w:sz w:val="24"/>
          <w:szCs w:val="24"/>
          <w:shd w:val="clear" w:color="auto" w:fill="FFFFFF"/>
        </w:rPr>
        <w:t>)</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2000 - EEUU: </w:t>
      </w:r>
      <w:r>
        <w:rPr>
          <w:rFonts w:ascii="Times New Roman" w:hAnsi="Times New Roman" w:cs="Times New Roman"/>
          <w:sz w:val="24"/>
          <w:szCs w:val="24"/>
          <w:shd w:val="clear" w:color="auto" w:fill="FFFFFF"/>
        </w:rPr>
        <w:t xml:space="preserve">11.3 % - Año base para la comparación.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2001 - EEUU: </w:t>
      </w:r>
      <w:r>
        <w:rPr>
          <w:rFonts w:ascii="Times New Roman" w:hAnsi="Times New Roman" w:cs="Times New Roman"/>
          <w:sz w:val="24"/>
          <w:szCs w:val="24"/>
          <w:shd w:val="clear" w:color="auto" w:fill="FFFFFF"/>
        </w:rPr>
        <w:t xml:space="preserve">11,7 % - Variación 2001-2000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3,54 %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2002 - EEUU: </w:t>
      </w:r>
      <w:r>
        <w:rPr>
          <w:rFonts w:ascii="Times New Roman" w:hAnsi="Times New Roman" w:cs="Times New Roman"/>
          <w:sz w:val="24"/>
          <w:szCs w:val="24"/>
          <w:shd w:val="clear" w:color="auto" w:fill="FFFFFF"/>
        </w:rPr>
        <w:t xml:space="preserve">12,1 % - Variación 2002-2000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7,08 %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2003 - EEUU: </w:t>
      </w:r>
      <w:r>
        <w:rPr>
          <w:rFonts w:ascii="Times New Roman" w:hAnsi="Times New Roman" w:cs="Times New Roman"/>
          <w:sz w:val="24"/>
          <w:szCs w:val="24"/>
          <w:shd w:val="clear" w:color="auto" w:fill="FFFFFF"/>
        </w:rPr>
        <w:t xml:space="preserve">12,5 % - Variación 2003-2000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10,62 %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2004 - EEUU: </w:t>
      </w:r>
      <w:r>
        <w:rPr>
          <w:rFonts w:ascii="Times New Roman" w:hAnsi="Times New Roman" w:cs="Times New Roman"/>
          <w:sz w:val="24"/>
          <w:szCs w:val="24"/>
          <w:shd w:val="clear" w:color="auto" w:fill="FFFFFF"/>
        </w:rPr>
        <w:t xml:space="preserve">12,7 % - Variación 2004-2000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12,39 %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2005 - EEUU: </w:t>
      </w:r>
      <w:r>
        <w:rPr>
          <w:rFonts w:ascii="Times New Roman" w:hAnsi="Times New Roman" w:cs="Times New Roman"/>
          <w:sz w:val="24"/>
          <w:szCs w:val="24"/>
          <w:shd w:val="clear" w:color="auto" w:fill="FFFFFF"/>
        </w:rPr>
        <w:t xml:space="preserve">12,6 % - Variación 2005-2000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11,50 %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lastRenderedPageBreak/>
        <w:t xml:space="preserve">Año 2006 - EEUU: </w:t>
      </w:r>
      <w:r>
        <w:rPr>
          <w:rFonts w:ascii="Times New Roman" w:hAnsi="Times New Roman" w:cs="Times New Roman"/>
          <w:sz w:val="24"/>
          <w:szCs w:val="24"/>
          <w:shd w:val="clear" w:color="auto" w:fill="FFFFFF"/>
        </w:rPr>
        <w:t xml:space="preserve">12,3 % - Variación 2006-2000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8,85 %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2007 - EEUU: </w:t>
      </w:r>
      <w:r>
        <w:rPr>
          <w:rFonts w:ascii="Times New Roman" w:hAnsi="Times New Roman" w:cs="Times New Roman"/>
          <w:sz w:val="24"/>
          <w:szCs w:val="24"/>
          <w:shd w:val="clear" w:color="auto" w:fill="FFFFFF"/>
        </w:rPr>
        <w:t xml:space="preserve">12,5 % - Variación 2007-2000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10,62 %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2008 - EEUU: </w:t>
      </w:r>
      <w:r>
        <w:rPr>
          <w:rFonts w:ascii="Times New Roman" w:hAnsi="Times New Roman" w:cs="Times New Roman"/>
          <w:sz w:val="24"/>
          <w:szCs w:val="24"/>
          <w:shd w:val="clear" w:color="auto" w:fill="FFFFFF"/>
        </w:rPr>
        <w:t xml:space="preserve">13,2 % - Variación 2008-2000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16,81 %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2009 - EEUU: </w:t>
      </w:r>
      <w:r>
        <w:rPr>
          <w:rFonts w:ascii="Times New Roman" w:hAnsi="Times New Roman" w:cs="Times New Roman"/>
          <w:sz w:val="24"/>
          <w:szCs w:val="24"/>
          <w:shd w:val="clear" w:color="auto" w:fill="FFFFFF"/>
        </w:rPr>
        <w:t xml:space="preserve">14,3 % - Variación 2009-2000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26,55 %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2010 - EEUU: </w:t>
      </w:r>
      <w:r>
        <w:rPr>
          <w:rFonts w:ascii="Times New Roman" w:hAnsi="Times New Roman" w:cs="Times New Roman"/>
          <w:sz w:val="24"/>
          <w:szCs w:val="24"/>
          <w:shd w:val="clear" w:color="auto" w:fill="FFFFFF"/>
        </w:rPr>
        <w:t xml:space="preserve">15,1 % - Variación 2010-2000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33,63 %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2011 - EEUU: </w:t>
      </w:r>
      <w:r>
        <w:rPr>
          <w:rFonts w:ascii="Times New Roman" w:hAnsi="Times New Roman" w:cs="Times New Roman"/>
          <w:sz w:val="24"/>
          <w:szCs w:val="24"/>
          <w:shd w:val="clear" w:color="auto" w:fill="FFFFFF"/>
        </w:rPr>
        <w:t xml:space="preserve">15,0 % - Variación 2011-2000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32,74 %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2012 - EEUU: </w:t>
      </w:r>
      <w:r>
        <w:rPr>
          <w:rFonts w:ascii="Times New Roman" w:hAnsi="Times New Roman" w:cs="Times New Roman"/>
          <w:sz w:val="24"/>
          <w:szCs w:val="24"/>
          <w:shd w:val="clear" w:color="auto" w:fill="FFFFFF"/>
        </w:rPr>
        <w:t>15,0 % - Variación 2012-2000 =   32,74 %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2013 - EEUU: </w:t>
      </w:r>
      <w:r>
        <w:rPr>
          <w:rFonts w:ascii="Times New Roman" w:hAnsi="Times New Roman" w:cs="Times New Roman"/>
          <w:sz w:val="24"/>
          <w:szCs w:val="24"/>
          <w:shd w:val="clear" w:color="auto" w:fill="FFFFFF"/>
        </w:rPr>
        <w:t xml:space="preserve">14,7 % - Variación 2013-2000 =   30,09  % </w:t>
      </w:r>
      <w:r w:rsidRPr="001D24E3">
        <w:rPr>
          <w:rFonts w:ascii="Times New Roman" w:hAnsi="Times New Roman" w:cs="Times New Roman"/>
          <w:sz w:val="24"/>
          <w:szCs w:val="24"/>
          <w:shd w:val="clear" w:color="auto" w:fill="FFFFFF"/>
        </w:rPr>
        <w:t xml:space="preserve">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2014 - EEUU:</w:t>
      </w:r>
      <w:r w:rsidRPr="00B74217">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14,8 % - Variación 2014-2000 =   30,97 %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2015 - EEUU: </w:t>
      </w:r>
      <w:r>
        <w:rPr>
          <w:rFonts w:ascii="Times New Roman" w:hAnsi="Times New Roman" w:cs="Times New Roman"/>
          <w:sz w:val="24"/>
          <w:szCs w:val="24"/>
          <w:shd w:val="clear" w:color="auto" w:fill="FFFFFF"/>
        </w:rPr>
        <w:t>13,5 % - Variación 2015-2000 =   19,47 %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2016 - EEUU: </w:t>
      </w:r>
      <w:r>
        <w:rPr>
          <w:rFonts w:ascii="Times New Roman" w:hAnsi="Times New Roman" w:cs="Times New Roman"/>
          <w:sz w:val="24"/>
          <w:szCs w:val="24"/>
          <w:shd w:val="clear" w:color="auto" w:fill="FFFFFF"/>
        </w:rPr>
        <w:t>12,7 % - Variación 2016-2000 =   12,39 %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2017 - EEUU: </w:t>
      </w:r>
      <w:r>
        <w:rPr>
          <w:rFonts w:ascii="Times New Roman" w:hAnsi="Times New Roman" w:cs="Times New Roman"/>
          <w:sz w:val="24"/>
          <w:szCs w:val="24"/>
          <w:shd w:val="clear" w:color="auto" w:fill="FFFFFF"/>
        </w:rPr>
        <w:t>12,3 % - Variación 2017-2000 =     8,85 %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2018 - EEUU: </w:t>
      </w:r>
      <w:r>
        <w:rPr>
          <w:rFonts w:ascii="Times New Roman" w:hAnsi="Times New Roman" w:cs="Times New Roman"/>
          <w:sz w:val="24"/>
          <w:szCs w:val="24"/>
          <w:shd w:val="clear" w:color="auto" w:fill="FFFFFF"/>
        </w:rPr>
        <w:t>11,8 % - Variación 2018-2000 =     4,42 %</w:t>
      </w:r>
      <w:r w:rsidRPr="001D24E3">
        <w:rPr>
          <w:rFonts w:ascii="Times New Roman" w:hAnsi="Times New Roman" w:cs="Times New Roman"/>
          <w:sz w:val="24"/>
          <w:szCs w:val="24"/>
          <w:shd w:val="clear" w:color="auto" w:fill="FFFFFF"/>
        </w:rPr>
        <w:t xml:space="preserve"> </w:t>
      </w:r>
    </w:p>
    <w:p w:rsidR="000E4E0C" w:rsidRDefault="000E4E0C" w:rsidP="000E4E0C">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w:t>
      </w:r>
      <w:r w:rsidR="00B54D85">
        <w:rPr>
          <w:rFonts w:ascii="Times New Roman" w:hAnsi="Times New Roman" w:cs="Times New Roman"/>
          <w:b/>
          <w:color w:val="FF0000"/>
          <w:sz w:val="24"/>
          <w:szCs w:val="24"/>
          <w:shd w:val="clear" w:color="auto" w:fill="FFFFFF"/>
        </w:rPr>
        <w:t>) Aumento de la pobreza</w:t>
      </w:r>
    </w:p>
    <w:p w:rsidR="000E4E0C" w:rsidRPr="0056282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Para el cálculo del aumento de trabajadores (personas que trabajan) en riesgo de pobreza se utilizan los datos del US Bureau of Labor Statistics (1996-2017).</w:t>
      </w:r>
    </w:p>
    <w:p w:rsidR="000E4E0C" w:rsidRPr="004139A0"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(Datos en porcentaje de trabajadores con ingresos por debajo del nivel de pobreza)</w:t>
      </w:r>
    </w:p>
    <w:p w:rsidR="000E4E0C" w:rsidRDefault="000E4E0C" w:rsidP="000E4E0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Año 2000 - EEUU: </w:t>
      </w:r>
      <w:r>
        <w:rPr>
          <w:rFonts w:ascii="Times New Roman" w:hAnsi="Times New Roman" w:cs="Times New Roman"/>
          <w:sz w:val="24"/>
          <w:szCs w:val="24"/>
          <w:shd w:val="clear" w:color="auto" w:fill="FFFFFF"/>
        </w:rPr>
        <w:t xml:space="preserve">4,7 % - Año base para la comparación.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2001 - EEUU: </w:t>
      </w:r>
      <w:r>
        <w:rPr>
          <w:rFonts w:ascii="Times New Roman" w:hAnsi="Times New Roman" w:cs="Times New Roman"/>
          <w:sz w:val="24"/>
          <w:szCs w:val="24"/>
          <w:shd w:val="clear" w:color="auto" w:fill="FFFFFF"/>
        </w:rPr>
        <w:t xml:space="preserve">4,9 % - Variación 2001-2000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4,26 %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2002 - EEUU: </w:t>
      </w:r>
      <w:r>
        <w:rPr>
          <w:rFonts w:ascii="Times New Roman" w:hAnsi="Times New Roman" w:cs="Times New Roman"/>
          <w:sz w:val="24"/>
          <w:szCs w:val="24"/>
          <w:shd w:val="clear" w:color="auto" w:fill="FFFFFF"/>
        </w:rPr>
        <w:t>5,3 % - Variación 2002-2000 =  12,77 %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2003 - EEUU: </w:t>
      </w:r>
      <w:r>
        <w:rPr>
          <w:rFonts w:ascii="Times New Roman" w:hAnsi="Times New Roman" w:cs="Times New Roman"/>
          <w:sz w:val="24"/>
          <w:szCs w:val="24"/>
          <w:shd w:val="clear" w:color="auto" w:fill="FFFFFF"/>
        </w:rPr>
        <w:t>5,3 % - Variación 2003-2000 =  12,77 %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2004 - EEUU: </w:t>
      </w:r>
      <w:r>
        <w:rPr>
          <w:rFonts w:ascii="Times New Roman" w:hAnsi="Times New Roman" w:cs="Times New Roman"/>
          <w:sz w:val="24"/>
          <w:szCs w:val="24"/>
          <w:shd w:val="clear" w:color="auto" w:fill="FFFFFF"/>
        </w:rPr>
        <w:t>5,6 % - Variación 2004-2000 =  19,15 %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2005 - EEUU: </w:t>
      </w:r>
      <w:r>
        <w:rPr>
          <w:rFonts w:ascii="Times New Roman" w:hAnsi="Times New Roman" w:cs="Times New Roman"/>
          <w:sz w:val="24"/>
          <w:szCs w:val="24"/>
          <w:shd w:val="clear" w:color="auto" w:fill="FFFFFF"/>
        </w:rPr>
        <w:t>5,4 % - Variación 2005-2000 =  14,89 %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2006 - EEUU: </w:t>
      </w:r>
      <w:r>
        <w:rPr>
          <w:rFonts w:ascii="Times New Roman" w:hAnsi="Times New Roman" w:cs="Times New Roman"/>
          <w:sz w:val="24"/>
          <w:szCs w:val="24"/>
          <w:shd w:val="clear" w:color="auto" w:fill="FFFFFF"/>
        </w:rPr>
        <w:t xml:space="preserve">5,1 % - Variación 2006-2000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8,51 %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2007 - EEUU: </w:t>
      </w:r>
      <w:r>
        <w:rPr>
          <w:rFonts w:ascii="Times New Roman" w:hAnsi="Times New Roman" w:cs="Times New Roman"/>
          <w:sz w:val="24"/>
          <w:szCs w:val="24"/>
          <w:shd w:val="clear" w:color="auto" w:fill="FFFFFF"/>
        </w:rPr>
        <w:t xml:space="preserve">5,1 % - Variación 2007-2000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8,51 %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2008 - EEUU: </w:t>
      </w:r>
      <w:r>
        <w:rPr>
          <w:rFonts w:ascii="Times New Roman" w:hAnsi="Times New Roman" w:cs="Times New Roman"/>
          <w:sz w:val="24"/>
          <w:szCs w:val="24"/>
          <w:shd w:val="clear" w:color="auto" w:fill="FFFFFF"/>
        </w:rPr>
        <w:t>6,0 % - Variación 2008-2000 =  27,66 %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2009 - EEUU: </w:t>
      </w:r>
      <w:r>
        <w:rPr>
          <w:rFonts w:ascii="Times New Roman" w:hAnsi="Times New Roman" w:cs="Times New Roman"/>
          <w:sz w:val="24"/>
          <w:szCs w:val="24"/>
          <w:shd w:val="clear" w:color="auto" w:fill="FFFFFF"/>
        </w:rPr>
        <w:t>7,0 % - Variación 2009-2000 =  48,94 %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2010 - EEUU: </w:t>
      </w:r>
      <w:r>
        <w:rPr>
          <w:rFonts w:ascii="Times New Roman" w:hAnsi="Times New Roman" w:cs="Times New Roman"/>
          <w:sz w:val="24"/>
          <w:szCs w:val="24"/>
          <w:shd w:val="clear" w:color="auto" w:fill="FFFFFF"/>
        </w:rPr>
        <w:t>7,2 % - Variación 2010-2000 =  53,19 %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2011 - EEUU: </w:t>
      </w:r>
      <w:r>
        <w:rPr>
          <w:rFonts w:ascii="Times New Roman" w:hAnsi="Times New Roman" w:cs="Times New Roman"/>
          <w:sz w:val="24"/>
          <w:szCs w:val="24"/>
          <w:shd w:val="clear" w:color="auto" w:fill="FFFFFF"/>
        </w:rPr>
        <w:t>7,0 % - Variación 2011-2000 =  48,94 %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2012 - EEUU: </w:t>
      </w:r>
      <w:r>
        <w:rPr>
          <w:rFonts w:ascii="Times New Roman" w:hAnsi="Times New Roman" w:cs="Times New Roman"/>
          <w:sz w:val="24"/>
          <w:szCs w:val="24"/>
          <w:shd w:val="clear" w:color="auto" w:fill="FFFFFF"/>
        </w:rPr>
        <w:t>7,1 % - Variación 2012-2000 =  51,06 %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lastRenderedPageBreak/>
        <w:t xml:space="preserve">Año 2013 - EEUU: </w:t>
      </w:r>
      <w:r>
        <w:rPr>
          <w:rFonts w:ascii="Times New Roman" w:hAnsi="Times New Roman" w:cs="Times New Roman"/>
          <w:sz w:val="24"/>
          <w:szCs w:val="24"/>
          <w:shd w:val="clear" w:color="auto" w:fill="FFFFFF"/>
        </w:rPr>
        <w:t xml:space="preserve">7,0 % - Variación 2013-2000 =  48,94 % </w:t>
      </w:r>
      <w:r w:rsidRPr="001D24E3">
        <w:rPr>
          <w:rFonts w:ascii="Times New Roman" w:hAnsi="Times New Roman" w:cs="Times New Roman"/>
          <w:sz w:val="24"/>
          <w:szCs w:val="24"/>
          <w:shd w:val="clear" w:color="auto" w:fill="FFFFFF"/>
        </w:rPr>
        <w:t xml:space="preserve">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2014 - EEUU:</w:t>
      </w:r>
      <w:r w:rsidRPr="00B74217">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6,3 % - Variación 2014-2000 =  34,04 %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2015 - EEUU: </w:t>
      </w:r>
      <w:r>
        <w:rPr>
          <w:rFonts w:ascii="Times New Roman" w:hAnsi="Times New Roman" w:cs="Times New Roman"/>
          <w:sz w:val="24"/>
          <w:szCs w:val="24"/>
          <w:shd w:val="clear" w:color="auto" w:fill="FFFFFF"/>
        </w:rPr>
        <w:t>5,6 % - Variación 2015-2000 =  19,15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2016 - EEUU: </w:t>
      </w:r>
      <w:r>
        <w:rPr>
          <w:rFonts w:ascii="Times New Roman" w:hAnsi="Times New Roman" w:cs="Times New Roman"/>
          <w:sz w:val="24"/>
          <w:szCs w:val="24"/>
          <w:shd w:val="clear" w:color="auto" w:fill="FFFFFF"/>
        </w:rPr>
        <w:t>4,9 % - Variación 2016-2000 =    4,26 %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Año 2017 - EEUU: </w:t>
      </w:r>
      <w:r>
        <w:rPr>
          <w:rFonts w:ascii="Times New Roman" w:hAnsi="Times New Roman" w:cs="Times New Roman"/>
          <w:sz w:val="24"/>
          <w:szCs w:val="24"/>
          <w:shd w:val="clear" w:color="auto" w:fill="FFFFFF"/>
        </w:rPr>
        <w:t>4,5 % - Variación 2017-2000 =   (4,26) %</w:t>
      </w:r>
    </w:p>
    <w:p w:rsidR="000E4E0C" w:rsidRPr="00823CF2" w:rsidRDefault="000E4E0C" w:rsidP="000E4E0C">
      <w:pPr>
        <w:spacing w:line="240" w:lineRule="auto"/>
        <w:jc w:val="both"/>
        <w:rPr>
          <w:rFonts w:ascii="Times New Roman" w:hAnsi="Times New Roman" w:cs="Times New Roman"/>
          <w:sz w:val="24"/>
          <w:szCs w:val="24"/>
          <w:shd w:val="clear" w:color="auto" w:fill="FFFFFF"/>
        </w:rPr>
      </w:pPr>
      <w:r w:rsidRPr="00185600">
        <w:rPr>
          <w:rFonts w:ascii="Times New Roman" w:hAnsi="Times New Roman" w:cs="Times New Roman"/>
          <w:b/>
          <w:color w:val="FF0000"/>
          <w:sz w:val="24"/>
          <w:szCs w:val="24"/>
          <w:shd w:val="clear" w:color="auto" w:fill="FFFFFF"/>
        </w:rPr>
        <w:t>(-)</w:t>
      </w:r>
      <w:r w:rsidR="00B54D85">
        <w:rPr>
          <w:rFonts w:ascii="Times New Roman" w:hAnsi="Times New Roman" w:cs="Times New Roman"/>
          <w:b/>
          <w:color w:val="FF0000"/>
          <w:sz w:val="24"/>
          <w:szCs w:val="24"/>
          <w:shd w:val="clear" w:color="auto" w:fill="FFFFFF"/>
        </w:rPr>
        <w:t xml:space="preserve"> Variación del coeficiente Gini</w:t>
      </w:r>
    </w:p>
    <w:p w:rsidR="000E4E0C" w:rsidRDefault="000E4E0C" w:rsidP="000E4E0C">
      <w:pPr>
        <w:spacing w:line="240" w:lineRule="auto"/>
        <w:jc w:val="both"/>
        <w:rPr>
          <w:rFonts w:ascii="Times New Roman" w:hAnsi="Times New Roman" w:cs="Times New Roman"/>
          <w:sz w:val="24"/>
          <w:szCs w:val="24"/>
          <w:shd w:val="clear" w:color="auto" w:fill="FFFFFF"/>
          <w:lang w:val="en-US"/>
        </w:rPr>
      </w:pPr>
      <w:r w:rsidRPr="0009475A">
        <w:rPr>
          <w:rFonts w:ascii="Times New Roman" w:hAnsi="Times New Roman" w:cs="Times New Roman"/>
          <w:sz w:val="24"/>
          <w:szCs w:val="24"/>
          <w:shd w:val="clear" w:color="auto" w:fill="FFFFFF"/>
          <w:lang w:val="en-US"/>
        </w:rPr>
        <w:t>The Gini coefficient is defined as the relationship of cumulative shares of the populat</w:t>
      </w:r>
      <w:r w:rsidRPr="00DC55EC">
        <w:rPr>
          <w:rFonts w:ascii="Times New Roman" w:hAnsi="Times New Roman" w:cs="Times New Roman"/>
          <w:sz w:val="24"/>
          <w:szCs w:val="24"/>
          <w:shd w:val="clear" w:color="auto" w:fill="FFFFFF"/>
          <w:lang w:val="en-US"/>
        </w:rPr>
        <w:t>ion arranged according to the level of equivalised disposable income, to the cumulative share of the equivalised total disposable income received by them.</w:t>
      </w:r>
    </w:p>
    <w:p w:rsidR="000E4E0C" w:rsidRPr="00AA640A" w:rsidRDefault="000E4E0C" w:rsidP="000E4E0C">
      <w:pPr>
        <w:spacing w:line="240" w:lineRule="auto"/>
        <w:jc w:val="both"/>
        <w:rPr>
          <w:rFonts w:ascii="Times New Roman" w:hAnsi="Times New Roman" w:cs="Times New Roman"/>
          <w:b/>
          <w:sz w:val="24"/>
          <w:szCs w:val="24"/>
          <w:shd w:val="clear" w:color="auto" w:fill="FFFFFF"/>
          <w:lang w:val="en-US"/>
        </w:rPr>
      </w:pPr>
      <w:r w:rsidRPr="00AA640A">
        <w:rPr>
          <w:rFonts w:ascii="Times New Roman" w:hAnsi="Times New Roman" w:cs="Times New Roman"/>
          <w:b/>
          <w:sz w:val="24"/>
          <w:szCs w:val="24"/>
          <w:shd w:val="clear" w:color="auto" w:fill="FFFFFF"/>
          <w:lang w:val="en-US"/>
        </w:rPr>
        <w:t>Europa</w:t>
      </w:r>
    </w:p>
    <w:p w:rsidR="000E4E0C" w:rsidRDefault="000E4E0C" w:rsidP="000E4E0C">
      <w:pPr>
        <w:spacing w:line="240" w:lineRule="auto"/>
        <w:jc w:val="both"/>
        <w:rPr>
          <w:rFonts w:ascii="Times New Roman" w:hAnsi="Times New Roman" w:cs="Times New Roman"/>
          <w:sz w:val="24"/>
          <w:szCs w:val="24"/>
          <w:shd w:val="clear" w:color="auto" w:fill="FFFFFF"/>
          <w:lang w:val="en-US"/>
        </w:rPr>
      </w:pPr>
      <w:r w:rsidRPr="00A83E83">
        <w:rPr>
          <w:rFonts w:ascii="Times New Roman" w:hAnsi="Times New Roman" w:cs="Times New Roman"/>
          <w:noProof/>
          <w:sz w:val="24"/>
          <w:szCs w:val="24"/>
          <w:shd w:val="clear" w:color="auto" w:fill="FFFFFF"/>
          <w:lang w:eastAsia="es-ES"/>
        </w:rPr>
        <w:drawing>
          <wp:inline distT="0" distB="0" distL="0" distR="0" wp14:anchorId="5F207BEE" wp14:editId="7C3F522B">
            <wp:extent cx="6084792" cy="1667435"/>
            <wp:effectExtent l="0" t="0" r="0" b="9525"/>
            <wp:docPr id="328" name="Imagen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6099598" cy="1671492"/>
                    </a:xfrm>
                    <a:prstGeom prst="rect">
                      <a:avLst/>
                    </a:prstGeom>
                  </pic:spPr>
                </pic:pic>
              </a:graphicData>
            </a:graphic>
          </wp:inline>
        </w:drawing>
      </w:r>
    </w:p>
    <w:p w:rsidR="000E4E0C" w:rsidRPr="00DC55EC" w:rsidRDefault="000E4E0C" w:rsidP="000E4E0C">
      <w:pPr>
        <w:spacing w:line="240" w:lineRule="auto"/>
        <w:jc w:val="both"/>
        <w:rPr>
          <w:rFonts w:ascii="Times New Roman" w:hAnsi="Times New Roman" w:cs="Times New Roman"/>
          <w:sz w:val="24"/>
          <w:szCs w:val="24"/>
          <w:shd w:val="clear" w:color="auto" w:fill="FFFFFF"/>
          <w:lang w:val="en-US"/>
        </w:rPr>
      </w:pPr>
    </w:p>
    <w:p w:rsidR="000E4E0C" w:rsidRPr="00DC55EC" w:rsidRDefault="000E4E0C" w:rsidP="000E4E0C">
      <w:pPr>
        <w:spacing w:line="240" w:lineRule="auto"/>
        <w:jc w:val="both"/>
        <w:rPr>
          <w:rFonts w:ascii="Times New Roman" w:hAnsi="Times New Roman" w:cs="Times New Roman"/>
          <w:b/>
          <w:sz w:val="24"/>
          <w:szCs w:val="24"/>
          <w:shd w:val="clear" w:color="auto" w:fill="FFFFFF"/>
        </w:rPr>
      </w:pPr>
      <w:r w:rsidRPr="0044649D">
        <w:rPr>
          <w:rFonts w:ascii="Times New Roman" w:hAnsi="Times New Roman" w:cs="Times New Roman"/>
          <w:b/>
          <w:sz w:val="24"/>
          <w:szCs w:val="24"/>
          <w:shd w:val="clear" w:color="auto" w:fill="FFFFFF"/>
        </w:rPr>
        <w:t>Coeficiente Gini</w:t>
      </w:r>
      <w:r>
        <w:rPr>
          <w:rFonts w:ascii="Times New Roman" w:hAnsi="Times New Roman" w:cs="Times New Roman"/>
          <w:sz w:val="24"/>
          <w:szCs w:val="24"/>
          <w:shd w:val="clear" w:color="auto" w:fill="FFFFFF"/>
        </w:rPr>
        <w:t xml:space="preserve"> </w:t>
      </w:r>
      <w:r w:rsidRPr="001D24E3">
        <w:rPr>
          <w:rFonts w:ascii="Times New Roman" w:hAnsi="Times New Roman" w:cs="Times New Roman"/>
          <w:sz w:val="24"/>
          <w:szCs w:val="24"/>
          <w:shd w:val="clear" w:color="auto" w:fill="FFFFFF"/>
        </w:rPr>
        <w:t xml:space="preserve"> </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 xml:space="preserve"> 31</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Año base para la comparación. Anteriores no disponibles.</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27:</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 xml:space="preserve"> 30,6</w:t>
      </w:r>
      <w:r>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Variación 2010-2009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Aumenta la igualdad un 1,29 %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30,5</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2011-2009 = </w:t>
      </w:r>
      <w:r w:rsidRPr="001D24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Aumenta la igualdad un 1,61 %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2012</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30,8</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2012-2009 =  Aumenta la igualdad un 0,65 %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 xml:space="preserve"> 30,5</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2013-2009 =  Aumenta la igualdad un 1,61 %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w:t>
      </w:r>
      <w:r w:rsidRPr="001D24E3">
        <w:rPr>
          <w:rFonts w:ascii="Times New Roman" w:hAnsi="Times New Roman" w:cs="Times New Roman"/>
          <w:b/>
          <w:sz w:val="24"/>
          <w:szCs w:val="24"/>
          <w:shd w:val="clear" w:color="auto" w:fill="FFFFFF"/>
        </w:rPr>
        <w:t>4 -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sz w:val="24"/>
          <w:szCs w:val="24"/>
          <w:shd w:val="clear" w:color="auto" w:fill="FFFFFF"/>
        </w:rPr>
        <w:t xml:space="preserve"> Ratio</w:t>
      </w:r>
      <w:r>
        <w:rPr>
          <w:rFonts w:ascii="Times New Roman" w:hAnsi="Times New Roman" w:cs="Times New Roman"/>
          <w:sz w:val="24"/>
          <w:szCs w:val="24"/>
          <w:shd w:val="clear" w:color="auto" w:fill="FFFFFF"/>
        </w:rPr>
        <w:t xml:space="preserve"> 30,5</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2014-2009 =  Aumenta la igualdad un 1,61 %</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31,0</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2015-2009 =  No se modifica el coeficiente</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31,0</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2016-2009 =  No se modifica el coeficiente</w:t>
      </w:r>
    </w:p>
    <w:p w:rsidR="000E4E0C" w:rsidRPr="005019FF"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30,8</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2017-2009 =   Aumenta la igualdad un 0,65 %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sidRPr="001D24E3">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EU</w:t>
      </w:r>
      <w:r w:rsidRPr="001D24E3">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28:</w:t>
      </w:r>
      <w:r w:rsidRPr="001D24E3">
        <w:rPr>
          <w:rFonts w:ascii="Times New Roman" w:hAnsi="Times New Roman" w:cs="Times New Roman"/>
          <w:b/>
          <w:sz w:val="24"/>
          <w:szCs w:val="24"/>
          <w:shd w:val="clear" w:color="auto" w:fill="FFFFFF"/>
        </w:rPr>
        <w:t xml:space="preserve"> </w:t>
      </w:r>
      <w:r w:rsidRPr="001D24E3">
        <w:rPr>
          <w:rFonts w:ascii="Times New Roman" w:hAnsi="Times New Roman" w:cs="Times New Roman"/>
          <w:sz w:val="24"/>
          <w:szCs w:val="24"/>
          <w:shd w:val="clear" w:color="auto" w:fill="FFFFFF"/>
        </w:rPr>
        <w:t>Ratio</w:t>
      </w:r>
      <w:r>
        <w:rPr>
          <w:rFonts w:ascii="Times New Roman" w:hAnsi="Times New Roman" w:cs="Times New Roman"/>
          <w:sz w:val="24"/>
          <w:szCs w:val="24"/>
          <w:shd w:val="clear" w:color="auto" w:fill="FFFFFF"/>
        </w:rPr>
        <w:t xml:space="preserve"> 30,6</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 xml:space="preserve"> - Variación 2018-2009 =   Aumenta la igualdad un 1,29 %</w:t>
      </w:r>
    </w:p>
    <w:p w:rsidR="000E4E0C" w:rsidRDefault="000E4E0C" w:rsidP="000E4E0C">
      <w:pPr>
        <w:spacing w:line="240" w:lineRule="auto"/>
        <w:jc w:val="both"/>
        <w:rPr>
          <w:rFonts w:ascii="Times New Roman" w:hAnsi="Times New Roman" w:cs="Times New Roman"/>
          <w:sz w:val="24"/>
          <w:szCs w:val="24"/>
          <w:shd w:val="clear" w:color="auto" w:fill="FFFFFF"/>
        </w:rPr>
      </w:pPr>
    </w:p>
    <w:p w:rsidR="000E4E0C" w:rsidRDefault="000E4E0C" w:rsidP="000E4E0C">
      <w:pPr>
        <w:spacing w:line="240" w:lineRule="auto"/>
        <w:jc w:val="both"/>
        <w:rPr>
          <w:rFonts w:ascii="Times New Roman" w:hAnsi="Times New Roman" w:cs="Times New Roman"/>
          <w:sz w:val="24"/>
          <w:szCs w:val="24"/>
          <w:shd w:val="clear" w:color="auto" w:fill="FFFFFF"/>
        </w:rPr>
      </w:pPr>
    </w:p>
    <w:p w:rsidR="000E4E0C" w:rsidRDefault="000E4E0C" w:rsidP="000E4E0C">
      <w:pPr>
        <w:spacing w:line="240" w:lineRule="auto"/>
        <w:jc w:val="both"/>
        <w:rPr>
          <w:rFonts w:ascii="Times New Roman" w:hAnsi="Times New Roman" w:cs="Times New Roman"/>
          <w:b/>
          <w:sz w:val="24"/>
          <w:szCs w:val="24"/>
          <w:shd w:val="clear" w:color="auto" w:fill="FFFFFF"/>
        </w:rPr>
      </w:pPr>
      <w:r w:rsidRPr="00AA640A">
        <w:rPr>
          <w:rFonts w:ascii="Times New Roman" w:hAnsi="Times New Roman" w:cs="Times New Roman"/>
          <w:b/>
          <w:sz w:val="24"/>
          <w:szCs w:val="24"/>
          <w:shd w:val="clear" w:color="auto" w:fill="FFFFFF"/>
        </w:rPr>
        <w:lastRenderedPageBreak/>
        <w:t>EEUU</w:t>
      </w:r>
    </w:p>
    <w:p w:rsidR="000E4E0C" w:rsidRPr="00AA640A" w:rsidRDefault="000E4E0C" w:rsidP="000E4E0C">
      <w:pPr>
        <w:spacing w:line="240" w:lineRule="auto"/>
        <w:jc w:val="both"/>
        <w:rPr>
          <w:rFonts w:ascii="Times New Roman" w:hAnsi="Times New Roman" w:cs="Times New Roman"/>
          <w:b/>
          <w:sz w:val="24"/>
          <w:szCs w:val="24"/>
          <w:shd w:val="clear" w:color="auto" w:fill="FFFFFF"/>
        </w:rPr>
      </w:pPr>
      <w:r w:rsidRPr="00E26D73">
        <w:rPr>
          <w:rFonts w:ascii="Times New Roman" w:hAnsi="Times New Roman" w:cs="Times New Roman"/>
          <w:b/>
          <w:noProof/>
          <w:sz w:val="24"/>
          <w:szCs w:val="24"/>
          <w:shd w:val="clear" w:color="auto" w:fill="FFFFFF"/>
          <w:lang w:eastAsia="es-ES"/>
        </w:rPr>
        <w:drawing>
          <wp:inline distT="0" distB="0" distL="0" distR="0" wp14:anchorId="686E0D97" wp14:editId="610C4587">
            <wp:extent cx="6178923" cy="1492623"/>
            <wp:effectExtent l="0" t="0" r="0" b="0"/>
            <wp:docPr id="329" name="Imagen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6183464" cy="1493720"/>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b/>
          <w:sz w:val="24"/>
          <w:szCs w:val="24"/>
          <w:shd w:val="clear" w:color="auto" w:fill="FFFFFF"/>
        </w:rPr>
      </w:pPr>
    </w:p>
    <w:p w:rsidR="000E4E0C" w:rsidRPr="00DC55EC" w:rsidRDefault="000E4E0C" w:rsidP="000E4E0C">
      <w:pPr>
        <w:spacing w:line="240" w:lineRule="auto"/>
        <w:jc w:val="both"/>
        <w:rPr>
          <w:rFonts w:ascii="Times New Roman" w:hAnsi="Times New Roman" w:cs="Times New Roman"/>
          <w:b/>
          <w:sz w:val="24"/>
          <w:szCs w:val="24"/>
          <w:shd w:val="clear" w:color="auto" w:fill="FFFFFF"/>
        </w:rPr>
      </w:pPr>
      <w:r w:rsidRPr="0044649D">
        <w:rPr>
          <w:rFonts w:ascii="Times New Roman" w:hAnsi="Times New Roman" w:cs="Times New Roman"/>
          <w:b/>
          <w:sz w:val="24"/>
          <w:szCs w:val="24"/>
          <w:shd w:val="clear" w:color="auto" w:fill="FFFFFF"/>
        </w:rPr>
        <w:t>Coeficiente Gini</w:t>
      </w:r>
      <w:r>
        <w:rPr>
          <w:rFonts w:ascii="Times New Roman" w:hAnsi="Times New Roman" w:cs="Times New Roman"/>
          <w:sz w:val="24"/>
          <w:szCs w:val="24"/>
          <w:shd w:val="clear" w:color="auto" w:fill="FFFFFF"/>
        </w:rPr>
        <w:t xml:space="preserve"> </w:t>
      </w:r>
      <w:r w:rsidRPr="001D24E3">
        <w:rPr>
          <w:rFonts w:ascii="Times New Roman" w:hAnsi="Times New Roman" w:cs="Times New Roman"/>
          <w:sz w:val="24"/>
          <w:szCs w:val="24"/>
          <w:shd w:val="clear" w:color="auto" w:fill="FFFFFF"/>
        </w:rPr>
        <w:t xml:space="preserve"> </w:t>
      </w:r>
    </w:p>
    <w:p w:rsidR="000E4E0C" w:rsidRDefault="000E4E0C" w:rsidP="000E4E0C">
      <w:pPr>
        <w:spacing w:line="240" w:lineRule="auto"/>
        <w:jc w:val="both"/>
        <w:rPr>
          <w:rFonts w:ascii="Times New Roman" w:hAnsi="Times New Roman" w:cs="Times New Roman"/>
          <w:sz w:val="24"/>
          <w:szCs w:val="24"/>
          <w:shd w:val="clear" w:color="auto" w:fill="FFFFFF"/>
        </w:rPr>
      </w:pPr>
      <w:r w:rsidRPr="00AA640A">
        <w:rPr>
          <w:rFonts w:ascii="Times New Roman" w:hAnsi="Times New Roman" w:cs="Times New Roman"/>
          <w:b/>
          <w:sz w:val="24"/>
          <w:szCs w:val="24"/>
          <w:shd w:val="clear" w:color="auto" w:fill="FFFFFF"/>
        </w:rPr>
        <w:t>Año 2000</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xml:space="preserve">: Ratio 46,2  - Año base para la comparación </w:t>
      </w:r>
      <w:r w:rsidRPr="001D24E3">
        <w:rPr>
          <w:rFonts w:ascii="Times New Roman" w:hAnsi="Times New Roman" w:cs="Times New Roman"/>
          <w:sz w:val="24"/>
          <w:szCs w:val="24"/>
          <w:shd w:val="clear" w:color="auto" w:fill="FFFFFF"/>
        </w:rPr>
        <w:t xml:space="preserve">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2001</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46,6   - Variación 2001-2000 = Aumenta la desigualdad un 0,87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2002</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46,2  - Variación 2002-2000 = No se modifica el coeficiente</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2003</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46,4   - Variación 2003-2000 = Aumenta la desigualdad un 0,43 %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2004</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46,6  - Variación 2004-2000 = Aumenta la desigualdad un 0,87 %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2005</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46,9  - Variación 2005-2000 = Aumenta la desigualdad un  1,52 %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2006</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47,0  - Variación 2006-2000 = Aumenta la desigualdad un  1,73 %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2007</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46,3  - Variación 2007-2000 = Aumenta la desigualdad un  0,21 %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2008</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46,6  - Variación 2008-2000 = Aumenta la desigualdad un  0,87 %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2009</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46,8  - Variación 2009-2000 = Aumenta la desigualdad un  1,30 %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2010</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47,0  - Variación 2010-2000 = Aumenta la desigualdad un 1,73 %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2011</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47,7  - Variación 2011-2000 = Aumenta la desigualdad un 3,25 %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2012</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47,7  - Variación 2012-2000 = Aumenta la desigualdad un 3,25 %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2013</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47,9  - Variación 2013-2000 = Aumenta la desigualdad un 3,68 %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2014</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48,0  - Variación 2014-2000 = Aumenta la desigualdad un 3,90 %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2015</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47,9  - Variación 2015-2000 = Aumenta la desigualdad un 3,68 %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2016</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48,1  - Variación 2016-2000 = Aumenta la desigualdad un 4,11%</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2017</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49,1  - Variación 2017-2000 = Aumenta la desigualdad un 6,28 %</w:t>
      </w:r>
    </w:p>
    <w:p w:rsidR="000E4E0C" w:rsidRDefault="000E4E0C" w:rsidP="000E4E0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Año 2018</w:t>
      </w:r>
      <w:r>
        <w:rPr>
          <w:rFonts w:ascii="Times New Roman" w:hAnsi="Times New Roman" w:cs="Times New Roman"/>
          <w:sz w:val="24"/>
          <w:szCs w:val="24"/>
          <w:shd w:val="clear" w:color="auto" w:fill="FFFFFF"/>
        </w:rPr>
        <w:t xml:space="preserve"> - </w:t>
      </w:r>
      <w:r w:rsidRPr="00AA640A">
        <w:rPr>
          <w:rFonts w:ascii="Times New Roman" w:hAnsi="Times New Roman" w:cs="Times New Roman"/>
          <w:b/>
          <w:sz w:val="24"/>
          <w:szCs w:val="24"/>
          <w:shd w:val="clear" w:color="auto" w:fill="FFFFFF"/>
        </w:rPr>
        <w:t>EEUU</w:t>
      </w:r>
      <w:r>
        <w:rPr>
          <w:rFonts w:ascii="Times New Roman" w:hAnsi="Times New Roman" w:cs="Times New Roman"/>
          <w:sz w:val="24"/>
          <w:szCs w:val="24"/>
          <w:shd w:val="clear" w:color="auto" w:fill="FFFFFF"/>
        </w:rPr>
        <w:t>: Ratio 48,6  - Variación 2018-2000 = Aumenta la desigualdad un 5,19 %</w:t>
      </w:r>
    </w:p>
    <w:p w:rsidR="000E4E0C" w:rsidRDefault="000E4E0C" w:rsidP="000E4E0C">
      <w:pPr>
        <w:spacing w:line="240" w:lineRule="auto"/>
        <w:jc w:val="both"/>
        <w:rPr>
          <w:rFonts w:ascii="Times New Roman" w:hAnsi="Times New Roman" w:cs="Times New Roman"/>
          <w:sz w:val="24"/>
          <w:szCs w:val="24"/>
          <w:shd w:val="clear" w:color="auto" w:fill="FFFFFF"/>
        </w:rPr>
      </w:pPr>
      <w:r w:rsidRPr="003E1B70">
        <w:rPr>
          <w:rFonts w:ascii="Times New Roman" w:hAnsi="Times New Roman" w:cs="Times New Roman"/>
          <w:sz w:val="24"/>
          <w:szCs w:val="24"/>
          <w:shd w:val="clear" w:color="auto" w:fill="FFFFFF"/>
        </w:rPr>
        <w:t xml:space="preserve">El Coeficiente de Gini se basa en la Curva de Lorenz, que es una representación gráfica de una función de distribución acumulada, y se define matemáticamente como la proporción acumulada de los ingresos totales (eje y), que obtienen las proporciones acumuladas de la </w:t>
      </w:r>
      <w:r w:rsidRPr="003E1B70">
        <w:rPr>
          <w:rFonts w:ascii="Times New Roman" w:hAnsi="Times New Roman" w:cs="Times New Roman"/>
          <w:sz w:val="24"/>
          <w:szCs w:val="24"/>
          <w:shd w:val="clear" w:color="auto" w:fill="FFFFFF"/>
        </w:rPr>
        <w:lastRenderedPageBreak/>
        <w:t>población (eje x). La línea diagonal representa la igualdad perfecta de los ingresos: todos reciben la misma renta (el 20</w:t>
      </w:r>
      <w:r w:rsidR="008B0EFC">
        <w:rPr>
          <w:rFonts w:ascii="Times New Roman" w:hAnsi="Times New Roman" w:cs="Times New Roman"/>
          <w:sz w:val="24"/>
          <w:szCs w:val="24"/>
          <w:shd w:val="clear" w:color="auto" w:fill="FFFFFF"/>
        </w:rPr>
        <w:t xml:space="preserve"> </w:t>
      </w:r>
      <w:r w:rsidRPr="003E1B70">
        <w:rPr>
          <w:rFonts w:ascii="Times New Roman" w:hAnsi="Times New Roman" w:cs="Times New Roman"/>
          <w:sz w:val="24"/>
          <w:szCs w:val="24"/>
          <w:shd w:val="clear" w:color="auto" w:fill="FFFFFF"/>
        </w:rPr>
        <w:t>% de la población recibe el 20</w:t>
      </w:r>
      <w:r w:rsidR="008B0EFC">
        <w:rPr>
          <w:rFonts w:ascii="Times New Roman" w:hAnsi="Times New Roman" w:cs="Times New Roman"/>
          <w:sz w:val="24"/>
          <w:szCs w:val="24"/>
          <w:shd w:val="clear" w:color="auto" w:fill="FFFFFF"/>
        </w:rPr>
        <w:t xml:space="preserve"> </w:t>
      </w:r>
      <w:r w:rsidRPr="003E1B70">
        <w:rPr>
          <w:rFonts w:ascii="Times New Roman" w:hAnsi="Times New Roman" w:cs="Times New Roman"/>
          <w:sz w:val="24"/>
          <w:szCs w:val="24"/>
          <w:shd w:val="clear" w:color="auto" w:fill="FFFFFF"/>
        </w:rPr>
        <w:t>% de los ingresos; el 40</w:t>
      </w:r>
      <w:r w:rsidR="008B0EFC">
        <w:rPr>
          <w:rFonts w:ascii="Times New Roman" w:hAnsi="Times New Roman" w:cs="Times New Roman"/>
          <w:sz w:val="24"/>
          <w:szCs w:val="24"/>
          <w:shd w:val="clear" w:color="auto" w:fill="FFFFFF"/>
        </w:rPr>
        <w:t xml:space="preserve"> </w:t>
      </w:r>
      <w:r w:rsidRPr="003E1B70">
        <w:rPr>
          <w:rFonts w:ascii="Times New Roman" w:hAnsi="Times New Roman" w:cs="Times New Roman"/>
          <w:sz w:val="24"/>
          <w:szCs w:val="24"/>
          <w:shd w:val="clear" w:color="auto" w:fill="FFFFFF"/>
        </w:rPr>
        <w:t>% de la población el 40</w:t>
      </w:r>
      <w:r w:rsidR="008B0EFC">
        <w:rPr>
          <w:rFonts w:ascii="Times New Roman" w:hAnsi="Times New Roman" w:cs="Times New Roman"/>
          <w:sz w:val="24"/>
          <w:szCs w:val="24"/>
          <w:shd w:val="clear" w:color="auto" w:fill="FFFFFF"/>
        </w:rPr>
        <w:t xml:space="preserve"> </w:t>
      </w:r>
      <w:r w:rsidRPr="003E1B70">
        <w:rPr>
          <w:rFonts w:ascii="Times New Roman" w:hAnsi="Times New Roman" w:cs="Times New Roman"/>
          <w:sz w:val="24"/>
          <w:szCs w:val="24"/>
          <w:shd w:val="clear" w:color="auto" w:fill="FFFFFF"/>
        </w:rPr>
        <w:t xml:space="preserve">% de los ingresos, </w:t>
      </w:r>
      <w:r w:rsidR="005C1112" w:rsidRPr="003E1B70">
        <w:rPr>
          <w:rFonts w:ascii="Times New Roman" w:hAnsi="Times New Roman" w:cs="Times New Roman"/>
          <w:sz w:val="24"/>
          <w:szCs w:val="24"/>
          <w:shd w:val="clear" w:color="auto" w:fill="FFFFFF"/>
        </w:rPr>
        <w:t>etc.</w:t>
      </w:r>
      <w:r w:rsidRPr="003E1B70">
        <w:rPr>
          <w:rFonts w:ascii="Times New Roman" w:hAnsi="Times New Roman" w:cs="Times New Roman"/>
          <w:sz w:val="24"/>
          <w:szCs w:val="24"/>
          <w:shd w:val="clear" w:color="auto" w:fill="FFFFFF"/>
        </w:rPr>
        <w:t>). En la situación de máxima igualdad o equidad distributiva, el Coeficiente de Gini es igual a cero (el área A desaparece): a medida que aumenta la desigualdad, el Coeficiente de Gini se acerca al valor de 1.</w:t>
      </w:r>
    </w:p>
    <w:p w:rsidR="000E4E0C" w:rsidRPr="00C624D2" w:rsidRDefault="000E4E0C" w:rsidP="000E4E0C">
      <w:pPr>
        <w:spacing w:line="240" w:lineRule="auto"/>
        <w:jc w:val="both"/>
        <w:rPr>
          <w:rFonts w:ascii="Times New Roman" w:hAnsi="Times New Roman" w:cs="Times New Roman"/>
          <w:sz w:val="24"/>
          <w:szCs w:val="24"/>
          <w:u w:val="single"/>
          <w:shd w:val="clear" w:color="auto" w:fill="FFFFFF"/>
        </w:rPr>
      </w:pPr>
      <w:r w:rsidRPr="00C624D2">
        <w:rPr>
          <w:rFonts w:ascii="Times New Roman" w:hAnsi="Times New Roman" w:cs="Times New Roman"/>
          <w:sz w:val="24"/>
          <w:szCs w:val="24"/>
          <w:u w:val="single"/>
          <w:shd w:val="clear" w:color="auto" w:fill="FFFFFF"/>
        </w:rPr>
        <w:t>Estados Unidos - Índice de GINI</w:t>
      </w:r>
      <w:r>
        <w:rPr>
          <w:rFonts w:ascii="Times New Roman" w:hAnsi="Times New Roman" w:cs="Times New Roman"/>
          <w:sz w:val="24"/>
          <w:szCs w:val="24"/>
          <w:u w:val="single"/>
          <w:shd w:val="clear" w:color="auto" w:fill="FFFFFF"/>
        </w:rPr>
        <w:t xml:space="preserve"> </w:t>
      </w:r>
    </w:p>
    <w:p w:rsidR="000E4E0C" w:rsidRPr="00C624D2" w:rsidRDefault="000E4E0C" w:rsidP="000E4E0C">
      <w:pPr>
        <w:spacing w:line="240" w:lineRule="auto"/>
        <w:jc w:val="both"/>
        <w:rPr>
          <w:rFonts w:ascii="Times New Roman" w:hAnsi="Times New Roman" w:cs="Times New Roman"/>
          <w:sz w:val="24"/>
          <w:szCs w:val="24"/>
          <w:shd w:val="clear" w:color="auto" w:fill="FFFFFF"/>
        </w:rPr>
      </w:pPr>
      <w:r w:rsidRPr="00C624D2">
        <w:rPr>
          <w:rFonts w:ascii="Times New Roman" w:hAnsi="Times New Roman" w:cs="Times New Roman"/>
          <w:sz w:val="24"/>
          <w:szCs w:val="24"/>
          <w:shd w:val="clear" w:color="auto" w:fill="FFFFFF"/>
        </w:rPr>
        <w:t>El valor de Índice d</w:t>
      </w:r>
      <w:r>
        <w:rPr>
          <w:rFonts w:ascii="Times New Roman" w:hAnsi="Times New Roman" w:cs="Times New Roman"/>
          <w:sz w:val="24"/>
          <w:szCs w:val="24"/>
          <w:shd w:val="clear" w:color="auto" w:fill="FFFFFF"/>
        </w:rPr>
        <w:t>e Gini en Estados Unidos fue 41,</w:t>
      </w:r>
      <w:r w:rsidRPr="00C624D2">
        <w:rPr>
          <w:rFonts w:ascii="Times New Roman" w:hAnsi="Times New Roman" w:cs="Times New Roman"/>
          <w:sz w:val="24"/>
          <w:szCs w:val="24"/>
          <w:shd w:val="clear" w:color="auto" w:fill="FFFFFF"/>
        </w:rPr>
        <w:t xml:space="preserve">50 en 2016. Como el siguiente gráfico muestra, durante los últimos 37 años este indicador ha </w:t>
      </w:r>
      <w:r>
        <w:rPr>
          <w:rFonts w:ascii="Times New Roman" w:hAnsi="Times New Roman" w:cs="Times New Roman"/>
          <w:sz w:val="24"/>
          <w:szCs w:val="24"/>
          <w:shd w:val="clear" w:color="auto" w:fill="FFFFFF"/>
        </w:rPr>
        <w:t>alcanzado un valor máximo de 41,</w:t>
      </w:r>
      <w:r w:rsidRPr="00C624D2">
        <w:rPr>
          <w:rFonts w:ascii="Times New Roman" w:hAnsi="Times New Roman" w:cs="Times New Roman"/>
          <w:sz w:val="24"/>
          <w:szCs w:val="24"/>
          <w:shd w:val="clear" w:color="auto" w:fill="FFFFFF"/>
        </w:rPr>
        <w:t xml:space="preserve">50 </w:t>
      </w:r>
      <w:r>
        <w:rPr>
          <w:rFonts w:ascii="Times New Roman" w:hAnsi="Times New Roman" w:cs="Times New Roman"/>
          <w:sz w:val="24"/>
          <w:szCs w:val="24"/>
          <w:shd w:val="clear" w:color="auto" w:fill="FFFFFF"/>
        </w:rPr>
        <w:t>en 2016 y un valor mínimo de 34,</w:t>
      </w:r>
      <w:r w:rsidRPr="00C624D2">
        <w:rPr>
          <w:rFonts w:ascii="Times New Roman" w:hAnsi="Times New Roman" w:cs="Times New Roman"/>
          <w:sz w:val="24"/>
          <w:szCs w:val="24"/>
          <w:shd w:val="clear" w:color="auto" w:fill="FFFFFF"/>
        </w:rPr>
        <w:t>60 en 1979.</w:t>
      </w:r>
    </w:p>
    <w:p w:rsidR="000E4E0C" w:rsidRDefault="000E4E0C" w:rsidP="000E4E0C">
      <w:pPr>
        <w:spacing w:line="240" w:lineRule="auto"/>
        <w:jc w:val="both"/>
        <w:rPr>
          <w:rFonts w:ascii="Times New Roman" w:hAnsi="Times New Roman" w:cs="Times New Roman"/>
          <w:sz w:val="24"/>
          <w:szCs w:val="24"/>
          <w:shd w:val="clear" w:color="auto" w:fill="FFFFFF"/>
        </w:rPr>
      </w:pPr>
      <w:r w:rsidRPr="00C624D2">
        <w:rPr>
          <w:rFonts w:ascii="Times New Roman" w:hAnsi="Times New Roman" w:cs="Times New Roman"/>
          <w:noProof/>
          <w:sz w:val="24"/>
          <w:szCs w:val="24"/>
          <w:shd w:val="clear" w:color="auto" w:fill="FFFFFF"/>
          <w:lang w:eastAsia="es-ES"/>
        </w:rPr>
        <w:drawing>
          <wp:inline distT="0" distB="0" distL="0" distR="0" wp14:anchorId="53E68148" wp14:editId="4CFA9527">
            <wp:extent cx="4645959" cy="2259106"/>
            <wp:effectExtent l="0" t="0" r="2540" b="8255"/>
            <wp:docPr id="330" name="Imagen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4643159" cy="2257744"/>
                    </a:xfrm>
                    <a:prstGeom prst="rect">
                      <a:avLst/>
                    </a:prstGeom>
                  </pic:spPr>
                </pic:pic>
              </a:graphicData>
            </a:graphic>
          </wp:inline>
        </w:drawing>
      </w:r>
      <w:r w:rsidRPr="00C624D2">
        <w:rPr>
          <w:rFonts w:ascii="Times New Roman" w:hAnsi="Times New Roman" w:cs="Times New Roman"/>
          <w:noProof/>
          <w:sz w:val="24"/>
          <w:szCs w:val="24"/>
          <w:shd w:val="clear" w:color="auto" w:fill="FFFFFF"/>
          <w:lang w:eastAsia="es-ES"/>
        </w:rPr>
        <w:drawing>
          <wp:inline distT="0" distB="0" distL="0" distR="0" wp14:anchorId="4438C585" wp14:editId="50FE5CAD">
            <wp:extent cx="988359" cy="2474259"/>
            <wp:effectExtent l="0" t="0" r="2540" b="2540"/>
            <wp:docPr id="331" name="Imagen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990738" cy="2480215"/>
                    </a:xfrm>
                    <a:prstGeom prst="rect">
                      <a:avLst/>
                    </a:prstGeom>
                  </pic:spPr>
                </pic:pic>
              </a:graphicData>
            </a:graphic>
          </wp:inline>
        </w:drawing>
      </w:r>
    </w:p>
    <w:p w:rsidR="000E4E0C" w:rsidRDefault="000E4E0C" w:rsidP="000E4E0C">
      <w:pPr>
        <w:spacing w:line="240" w:lineRule="auto"/>
        <w:jc w:val="both"/>
        <w:rPr>
          <w:rFonts w:ascii="Times New Roman" w:hAnsi="Times New Roman" w:cs="Times New Roman"/>
          <w:sz w:val="24"/>
          <w:szCs w:val="24"/>
          <w:shd w:val="clear" w:color="auto" w:fill="FFFFFF"/>
        </w:rPr>
      </w:pPr>
      <w:r w:rsidRPr="00C624D2">
        <w:rPr>
          <w:rFonts w:ascii="Times New Roman" w:hAnsi="Times New Roman" w:cs="Times New Roman"/>
          <w:sz w:val="24"/>
          <w:szCs w:val="24"/>
          <w:shd w:val="clear" w:color="auto" w:fill="FFFFFF"/>
        </w:rPr>
        <w:t>Fuente: Banco Mundial, Grupo de investigaciones sobre el desarrollo. Los datos se basan en datos primarios obtenidos de encuestas de hogares de los organismos de estadística del gobierno y los departamentos de país del Banco Mundial. Puede obtener más información y datos sobre metodología véase PovcalNet</w:t>
      </w:r>
    </w:p>
    <w:p w:rsidR="000E4E0C" w:rsidRPr="00B54D85" w:rsidRDefault="000E4E0C" w:rsidP="000E4E0C">
      <w:pPr>
        <w:spacing w:line="240" w:lineRule="auto"/>
        <w:jc w:val="both"/>
        <w:rPr>
          <w:rFonts w:ascii="Times New Roman" w:hAnsi="Times New Roman" w:cs="Times New Roman"/>
          <w:sz w:val="24"/>
          <w:szCs w:val="24"/>
          <w:shd w:val="clear" w:color="auto" w:fill="FFFFFF"/>
        </w:rPr>
      </w:pPr>
      <w:r w:rsidRPr="00B54D85">
        <w:rPr>
          <w:rFonts w:ascii="Times New Roman" w:hAnsi="Times New Roman" w:cs="Times New Roman"/>
          <w:sz w:val="24"/>
          <w:szCs w:val="24"/>
          <w:shd w:val="clear" w:color="auto" w:fill="FFFFFF"/>
        </w:rPr>
        <w:t xml:space="preserve"> (</w:t>
      </w:r>
      <w:hyperlink r:id="rId275" w:history="1">
        <w:r w:rsidRPr="00B54D85">
          <w:rPr>
            <w:rStyle w:val="Hipervnculo"/>
            <w:rFonts w:ascii="Times New Roman" w:hAnsi="Times New Roman" w:cs="Times New Roman"/>
            <w:color w:val="auto"/>
            <w:sz w:val="24"/>
            <w:szCs w:val="24"/>
            <w:u w:val="none"/>
            <w:shd w:val="clear" w:color="auto" w:fill="FFFFFF"/>
          </w:rPr>
          <w:t>http://iresearch.worldbank.org/PovcalNet/index.htm</w:t>
        </w:r>
      </w:hyperlink>
      <w:r w:rsidRPr="00B54D85">
        <w:rPr>
          <w:rFonts w:ascii="Times New Roman" w:hAnsi="Times New Roman" w:cs="Times New Roman"/>
          <w:sz w:val="24"/>
          <w:szCs w:val="24"/>
          <w:shd w:val="clear" w:color="auto" w:fill="FFFFFF"/>
        </w:rPr>
        <w:t>).</w:t>
      </w:r>
    </w:p>
    <w:p w:rsidR="000E4E0C" w:rsidRPr="001D24E3" w:rsidRDefault="000E4E0C" w:rsidP="000E4E0C">
      <w:pPr>
        <w:spacing w:line="240" w:lineRule="auto"/>
        <w:jc w:val="both"/>
        <w:rPr>
          <w:rFonts w:ascii="Times New Roman" w:hAnsi="Times New Roman" w:cs="Times New Roman"/>
          <w:sz w:val="24"/>
          <w:szCs w:val="24"/>
          <w:shd w:val="clear" w:color="auto" w:fill="FFFFFF"/>
        </w:rPr>
      </w:pPr>
      <w:r w:rsidRPr="00B22075">
        <w:rPr>
          <w:rFonts w:ascii="Times New Roman" w:hAnsi="Times New Roman" w:cs="Times New Roman"/>
          <w:noProof/>
          <w:sz w:val="24"/>
          <w:szCs w:val="24"/>
          <w:shd w:val="clear" w:color="auto" w:fill="FFFFFF"/>
          <w:lang w:eastAsia="es-ES"/>
        </w:rPr>
        <w:drawing>
          <wp:inline distT="0" distB="0" distL="0" distR="0" wp14:anchorId="4661BAB2" wp14:editId="2E4427A4">
            <wp:extent cx="5728447" cy="2803712"/>
            <wp:effectExtent l="0" t="0" r="5715" b="0"/>
            <wp:docPr id="332"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5731510" cy="2805211"/>
                    </a:xfrm>
                    <a:prstGeom prst="rect">
                      <a:avLst/>
                    </a:prstGeom>
                  </pic:spPr>
                </pic:pic>
              </a:graphicData>
            </a:graphic>
          </wp:inline>
        </w:drawing>
      </w:r>
    </w:p>
    <w:p w:rsidR="000E4E0C" w:rsidRPr="000B6104" w:rsidRDefault="000E4E0C" w:rsidP="000E4E0C">
      <w:pPr>
        <w:spacing w:line="240" w:lineRule="auto"/>
        <w:jc w:val="both"/>
        <w:rPr>
          <w:rFonts w:ascii="Times New Roman" w:hAnsi="Times New Roman" w:cs="Times New Roman"/>
          <w:sz w:val="24"/>
          <w:szCs w:val="24"/>
          <w:shd w:val="clear" w:color="auto" w:fill="FFFFFF"/>
          <w:lang w:val="en-US"/>
        </w:rPr>
      </w:pPr>
      <w:r w:rsidRPr="000B6104">
        <w:rPr>
          <w:rFonts w:ascii="Times New Roman" w:hAnsi="Times New Roman" w:cs="Times New Roman"/>
          <w:sz w:val="24"/>
          <w:szCs w:val="24"/>
          <w:shd w:val="clear" w:color="auto" w:fill="FFFFFF"/>
          <w:lang w:val="en-US"/>
        </w:rPr>
        <w:t xml:space="preserve">Fuente: Statista 2020 - Published by Erin Duffin </w:t>
      </w:r>
      <w:r>
        <w:rPr>
          <w:rFonts w:ascii="Times New Roman" w:hAnsi="Times New Roman" w:cs="Times New Roman"/>
          <w:sz w:val="24"/>
          <w:szCs w:val="24"/>
          <w:shd w:val="clear" w:color="auto" w:fill="FFFFFF"/>
          <w:lang w:val="en-US"/>
        </w:rPr>
        <w:t>-</w:t>
      </w:r>
      <w:r w:rsidR="00B54D85">
        <w:rPr>
          <w:rFonts w:ascii="Times New Roman" w:hAnsi="Times New Roman" w:cs="Times New Roman"/>
          <w:sz w:val="24"/>
          <w:szCs w:val="24"/>
          <w:shd w:val="clear" w:color="auto" w:fill="FFFFFF"/>
          <w:lang w:val="en-US"/>
        </w:rPr>
        <w:t xml:space="preserve"> Sep</w:t>
      </w:r>
      <w:r w:rsidRPr="000B6104">
        <w:rPr>
          <w:rFonts w:ascii="Times New Roman" w:hAnsi="Times New Roman" w:cs="Times New Roman"/>
          <w:sz w:val="24"/>
          <w:szCs w:val="24"/>
          <w:shd w:val="clear" w:color="auto" w:fill="FFFFFF"/>
          <w:lang w:val="en-US"/>
        </w:rPr>
        <w:t>t. 2019</w:t>
      </w:r>
    </w:p>
    <w:p w:rsidR="000E4E0C" w:rsidRPr="00B54D85" w:rsidRDefault="000E4E0C" w:rsidP="000E4E0C">
      <w:pPr>
        <w:spacing w:line="240" w:lineRule="auto"/>
        <w:jc w:val="both"/>
        <w:rPr>
          <w:rFonts w:ascii="Times New Roman" w:hAnsi="Times New Roman" w:cs="Times New Roman"/>
          <w:b/>
          <w:sz w:val="24"/>
          <w:szCs w:val="24"/>
        </w:rPr>
      </w:pPr>
      <w:r w:rsidRPr="00B54D85">
        <w:rPr>
          <w:rFonts w:ascii="Times New Roman" w:hAnsi="Times New Roman" w:cs="Times New Roman"/>
          <w:b/>
          <w:sz w:val="24"/>
          <w:szCs w:val="24"/>
        </w:rPr>
        <w:lastRenderedPageBreak/>
        <w:t>- La “tanguedia” de la globalización</w:t>
      </w:r>
    </w:p>
    <w:p w:rsidR="000E4E0C" w:rsidRPr="0009475A" w:rsidRDefault="000E4E0C" w:rsidP="000E4E0C">
      <w:pPr>
        <w:spacing w:line="240" w:lineRule="auto"/>
        <w:jc w:val="both"/>
        <w:rPr>
          <w:rFonts w:ascii="Times New Roman" w:hAnsi="Times New Roman" w:cs="Times New Roman"/>
          <w:sz w:val="24"/>
          <w:szCs w:val="24"/>
        </w:rPr>
      </w:pPr>
      <w:r w:rsidRPr="0009475A">
        <w:rPr>
          <w:rFonts w:ascii="Times New Roman" w:hAnsi="Times New Roman" w:cs="Times New Roman"/>
          <w:sz w:val="24"/>
          <w:szCs w:val="24"/>
        </w:rPr>
        <w:t>“Y si alguna “</w:t>
      </w:r>
      <w:r w:rsidR="008B0EFC">
        <w:rPr>
          <w:rFonts w:ascii="Times New Roman" w:hAnsi="Times New Roman" w:cs="Times New Roman"/>
          <w:sz w:val="24"/>
          <w:szCs w:val="24"/>
        </w:rPr>
        <w:t>deuda chica” sin querer se me ha olvidado… e</w:t>
      </w:r>
      <w:r w:rsidRPr="0009475A">
        <w:rPr>
          <w:rFonts w:ascii="Times New Roman" w:hAnsi="Times New Roman" w:cs="Times New Roman"/>
          <w:sz w:val="24"/>
          <w:szCs w:val="24"/>
        </w:rPr>
        <w:t xml:space="preserve">n la cuenta del otario que </w:t>
      </w:r>
      <w:r w:rsidR="00B54D85">
        <w:rPr>
          <w:rFonts w:ascii="Times New Roman" w:hAnsi="Times New Roman" w:cs="Times New Roman"/>
          <w:sz w:val="24"/>
          <w:szCs w:val="24"/>
        </w:rPr>
        <w:t>“</w:t>
      </w:r>
      <w:r w:rsidRPr="0009475A">
        <w:rPr>
          <w:rFonts w:ascii="Times New Roman" w:hAnsi="Times New Roman" w:cs="Times New Roman"/>
          <w:sz w:val="24"/>
          <w:szCs w:val="24"/>
        </w:rPr>
        <w:t>tenés</w:t>
      </w:r>
      <w:r w:rsidR="00B54D85">
        <w:rPr>
          <w:rFonts w:ascii="Times New Roman" w:hAnsi="Times New Roman" w:cs="Times New Roman"/>
          <w:sz w:val="24"/>
          <w:szCs w:val="24"/>
        </w:rPr>
        <w:t>”</w:t>
      </w:r>
      <w:r w:rsidRPr="0009475A">
        <w:rPr>
          <w:rFonts w:ascii="Times New Roman" w:hAnsi="Times New Roman" w:cs="Times New Roman"/>
          <w:sz w:val="24"/>
          <w:szCs w:val="24"/>
        </w:rPr>
        <w:t xml:space="preserve"> se la </w:t>
      </w:r>
      <w:r w:rsidR="00B54D85">
        <w:rPr>
          <w:rFonts w:ascii="Times New Roman" w:hAnsi="Times New Roman" w:cs="Times New Roman"/>
          <w:sz w:val="24"/>
          <w:szCs w:val="24"/>
        </w:rPr>
        <w:t>“</w:t>
      </w:r>
      <w:r w:rsidRPr="0009475A">
        <w:rPr>
          <w:rFonts w:ascii="Times New Roman" w:hAnsi="Times New Roman" w:cs="Times New Roman"/>
          <w:sz w:val="24"/>
          <w:szCs w:val="24"/>
        </w:rPr>
        <w:t>cargás”</w:t>
      </w:r>
      <w:r w:rsidR="00B54D85">
        <w:rPr>
          <w:rFonts w:ascii="Times New Roman" w:hAnsi="Times New Roman" w:cs="Times New Roman"/>
          <w:sz w:val="24"/>
          <w:szCs w:val="24"/>
        </w:rPr>
        <w:t>”</w:t>
      </w:r>
      <w:r>
        <w:rPr>
          <w:rFonts w:ascii="Times New Roman" w:hAnsi="Times New Roman" w:cs="Times New Roman"/>
          <w:sz w:val="24"/>
          <w:szCs w:val="24"/>
        </w:rPr>
        <w:t>…</w:t>
      </w:r>
      <w:r w:rsidRPr="0009475A">
        <w:rPr>
          <w:rFonts w:ascii="Times New Roman" w:hAnsi="Times New Roman" w:cs="Times New Roman"/>
          <w:sz w:val="24"/>
          <w:szCs w:val="24"/>
        </w:rPr>
        <w:t xml:space="preserve"> (letra del Tango “Mano a mano”</w:t>
      </w:r>
      <w:r>
        <w:rPr>
          <w:rFonts w:ascii="Times New Roman" w:hAnsi="Times New Roman" w:cs="Times New Roman"/>
          <w:sz w:val="24"/>
          <w:szCs w:val="24"/>
        </w:rPr>
        <w:t>, de Gardel y Razzano</w:t>
      </w:r>
      <w:r w:rsidRPr="0009475A">
        <w:rPr>
          <w:rFonts w:ascii="Times New Roman" w:hAnsi="Times New Roman" w:cs="Times New Roman"/>
          <w:sz w:val="24"/>
          <w:szCs w:val="24"/>
        </w:rPr>
        <w:t>)</w:t>
      </w:r>
    </w:p>
    <w:p w:rsidR="000E4E0C" w:rsidRDefault="000E4E0C" w:rsidP="000E4E0C">
      <w:pPr>
        <w:spacing w:line="240" w:lineRule="auto"/>
        <w:jc w:val="both"/>
        <w:rPr>
          <w:rFonts w:ascii="Times New Roman" w:hAnsi="Times New Roman" w:cs="Times New Roman"/>
          <w:b/>
          <w:sz w:val="24"/>
          <w:szCs w:val="24"/>
        </w:rPr>
      </w:pPr>
      <w:r w:rsidRPr="0009475A">
        <w:rPr>
          <w:rFonts w:ascii="Times New Roman" w:hAnsi="Times New Roman" w:cs="Times New Roman"/>
          <w:b/>
          <w:sz w:val="24"/>
          <w:szCs w:val="24"/>
        </w:rPr>
        <w:t>Las</w:t>
      </w:r>
      <w:r>
        <w:rPr>
          <w:rFonts w:ascii="Times New Roman" w:hAnsi="Times New Roman" w:cs="Times New Roman"/>
          <w:b/>
          <w:sz w:val="24"/>
          <w:szCs w:val="24"/>
        </w:rPr>
        <w:t xml:space="preserve"> otras deudas de las (2) “</w:t>
      </w:r>
      <w:r w:rsidRPr="0009475A">
        <w:rPr>
          <w:rFonts w:ascii="Times New Roman" w:hAnsi="Times New Roman" w:cs="Times New Roman"/>
          <w:b/>
          <w:sz w:val="24"/>
          <w:szCs w:val="24"/>
        </w:rPr>
        <w:t>grandes depresiones</w:t>
      </w:r>
      <w:r>
        <w:rPr>
          <w:rFonts w:ascii="Times New Roman" w:hAnsi="Times New Roman" w:cs="Times New Roman"/>
          <w:b/>
          <w:sz w:val="24"/>
          <w:szCs w:val="24"/>
        </w:rPr>
        <w:t>”</w:t>
      </w:r>
      <w:r w:rsidRPr="0009475A">
        <w:rPr>
          <w:rFonts w:ascii="Times New Roman" w:hAnsi="Times New Roman" w:cs="Times New Roman"/>
          <w:b/>
          <w:sz w:val="24"/>
          <w:szCs w:val="24"/>
        </w:rPr>
        <w:t xml:space="preserve"> - Financiera 2008 y Sanitaria 2020</w:t>
      </w:r>
    </w:p>
    <w:p w:rsidR="000E4E0C" w:rsidRPr="00772259" w:rsidRDefault="000E4E0C" w:rsidP="000E4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(2008) </w:t>
      </w:r>
      <w:r w:rsidRPr="00772259">
        <w:rPr>
          <w:rFonts w:ascii="Times New Roman" w:hAnsi="Times New Roman" w:cs="Times New Roman"/>
          <w:b/>
          <w:sz w:val="24"/>
          <w:szCs w:val="24"/>
        </w:rPr>
        <w:t>El coste de la crisis financiera supera el 25% del PIB en los países desarrollados</w:t>
      </w:r>
    </w:p>
    <w:p w:rsidR="000E4E0C" w:rsidRDefault="000E4E0C" w:rsidP="000E4E0C">
      <w:pPr>
        <w:spacing w:line="240" w:lineRule="auto"/>
        <w:jc w:val="both"/>
        <w:rPr>
          <w:rFonts w:ascii="Times New Roman" w:hAnsi="Times New Roman" w:cs="Times New Roman"/>
          <w:sz w:val="24"/>
          <w:szCs w:val="24"/>
        </w:rPr>
      </w:pPr>
      <w:r w:rsidRPr="00772259">
        <w:rPr>
          <w:rFonts w:ascii="Times New Roman" w:hAnsi="Times New Roman" w:cs="Times New Roman"/>
          <w:sz w:val="24"/>
          <w:szCs w:val="24"/>
        </w:rPr>
        <w:t xml:space="preserve">- </w:t>
      </w:r>
      <w:r w:rsidRPr="00772259">
        <w:rPr>
          <w:rFonts w:ascii="Times New Roman" w:hAnsi="Times New Roman" w:cs="Times New Roman"/>
          <w:sz w:val="24"/>
          <w:szCs w:val="24"/>
          <w:u w:val="single"/>
        </w:rPr>
        <w:t>Un informe confidencial del FMI revela la factura de las ayudas a la banca</w:t>
      </w:r>
      <w:r>
        <w:rPr>
          <w:rFonts w:ascii="Times New Roman" w:hAnsi="Times New Roman" w:cs="Times New Roman"/>
          <w:sz w:val="24"/>
          <w:szCs w:val="24"/>
        </w:rPr>
        <w:t xml:space="preserve"> (El País - </w:t>
      </w:r>
      <w:r w:rsidRPr="00772259">
        <w:rPr>
          <w:rFonts w:ascii="Times New Roman" w:hAnsi="Times New Roman" w:cs="Times New Roman"/>
          <w:b/>
          <w:sz w:val="24"/>
          <w:szCs w:val="24"/>
        </w:rPr>
        <w:t>30/5/10</w:t>
      </w:r>
      <w:r>
        <w:rPr>
          <w:rFonts w:ascii="Times New Roman" w:hAnsi="Times New Roman" w:cs="Times New Roman"/>
          <w:sz w:val="24"/>
          <w:szCs w:val="24"/>
        </w:rPr>
        <w:t>)</w:t>
      </w:r>
    </w:p>
    <w:p w:rsidR="000E4E0C" w:rsidRDefault="000E4E0C" w:rsidP="000E4E0C">
      <w:pPr>
        <w:spacing w:line="240" w:lineRule="auto"/>
        <w:jc w:val="both"/>
        <w:rPr>
          <w:rFonts w:ascii="Times New Roman" w:hAnsi="Times New Roman" w:cs="Times New Roman"/>
          <w:sz w:val="24"/>
          <w:szCs w:val="24"/>
        </w:rPr>
      </w:pPr>
      <w:r w:rsidRPr="00772259">
        <w:rPr>
          <w:rFonts w:ascii="Times New Roman" w:hAnsi="Times New Roman" w:cs="Times New Roman"/>
          <w:sz w:val="24"/>
          <w:szCs w:val="24"/>
        </w:rPr>
        <w:t xml:space="preserve">Los recursos movilizados para hacer frente a la crisis financiera superan el 25% del PIB en los países desarrollados, según se desprende de los informes confidenciales elaborados por el Fondo Monetario Internacional (FMI) y la Comisión Europea. </w:t>
      </w:r>
      <w:r w:rsidRPr="00772259">
        <w:rPr>
          <w:rFonts w:ascii="Times New Roman" w:hAnsi="Times New Roman" w:cs="Times New Roman"/>
          <w:color w:val="FF0000"/>
          <w:sz w:val="24"/>
          <w:szCs w:val="24"/>
          <w:u w:val="single"/>
        </w:rPr>
        <w:t>El trabajo del FMI ha sido encargado por el G-20 a la vista de los impresionantes recursos aportados o garantizados por los contribuyentes (superiores a los 9,6 billones de dólares) para salvar los bancos, aunque una parte de ellos no han sido utilizados.</w:t>
      </w:r>
      <w:r w:rsidRPr="00772259">
        <w:rPr>
          <w:rFonts w:ascii="Times New Roman" w:hAnsi="Times New Roman" w:cs="Times New Roman"/>
          <w:sz w:val="24"/>
          <w:szCs w:val="24"/>
        </w:rPr>
        <w:t xml:space="preserve"> El G-20 tiene previsto discutir en su reunión</w:t>
      </w:r>
      <w:r>
        <w:rPr>
          <w:rFonts w:ascii="Times New Roman" w:hAnsi="Times New Roman" w:cs="Times New Roman"/>
          <w:sz w:val="24"/>
          <w:szCs w:val="24"/>
        </w:rPr>
        <w:t xml:space="preserve"> en Toronto a finales de junio “</w:t>
      </w:r>
      <w:r w:rsidRPr="00772259">
        <w:rPr>
          <w:rFonts w:ascii="Times New Roman" w:hAnsi="Times New Roman" w:cs="Times New Roman"/>
          <w:sz w:val="24"/>
          <w:szCs w:val="24"/>
        </w:rPr>
        <w:t>cómo el sector financiero podría hacer una justa y sustancial contribución p</w:t>
      </w:r>
      <w:r>
        <w:rPr>
          <w:rFonts w:ascii="Times New Roman" w:hAnsi="Times New Roman" w:cs="Times New Roman"/>
          <w:sz w:val="24"/>
          <w:szCs w:val="24"/>
        </w:rPr>
        <w:t>ara reparar el sistema bancario”</w:t>
      </w:r>
      <w:r w:rsidRPr="00772259">
        <w:rPr>
          <w:rFonts w:ascii="Times New Roman" w:hAnsi="Times New Roman" w:cs="Times New Roman"/>
          <w:sz w:val="24"/>
          <w:szCs w:val="24"/>
        </w:rPr>
        <w:t>.</w:t>
      </w:r>
    </w:p>
    <w:p w:rsidR="000E4E0C" w:rsidRDefault="000E4E0C" w:rsidP="000E4E0C">
      <w:pPr>
        <w:spacing w:line="240" w:lineRule="auto"/>
        <w:jc w:val="both"/>
        <w:rPr>
          <w:rFonts w:ascii="Times New Roman" w:hAnsi="Times New Roman" w:cs="Times New Roman"/>
          <w:sz w:val="24"/>
          <w:szCs w:val="24"/>
        </w:rPr>
      </w:pPr>
      <w:r w:rsidRPr="00772259">
        <w:rPr>
          <w:rFonts w:ascii="Times New Roman" w:hAnsi="Times New Roman" w:cs="Times New Roman"/>
          <w:sz w:val="24"/>
          <w:szCs w:val="24"/>
        </w:rPr>
        <w:t xml:space="preserve">El impacto para el sector público de la crisis bancaria se concentra prácticamente en </w:t>
      </w:r>
      <w:r w:rsidRPr="00772259">
        <w:rPr>
          <w:rFonts w:ascii="Times New Roman" w:hAnsi="Times New Roman" w:cs="Times New Roman"/>
          <w:b/>
          <w:color w:val="FF0000"/>
          <w:sz w:val="24"/>
          <w:szCs w:val="24"/>
          <w:u w:val="single"/>
        </w:rPr>
        <w:t>los llamados países avanzados del G-20 (Australia, Canadá, Francia, Alemania, Italia, Japón, Corea, Reino Unido y Estados Unidos) con más de 9,5 billones</w:t>
      </w:r>
      <w:r w:rsidRPr="00772259">
        <w:rPr>
          <w:rFonts w:ascii="Times New Roman" w:hAnsi="Times New Roman" w:cs="Times New Roman"/>
          <w:sz w:val="24"/>
          <w:szCs w:val="24"/>
        </w:rPr>
        <w:t>. En los países emergentes del grupo sólo han consumido dinero de los ciudadanos Brasil (1,3% del PIB) y Rusia (9,6%). El resto de miembros del club (Argentina, China, India, Indonesia, México, Arabia Saudí, África del Sur y Turquía) no han gastado ni un céntimo</w:t>
      </w:r>
      <w:r>
        <w:rPr>
          <w:rFonts w:ascii="Times New Roman" w:hAnsi="Times New Roman" w:cs="Times New Roman"/>
          <w:sz w:val="24"/>
          <w:szCs w:val="24"/>
        </w:rPr>
        <w:t>…</w:t>
      </w:r>
    </w:p>
    <w:p w:rsidR="000E4E0C" w:rsidRPr="00F1617C" w:rsidRDefault="000E4E0C" w:rsidP="000E4E0C">
      <w:pPr>
        <w:spacing w:line="240" w:lineRule="auto"/>
        <w:jc w:val="both"/>
        <w:rPr>
          <w:rFonts w:ascii="Times New Roman" w:hAnsi="Times New Roman" w:cs="Times New Roman"/>
          <w:b/>
          <w:color w:val="FF0000"/>
          <w:sz w:val="24"/>
          <w:szCs w:val="24"/>
          <w:u w:val="single"/>
        </w:rPr>
      </w:pPr>
      <w:r w:rsidRPr="00772259">
        <w:rPr>
          <w:rFonts w:ascii="Times New Roman" w:hAnsi="Times New Roman" w:cs="Times New Roman"/>
          <w:b/>
          <w:color w:val="FF0000"/>
          <w:sz w:val="24"/>
          <w:szCs w:val="24"/>
          <w:u w:val="single"/>
        </w:rPr>
        <w:t>Un reciente informe de la Comisión Europea cifra en 4,1 billones de euros los recursos públicos comprometidos entre octubre de 2008 y marzo de 2010, por 19 Estados europeos, lo que representa el 32,6% del PIB de la UE…</w:t>
      </w:r>
    </w:p>
    <w:p w:rsidR="000E4E0C" w:rsidRPr="00554A47" w:rsidRDefault="000E4E0C" w:rsidP="000E4E0C">
      <w:pPr>
        <w:spacing w:line="240" w:lineRule="auto"/>
        <w:jc w:val="both"/>
        <w:rPr>
          <w:rFonts w:ascii="Times New Roman" w:hAnsi="Times New Roman" w:cs="Times New Roman"/>
          <w:b/>
          <w:sz w:val="24"/>
          <w:szCs w:val="24"/>
        </w:rPr>
      </w:pPr>
      <w:r w:rsidRPr="00554A47">
        <w:rPr>
          <w:rFonts w:ascii="Times New Roman" w:hAnsi="Times New Roman" w:cs="Times New Roman"/>
          <w:b/>
          <w:sz w:val="24"/>
          <w:szCs w:val="24"/>
        </w:rPr>
        <w:t>Unión Europea</w:t>
      </w:r>
    </w:p>
    <w:p w:rsidR="000E4E0C" w:rsidRPr="001A2F47" w:rsidRDefault="000E4E0C" w:rsidP="000E4E0C">
      <w:pPr>
        <w:spacing w:line="240" w:lineRule="auto"/>
        <w:jc w:val="both"/>
        <w:rPr>
          <w:rFonts w:ascii="Times New Roman" w:hAnsi="Times New Roman" w:cs="Times New Roman"/>
          <w:sz w:val="24"/>
          <w:szCs w:val="24"/>
          <w:lang w:val="en-US"/>
        </w:rPr>
      </w:pPr>
      <w:r w:rsidRPr="0009475A">
        <w:rPr>
          <w:rFonts w:ascii="Times New Roman" w:hAnsi="Times New Roman" w:cs="Times New Roman"/>
          <w:sz w:val="24"/>
          <w:szCs w:val="24"/>
        </w:rPr>
        <w:t xml:space="preserve">- </w:t>
      </w:r>
      <w:r w:rsidRPr="0009475A">
        <w:rPr>
          <w:rFonts w:ascii="Times New Roman" w:hAnsi="Times New Roman" w:cs="Times New Roman"/>
          <w:sz w:val="24"/>
          <w:szCs w:val="24"/>
          <w:u w:val="single"/>
        </w:rPr>
        <w:t xml:space="preserve">La Euro Crisis. </w:t>
      </w:r>
      <w:r w:rsidRPr="001A2F47">
        <w:rPr>
          <w:rFonts w:ascii="Times New Roman" w:hAnsi="Times New Roman" w:cs="Times New Roman"/>
          <w:sz w:val="24"/>
          <w:szCs w:val="24"/>
          <w:u w:val="single"/>
          <w:lang w:val="en-US"/>
        </w:rPr>
        <w:t>Causas y síntomas</w:t>
      </w:r>
      <w:r w:rsidRPr="001A2F47">
        <w:rPr>
          <w:rFonts w:ascii="Times New Roman" w:hAnsi="Times New Roman" w:cs="Times New Roman"/>
          <w:sz w:val="24"/>
          <w:szCs w:val="24"/>
          <w:lang w:val="en-US"/>
        </w:rPr>
        <w:t xml:space="preserve"> (Christoph S. Weber - Friedrich-Alexander Universitaet Erlangen-Nuernberg, Ins</w:t>
      </w:r>
      <w:r w:rsidR="005C1112">
        <w:rPr>
          <w:rFonts w:ascii="Times New Roman" w:hAnsi="Times New Roman" w:cs="Times New Roman"/>
          <w:sz w:val="24"/>
          <w:szCs w:val="24"/>
          <w:lang w:val="en-US"/>
        </w:rPr>
        <w:t>ti</w:t>
      </w:r>
      <w:r w:rsidRPr="001A2F47">
        <w:rPr>
          <w:rFonts w:ascii="Times New Roman" w:hAnsi="Times New Roman" w:cs="Times New Roman"/>
          <w:sz w:val="24"/>
          <w:szCs w:val="24"/>
          <w:lang w:val="en-US"/>
        </w:rPr>
        <w:t xml:space="preserve">tute of Economics - Germany - analytics.scielo.org - </w:t>
      </w:r>
      <w:r w:rsidRPr="001A2F47">
        <w:rPr>
          <w:rFonts w:ascii="Times New Roman" w:hAnsi="Times New Roman" w:cs="Times New Roman"/>
          <w:b/>
          <w:sz w:val="24"/>
          <w:szCs w:val="24"/>
          <w:lang w:val="en-US"/>
        </w:rPr>
        <w:t>22/11/13</w:t>
      </w:r>
      <w:r w:rsidRPr="001A2F47">
        <w:rPr>
          <w:rFonts w:ascii="Times New Roman" w:hAnsi="Times New Roman" w:cs="Times New Roman"/>
          <w:sz w:val="24"/>
          <w:szCs w:val="24"/>
          <w:lang w:val="en-US"/>
        </w:rPr>
        <w:t>)</w:t>
      </w:r>
    </w:p>
    <w:p w:rsidR="000E4E0C" w:rsidRPr="000E4E0C" w:rsidRDefault="000E4E0C" w:rsidP="000E4E0C">
      <w:pPr>
        <w:spacing w:line="240" w:lineRule="auto"/>
        <w:jc w:val="both"/>
        <w:rPr>
          <w:rFonts w:ascii="Times New Roman" w:hAnsi="Times New Roman" w:cs="Times New Roman"/>
          <w:sz w:val="24"/>
          <w:szCs w:val="24"/>
        </w:rPr>
      </w:pPr>
      <w:r w:rsidRPr="000E4E0C">
        <w:rPr>
          <w:rFonts w:ascii="Times New Roman" w:hAnsi="Times New Roman" w:cs="Times New Roman"/>
          <w:sz w:val="24"/>
          <w:szCs w:val="24"/>
        </w:rPr>
        <w:t>(…)</w:t>
      </w:r>
    </w:p>
    <w:p w:rsidR="000E4E0C" w:rsidRPr="006976AA" w:rsidRDefault="000E4E0C" w:rsidP="000E4E0C">
      <w:pPr>
        <w:spacing w:line="240" w:lineRule="auto"/>
        <w:jc w:val="both"/>
        <w:rPr>
          <w:rFonts w:ascii="Times New Roman" w:hAnsi="Times New Roman" w:cs="Times New Roman"/>
          <w:sz w:val="24"/>
          <w:szCs w:val="24"/>
          <w:u w:val="single"/>
        </w:rPr>
      </w:pPr>
      <w:r w:rsidRPr="006976AA">
        <w:rPr>
          <w:rFonts w:ascii="Times New Roman" w:hAnsi="Times New Roman" w:cs="Times New Roman"/>
          <w:bCs/>
          <w:color w:val="000000"/>
          <w:sz w:val="24"/>
          <w:szCs w:val="24"/>
          <w:u w:val="single"/>
        </w:rPr>
        <w:t>Causas de la Euro crisis</w:t>
      </w:r>
    </w:p>
    <w:p w:rsidR="000E4E0C" w:rsidRPr="00EE02E5" w:rsidRDefault="000E4E0C" w:rsidP="000E4E0C">
      <w:pPr>
        <w:pStyle w:val="NormalWeb"/>
        <w:shd w:val="clear" w:color="auto" w:fill="FFFFFF"/>
        <w:jc w:val="both"/>
      </w:pPr>
      <w:r w:rsidRPr="00B01B0F">
        <w:rPr>
          <w:color w:val="000000"/>
        </w:rPr>
        <w:t xml:space="preserve">En la última sección, hemos visto el marco institucional de la Eurozona. Ya se mencionó que algunos países no cumplieron con los criterios de Maastricht. Por lo tanto, se plantea la cuestión de si la crisis actual es una consecuencia del gasto público excesivo. Aquí, es ilustrativo observar la deuda y el déficit públicos. </w:t>
      </w:r>
      <w:r w:rsidRPr="00EE02E5">
        <w:t>Los cuadros </w:t>
      </w:r>
      <w:bookmarkStart w:id="1" w:name="Cuadro3b"/>
      <w:r w:rsidRPr="00B54D85">
        <w:fldChar w:fldCharType="begin"/>
      </w:r>
      <w:r w:rsidRPr="00B54D85">
        <w:instrText xml:space="preserve"> HYPERLINK "http://www.scielo.org.mx/scielo.php?script=sci_arttext&amp;pid=S0187-69612015000200009" \l "Cuadro3a" </w:instrText>
      </w:r>
      <w:r w:rsidRPr="00B54D85">
        <w:fldChar w:fldCharType="separate"/>
      </w:r>
      <w:r w:rsidRPr="00B54D85">
        <w:rPr>
          <w:rStyle w:val="Hipervnculo"/>
          <w:color w:val="auto"/>
          <w:u w:val="none"/>
        </w:rPr>
        <w:t>3</w:t>
      </w:r>
      <w:r w:rsidRPr="00B54D85">
        <w:fldChar w:fldCharType="end"/>
      </w:r>
      <w:bookmarkEnd w:id="1"/>
      <w:r w:rsidRPr="00B54D85">
        <w:t> y </w:t>
      </w:r>
      <w:bookmarkStart w:id="2" w:name="Cuadro4b"/>
      <w:r w:rsidRPr="00B54D85">
        <w:fldChar w:fldCharType="begin"/>
      </w:r>
      <w:r w:rsidRPr="00B54D85">
        <w:instrText xml:space="preserve"> HYPERLINK "http://www.scielo.org.mx/scielo.php?script=sci_arttext&amp;pid=S0187-69612015000200009" \l "Cuadro4a" </w:instrText>
      </w:r>
      <w:r w:rsidRPr="00B54D85">
        <w:fldChar w:fldCharType="separate"/>
      </w:r>
      <w:r w:rsidRPr="00B54D85">
        <w:rPr>
          <w:rStyle w:val="Hipervnculo"/>
          <w:color w:val="auto"/>
          <w:u w:val="none"/>
        </w:rPr>
        <w:t>4</w:t>
      </w:r>
      <w:r w:rsidRPr="00B54D85">
        <w:fldChar w:fldCharType="end"/>
      </w:r>
      <w:bookmarkEnd w:id="2"/>
      <w:r w:rsidRPr="00B54D85">
        <w:t> </w:t>
      </w:r>
      <w:r w:rsidRPr="00EE02E5">
        <w:t>muestran la deuda y el déficit público de todos los estados miembros de la Eurozona.</w:t>
      </w:r>
    </w:p>
    <w:p w:rsidR="000E4E0C" w:rsidRPr="00EE02E5" w:rsidRDefault="000E4E0C" w:rsidP="000E4E0C">
      <w:pPr>
        <w:pStyle w:val="NormalWeb"/>
        <w:shd w:val="clear" w:color="auto" w:fill="FFFFFF"/>
        <w:jc w:val="both"/>
      </w:pPr>
    </w:p>
    <w:p w:rsidR="000E4E0C" w:rsidRPr="00F1617C" w:rsidRDefault="000E4E0C" w:rsidP="000E4E0C">
      <w:pPr>
        <w:pStyle w:val="NormalWeb"/>
        <w:shd w:val="clear" w:color="auto" w:fill="FFFFFF"/>
        <w:jc w:val="both"/>
        <w:rPr>
          <w:color w:val="000000"/>
        </w:rPr>
      </w:pPr>
      <w:bookmarkStart w:id="3" w:name="Cuadro3a"/>
      <w:r>
        <w:rPr>
          <w:color w:val="000000"/>
        </w:rPr>
        <w:lastRenderedPageBreak/>
        <w:t xml:space="preserve">          </w:t>
      </w:r>
      <w:r w:rsidRPr="00B01B0F">
        <w:rPr>
          <w:noProof/>
          <w:color w:val="0000FF"/>
        </w:rPr>
        <w:drawing>
          <wp:inline distT="0" distB="0" distL="0" distR="0" wp14:anchorId="6C5ABB11" wp14:editId="6FC77E13">
            <wp:extent cx="5237628" cy="3489512"/>
            <wp:effectExtent l="0" t="0" r="1270" b="0"/>
            <wp:docPr id="333" name="Imagen 333" descr="http://www.scielo.org.mx/img/revistas/estfro/v16n32/a9c3.jpg">
              <a:hlinkClick xmlns:a="http://schemas.openxmlformats.org/drawingml/2006/main" r:id="rId2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cielo.org.mx/img/revistas/estfro/v16n32/a9c3.jpg">
                      <a:hlinkClick r:id="rId277"/>
                    </pic:cNvPr>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237480" cy="3489413"/>
                    </a:xfrm>
                    <a:prstGeom prst="rect">
                      <a:avLst/>
                    </a:prstGeom>
                    <a:noFill/>
                    <a:ln>
                      <a:noFill/>
                    </a:ln>
                  </pic:spPr>
                </pic:pic>
              </a:graphicData>
            </a:graphic>
          </wp:inline>
        </w:drawing>
      </w:r>
      <w:bookmarkEnd w:id="3"/>
    </w:p>
    <w:bookmarkStart w:id="4" w:name="Cuadro4a"/>
    <w:p w:rsidR="000E4E0C" w:rsidRPr="00B01B0F" w:rsidRDefault="000E4E0C" w:rsidP="000E4E0C">
      <w:pPr>
        <w:pStyle w:val="NormalWeb"/>
        <w:shd w:val="clear" w:color="auto" w:fill="FFFFFF"/>
        <w:jc w:val="both"/>
        <w:rPr>
          <w:color w:val="000000"/>
        </w:rPr>
      </w:pPr>
      <w:r w:rsidRPr="00B01B0F">
        <w:rPr>
          <w:color w:val="000000"/>
        </w:rPr>
        <w:fldChar w:fldCharType="begin"/>
      </w:r>
      <w:r w:rsidRPr="00B01B0F">
        <w:rPr>
          <w:color w:val="000000"/>
        </w:rPr>
        <w:instrText xml:space="preserve"> HYPERLINK "http://www.scielo.org.mx/scielo.php?script=sci_arttext&amp;pid=S0187-69612015000200009" \l "Cuadro4b" </w:instrText>
      </w:r>
      <w:r w:rsidRPr="00B01B0F">
        <w:rPr>
          <w:color w:val="000000"/>
        </w:rPr>
        <w:fldChar w:fldCharType="separate"/>
      </w:r>
      <w:r w:rsidRPr="00B01B0F">
        <w:rPr>
          <w:color w:val="0000FF"/>
          <w:u w:val="single"/>
        </w:rPr>
        <w:br/>
      </w:r>
      <w:r w:rsidRPr="00B01B0F">
        <w:rPr>
          <w:noProof/>
          <w:color w:val="0000FF"/>
        </w:rPr>
        <w:drawing>
          <wp:inline distT="0" distB="0" distL="0" distR="0" wp14:anchorId="7F6DFD8D" wp14:editId="39A51344">
            <wp:extent cx="5647765" cy="3617259"/>
            <wp:effectExtent l="0" t="0" r="0" b="2540"/>
            <wp:docPr id="334" name="Imagen 334" descr="http://www.scielo.org.mx/img/revistas/estfro/v16n32/a9c4.jpg">
              <a:hlinkClick xmlns:a="http://schemas.openxmlformats.org/drawingml/2006/main" r:id="rId2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cielo.org.mx/img/revistas/estfro/v16n32/a9c4.jpg">
                      <a:hlinkClick r:id="rId279"/>
                    </pic:cNvPr>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648125" cy="3617490"/>
                    </a:xfrm>
                    <a:prstGeom prst="rect">
                      <a:avLst/>
                    </a:prstGeom>
                    <a:noFill/>
                    <a:ln>
                      <a:noFill/>
                    </a:ln>
                  </pic:spPr>
                </pic:pic>
              </a:graphicData>
            </a:graphic>
          </wp:inline>
        </w:drawing>
      </w:r>
      <w:r w:rsidRPr="00B01B0F">
        <w:rPr>
          <w:color w:val="000000"/>
        </w:rPr>
        <w:fldChar w:fldCharType="end"/>
      </w:r>
      <w:bookmarkEnd w:id="4"/>
    </w:p>
    <w:p w:rsidR="000E4E0C" w:rsidRPr="00B01B0F" w:rsidRDefault="000E4E0C" w:rsidP="000E4E0C">
      <w:pPr>
        <w:pStyle w:val="NormalWeb"/>
        <w:shd w:val="clear" w:color="auto" w:fill="FFFFFF"/>
        <w:jc w:val="both"/>
        <w:rPr>
          <w:color w:val="000000"/>
        </w:rPr>
      </w:pPr>
      <w:r w:rsidRPr="00B01B0F">
        <w:rPr>
          <w:color w:val="000000"/>
        </w:rPr>
        <w:t xml:space="preserve">Los números en negritas en los </w:t>
      </w:r>
      <w:r w:rsidRPr="00EE02E5">
        <w:t>cuadros </w:t>
      </w:r>
      <w:hyperlink r:id="rId281" w:anchor="Cuadro3a" w:history="1">
        <w:r w:rsidRPr="00B54D85">
          <w:rPr>
            <w:rStyle w:val="Hipervnculo"/>
            <w:color w:val="auto"/>
            <w:u w:val="none"/>
          </w:rPr>
          <w:t>3</w:t>
        </w:r>
      </w:hyperlink>
      <w:r w:rsidRPr="00B54D85">
        <w:t> y </w:t>
      </w:r>
      <w:hyperlink r:id="rId282" w:anchor="Cuadro4a" w:history="1">
        <w:r w:rsidRPr="00B54D85">
          <w:rPr>
            <w:rStyle w:val="Hipervnculo"/>
            <w:color w:val="auto"/>
            <w:u w:val="none"/>
          </w:rPr>
          <w:t>4</w:t>
        </w:r>
      </w:hyperlink>
      <w:r w:rsidRPr="00EE02E5">
        <w:t> </w:t>
      </w:r>
      <w:r w:rsidRPr="00B01B0F">
        <w:rPr>
          <w:color w:val="000000"/>
        </w:rPr>
        <w:t>indican incumplimientos de los criterios de Maastricht. Algunos aspectos son dignos de mención. Primero, el déficit público de Grecia y Portugal estuvo por encima del objetivo durante todos los años de membresía a la Eurozona. Incluso países como Alemania no cumplieron con el criterio de déficit en más de una ocasión. Por otro lado, países como España e Irlanda, que luego enfrentaron graves probl</w:t>
      </w:r>
      <w:r>
        <w:rPr>
          <w:color w:val="000000"/>
        </w:rPr>
        <w:t>emas, fueron “estudiantes ejemplares”</w:t>
      </w:r>
      <w:r w:rsidRPr="00B01B0F">
        <w:rPr>
          <w:color w:val="000000"/>
        </w:rPr>
        <w:t xml:space="preserve"> en cuanto a déficit público se refiere hasta el año 2008, logrando </w:t>
      </w:r>
      <w:r w:rsidRPr="00B01B0F">
        <w:rPr>
          <w:color w:val="000000"/>
        </w:rPr>
        <w:lastRenderedPageBreak/>
        <w:t>incluso alcanzar excedentes presupuestarios en algunos años. Sin embargo, Irlanda y España podrían haber alcanzado resultados mucho mejores ya que los ingresos fiscales eran altos debido a crédito y al auge inmobiliario (Lane, 2012). A partir del 2009, la mayoría de los países no cumplieron el criterio del 3%. Los datos sobre la deuda pública cuentan una historia similar, ya que Austria, Bélgica, Grecia e Italia nunca cumplieron con el requisito de la deuda. Alemania lo hizo sólo en una ocasión en un año. España e Irlanda estuvieron de nuevo entre los países con mejores resultados e incluso lograron reducir su relación deuda-PIB hasta el año 2008. La Eurozona en su conjunto logró reducir el endeudamiento desde 1999 hasta el 2007 con respecto al PIB, pero la situación cambió rotundamente después del 2008. La relación deuda-PIB se disparó en todos los países de la Eurozona, hecho que se vincula con la crisis financiera que comenzó en 2008.</w:t>
      </w:r>
    </w:p>
    <w:p w:rsidR="000E4E0C" w:rsidRPr="00B01B0F" w:rsidRDefault="000E4E0C" w:rsidP="000E4E0C">
      <w:pPr>
        <w:pStyle w:val="NormalWeb"/>
        <w:shd w:val="clear" w:color="auto" w:fill="FFFFFF"/>
        <w:jc w:val="both"/>
        <w:rPr>
          <w:color w:val="000000"/>
        </w:rPr>
      </w:pPr>
      <w:r w:rsidRPr="00B01B0F">
        <w:rPr>
          <w:color w:val="000000"/>
        </w:rPr>
        <w:t>Es así que la causa principal de la actual crisis en Europa no fueron los errores cometidos durante la creación de la Eurozona. No hubo crisis de la deuda pública en Europa hasta 2008. La Euro crisis es esencialmente el resultado de la crisis </w:t>
      </w:r>
      <w:r w:rsidRPr="00B01B0F">
        <w:rPr>
          <w:i/>
          <w:iCs/>
          <w:color w:val="000000"/>
        </w:rPr>
        <w:t>subprime</w:t>
      </w:r>
      <w:r>
        <w:rPr>
          <w:color w:val="000000"/>
        </w:rPr>
        <w:t> que comenzó en 2007 en los EEUU</w:t>
      </w:r>
      <w:r w:rsidRPr="00B01B0F">
        <w:rPr>
          <w:color w:val="000000"/>
        </w:rPr>
        <w:t>, y esto nos lleva inevitablemente a preguntarnos por qué Europa se vio afectada de modo tan severo. Muchos bancos europeos invirtieron en </w:t>
      </w:r>
      <w:r w:rsidRPr="00B01B0F">
        <w:rPr>
          <w:i/>
          <w:iCs/>
          <w:color w:val="000000"/>
        </w:rPr>
        <w:t>Asset Backed Securities</w:t>
      </w:r>
      <w:r w:rsidRPr="00B01B0F">
        <w:rPr>
          <w:color w:val="000000"/>
        </w:rPr>
        <w:t> (ABS) (valores respaldados por activos). Después del 2001, la política monetaria en Europa era relativamente expansiva, lo que llevó a los bancos e inversores a centrarse en inversiones alternativas dado que los bonos tradicionales no eran lucrativos debido a los bajos rendimientos. Los ABS parecían ser una buena opción ya que consistentemente obtenían buenos índices y mayores rendimientos. Por lo tanto, los bancos podrían financiarse a bajo costo en el BCE y comprar ABS de alto rendimiento. La otra causa de la participación de Europa en el sector </w:t>
      </w:r>
      <w:r w:rsidRPr="00B01B0F">
        <w:rPr>
          <w:i/>
          <w:iCs/>
          <w:color w:val="000000"/>
        </w:rPr>
        <w:t>subprime</w:t>
      </w:r>
      <w:r w:rsidRPr="00B01B0F">
        <w:rPr>
          <w:color w:val="000000"/>
        </w:rPr>
        <w:t xml:space="preserve"> a través de los ABS fue el financiamiento del gran déficit </w:t>
      </w:r>
      <w:r w:rsidR="00B54D85">
        <w:rPr>
          <w:color w:val="000000"/>
        </w:rPr>
        <w:t>en cuenta corriente de los EE</w:t>
      </w:r>
      <w:r w:rsidRPr="00B01B0F">
        <w:rPr>
          <w:color w:val="000000"/>
        </w:rPr>
        <w:t>UU. Los déficits comerciales de Estados Unidos fueron financiados con la venta de ABS a los países con superávit por cuenta corriente, especialmente a Alemania y los Países Bajos. Cuando la Fed aumentó las tasas de interés desde 2006 a 2007, la</w:t>
      </w:r>
      <w:r>
        <w:rPr>
          <w:color w:val="000000"/>
        </w:rPr>
        <w:t xml:space="preserve"> burbuja inmobiliaria en los EEUU</w:t>
      </w:r>
      <w:r w:rsidRPr="00B01B0F">
        <w:rPr>
          <w:color w:val="000000"/>
        </w:rPr>
        <w:t xml:space="preserve"> estalló y el valor de los ABS se desplomó. Esto desencadenó bajas masivas en el valor de los activos de los bancos, creando desconfianza entre bancos, y entre los ahorristas y los bancos. Como consecuencia, los ahorristas retiraron su dinero de los bancos, y estos últimos se mostraron reacios a prestarse dinero entre sí. Aun así, la situación era todavía relativamente tranquila hasta que Lehman Brothers se fue a la quiebra. Esta insolvencia causó un desplome de los mercados bursátiles en todo el mundo, provocando nuevas amortizaciones y pérdidas de los bancos, lo que a su vez desencadenó solvencia y problemas de liquidez para muchos de ellos.</w:t>
      </w:r>
    </w:p>
    <w:p w:rsidR="000E4E0C" w:rsidRPr="00B01B0F" w:rsidRDefault="000E4E0C" w:rsidP="000E4E0C">
      <w:pPr>
        <w:pStyle w:val="NormalWeb"/>
        <w:shd w:val="clear" w:color="auto" w:fill="FFFFFF"/>
        <w:jc w:val="both"/>
        <w:rPr>
          <w:color w:val="000000"/>
        </w:rPr>
      </w:pPr>
      <w:r w:rsidRPr="00B01B0F">
        <w:rPr>
          <w:color w:val="000000"/>
        </w:rPr>
        <w:t>La diferencia entre la Europa continental y los países anglosajones es que en estos últimos, el sistema financiero está orientado al mercado y no dominado por los bancos. En Europa, las compañías y los individuos financian sus inversiones al pedir préstamos a sus propios bancos y retener las ganancias. Las pequeñas y medianas empresas rara vez emiten bonos corporativos para obtener liquidez. Por eso los bancos son esenciales para el funcionamiento de la verdadera economía. Es más, los bancos nacionales son relativamente grandes en comparación con las economías domésticas. Varios balances totales de bancos representan más del 100% del PIB del país en el que se encuentran, e incluso, los bancos europeos todavía invierten principalmente en activos domésticos y en los bonos del gobierno, lo que crea dependencia mutua entre bancos y gobiernos. La solvencia de los bancos depende de la solvencia del país donde se encuentra y viceversa y esta dependencia obligó a los gobiernos europeos a salvar a los bancos. Muchos bancos fueron reestructurados o necesitaron capital y liquidez. La </w:t>
      </w:r>
      <w:bookmarkStart w:id="5" w:name="Figura1a"/>
      <w:r w:rsidRPr="00B54D85">
        <w:fldChar w:fldCharType="begin"/>
      </w:r>
      <w:r w:rsidRPr="00B54D85">
        <w:instrText xml:space="preserve"> HYPERLINK "http://www.scielo.org.mx/scielo.php?script=sci_arttext&amp;pid=S0187-69612015000200009" \l "Figura1b" </w:instrText>
      </w:r>
      <w:r w:rsidRPr="00B54D85">
        <w:fldChar w:fldCharType="separate"/>
      </w:r>
      <w:r w:rsidRPr="00B54D85">
        <w:rPr>
          <w:rStyle w:val="Hipervnculo"/>
          <w:color w:val="auto"/>
          <w:u w:val="none"/>
        </w:rPr>
        <w:t>figura 1</w:t>
      </w:r>
      <w:r w:rsidRPr="00B54D85">
        <w:fldChar w:fldCharType="end"/>
      </w:r>
      <w:bookmarkEnd w:id="5"/>
      <w:r w:rsidRPr="00B01B0F">
        <w:rPr>
          <w:color w:val="000000"/>
        </w:rPr>
        <w:t> muestra la cantidad de medidas de rescate en la Eurozona.</w:t>
      </w:r>
    </w:p>
    <w:p w:rsidR="000E4E0C" w:rsidRPr="00B01B0F" w:rsidRDefault="000E4E0C" w:rsidP="000E4E0C">
      <w:pPr>
        <w:pStyle w:val="NormalWeb"/>
        <w:shd w:val="clear" w:color="auto" w:fill="FFFFFF"/>
        <w:jc w:val="both"/>
        <w:rPr>
          <w:color w:val="000000"/>
        </w:rPr>
      </w:pPr>
      <w:bookmarkStart w:id="6" w:name="Figura1b"/>
      <w:r>
        <w:rPr>
          <w:color w:val="000000"/>
        </w:rPr>
        <w:lastRenderedPageBreak/>
        <w:t xml:space="preserve">          </w:t>
      </w:r>
      <w:r w:rsidRPr="00B01B0F">
        <w:rPr>
          <w:noProof/>
          <w:color w:val="0000FF"/>
        </w:rPr>
        <w:drawing>
          <wp:inline distT="0" distB="0" distL="0" distR="0" wp14:anchorId="30017206" wp14:editId="4280206E">
            <wp:extent cx="5237589" cy="2857500"/>
            <wp:effectExtent l="0" t="0" r="1270" b="0"/>
            <wp:docPr id="335" name="Imagen 335" descr="http://www.scielo.org.mx/img/revistas/estfro/v16n32/a9f1.jpg">
              <a:hlinkClick xmlns:a="http://schemas.openxmlformats.org/drawingml/2006/main" r:id="rId2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cielo.org.mx/img/revistas/estfro/v16n32/a9f1.jpg">
                      <a:hlinkClick r:id="rId283"/>
                    </pic:cNvPr>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237480" cy="2857441"/>
                    </a:xfrm>
                    <a:prstGeom prst="rect">
                      <a:avLst/>
                    </a:prstGeom>
                    <a:noFill/>
                    <a:ln>
                      <a:noFill/>
                    </a:ln>
                  </pic:spPr>
                </pic:pic>
              </a:graphicData>
            </a:graphic>
          </wp:inline>
        </w:drawing>
      </w:r>
      <w:bookmarkEnd w:id="6"/>
    </w:p>
    <w:p w:rsidR="000E4E0C" w:rsidRPr="00B01B0F" w:rsidRDefault="000E4E0C" w:rsidP="000E4E0C">
      <w:pPr>
        <w:pStyle w:val="NormalWeb"/>
        <w:shd w:val="clear" w:color="auto" w:fill="FFFFFF"/>
        <w:jc w:val="both"/>
        <w:rPr>
          <w:color w:val="000000"/>
        </w:rPr>
      </w:pPr>
      <w:r w:rsidRPr="00B01B0F">
        <w:rPr>
          <w:color w:val="000000"/>
        </w:rPr>
        <w:t>Tal como lo ilustra la </w:t>
      </w:r>
      <w:hyperlink r:id="rId285" w:anchor="Figura1b" w:history="1">
        <w:r w:rsidRPr="00B54D85">
          <w:rPr>
            <w:rStyle w:val="Hipervnculo"/>
            <w:color w:val="auto"/>
            <w:u w:val="none"/>
          </w:rPr>
          <w:t>figura 1</w:t>
        </w:r>
      </w:hyperlink>
      <w:r w:rsidRPr="00B01B0F">
        <w:rPr>
          <w:color w:val="000000"/>
        </w:rPr>
        <w:t>, las medidas de rescate consistían en garantías, medidas de alivio, medidas de recapitalización y medidas de liquidez. Las garantías representan la mayor parte, alcanzando 320 mil millones de euros en 2008. Esta suma se duplicó en 2009, al igual que en 2010. También resulta enriquecedor analizar las cifras de la reestructuración bancaria entre 2008 y 2010. Italia (19) y Austria (17) fueron los países que reestructuraron la mayor cantidad de bancos durante esa época. Esta cifra es mucho menor que el número de b</w:t>
      </w:r>
      <w:r>
        <w:rPr>
          <w:color w:val="000000"/>
        </w:rPr>
        <w:t>ancos reestructurados en los EEUU</w:t>
      </w:r>
      <w:r w:rsidRPr="00B01B0F">
        <w:rPr>
          <w:color w:val="000000"/>
        </w:rPr>
        <w:t xml:space="preserve"> (53). Es aún más interesante el hecho de que España sólo cerró tres bancos. España es uno de los países más afectados por la crisis porque también sufrió el estallido de la burbuja de precios inmobiliarios. Por ende, se esperaría que este país reestructure más bancos, especialmente porque hay gran cantidad de cajas de ahorro en dificultades. Pero, ¿por qué España sólo cerró tres bancos? Existen básicamente dos razones. La primera es que los políticos eran más que conscientes de los problemas del mercado inmobiliario y el cerrar más bancos hubiese puesto mayor presión en los precios debido a mayores tasas de embargo. Ellos también querían que los bancos continuaran prestándole dinero al sector privado para estabilizar la economía. La segunda razón tiene que ver con que el gobierno estaba al tanto de los costos fiscales masivos en los que una reestructuración habría incurrido. Es por eso que dudaron a la hora de sanear el sector bancario. En retrospectiva, sabemos que demorar la crisis bancaria fue un grave error. Países como l</w:t>
      </w:r>
      <w:r>
        <w:rPr>
          <w:color w:val="000000"/>
        </w:rPr>
        <w:t>os EEUU</w:t>
      </w:r>
      <w:r w:rsidRPr="00B01B0F">
        <w:rPr>
          <w:color w:val="000000"/>
        </w:rPr>
        <w:t xml:space="preserve"> que pudieron limpiar el desorden rápidamente, se encuentran ahora en una situación mucho mejor.</w:t>
      </w:r>
    </w:p>
    <w:p w:rsidR="000E4E0C" w:rsidRPr="00B01B0F" w:rsidRDefault="000E4E0C" w:rsidP="000E4E0C">
      <w:pPr>
        <w:pStyle w:val="NormalWeb"/>
        <w:shd w:val="clear" w:color="auto" w:fill="FFFFFF"/>
        <w:jc w:val="both"/>
        <w:rPr>
          <w:color w:val="000000"/>
        </w:rPr>
      </w:pPr>
      <w:r w:rsidRPr="00B01B0F">
        <w:rPr>
          <w:color w:val="000000"/>
        </w:rPr>
        <w:t>Sin embargo, la causa principal de la actual crisis de deuda pública es la excesiva deuda privada, no la pública misma. Tanto bancos como individuos aumentaron los préstamos, pero el problema fue que estos créditos no sólo se utilizaron en inversiones para aumentar la productividad sino también para el consumo y la inversión en el sector inmobiliario.</w:t>
      </w:r>
    </w:p>
    <w:p w:rsidR="000E4E0C" w:rsidRPr="00B01B0F" w:rsidRDefault="000E4E0C" w:rsidP="000E4E0C">
      <w:pPr>
        <w:pStyle w:val="NormalWeb"/>
        <w:shd w:val="clear" w:color="auto" w:fill="FFFFFF"/>
        <w:jc w:val="both"/>
        <w:rPr>
          <w:color w:val="000000"/>
        </w:rPr>
      </w:pPr>
      <w:r w:rsidRPr="00B01B0F">
        <w:rPr>
          <w:color w:val="000000"/>
        </w:rPr>
        <w:t>La </w:t>
      </w:r>
      <w:bookmarkStart w:id="7" w:name="Figura2a"/>
      <w:r w:rsidRPr="00B54D85">
        <w:fldChar w:fldCharType="begin"/>
      </w:r>
      <w:r w:rsidRPr="00B54D85">
        <w:instrText xml:space="preserve"> HYPERLINK "http://www.scielo.org.mx/scielo.php?script=sci_arttext&amp;pid=S0187-69612015000200009" \l "Figura2b" </w:instrText>
      </w:r>
      <w:r w:rsidRPr="00B54D85">
        <w:fldChar w:fldCharType="separate"/>
      </w:r>
      <w:r w:rsidRPr="00B54D85">
        <w:rPr>
          <w:rStyle w:val="Hipervnculo"/>
          <w:color w:val="auto"/>
          <w:u w:val="none"/>
        </w:rPr>
        <w:t>figura 2</w:t>
      </w:r>
      <w:r w:rsidRPr="00B54D85">
        <w:fldChar w:fldCharType="end"/>
      </w:r>
      <w:bookmarkEnd w:id="7"/>
      <w:r w:rsidRPr="00EE02E5">
        <w:t> </w:t>
      </w:r>
      <w:r w:rsidRPr="00B01B0F">
        <w:rPr>
          <w:color w:val="000000"/>
        </w:rPr>
        <w:t xml:space="preserve">muestra el desarrollo de la deuda privada en ciertos países de la Eurozona. Aparentemente la deuda privada estuvo atravesando una etapa de expansión hasta el comienzo de la crisis financiera. Sólo algunos países lograron mantener la deuda privada como porcentaje del PIB estable después de que estallara la crisis. El gasto de los individuos, las empresas y los gobiernos de los países PIIGS fue financiado </w:t>
      </w:r>
      <w:r>
        <w:rPr>
          <w:color w:val="000000"/>
        </w:rPr>
        <w:t>por los capitales excedentes</w:t>
      </w:r>
      <w:r w:rsidRPr="00B01B0F">
        <w:rPr>
          <w:color w:val="000000"/>
        </w:rPr>
        <w:t xml:space="preserve">. Los préstamos se utilizaron para la compra de viviendas y en el pico del boom inmobiliario, la proporción de las inversiones de construcción con respecto al PIB fue del 22% en Irlanda y </w:t>
      </w:r>
      <w:r w:rsidRPr="00B01B0F">
        <w:rPr>
          <w:color w:val="000000"/>
        </w:rPr>
        <w:lastRenderedPageBreak/>
        <w:t>del 18% en España (Neubäumer 2011, p. 828). España e Irlanda tenían sus propias burbujas de precios inmobiliarios, burbujas que estallaron poco después que lo hiciera la burbuja de las hipotecas </w:t>
      </w:r>
      <w:r w:rsidRPr="00B01B0F">
        <w:rPr>
          <w:i/>
          <w:iCs/>
          <w:color w:val="000000"/>
        </w:rPr>
        <w:t>subprime</w:t>
      </w:r>
      <w:r w:rsidRPr="00B01B0F">
        <w:rPr>
          <w:color w:val="000000"/>
        </w:rPr>
        <w:t>.</w:t>
      </w:r>
    </w:p>
    <w:p w:rsidR="000E4E0C" w:rsidRPr="00B01B0F" w:rsidRDefault="000E4E0C" w:rsidP="000E4E0C">
      <w:pPr>
        <w:pStyle w:val="NormalWeb"/>
        <w:shd w:val="clear" w:color="auto" w:fill="FFFFFF"/>
        <w:jc w:val="both"/>
        <w:rPr>
          <w:color w:val="000000"/>
        </w:rPr>
      </w:pPr>
      <w:bookmarkStart w:id="8" w:name="Figura2b"/>
      <w:r>
        <w:rPr>
          <w:color w:val="000000"/>
        </w:rPr>
        <w:t xml:space="preserve">           </w:t>
      </w:r>
      <w:r w:rsidRPr="00B01B0F">
        <w:rPr>
          <w:noProof/>
          <w:color w:val="0000FF"/>
        </w:rPr>
        <w:drawing>
          <wp:inline distT="0" distB="0" distL="0" distR="0" wp14:anchorId="12B6FED6" wp14:editId="115B1E8D">
            <wp:extent cx="5237628" cy="2864223"/>
            <wp:effectExtent l="0" t="0" r="1270" b="0"/>
            <wp:docPr id="336" name="Imagen 336" descr="http://www.scielo.org.mx/img/revistas/estfro/v16n32/a9f2.jpg">
              <a:hlinkClick xmlns:a="http://schemas.openxmlformats.org/drawingml/2006/main" r:id="rId2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cielo.org.mx/img/revistas/estfro/v16n32/a9f2.jpg">
                      <a:hlinkClick r:id="rId286"/>
                    </pic:cNvPr>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237480" cy="2864142"/>
                    </a:xfrm>
                    <a:prstGeom prst="rect">
                      <a:avLst/>
                    </a:prstGeom>
                    <a:noFill/>
                    <a:ln>
                      <a:noFill/>
                    </a:ln>
                  </pic:spPr>
                </pic:pic>
              </a:graphicData>
            </a:graphic>
          </wp:inline>
        </w:drawing>
      </w:r>
      <w:bookmarkEnd w:id="8"/>
    </w:p>
    <w:p w:rsidR="000E4E0C" w:rsidRDefault="000E4E0C" w:rsidP="000E4E0C">
      <w:pPr>
        <w:pStyle w:val="NormalWeb"/>
        <w:shd w:val="clear" w:color="auto" w:fill="FFFFFF"/>
        <w:jc w:val="both"/>
        <w:rPr>
          <w:color w:val="000000"/>
        </w:rPr>
      </w:pPr>
      <w:r w:rsidRPr="00B01B0F">
        <w:rPr>
          <w:color w:val="000000"/>
        </w:rPr>
        <w:t>En resumen la causa de todos los males yace en la crisis económica. Previo al estallido de la crisis económica, la Eurozona lograba hacerle frente a los problemas que datan de la época de la creación del área monetaria. La Gran Recesión obligó a los países a rescatar a los bancos y a las empresas, y a implementar una política fiscal expansiva para combatir la recesión.</w:t>
      </w:r>
    </w:p>
    <w:p w:rsidR="000E4E0C" w:rsidRDefault="000E4E0C" w:rsidP="000E4E0C">
      <w:pPr>
        <w:pStyle w:val="NormalWeb"/>
        <w:shd w:val="clear" w:color="auto" w:fill="FFFFFF"/>
        <w:jc w:val="both"/>
        <w:rPr>
          <w:color w:val="000000"/>
        </w:rPr>
      </w:pPr>
      <w:r>
        <w:rPr>
          <w:color w:val="000000"/>
        </w:rPr>
        <w:t xml:space="preserve">- </w:t>
      </w:r>
      <w:r w:rsidRPr="006976AA">
        <w:rPr>
          <w:color w:val="000000"/>
          <w:u w:val="single"/>
        </w:rPr>
        <w:t>Estrategias económicas de salida de la crisis</w:t>
      </w:r>
      <w:r>
        <w:rPr>
          <w:color w:val="000000"/>
        </w:rPr>
        <w:t xml:space="preserve"> (</w:t>
      </w:r>
      <w:r w:rsidRPr="009D7272">
        <w:rPr>
          <w:color w:val="000000"/>
        </w:rPr>
        <w:t>Discurso pronunciado por José Manuel González-Páramo, miembr</w:t>
      </w:r>
      <w:r>
        <w:rPr>
          <w:color w:val="000000"/>
        </w:rPr>
        <w:t xml:space="preserve">o del Comité Ejecutivo del BCE, Fundación Ramón Areces, </w:t>
      </w:r>
      <w:r w:rsidRPr="009D7272">
        <w:rPr>
          <w:color w:val="000000"/>
        </w:rPr>
        <w:t xml:space="preserve">Madrid, </w:t>
      </w:r>
      <w:r w:rsidRPr="004F114C">
        <w:rPr>
          <w:b/>
          <w:color w:val="000000"/>
        </w:rPr>
        <w:t>25 de marzo de 2010</w:t>
      </w:r>
      <w:r>
        <w:rPr>
          <w:color w:val="000000"/>
        </w:rPr>
        <w:t>)</w:t>
      </w:r>
    </w:p>
    <w:p w:rsidR="000E4E0C" w:rsidRPr="009D7272" w:rsidRDefault="000E4E0C" w:rsidP="000E4E0C">
      <w:pPr>
        <w:pStyle w:val="NormalWeb"/>
        <w:shd w:val="clear" w:color="auto" w:fill="FFFFFF"/>
        <w:jc w:val="both"/>
        <w:rPr>
          <w:color w:val="000000"/>
        </w:rPr>
      </w:pPr>
      <w:r>
        <w:rPr>
          <w:color w:val="000000"/>
        </w:rPr>
        <w:t xml:space="preserve">(…) </w:t>
      </w:r>
      <w:r w:rsidRPr="009D7272">
        <w:rPr>
          <w:color w:val="000000"/>
        </w:rPr>
        <w:t>Las medidas de apoyo al sistema financiero</w:t>
      </w:r>
    </w:p>
    <w:p w:rsidR="000E4E0C" w:rsidRDefault="000E4E0C" w:rsidP="000E4E0C">
      <w:pPr>
        <w:pStyle w:val="NormalWeb"/>
        <w:shd w:val="clear" w:color="auto" w:fill="FFFFFF"/>
        <w:jc w:val="both"/>
        <w:rPr>
          <w:color w:val="000000"/>
        </w:rPr>
      </w:pPr>
      <w:r w:rsidRPr="009D7272">
        <w:rPr>
          <w:color w:val="000000"/>
        </w:rPr>
        <w:t>Los gobiernos europeos han adoptado iniciativas decisivas y coordinadas para estabilizar el sector bancario y mitigar el riesgo de una severa contracción del crédito. A este fin, los gobiernos han facilitado un respaldo financiero sustancial mediante recapitalizaciones, esquemas de protección de activos y prestación de garantías a las emisiones de la</w:t>
      </w:r>
      <w:r>
        <w:rPr>
          <w:color w:val="000000"/>
        </w:rPr>
        <w:t>s entidades bancarias europeas.</w:t>
      </w:r>
    </w:p>
    <w:p w:rsidR="000E4E0C" w:rsidRDefault="000E4E0C" w:rsidP="000E4E0C">
      <w:pPr>
        <w:pStyle w:val="NormalWeb"/>
        <w:shd w:val="clear" w:color="auto" w:fill="FFFFFF"/>
        <w:jc w:val="both"/>
        <w:rPr>
          <w:color w:val="000000"/>
        </w:rPr>
      </w:pPr>
      <w:r w:rsidRPr="009D7272">
        <w:rPr>
          <w:color w:val="000000"/>
        </w:rPr>
        <w:t xml:space="preserve">Así, </w:t>
      </w:r>
      <w:r w:rsidRPr="009832AD">
        <w:rPr>
          <w:b/>
          <w:color w:val="FF0000"/>
          <w:u w:val="single"/>
        </w:rPr>
        <w:t>los gobiernos han puesto a disposición de las entidades de crédito de la zona del euro hasta 130 mm de euros en inyecciones de capital, 1,7 billones en garantías para la emisión de bonos y unos 240 mm en esquemas de protección de activos</w:t>
      </w:r>
      <w:r w:rsidRPr="009D7272">
        <w:rPr>
          <w:color w:val="000000"/>
        </w:rPr>
        <w:t>. Por distintos motivos, su utilización efectiva es todavía reducida, si bien su volumen total parece adecuado a las potenciales pérdidas derivadas de préstamos fallidos y activos dañados. Debe decirse, al mismo tiempo, que el diseño de estas medidas no debería ser un obstáculo a la necesaria reestructuración en los casos de sobredimensionamiento o de debilidad del modelo de negocio</w:t>
      </w:r>
      <w:r>
        <w:rPr>
          <w:color w:val="000000"/>
        </w:rPr>
        <w:t>…</w:t>
      </w:r>
    </w:p>
    <w:p w:rsidR="000E4E0C" w:rsidRDefault="000E4E0C" w:rsidP="000E4E0C">
      <w:pPr>
        <w:pStyle w:val="NormalWeb"/>
        <w:shd w:val="clear" w:color="auto" w:fill="FFFFFF"/>
        <w:jc w:val="both"/>
        <w:rPr>
          <w:color w:val="000000"/>
        </w:rPr>
      </w:pPr>
    </w:p>
    <w:p w:rsidR="000E4E0C" w:rsidRDefault="000E4E0C" w:rsidP="000E4E0C">
      <w:pPr>
        <w:pStyle w:val="NormalWeb"/>
        <w:shd w:val="clear" w:color="auto" w:fill="FFFFFF"/>
        <w:jc w:val="both"/>
        <w:rPr>
          <w:color w:val="000000"/>
        </w:rPr>
      </w:pPr>
    </w:p>
    <w:p w:rsidR="000E4E0C" w:rsidRDefault="000E4E0C" w:rsidP="000E4E0C">
      <w:pPr>
        <w:pStyle w:val="NormalWeb"/>
        <w:shd w:val="clear" w:color="auto" w:fill="FFFFFF"/>
        <w:jc w:val="both"/>
        <w:rPr>
          <w:b/>
          <w:color w:val="000000"/>
          <w:lang w:val="en-US"/>
        </w:rPr>
      </w:pPr>
      <w:r w:rsidRPr="004F114C">
        <w:rPr>
          <w:b/>
          <w:color w:val="000000"/>
          <w:lang w:val="en-US"/>
        </w:rPr>
        <w:lastRenderedPageBreak/>
        <w:t xml:space="preserve">Annual consolidated </w:t>
      </w:r>
      <w:r>
        <w:rPr>
          <w:b/>
          <w:color w:val="000000"/>
          <w:lang w:val="en-US"/>
        </w:rPr>
        <w:t>balance sheet of the Eurosystem</w:t>
      </w:r>
    </w:p>
    <w:p w:rsidR="000E4E0C" w:rsidRPr="00556E8D" w:rsidRDefault="000E4E0C" w:rsidP="000E4E0C">
      <w:pPr>
        <w:pStyle w:val="NormalWeb"/>
        <w:shd w:val="clear" w:color="auto" w:fill="FFFFFF"/>
        <w:jc w:val="both"/>
        <w:rPr>
          <w:color w:val="000000"/>
          <w:lang w:val="en-US"/>
        </w:rPr>
      </w:pPr>
    </w:p>
    <w:p w:rsidR="000E4E0C" w:rsidRPr="009D7272" w:rsidRDefault="000E4E0C" w:rsidP="000E4E0C">
      <w:pPr>
        <w:pStyle w:val="NormalWeb"/>
        <w:shd w:val="clear" w:color="auto" w:fill="FFFFFF"/>
        <w:jc w:val="both"/>
        <w:rPr>
          <w:color w:val="000000"/>
        </w:rPr>
      </w:pPr>
      <w:r w:rsidRPr="006976AA">
        <w:rPr>
          <w:color w:val="000000"/>
          <w:lang w:val="en-US"/>
        </w:rPr>
        <w:t xml:space="preserve">            </w:t>
      </w:r>
      <w:r w:rsidRPr="004F114C">
        <w:rPr>
          <w:noProof/>
          <w:color w:val="000000"/>
        </w:rPr>
        <w:drawing>
          <wp:inline distT="0" distB="0" distL="0" distR="0" wp14:anchorId="5BB81544" wp14:editId="4014C997">
            <wp:extent cx="5028360" cy="6367182"/>
            <wp:effectExtent l="0" t="0" r="1270" b="0"/>
            <wp:docPr id="337" name="Imagen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5029902" cy="6369135"/>
                    </a:xfrm>
                    <a:prstGeom prst="rect">
                      <a:avLst/>
                    </a:prstGeom>
                  </pic:spPr>
                </pic:pic>
              </a:graphicData>
            </a:graphic>
          </wp:inline>
        </w:drawing>
      </w:r>
    </w:p>
    <w:p w:rsidR="000E4E0C" w:rsidRPr="008B0EFC" w:rsidRDefault="000E4E0C" w:rsidP="000E4E0C">
      <w:pPr>
        <w:pStyle w:val="NormalWeb"/>
        <w:shd w:val="clear" w:color="auto" w:fill="FFFFFF"/>
        <w:jc w:val="both"/>
        <w:rPr>
          <w:b/>
          <w:color w:val="000000"/>
          <w:lang w:val="en-US"/>
        </w:rPr>
      </w:pPr>
      <w:r w:rsidRPr="004F114C">
        <w:rPr>
          <w:color w:val="000000"/>
          <w:lang w:val="en-US"/>
        </w:rPr>
        <w:t xml:space="preserve">Consolidated balance sheet of the Eurosystem as at </w:t>
      </w:r>
      <w:r w:rsidRPr="008B0EFC">
        <w:rPr>
          <w:b/>
          <w:color w:val="000000"/>
          <w:lang w:val="en-US"/>
        </w:rPr>
        <w:t>31 December 2019</w:t>
      </w:r>
    </w:p>
    <w:p w:rsidR="000E4E0C" w:rsidRDefault="000E4E0C" w:rsidP="000E4E0C">
      <w:pPr>
        <w:pStyle w:val="NormalWeb"/>
        <w:shd w:val="clear" w:color="auto" w:fill="FFFFFF"/>
        <w:jc w:val="both"/>
        <w:rPr>
          <w:color w:val="000000"/>
          <w:lang w:val="en-US"/>
        </w:rPr>
      </w:pPr>
      <w:r>
        <w:rPr>
          <w:color w:val="000000"/>
          <w:lang w:val="en-US"/>
        </w:rPr>
        <w:t>(</w:t>
      </w:r>
      <w:r w:rsidRPr="004F114C">
        <w:rPr>
          <w:color w:val="000000"/>
          <w:lang w:val="en-US"/>
        </w:rPr>
        <w:t>Last updated on 20 February 2020</w:t>
      </w:r>
      <w:r>
        <w:rPr>
          <w:color w:val="000000"/>
          <w:lang w:val="en-US"/>
        </w:rPr>
        <w:t>)</w:t>
      </w:r>
    </w:p>
    <w:p w:rsidR="000E4E0C" w:rsidRDefault="000E4E0C" w:rsidP="000E4E0C">
      <w:pPr>
        <w:pStyle w:val="NormalWeb"/>
        <w:shd w:val="clear" w:color="auto" w:fill="FFFFFF"/>
        <w:jc w:val="both"/>
        <w:rPr>
          <w:color w:val="000000"/>
          <w:lang w:val="en-US"/>
        </w:rPr>
      </w:pPr>
    </w:p>
    <w:p w:rsidR="000E4E0C" w:rsidRDefault="000E4E0C" w:rsidP="000E4E0C">
      <w:pPr>
        <w:pStyle w:val="NormalWeb"/>
        <w:shd w:val="clear" w:color="auto" w:fill="FFFFFF"/>
        <w:jc w:val="both"/>
        <w:rPr>
          <w:color w:val="000000"/>
          <w:lang w:val="en-US"/>
        </w:rPr>
      </w:pPr>
    </w:p>
    <w:p w:rsidR="000E4E0C" w:rsidRPr="006976AA" w:rsidRDefault="000E4E0C" w:rsidP="000E4E0C">
      <w:pPr>
        <w:pStyle w:val="NormalWeb"/>
        <w:shd w:val="clear" w:color="auto" w:fill="FFFFFF"/>
        <w:jc w:val="both"/>
        <w:rPr>
          <w:color w:val="000000"/>
          <w:lang w:val="en-US"/>
        </w:rPr>
      </w:pPr>
    </w:p>
    <w:p w:rsidR="000E4E0C" w:rsidRDefault="000E4E0C" w:rsidP="000E4E0C">
      <w:pPr>
        <w:pStyle w:val="NormalWeb"/>
        <w:shd w:val="clear" w:color="auto" w:fill="FFFFFF"/>
        <w:jc w:val="both"/>
        <w:rPr>
          <w:color w:val="000000"/>
          <w:lang w:val="en-US"/>
        </w:rPr>
      </w:pPr>
      <w:r w:rsidRPr="0038796E">
        <w:rPr>
          <w:noProof/>
          <w:color w:val="000000"/>
        </w:rPr>
        <w:lastRenderedPageBreak/>
        <w:drawing>
          <wp:inline distT="0" distB="0" distL="0" distR="0" wp14:anchorId="25E1B1B6" wp14:editId="5E6B69A8">
            <wp:extent cx="5048955" cy="438211"/>
            <wp:effectExtent l="0" t="0" r="0" b="0"/>
            <wp:docPr id="338" name="Imagen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5048955" cy="438211"/>
                    </a:xfrm>
                    <a:prstGeom prst="rect">
                      <a:avLst/>
                    </a:prstGeom>
                  </pic:spPr>
                </pic:pic>
              </a:graphicData>
            </a:graphic>
          </wp:inline>
        </w:drawing>
      </w:r>
    </w:p>
    <w:p w:rsidR="000E4E0C" w:rsidRDefault="000E4E0C" w:rsidP="000E4E0C">
      <w:pPr>
        <w:pStyle w:val="NormalWeb"/>
        <w:shd w:val="clear" w:color="auto" w:fill="FFFFFF"/>
        <w:jc w:val="both"/>
        <w:rPr>
          <w:color w:val="000000"/>
          <w:lang w:val="en-US"/>
        </w:rPr>
      </w:pPr>
    </w:p>
    <w:p w:rsidR="000E4E0C" w:rsidRDefault="000E4E0C" w:rsidP="000E4E0C">
      <w:pPr>
        <w:pStyle w:val="NormalWeb"/>
        <w:shd w:val="clear" w:color="auto" w:fill="FFFFFF"/>
        <w:jc w:val="both"/>
        <w:rPr>
          <w:color w:val="000000"/>
          <w:lang w:val="en-US"/>
        </w:rPr>
      </w:pPr>
      <w:r w:rsidRPr="0038796E">
        <w:rPr>
          <w:noProof/>
          <w:color w:val="000000"/>
        </w:rPr>
        <w:drawing>
          <wp:inline distT="0" distB="0" distL="0" distR="0" wp14:anchorId="5436FB76" wp14:editId="5C59D17B">
            <wp:extent cx="6299947" cy="2091017"/>
            <wp:effectExtent l="0" t="0" r="5715" b="5080"/>
            <wp:docPr id="339" name="Imagen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
                    <a:stretch>
                      <a:fillRect/>
                    </a:stretch>
                  </pic:blipFill>
                  <pic:spPr>
                    <a:xfrm>
                      <a:off x="0" y="0"/>
                      <a:ext cx="6311399" cy="2094818"/>
                    </a:xfrm>
                    <a:prstGeom prst="rect">
                      <a:avLst/>
                    </a:prstGeom>
                  </pic:spPr>
                </pic:pic>
              </a:graphicData>
            </a:graphic>
          </wp:inline>
        </w:drawing>
      </w:r>
    </w:p>
    <w:p w:rsidR="000E4E0C" w:rsidRDefault="000E4E0C" w:rsidP="000E4E0C">
      <w:pPr>
        <w:pStyle w:val="NormalWeb"/>
        <w:shd w:val="clear" w:color="auto" w:fill="FFFFFF"/>
        <w:jc w:val="both"/>
        <w:rPr>
          <w:color w:val="000000"/>
          <w:lang w:val="en-US"/>
        </w:rPr>
      </w:pPr>
    </w:p>
    <w:p w:rsidR="000E4E0C" w:rsidRDefault="000E4E0C" w:rsidP="000E4E0C">
      <w:pPr>
        <w:pStyle w:val="NormalWeb"/>
        <w:shd w:val="clear" w:color="auto" w:fill="FFFFFF"/>
        <w:jc w:val="both"/>
        <w:rPr>
          <w:color w:val="000000"/>
          <w:lang w:val="en-US"/>
        </w:rPr>
      </w:pPr>
      <w:r w:rsidRPr="00664AEF">
        <w:rPr>
          <w:noProof/>
          <w:color w:val="000000"/>
        </w:rPr>
        <w:drawing>
          <wp:inline distT="0" distB="0" distL="0" distR="0" wp14:anchorId="102DFFF7" wp14:editId="4FC16346">
            <wp:extent cx="5730511" cy="2245658"/>
            <wp:effectExtent l="0" t="0" r="3810" b="2540"/>
            <wp:docPr id="340" name="Imagen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stretch>
                      <a:fillRect/>
                    </a:stretch>
                  </pic:blipFill>
                  <pic:spPr>
                    <a:xfrm>
                      <a:off x="0" y="0"/>
                      <a:ext cx="5731510" cy="2246050"/>
                    </a:xfrm>
                    <a:prstGeom prst="rect">
                      <a:avLst/>
                    </a:prstGeom>
                  </pic:spPr>
                </pic:pic>
              </a:graphicData>
            </a:graphic>
          </wp:inline>
        </w:drawing>
      </w:r>
    </w:p>
    <w:p w:rsidR="000E4E0C" w:rsidRPr="00664AEF" w:rsidRDefault="000E4E0C" w:rsidP="000E4E0C">
      <w:pPr>
        <w:pStyle w:val="NormalWeb"/>
        <w:shd w:val="clear" w:color="auto" w:fill="FFFFFF"/>
        <w:jc w:val="both"/>
        <w:rPr>
          <w:color w:val="000000"/>
          <w:lang w:val="en-US"/>
        </w:rPr>
      </w:pPr>
    </w:p>
    <w:p w:rsidR="000E4E0C" w:rsidRDefault="000E4E0C" w:rsidP="000E4E0C">
      <w:pPr>
        <w:pStyle w:val="NormalWeb"/>
        <w:shd w:val="clear" w:color="auto" w:fill="FFFFFF"/>
        <w:jc w:val="both"/>
        <w:rPr>
          <w:b/>
          <w:color w:val="000000"/>
          <w:lang w:val="en-US"/>
        </w:rPr>
      </w:pPr>
      <w:r w:rsidRPr="00664AEF">
        <w:rPr>
          <w:b/>
          <w:noProof/>
          <w:color w:val="000000"/>
        </w:rPr>
        <w:drawing>
          <wp:inline distT="0" distB="0" distL="0" distR="0" wp14:anchorId="582E4F2B" wp14:editId="03A0129F">
            <wp:extent cx="4047565" cy="2198594"/>
            <wp:effectExtent l="0" t="0" r="0" b="0"/>
            <wp:docPr id="341" name="Imagen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a:stretch>
                      <a:fillRect/>
                    </a:stretch>
                  </pic:blipFill>
                  <pic:spPr>
                    <a:xfrm>
                      <a:off x="0" y="0"/>
                      <a:ext cx="4044982" cy="2197191"/>
                    </a:xfrm>
                    <a:prstGeom prst="rect">
                      <a:avLst/>
                    </a:prstGeom>
                  </pic:spPr>
                </pic:pic>
              </a:graphicData>
            </a:graphic>
          </wp:inline>
        </w:drawing>
      </w:r>
    </w:p>
    <w:p w:rsidR="000E4E0C" w:rsidRDefault="000E4E0C" w:rsidP="000E4E0C">
      <w:pPr>
        <w:pStyle w:val="NormalWeb"/>
        <w:shd w:val="clear" w:color="auto" w:fill="FFFFFF"/>
        <w:jc w:val="both"/>
        <w:rPr>
          <w:b/>
          <w:color w:val="000000"/>
          <w:lang w:val="en-US"/>
        </w:rPr>
      </w:pPr>
      <w:r w:rsidRPr="00664AEF">
        <w:rPr>
          <w:b/>
          <w:noProof/>
          <w:color w:val="000000"/>
        </w:rPr>
        <w:lastRenderedPageBreak/>
        <w:drawing>
          <wp:inline distT="0" distB="0" distL="0" distR="0" wp14:anchorId="5557BA1C" wp14:editId="218BAA74">
            <wp:extent cx="6131859" cy="1929653"/>
            <wp:effectExtent l="0" t="0" r="2540" b="0"/>
            <wp:docPr id="342" name="Imagen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6127945" cy="1928421"/>
                    </a:xfrm>
                    <a:prstGeom prst="rect">
                      <a:avLst/>
                    </a:prstGeom>
                  </pic:spPr>
                </pic:pic>
              </a:graphicData>
            </a:graphic>
          </wp:inline>
        </w:drawing>
      </w:r>
    </w:p>
    <w:p w:rsidR="000E4E0C" w:rsidRDefault="000E4E0C" w:rsidP="000E4E0C">
      <w:pPr>
        <w:pStyle w:val="NormalWeb"/>
        <w:shd w:val="clear" w:color="auto" w:fill="FFFFFF"/>
        <w:jc w:val="both"/>
        <w:rPr>
          <w:b/>
          <w:color w:val="000000"/>
          <w:lang w:val="en-US"/>
        </w:rPr>
      </w:pPr>
    </w:p>
    <w:p w:rsidR="000E4E0C" w:rsidRDefault="000E4E0C" w:rsidP="000E4E0C">
      <w:pPr>
        <w:pStyle w:val="NormalWeb"/>
        <w:shd w:val="clear" w:color="auto" w:fill="FFFFFF"/>
        <w:jc w:val="both"/>
        <w:rPr>
          <w:b/>
          <w:color w:val="000000"/>
          <w:lang w:val="en-US"/>
        </w:rPr>
      </w:pPr>
      <w:r w:rsidRPr="00923BA7">
        <w:rPr>
          <w:b/>
          <w:noProof/>
          <w:color w:val="000000"/>
        </w:rPr>
        <w:drawing>
          <wp:inline distT="0" distB="0" distL="0" distR="0" wp14:anchorId="154EAB52" wp14:editId="060F2B67">
            <wp:extent cx="5735171" cy="1996888"/>
            <wp:effectExtent l="0" t="0" r="0" b="3810"/>
            <wp:docPr id="343" name="Imagen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5731510" cy="1995613"/>
                    </a:xfrm>
                    <a:prstGeom prst="rect">
                      <a:avLst/>
                    </a:prstGeom>
                  </pic:spPr>
                </pic:pic>
              </a:graphicData>
            </a:graphic>
          </wp:inline>
        </w:drawing>
      </w:r>
    </w:p>
    <w:p w:rsidR="000E4E0C" w:rsidRDefault="000E4E0C" w:rsidP="000E4E0C">
      <w:pPr>
        <w:pStyle w:val="NormalWeb"/>
        <w:shd w:val="clear" w:color="auto" w:fill="FFFFFF"/>
        <w:jc w:val="both"/>
        <w:rPr>
          <w:b/>
          <w:color w:val="000000"/>
          <w:lang w:val="en-US"/>
        </w:rPr>
      </w:pPr>
    </w:p>
    <w:p w:rsidR="000E4E0C" w:rsidRDefault="000E4E0C" w:rsidP="000E4E0C">
      <w:pPr>
        <w:pStyle w:val="NormalWeb"/>
        <w:shd w:val="clear" w:color="auto" w:fill="FFFFFF"/>
        <w:jc w:val="both"/>
        <w:rPr>
          <w:b/>
          <w:color w:val="000000"/>
          <w:lang w:val="en-US"/>
        </w:rPr>
      </w:pPr>
      <w:r w:rsidRPr="00923BA7">
        <w:rPr>
          <w:b/>
          <w:noProof/>
          <w:color w:val="000000"/>
        </w:rPr>
        <w:drawing>
          <wp:inline distT="0" distB="0" distL="0" distR="0" wp14:anchorId="58D131E3" wp14:editId="6C73AEC0">
            <wp:extent cx="4928347" cy="1869141"/>
            <wp:effectExtent l="0" t="0" r="5715" b="0"/>
            <wp:docPr id="344" name="Imagen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4925201" cy="1867948"/>
                    </a:xfrm>
                    <a:prstGeom prst="rect">
                      <a:avLst/>
                    </a:prstGeom>
                  </pic:spPr>
                </pic:pic>
              </a:graphicData>
            </a:graphic>
          </wp:inline>
        </w:drawing>
      </w:r>
    </w:p>
    <w:p w:rsidR="000E4E0C" w:rsidRDefault="000E4E0C" w:rsidP="000E4E0C">
      <w:pPr>
        <w:pStyle w:val="NormalWeb"/>
        <w:shd w:val="clear" w:color="auto" w:fill="FFFFFF"/>
        <w:jc w:val="both"/>
        <w:rPr>
          <w:color w:val="000000"/>
        </w:rPr>
      </w:pPr>
      <w:r>
        <w:rPr>
          <w:color w:val="000000"/>
        </w:rPr>
        <w:t xml:space="preserve">- </w:t>
      </w:r>
      <w:r w:rsidRPr="00CD6CE1">
        <w:rPr>
          <w:color w:val="000000"/>
          <w:u w:val="single"/>
        </w:rPr>
        <w:t>Los países europeos que han rescatado más bancos durante la crisis</w:t>
      </w:r>
      <w:r>
        <w:rPr>
          <w:color w:val="000000"/>
        </w:rPr>
        <w:t xml:space="preserve"> (idealistanews - </w:t>
      </w:r>
      <w:r w:rsidRPr="00CD6CE1">
        <w:rPr>
          <w:b/>
          <w:color w:val="000000"/>
        </w:rPr>
        <w:t>11/1/19</w:t>
      </w:r>
      <w:r>
        <w:rPr>
          <w:color w:val="000000"/>
        </w:rPr>
        <w:t>)</w:t>
      </w:r>
    </w:p>
    <w:p w:rsidR="000E4E0C" w:rsidRPr="00CD6CE1" w:rsidRDefault="000E4E0C" w:rsidP="000E4E0C">
      <w:pPr>
        <w:pStyle w:val="NormalWeb"/>
        <w:shd w:val="clear" w:color="auto" w:fill="FFFFFF"/>
        <w:jc w:val="both"/>
        <w:rPr>
          <w:color w:val="000000"/>
        </w:rPr>
      </w:pPr>
      <w:r w:rsidRPr="00CD6CE1">
        <w:rPr>
          <w:color w:val="000000"/>
        </w:rPr>
        <w:t>Parece que fue ayer, pero ya ha pasado una década desde que la quiebra del banco estadounidense Lehman Brothers. Una caída que puso la primera piedra de la mayor crisis internacional de nuestra era.</w:t>
      </w:r>
    </w:p>
    <w:p w:rsidR="000E4E0C" w:rsidRPr="00CD6CE1" w:rsidRDefault="000E4E0C" w:rsidP="000E4E0C">
      <w:pPr>
        <w:pStyle w:val="NormalWeb"/>
        <w:shd w:val="clear" w:color="auto" w:fill="FFFFFF"/>
        <w:jc w:val="both"/>
        <w:rPr>
          <w:color w:val="000000"/>
        </w:rPr>
      </w:pPr>
      <w:r w:rsidRPr="00CD6CE1">
        <w:rPr>
          <w:color w:val="000000"/>
        </w:rPr>
        <w:t xml:space="preserve">En este tiempo son muchas las entidades financieras que han tenido que ser rescatadas. Solo en la Unión Europea se han producido 61 rescates en 15 países diferentes, y España está a la </w:t>
      </w:r>
      <w:r w:rsidRPr="00CD6CE1">
        <w:rPr>
          <w:color w:val="000000"/>
        </w:rPr>
        <w:lastRenderedPageBreak/>
        <w:t>cabeza por las intervenciones en las cajas de ahorros, aunque el país que se ha gastado más dinero ha sido Reino Unido.</w:t>
      </w:r>
    </w:p>
    <w:p w:rsidR="000E4E0C" w:rsidRDefault="000E4E0C" w:rsidP="000E4E0C">
      <w:pPr>
        <w:pStyle w:val="NormalWeb"/>
        <w:shd w:val="clear" w:color="auto" w:fill="FFFFFF"/>
        <w:jc w:val="both"/>
        <w:rPr>
          <w:b/>
          <w:color w:val="FF0000"/>
          <w:u w:val="single"/>
        </w:rPr>
      </w:pPr>
      <w:r w:rsidRPr="00CD6CE1">
        <w:rPr>
          <w:color w:val="000000"/>
        </w:rPr>
        <w:t xml:space="preserve">El coste en el Viejo Continente supera los 412.000 millones de euros, aunque dicha cantidad no incluye avales ni apoyos puntuales de liquidez. </w:t>
      </w:r>
      <w:r w:rsidRPr="00CD6CE1">
        <w:rPr>
          <w:b/>
          <w:color w:val="FF0000"/>
          <w:u w:val="single"/>
        </w:rPr>
        <w:t xml:space="preserve">Si tenemos </w:t>
      </w:r>
      <w:r>
        <w:rPr>
          <w:b/>
          <w:color w:val="FF0000"/>
          <w:u w:val="single"/>
        </w:rPr>
        <w:t>en cuenta todas las ayudas, la “factura”</w:t>
      </w:r>
      <w:r w:rsidRPr="00CD6CE1">
        <w:rPr>
          <w:b/>
          <w:color w:val="FF0000"/>
          <w:u w:val="single"/>
        </w:rPr>
        <w:t xml:space="preserve"> se dispara hasta los cuatro billone</w:t>
      </w:r>
      <w:r>
        <w:rPr>
          <w:b/>
          <w:color w:val="FF0000"/>
          <w:u w:val="single"/>
        </w:rPr>
        <w:t>s de euros.</w:t>
      </w:r>
    </w:p>
    <w:p w:rsidR="000E4E0C" w:rsidRPr="00F1617C" w:rsidRDefault="000E4E0C" w:rsidP="000E4E0C">
      <w:pPr>
        <w:pStyle w:val="NormalWeb"/>
        <w:shd w:val="clear" w:color="auto" w:fill="FFFFFF"/>
        <w:jc w:val="both"/>
        <w:rPr>
          <w:b/>
          <w:color w:val="FF0000"/>
          <w:u w:val="single"/>
        </w:rPr>
      </w:pPr>
    </w:p>
    <w:p w:rsidR="000E4E0C" w:rsidRPr="00581FC4" w:rsidRDefault="000E4E0C" w:rsidP="000E4E0C">
      <w:pPr>
        <w:pStyle w:val="NormalWeb"/>
        <w:shd w:val="clear" w:color="auto" w:fill="FFFFFF"/>
        <w:jc w:val="both"/>
        <w:rPr>
          <w:b/>
          <w:color w:val="000000"/>
        </w:rPr>
      </w:pPr>
      <w:r w:rsidRPr="00581FC4">
        <w:rPr>
          <w:b/>
          <w:color w:val="000000"/>
        </w:rPr>
        <w:t>Estados Unidos</w:t>
      </w:r>
    </w:p>
    <w:p w:rsidR="000E4E0C" w:rsidRDefault="000E4E0C" w:rsidP="000E4E0C">
      <w:pPr>
        <w:pStyle w:val="NormalWeb"/>
        <w:shd w:val="clear" w:color="auto" w:fill="FFFFFF"/>
        <w:jc w:val="both"/>
        <w:rPr>
          <w:color w:val="000000"/>
        </w:rPr>
      </w:pPr>
      <w:r w:rsidRPr="00581FC4">
        <w:rPr>
          <w:noProof/>
          <w:color w:val="000000"/>
        </w:rPr>
        <w:drawing>
          <wp:inline distT="0" distB="0" distL="0" distR="0" wp14:anchorId="1C257B0D" wp14:editId="64EE7185">
            <wp:extent cx="5318311" cy="3274359"/>
            <wp:effectExtent l="0" t="0" r="0" b="2540"/>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5315692" cy="3272747"/>
                    </a:xfrm>
                    <a:prstGeom prst="rect">
                      <a:avLst/>
                    </a:prstGeom>
                  </pic:spPr>
                </pic:pic>
              </a:graphicData>
            </a:graphic>
          </wp:inline>
        </w:drawing>
      </w:r>
    </w:p>
    <w:p w:rsidR="000E4E0C" w:rsidRDefault="000E4E0C" w:rsidP="000E4E0C">
      <w:pPr>
        <w:pStyle w:val="NormalWeb"/>
        <w:shd w:val="clear" w:color="auto" w:fill="FFFFFF"/>
        <w:jc w:val="both"/>
        <w:rPr>
          <w:color w:val="000000"/>
        </w:rPr>
      </w:pPr>
      <w:r>
        <w:rPr>
          <w:color w:val="000000"/>
        </w:rPr>
        <w:t xml:space="preserve">Fuente: La política monetaria ante la crisis: análisis y comparación de las medidas adoptadas por el Banco Central Europeo y la Reserva Federal - </w:t>
      </w:r>
      <w:r w:rsidRPr="009A71E9">
        <w:rPr>
          <w:color w:val="000000"/>
        </w:rPr>
        <w:t>Á</w:t>
      </w:r>
      <w:r>
        <w:rPr>
          <w:color w:val="000000"/>
        </w:rPr>
        <w:t xml:space="preserve">lvaro Barba Sáez - Universidad Politécnica de Valencia - España - </w:t>
      </w:r>
      <w:r w:rsidRPr="009A71E9">
        <w:rPr>
          <w:b/>
          <w:color w:val="000000"/>
        </w:rPr>
        <w:t>Septiembre 2017</w:t>
      </w:r>
      <w:r>
        <w:rPr>
          <w:color w:val="000000"/>
        </w:rPr>
        <w:t>)</w:t>
      </w:r>
    </w:p>
    <w:p w:rsidR="000E4E0C" w:rsidRDefault="000E4E0C" w:rsidP="000E4E0C">
      <w:pPr>
        <w:pStyle w:val="NormalWeb"/>
        <w:shd w:val="clear" w:color="auto" w:fill="FFFFFF"/>
        <w:jc w:val="both"/>
        <w:rPr>
          <w:color w:val="000000"/>
        </w:rPr>
      </w:pPr>
      <w:r>
        <w:rPr>
          <w:color w:val="000000"/>
        </w:rPr>
        <w:t xml:space="preserve">- </w:t>
      </w:r>
      <w:r w:rsidRPr="009D7272">
        <w:rPr>
          <w:color w:val="000000"/>
        </w:rPr>
        <w:t>¿</w:t>
      </w:r>
      <w:r w:rsidRPr="009D7272">
        <w:rPr>
          <w:color w:val="000000"/>
          <w:u w:val="single"/>
        </w:rPr>
        <w:t>Cuánto cuesta el rescate financiero de EEUU? La cantidad total casi asciende al PIB del país</w:t>
      </w:r>
      <w:r>
        <w:rPr>
          <w:color w:val="000000"/>
        </w:rPr>
        <w:t xml:space="preserve"> (Bloomberg - </w:t>
      </w:r>
      <w:r w:rsidRPr="009D7272">
        <w:rPr>
          <w:b/>
          <w:color w:val="000000"/>
        </w:rPr>
        <w:t>1/4/2009</w:t>
      </w:r>
      <w:r>
        <w:rPr>
          <w:color w:val="000000"/>
        </w:rPr>
        <w:t>)</w:t>
      </w:r>
    </w:p>
    <w:p w:rsidR="000E4E0C" w:rsidRPr="009832AD" w:rsidRDefault="000E4E0C" w:rsidP="000E4E0C">
      <w:pPr>
        <w:pStyle w:val="NormalWeb"/>
        <w:shd w:val="clear" w:color="auto" w:fill="FFFFFF"/>
        <w:jc w:val="both"/>
        <w:rPr>
          <w:b/>
          <w:color w:val="FF0000"/>
          <w:u w:val="single"/>
        </w:rPr>
      </w:pPr>
      <w:r w:rsidRPr="009D7272">
        <w:rPr>
          <w:color w:val="000000"/>
        </w:rPr>
        <w:t xml:space="preserve">Un alto en el camino para hacer cuentas. Y es que entre tanto plan de estímulo, </w:t>
      </w:r>
      <w:r w:rsidRPr="009832AD">
        <w:rPr>
          <w:b/>
          <w:color w:val="FF0000"/>
          <w:u w:val="single"/>
        </w:rPr>
        <w:t>el dinero empleado en la primera economía del mundo para hacer frente a la crisis parece incalculable para los mortales de a pie, pero no lo es. El Gobierno de EEUU y la Fed han gastado, prestado o garantizado un total de 12,8 billones de dólares, una cantidad que se acerca mucho al Producto Interior Bruto (PIB) del país.</w:t>
      </w:r>
    </w:p>
    <w:p w:rsidR="000E4E0C" w:rsidRDefault="000E4E0C" w:rsidP="000E4E0C">
      <w:pPr>
        <w:pStyle w:val="NormalWeb"/>
        <w:shd w:val="clear" w:color="auto" w:fill="FFFFFF"/>
        <w:jc w:val="both"/>
        <w:rPr>
          <w:b/>
          <w:color w:val="FF0000"/>
          <w:u w:val="single"/>
        </w:rPr>
      </w:pPr>
      <w:r w:rsidRPr="009832AD">
        <w:rPr>
          <w:b/>
          <w:color w:val="FF0000"/>
          <w:u w:val="single"/>
        </w:rPr>
        <w:t>El dinero asciende a 42.105 dólares por cada hombre, mujer y niño en Estados Unidos y 14 veces los 899.800 millones de dólares de efectivo en circulación. En 2008 el PIB del país fue de 14,2 billones de dólares…</w:t>
      </w:r>
    </w:p>
    <w:p w:rsidR="000E4E0C" w:rsidRPr="009832AD" w:rsidRDefault="000E4E0C" w:rsidP="000E4E0C">
      <w:pPr>
        <w:pStyle w:val="NormalWeb"/>
        <w:shd w:val="clear" w:color="auto" w:fill="FFFFFF"/>
        <w:jc w:val="both"/>
        <w:rPr>
          <w:b/>
          <w:color w:val="FF0000"/>
          <w:u w:val="single"/>
        </w:rPr>
      </w:pPr>
    </w:p>
    <w:p w:rsidR="000E4E0C" w:rsidRPr="009D7272" w:rsidRDefault="000E4E0C" w:rsidP="000E4E0C">
      <w:pPr>
        <w:shd w:val="clear" w:color="auto" w:fill="FFFFFF"/>
        <w:spacing w:before="300" w:after="225" w:line="240" w:lineRule="auto"/>
        <w:jc w:val="both"/>
        <w:outlineLvl w:val="1"/>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lastRenderedPageBreak/>
        <w:t>Detalles de todos los gastos</w:t>
      </w:r>
    </w:p>
    <w:p w:rsidR="000E4E0C" w:rsidRPr="009D7272" w:rsidRDefault="000E4E0C" w:rsidP="000E4E0C">
      <w:pPr>
        <w:shd w:val="clear" w:color="auto" w:fill="FFFFFF"/>
        <w:spacing w:after="270" w:line="240" w:lineRule="auto"/>
        <w:jc w:val="both"/>
        <w:rPr>
          <w:rFonts w:ascii="Times New Roman" w:eastAsia="Times New Roman" w:hAnsi="Times New Roman" w:cs="Times New Roman"/>
          <w:color w:val="212529"/>
          <w:spacing w:val="-1"/>
          <w:sz w:val="24"/>
          <w:szCs w:val="24"/>
        </w:rPr>
      </w:pPr>
      <w:r w:rsidRPr="009D7272">
        <w:rPr>
          <w:rFonts w:ascii="Times New Roman" w:eastAsia="Times New Roman" w:hAnsi="Times New Roman" w:cs="Times New Roman"/>
          <w:color w:val="212529"/>
          <w:spacing w:val="-1"/>
          <w:sz w:val="24"/>
          <w:szCs w:val="24"/>
        </w:rPr>
        <w:t>La siguiente tabla detalla los compromisos hechos por la Fed y el Gobierno con el dinero de los contribuyentes estadounidenses en los últimos 20 meses, según datos recopilados por </w:t>
      </w:r>
      <w:r w:rsidRPr="009D7272">
        <w:rPr>
          <w:rFonts w:ascii="Times New Roman" w:eastAsia="Times New Roman" w:hAnsi="Times New Roman" w:cs="Times New Roman"/>
          <w:i/>
          <w:iCs/>
          <w:color w:val="212529"/>
          <w:spacing w:val="-1"/>
          <w:sz w:val="24"/>
          <w:szCs w:val="24"/>
        </w:rPr>
        <w:t>Bloomberg</w:t>
      </w:r>
      <w:r w:rsidRPr="009D7272">
        <w:rPr>
          <w:rFonts w:ascii="Times New Roman" w:eastAsia="Times New Roman" w:hAnsi="Times New Roman" w:cs="Times New Roman"/>
          <w:color w:val="212529"/>
          <w:spacing w:val="-1"/>
          <w:sz w:val="24"/>
          <w:szCs w:val="24"/>
        </w:rPr>
        <w:t>.</w:t>
      </w:r>
    </w:p>
    <w:tbl>
      <w:tblPr>
        <w:tblW w:w="7425" w:type="dxa"/>
        <w:tblInd w:w="150" w:type="dxa"/>
        <w:shd w:val="clear" w:color="auto" w:fill="FFFFFF"/>
        <w:tblCellMar>
          <w:top w:w="15" w:type="dxa"/>
          <w:left w:w="15" w:type="dxa"/>
          <w:bottom w:w="15" w:type="dxa"/>
          <w:right w:w="15" w:type="dxa"/>
        </w:tblCellMar>
        <w:tblLook w:val="04A0" w:firstRow="1" w:lastRow="0" w:firstColumn="1" w:lastColumn="0" w:noHBand="0" w:noVBand="1"/>
      </w:tblPr>
      <w:tblGrid>
        <w:gridCol w:w="4809"/>
        <w:gridCol w:w="1130"/>
        <w:gridCol w:w="1486"/>
      </w:tblGrid>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Organismo</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Límite</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Gasto actual</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b/>
                <w:bCs/>
                <w:color w:val="212529"/>
                <w:sz w:val="24"/>
                <w:szCs w:val="24"/>
              </w:rPr>
              <w:t>Reserva Federal</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sz w:val="24"/>
                <w:szCs w:val="24"/>
              </w:rPr>
            </w:pP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sz w:val="24"/>
                <w:szCs w:val="24"/>
              </w:rPr>
            </w:pP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Descuento crédito primario</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110,74</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61,3</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Crédito secundario</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0,19</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w:t>
            </w:r>
          </w:p>
        </w:tc>
      </w:tr>
      <w:tr w:rsidR="000E4E0C" w:rsidRPr="009D7272" w:rsidTr="000E4E0C">
        <w:tc>
          <w:tcPr>
            <w:tcW w:w="0" w:type="auto"/>
            <w:shd w:val="clear" w:color="auto" w:fill="FFFFFF"/>
            <w:vAlign w:val="center"/>
            <w:hideMark/>
          </w:tcPr>
          <w:p w:rsidR="000E4E0C" w:rsidRPr="009D7272" w:rsidRDefault="005C1112" w:rsidP="000E4E0C">
            <w:pPr>
              <w:spacing w:after="0" w:line="240" w:lineRule="auto"/>
              <w:jc w:val="both"/>
              <w:rPr>
                <w:rFonts w:ascii="Times New Roman" w:eastAsia="Times New Roman" w:hAnsi="Times New Roman" w:cs="Times New Roman"/>
                <w:color w:val="212529"/>
                <w:sz w:val="24"/>
                <w:szCs w:val="24"/>
              </w:rPr>
            </w:pPr>
            <w:r>
              <w:rPr>
                <w:rFonts w:ascii="Times New Roman" w:eastAsia="Times New Roman" w:hAnsi="Times New Roman" w:cs="Times New Roman"/>
                <w:color w:val="212529"/>
                <w:sz w:val="24"/>
                <w:szCs w:val="24"/>
              </w:rPr>
              <w:t>“Primary dealer”</w:t>
            </w:r>
            <w:r w:rsidR="000E4E0C" w:rsidRPr="009D7272">
              <w:rPr>
                <w:rFonts w:ascii="Times New Roman" w:eastAsia="Times New Roman" w:hAnsi="Times New Roman" w:cs="Times New Roman"/>
                <w:color w:val="212529"/>
                <w:sz w:val="24"/>
                <w:szCs w:val="24"/>
              </w:rPr>
              <w:t xml:space="preserve"> y otros</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147</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20,18</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Liquidez ABCP</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152,11</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6,85</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Crédito a AIG</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43,19</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Financiación CP cartera neta</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1800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241,31</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Maiden Lane (Bear Stearns)</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29,5</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28,82</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Maiden Lane II (AIG)</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22,5</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18,54</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Maiden Lane III (AIG)</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24,04</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Term Securities Lending</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250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88,55</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Term Auction Facility</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900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468,59</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Préstamo valores a 1 día</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4,41</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lang w:val="en-US"/>
              </w:rPr>
            </w:pPr>
            <w:r w:rsidRPr="009D7272">
              <w:rPr>
                <w:rFonts w:ascii="Times New Roman" w:eastAsia="Times New Roman" w:hAnsi="Times New Roman" w:cs="Times New Roman"/>
                <w:color w:val="212529"/>
                <w:sz w:val="24"/>
                <w:szCs w:val="24"/>
                <w:lang w:val="en-US"/>
              </w:rPr>
              <w:t>Term Asset-Backed Loan Facility</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900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4,71</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Swaps cambiarios/Otros activos</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606</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377,87</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MMIFF</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540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0</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Compras deuda GSE</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600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50,39</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Instrumentos respaldados hipotecas GSE</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1000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236,16</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Porción de Fed rescate Citigroup</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220,4</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sz w:val="24"/>
                <w:szCs w:val="24"/>
              </w:rPr>
            </w:pP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Rescate Bank of America</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87,2</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sz w:val="24"/>
                <w:szCs w:val="24"/>
              </w:rPr>
            </w:pP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Compromiso compra bonos Tesoro</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7,5</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Total Reserva Federal</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7765,64</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1678,71</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b/>
                <w:bCs/>
                <w:color w:val="212529"/>
                <w:sz w:val="24"/>
                <w:szCs w:val="24"/>
              </w:rPr>
              <w:t>FDIC</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sz w:val="24"/>
                <w:szCs w:val="24"/>
              </w:rPr>
            </w:pP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sz w:val="24"/>
                <w:szCs w:val="24"/>
              </w:rPr>
            </w:pP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Inversión Público-Privada*</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500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sz w:val="24"/>
                <w:szCs w:val="24"/>
              </w:rPr>
            </w:pP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Garantías liquidez FDIC</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1400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316,5</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GE</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126</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41</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Rescate Citigroup FDIC</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sz w:val="24"/>
                <w:szCs w:val="24"/>
              </w:rPr>
            </w:pP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Rescate Bank of America</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2,5</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sz w:val="24"/>
                <w:szCs w:val="24"/>
              </w:rPr>
            </w:pP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Total FDIC</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2038,5</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357,5</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b/>
                <w:bCs/>
                <w:color w:val="212529"/>
                <w:sz w:val="24"/>
                <w:szCs w:val="24"/>
              </w:rPr>
              <w:t>Tesoro</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sz w:val="24"/>
                <w:szCs w:val="24"/>
              </w:rPr>
            </w:pP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sz w:val="24"/>
                <w:szCs w:val="24"/>
              </w:rPr>
            </w:pP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TARP</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700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599,5</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Exenciones fiscales para bancos</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29</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29</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Paquete de estímulo (Bush)</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168</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168</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Estímulo II (Obama)</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787</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787</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Estabilización Tesoro</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50</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Compras préstamos para estudiante</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60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0</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Apoyo para Fannie/Freddie</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400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200</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Línea de crédito FDIC</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500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0</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Total del Tesoro</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2694</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1833,5</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b/>
                <w:bCs/>
                <w:color w:val="212529"/>
                <w:sz w:val="24"/>
                <w:szCs w:val="24"/>
              </w:rPr>
              <w:lastRenderedPageBreak/>
              <w:t>Departamento Vivienda</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sz w:val="24"/>
                <w:szCs w:val="24"/>
              </w:rPr>
            </w:pP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sz w:val="24"/>
                <w:szCs w:val="24"/>
              </w:rPr>
            </w:pP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Hope for Homeowners FHA</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300</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Total Departamento Vivienda</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300</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300</w:t>
            </w:r>
          </w:p>
        </w:tc>
      </w:tr>
      <w:tr w:rsidR="000E4E0C" w:rsidRPr="009D7272" w:rsidTr="000E4E0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b/>
                <w:bCs/>
                <w:color w:val="212529"/>
                <w:sz w:val="24"/>
                <w:szCs w:val="24"/>
              </w:rPr>
              <w:t>TOTAL</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12798,14</w:t>
            </w:r>
          </w:p>
        </w:tc>
        <w:tc>
          <w:tcPr>
            <w:tcW w:w="0" w:type="auto"/>
            <w:shd w:val="clear" w:color="auto" w:fill="FFFFFF"/>
            <w:vAlign w:val="center"/>
            <w:hideMark/>
          </w:tcPr>
          <w:p w:rsidR="000E4E0C" w:rsidRPr="009D7272" w:rsidRDefault="000E4E0C" w:rsidP="000E4E0C">
            <w:pPr>
              <w:spacing w:after="0" w:line="240" w:lineRule="auto"/>
              <w:jc w:val="both"/>
              <w:rPr>
                <w:rFonts w:ascii="Times New Roman" w:eastAsia="Times New Roman" w:hAnsi="Times New Roman" w:cs="Times New Roman"/>
                <w:color w:val="212529"/>
                <w:sz w:val="24"/>
                <w:szCs w:val="24"/>
              </w:rPr>
            </w:pPr>
            <w:r w:rsidRPr="009D7272">
              <w:rPr>
                <w:rFonts w:ascii="Times New Roman" w:eastAsia="Times New Roman" w:hAnsi="Times New Roman" w:cs="Times New Roman"/>
                <w:color w:val="212529"/>
                <w:sz w:val="24"/>
                <w:szCs w:val="24"/>
              </w:rPr>
              <w:t>4169,71</w:t>
            </w:r>
          </w:p>
        </w:tc>
      </w:tr>
    </w:tbl>
    <w:p w:rsidR="000E4E0C" w:rsidRDefault="000E4E0C" w:rsidP="000E4E0C">
      <w:pPr>
        <w:shd w:val="clear" w:color="auto" w:fill="FFFFFF"/>
        <w:spacing w:after="270" w:line="240" w:lineRule="auto"/>
        <w:jc w:val="both"/>
        <w:rPr>
          <w:rFonts w:ascii="Times New Roman" w:eastAsia="Times New Roman" w:hAnsi="Times New Roman" w:cs="Times New Roman"/>
          <w:i/>
          <w:iCs/>
          <w:color w:val="212529"/>
          <w:spacing w:val="-1"/>
          <w:sz w:val="24"/>
          <w:szCs w:val="24"/>
        </w:rPr>
      </w:pPr>
    </w:p>
    <w:p w:rsidR="000E4E0C" w:rsidRDefault="000E4E0C" w:rsidP="000E4E0C">
      <w:pPr>
        <w:shd w:val="clear" w:color="auto" w:fill="FFFFFF"/>
        <w:spacing w:after="270" w:line="240" w:lineRule="auto"/>
        <w:jc w:val="both"/>
        <w:rPr>
          <w:rFonts w:ascii="Times New Roman" w:eastAsia="Times New Roman" w:hAnsi="Times New Roman" w:cs="Times New Roman"/>
          <w:i/>
          <w:iCs/>
          <w:color w:val="212529"/>
          <w:spacing w:val="-1"/>
          <w:sz w:val="24"/>
          <w:szCs w:val="24"/>
        </w:rPr>
      </w:pPr>
      <w:r w:rsidRPr="009D7272">
        <w:rPr>
          <w:rFonts w:ascii="Times New Roman" w:eastAsia="Times New Roman" w:hAnsi="Times New Roman" w:cs="Times New Roman"/>
          <w:i/>
          <w:iCs/>
          <w:color w:val="212529"/>
          <w:spacing w:val="-1"/>
          <w:sz w:val="24"/>
          <w:szCs w:val="24"/>
        </w:rPr>
        <w:t>Fuente Bloomberg. Cantidades en miles de millones de dólares. *El compromiso de la FDIC para garantizar los préstamos en el marco de los Legacy Loan Program y Legacy Asset Program incluye una línea de crédito de 500.000 millones de dólares del Tesoro de Estados Unidos.</w:t>
      </w:r>
    </w:p>
    <w:p w:rsidR="000E4E0C" w:rsidRPr="009D7272" w:rsidRDefault="000E4E0C" w:rsidP="000E4E0C">
      <w:pPr>
        <w:shd w:val="clear" w:color="auto" w:fill="FFFFFF"/>
        <w:spacing w:after="270" w:line="240" w:lineRule="auto"/>
        <w:jc w:val="both"/>
        <w:rPr>
          <w:rFonts w:ascii="Times New Roman" w:eastAsia="Times New Roman" w:hAnsi="Times New Roman" w:cs="Times New Roman"/>
          <w:color w:val="212529"/>
          <w:spacing w:val="-1"/>
          <w:sz w:val="24"/>
          <w:szCs w:val="24"/>
        </w:rPr>
      </w:pPr>
      <w:r>
        <w:rPr>
          <w:noProof/>
          <w:lang w:eastAsia="es-ES"/>
        </w:rPr>
        <w:drawing>
          <wp:inline distT="0" distB="0" distL="0" distR="0" wp14:anchorId="2100C6C0" wp14:editId="35D57D08">
            <wp:extent cx="5730068" cy="5499847"/>
            <wp:effectExtent l="0" t="0" r="4445" b="5715"/>
            <wp:docPr id="346" name="Imagen 346" descr="1-aumento-base-monetaria-f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aumento-base-monetaria-fed.png"/>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5731510" cy="5501231"/>
                    </a:xfrm>
                    <a:prstGeom prst="rect">
                      <a:avLst/>
                    </a:prstGeom>
                    <a:noFill/>
                    <a:ln>
                      <a:noFill/>
                    </a:ln>
                  </pic:spPr>
                </pic:pic>
              </a:graphicData>
            </a:graphic>
          </wp:inline>
        </w:drawing>
      </w:r>
    </w:p>
    <w:p w:rsidR="000E4E0C" w:rsidRPr="00923BA7" w:rsidRDefault="000E4E0C" w:rsidP="000E4E0C">
      <w:pPr>
        <w:pStyle w:val="NormalWeb"/>
        <w:shd w:val="clear" w:color="auto" w:fill="FFFFFF"/>
        <w:jc w:val="both"/>
        <w:rPr>
          <w:color w:val="000000"/>
          <w:lang w:val="en-US"/>
        </w:rPr>
      </w:pPr>
      <w:r w:rsidRPr="00923BA7">
        <w:rPr>
          <w:color w:val="000000"/>
          <w:lang w:val="en-US"/>
        </w:rPr>
        <w:t xml:space="preserve">M1 consists of (1) currency outside the U.S. Treasury, Federal Reserve Banks, and the vaults of depository institutions; (2) traveler's checks of nonbank issuers; (3) demand deposits at commercial banks (excluding those amounts held by depository institutions, the U.S. government, and foreign banks and official institutions) less cash items in the process of collection and Federal Reserve float; and (4) other checkable deposits (OCDs), consisting of negotiable order of withdrawal (NOW) and automatic transfer service (ATS) accounts at </w:t>
      </w:r>
      <w:r w:rsidRPr="00923BA7">
        <w:rPr>
          <w:color w:val="000000"/>
          <w:lang w:val="en-US"/>
        </w:rPr>
        <w:lastRenderedPageBreak/>
        <w:t>depository institutions, credit union share draft accounts, and demand deposits at thrift institutions. Seasonally adjusted M1 is constructed by summing currency, traveler's checks, demand deposits, and OCDs, each seasonally adjusted separately.</w:t>
      </w:r>
    </w:p>
    <w:p w:rsidR="000E4E0C" w:rsidRDefault="000E4E0C" w:rsidP="000E4E0C">
      <w:pPr>
        <w:pStyle w:val="NormalWeb"/>
        <w:shd w:val="clear" w:color="auto" w:fill="FFFFFF"/>
        <w:jc w:val="both"/>
        <w:rPr>
          <w:color w:val="000000"/>
          <w:lang w:val="en-US"/>
        </w:rPr>
      </w:pPr>
      <w:r w:rsidRPr="00923BA7">
        <w:rPr>
          <w:color w:val="000000"/>
          <w:lang w:val="en-US"/>
        </w:rPr>
        <w:t>M2 consists of M1 plus (1) savings deposits (including money market deposit accounts); (2) small-denomination time deposits (time deposits in amounts of less than $100,000), less individual retirement account (IRA) and Keogh balances at depository institutions; and (3) balances in retail money market mutual funds, less IRA and Keogh balances at money market mutual funds. Seasonally adjusted M2 is constructed by summing savings deposits, small-denomination time deposits, and retail money funds, each seasonally adjusted separately, and adding this result to seasonally adjusted M1.</w:t>
      </w:r>
    </w:p>
    <w:p w:rsidR="000E4E0C" w:rsidRDefault="000E4E0C" w:rsidP="000E4E0C">
      <w:pPr>
        <w:pStyle w:val="NormalWeb"/>
        <w:shd w:val="clear" w:color="auto" w:fill="FFFFFF"/>
        <w:jc w:val="both"/>
        <w:rPr>
          <w:color w:val="000000"/>
          <w:lang w:val="en-US"/>
        </w:rPr>
      </w:pPr>
      <w:r>
        <w:rPr>
          <w:noProof/>
        </w:rPr>
        <w:drawing>
          <wp:inline distT="0" distB="0" distL="0" distR="0" wp14:anchorId="6D2ABB6D" wp14:editId="1B652B7A">
            <wp:extent cx="3476064" cy="3576918"/>
            <wp:effectExtent l="0" t="0" r="0" b="5080"/>
            <wp:docPr id="347" name="Imagen 347" descr="2-aumento-base-monetaria-f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aumento-base-monetaria-fed.pn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3477924" cy="3578832"/>
                    </a:xfrm>
                    <a:prstGeom prst="rect">
                      <a:avLst/>
                    </a:prstGeom>
                    <a:noFill/>
                    <a:ln>
                      <a:noFill/>
                    </a:ln>
                  </pic:spPr>
                </pic:pic>
              </a:graphicData>
            </a:graphic>
          </wp:inline>
        </w:drawing>
      </w:r>
    </w:p>
    <w:p w:rsidR="000E4E0C" w:rsidRDefault="000E4E0C" w:rsidP="000E4E0C">
      <w:pPr>
        <w:pStyle w:val="NormalWeb"/>
        <w:shd w:val="clear" w:color="auto" w:fill="FFFFFF"/>
        <w:jc w:val="both"/>
        <w:rPr>
          <w:b/>
          <w:color w:val="FF0000"/>
        </w:rPr>
      </w:pPr>
    </w:p>
    <w:p w:rsidR="000E4E0C" w:rsidRDefault="000E4E0C" w:rsidP="000E4E0C">
      <w:pPr>
        <w:pStyle w:val="NormalWeb"/>
        <w:shd w:val="clear" w:color="auto" w:fill="FFFFFF"/>
        <w:jc w:val="both"/>
        <w:rPr>
          <w:b/>
          <w:color w:val="FF0000"/>
        </w:rPr>
      </w:pPr>
    </w:p>
    <w:p w:rsidR="000E4E0C" w:rsidRDefault="000E4E0C" w:rsidP="000E4E0C">
      <w:pPr>
        <w:pStyle w:val="NormalWeb"/>
        <w:shd w:val="clear" w:color="auto" w:fill="FFFFFF"/>
        <w:jc w:val="both"/>
        <w:rPr>
          <w:b/>
          <w:color w:val="FF0000"/>
        </w:rPr>
      </w:pPr>
    </w:p>
    <w:p w:rsidR="000E4E0C" w:rsidRDefault="000E4E0C" w:rsidP="000E4E0C">
      <w:pPr>
        <w:pStyle w:val="NormalWeb"/>
        <w:shd w:val="clear" w:color="auto" w:fill="FFFFFF"/>
        <w:jc w:val="both"/>
        <w:rPr>
          <w:b/>
          <w:color w:val="FF0000"/>
        </w:rPr>
      </w:pPr>
    </w:p>
    <w:p w:rsidR="000E4E0C" w:rsidRDefault="000E4E0C" w:rsidP="0053075D">
      <w:pPr>
        <w:spacing w:line="240" w:lineRule="auto"/>
        <w:jc w:val="both"/>
        <w:rPr>
          <w:rFonts w:ascii="Times New Roman" w:hAnsi="Times New Roman" w:cs="Times New Roman"/>
          <w:sz w:val="24"/>
          <w:szCs w:val="24"/>
          <w:shd w:val="clear" w:color="auto" w:fill="FFFFFF"/>
        </w:rPr>
      </w:pPr>
    </w:p>
    <w:p w:rsidR="0053075D" w:rsidRDefault="0053075D" w:rsidP="0053075D">
      <w:pPr>
        <w:spacing w:line="240" w:lineRule="auto"/>
        <w:jc w:val="both"/>
        <w:rPr>
          <w:rFonts w:ascii="Times New Roman" w:hAnsi="Times New Roman" w:cs="Times New Roman"/>
          <w:sz w:val="24"/>
          <w:szCs w:val="24"/>
          <w:shd w:val="clear" w:color="auto" w:fill="FFFFFF"/>
        </w:rPr>
      </w:pPr>
    </w:p>
    <w:p w:rsidR="0053075D" w:rsidRDefault="0053075D" w:rsidP="0053075D">
      <w:pPr>
        <w:spacing w:line="240" w:lineRule="auto"/>
        <w:jc w:val="both"/>
        <w:rPr>
          <w:rFonts w:ascii="Times New Roman" w:hAnsi="Times New Roman" w:cs="Times New Roman"/>
          <w:sz w:val="24"/>
          <w:szCs w:val="24"/>
          <w:shd w:val="clear" w:color="auto" w:fill="FFFFFF"/>
        </w:rPr>
      </w:pPr>
    </w:p>
    <w:p w:rsidR="0053075D" w:rsidRDefault="0053075D" w:rsidP="0053075D">
      <w:pPr>
        <w:spacing w:line="240" w:lineRule="auto"/>
        <w:jc w:val="both"/>
        <w:rPr>
          <w:rFonts w:ascii="Times New Roman" w:hAnsi="Times New Roman" w:cs="Times New Roman"/>
          <w:sz w:val="24"/>
          <w:szCs w:val="24"/>
          <w:shd w:val="clear" w:color="auto" w:fill="FFFFFF"/>
        </w:rPr>
      </w:pPr>
    </w:p>
    <w:p w:rsidR="0053075D" w:rsidRDefault="0053075D" w:rsidP="0053075D">
      <w:pPr>
        <w:spacing w:line="240" w:lineRule="auto"/>
        <w:jc w:val="both"/>
        <w:rPr>
          <w:rFonts w:ascii="Times New Roman" w:hAnsi="Times New Roman" w:cs="Times New Roman"/>
          <w:sz w:val="24"/>
          <w:szCs w:val="24"/>
          <w:shd w:val="clear" w:color="auto" w:fill="FFFFFF"/>
        </w:rPr>
      </w:pPr>
    </w:p>
    <w:p w:rsidR="000E4E0C" w:rsidRDefault="000E4E0C" w:rsidP="0053075D">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lastRenderedPageBreak/>
        <w:t>Información complementaria</w:t>
      </w:r>
      <w:r w:rsidR="005C1112">
        <w:rPr>
          <w:rFonts w:ascii="Times New Roman" w:hAnsi="Times New Roman" w:cs="Times New Roman"/>
          <w:b/>
          <w:color w:val="FF0000"/>
          <w:sz w:val="24"/>
          <w:szCs w:val="24"/>
          <w:shd w:val="clear" w:color="auto" w:fill="FFFFFF"/>
        </w:rPr>
        <w:t xml:space="preserve"> (gráficos y tablas, de fuentes seleccionadas)</w:t>
      </w:r>
    </w:p>
    <w:p w:rsidR="0053075D" w:rsidRPr="009E14E8" w:rsidRDefault="0053075D" w:rsidP="0053075D">
      <w:pPr>
        <w:spacing w:line="240" w:lineRule="auto"/>
        <w:jc w:val="both"/>
        <w:rPr>
          <w:rFonts w:ascii="Times New Roman" w:hAnsi="Times New Roman" w:cs="Times New Roman"/>
          <w:b/>
          <w:color w:val="FF0000"/>
          <w:sz w:val="24"/>
          <w:szCs w:val="24"/>
          <w:shd w:val="clear" w:color="auto" w:fill="FFFFFF"/>
        </w:rPr>
      </w:pPr>
      <w:r w:rsidRPr="009E14E8">
        <w:rPr>
          <w:rFonts w:ascii="Times New Roman" w:hAnsi="Times New Roman" w:cs="Times New Roman"/>
          <w:b/>
          <w:color w:val="FF0000"/>
          <w:sz w:val="24"/>
          <w:szCs w:val="24"/>
          <w:shd w:val="clear" w:color="auto" w:fill="FFFFFF"/>
        </w:rPr>
        <w:t>(-</w:t>
      </w:r>
      <w:r w:rsidR="00B54D85">
        <w:rPr>
          <w:rFonts w:ascii="Times New Roman" w:hAnsi="Times New Roman" w:cs="Times New Roman"/>
          <w:b/>
          <w:color w:val="FF0000"/>
          <w:sz w:val="24"/>
          <w:szCs w:val="24"/>
          <w:shd w:val="clear" w:color="auto" w:fill="FFFFFF"/>
        </w:rPr>
        <w:t>) Impacto en el nivel de empleo</w:t>
      </w:r>
    </w:p>
    <w:p w:rsidR="0053075D" w:rsidRPr="009E14E8" w:rsidRDefault="0053075D" w:rsidP="0053075D">
      <w:pPr>
        <w:spacing w:line="240" w:lineRule="auto"/>
        <w:jc w:val="both"/>
        <w:rPr>
          <w:rFonts w:ascii="Times New Roman" w:hAnsi="Times New Roman" w:cs="Times New Roman"/>
          <w:b/>
          <w:color w:val="FF0000"/>
          <w:sz w:val="24"/>
          <w:szCs w:val="24"/>
          <w:shd w:val="clear" w:color="auto" w:fill="FFFFFF"/>
        </w:rPr>
      </w:pPr>
      <w:r w:rsidRPr="009E14E8">
        <w:rPr>
          <w:rFonts w:ascii="Times New Roman" w:hAnsi="Times New Roman" w:cs="Times New Roman"/>
          <w:b/>
          <w:color w:val="FF0000"/>
          <w:sz w:val="24"/>
          <w:szCs w:val="24"/>
          <w:shd w:val="clear" w:color="auto" w:fill="FFFFFF"/>
        </w:rPr>
        <w:t>(-)</w:t>
      </w:r>
      <w:r w:rsidR="00B54D85">
        <w:rPr>
          <w:rFonts w:ascii="Times New Roman" w:hAnsi="Times New Roman" w:cs="Times New Roman"/>
          <w:b/>
          <w:color w:val="FF0000"/>
          <w:sz w:val="24"/>
          <w:szCs w:val="24"/>
          <w:shd w:val="clear" w:color="auto" w:fill="FFFFFF"/>
        </w:rPr>
        <w:t xml:space="preserve"> Aumento del nivel de desempleo</w:t>
      </w:r>
    </w:p>
    <w:p w:rsidR="0053075D" w:rsidRPr="009E14E8" w:rsidRDefault="0053075D" w:rsidP="0053075D">
      <w:pPr>
        <w:spacing w:line="240" w:lineRule="auto"/>
        <w:jc w:val="both"/>
        <w:rPr>
          <w:rFonts w:ascii="Times New Roman" w:hAnsi="Times New Roman" w:cs="Times New Roman"/>
          <w:b/>
          <w:color w:val="FF0000"/>
          <w:sz w:val="24"/>
          <w:szCs w:val="24"/>
          <w:shd w:val="clear" w:color="auto" w:fill="FFFFFF"/>
        </w:rPr>
      </w:pPr>
      <w:r w:rsidRPr="009E14E8">
        <w:rPr>
          <w:rFonts w:ascii="Times New Roman" w:hAnsi="Times New Roman" w:cs="Times New Roman"/>
          <w:b/>
          <w:color w:val="FF0000"/>
          <w:sz w:val="24"/>
          <w:szCs w:val="24"/>
          <w:shd w:val="clear" w:color="auto" w:fill="FFFFFF"/>
        </w:rPr>
        <w:t>(-) Disminución de l</w:t>
      </w:r>
      <w:r w:rsidR="00B54D85">
        <w:rPr>
          <w:rFonts w:ascii="Times New Roman" w:hAnsi="Times New Roman" w:cs="Times New Roman"/>
          <w:b/>
          <w:color w:val="FF0000"/>
          <w:sz w:val="24"/>
          <w:szCs w:val="24"/>
          <w:shd w:val="clear" w:color="auto" w:fill="FFFFFF"/>
        </w:rPr>
        <w:t>os ingresos de los trabajadores</w:t>
      </w:r>
    </w:p>
    <w:p w:rsidR="0053075D" w:rsidRPr="009E14E8" w:rsidRDefault="0053075D" w:rsidP="0053075D">
      <w:pPr>
        <w:spacing w:line="240" w:lineRule="auto"/>
        <w:jc w:val="both"/>
        <w:rPr>
          <w:rFonts w:ascii="Times New Roman" w:hAnsi="Times New Roman" w:cs="Times New Roman"/>
          <w:b/>
          <w:color w:val="FF0000"/>
          <w:sz w:val="24"/>
          <w:szCs w:val="24"/>
          <w:shd w:val="clear" w:color="auto" w:fill="FFFFFF"/>
        </w:rPr>
      </w:pPr>
      <w:r w:rsidRPr="009E14E8">
        <w:rPr>
          <w:rFonts w:ascii="Times New Roman" w:hAnsi="Times New Roman" w:cs="Times New Roman"/>
          <w:b/>
          <w:color w:val="FF0000"/>
          <w:sz w:val="24"/>
          <w:szCs w:val="24"/>
          <w:shd w:val="clear" w:color="auto" w:fill="FFFFFF"/>
        </w:rPr>
        <w:t xml:space="preserve">(-) Alteración en </w:t>
      </w:r>
      <w:r w:rsidR="00B54D85">
        <w:rPr>
          <w:rFonts w:ascii="Times New Roman" w:hAnsi="Times New Roman" w:cs="Times New Roman"/>
          <w:b/>
          <w:color w:val="FF0000"/>
          <w:sz w:val="24"/>
          <w:szCs w:val="24"/>
          <w:shd w:val="clear" w:color="auto" w:fill="FFFFFF"/>
        </w:rPr>
        <w:t>la distribución de los ingresos</w:t>
      </w:r>
    </w:p>
    <w:p w:rsidR="0053075D" w:rsidRPr="009E14E8" w:rsidRDefault="00FE130B" w:rsidP="0053075D">
      <w:pPr>
        <w:spacing w:line="240" w:lineRule="auto"/>
        <w:jc w:val="both"/>
        <w:rPr>
          <w:rFonts w:ascii="Times New Roman" w:hAnsi="Times New Roman" w:cs="Times New Roman"/>
          <w:b/>
          <w:color w:val="FF0000"/>
          <w:sz w:val="24"/>
          <w:szCs w:val="24"/>
          <w:shd w:val="clear" w:color="auto" w:fill="FFFFFF"/>
        </w:rPr>
      </w:pPr>
      <w:r>
        <w:rPr>
          <w:rFonts w:ascii="Times New Roman" w:hAnsi="Times New Roman" w:cs="Times New Roman"/>
          <w:b/>
          <w:color w:val="FF0000"/>
          <w:sz w:val="24"/>
          <w:szCs w:val="24"/>
          <w:shd w:val="clear" w:color="auto" w:fill="FFFFFF"/>
        </w:rPr>
        <w:t>(-</w:t>
      </w:r>
      <w:r w:rsidR="00B54D85">
        <w:rPr>
          <w:rFonts w:ascii="Times New Roman" w:hAnsi="Times New Roman" w:cs="Times New Roman"/>
          <w:b/>
          <w:color w:val="FF0000"/>
          <w:sz w:val="24"/>
          <w:szCs w:val="24"/>
          <w:shd w:val="clear" w:color="auto" w:fill="FFFFFF"/>
        </w:rPr>
        <w:t>) Aumento de la pobreza</w:t>
      </w:r>
    </w:p>
    <w:p w:rsidR="0053075D" w:rsidRDefault="0053075D" w:rsidP="0053075D">
      <w:pPr>
        <w:spacing w:line="240" w:lineRule="auto"/>
        <w:jc w:val="both"/>
        <w:rPr>
          <w:rFonts w:ascii="Times New Roman" w:hAnsi="Times New Roman" w:cs="Times New Roman"/>
          <w:b/>
          <w:color w:val="FF0000"/>
          <w:sz w:val="24"/>
          <w:szCs w:val="24"/>
          <w:shd w:val="clear" w:color="auto" w:fill="FFFFFF"/>
        </w:rPr>
      </w:pPr>
      <w:r w:rsidRPr="009E14E8">
        <w:rPr>
          <w:rFonts w:ascii="Times New Roman" w:hAnsi="Times New Roman" w:cs="Times New Roman"/>
          <w:b/>
          <w:color w:val="FF0000"/>
          <w:sz w:val="24"/>
          <w:szCs w:val="24"/>
          <w:shd w:val="clear" w:color="auto" w:fill="FFFFFF"/>
        </w:rPr>
        <w:t>(-) Variación del coeficient</w:t>
      </w:r>
      <w:r w:rsidR="00B54D85">
        <w:rPr>
          <w:rFonts w:ascii="Times New Roman" w:hAnsi="Times New Roman" w:cs="Times New Roman"/>
          <w:b/>
          <w:color w:val="FF0000"/>
          <w:sz w:val="24"/>
          <w:szCs w:val="24"/>
          <w:shd w:val="clear" w:color="auto" w:fill="FFFFFF"/>
        </w:rPr>
        <w:t>e Gini</w:t>
      </w:r>
    </w:p>
    <w:p w:rsidR="0053075D" w:rsidRPr="009E14E8" w:rsidRDefault="0053075D" w:rsidP="0053075D">
      <w:pPr>
        <w:spacing w:line="240" w:lineRule="auto"/>
        <w:jc w:val="both"/>
        <w:rPr>
          <w:rFonts w:ascii="Times New Roman" w:hAnsi="Times New Roman" w:cs="Times New Roman"/>
          <w:b/>
          <w:color w:val="FF0000"/>
          <w:sz w:val="24"/>
          <w:szCs w:val="24"/>
          <w:shd w:val="clear" w:color="auto" w:fill="FFFFFF"/>
        </w:rPr>
      </w:pPr>
    </w:p>
    <w:p w:rsidR="0053075D" w:rsidRDefault="0053075D" w:rsidP="0053075D">
      <w:pPr>
        <w:spacing w:line="240" w:lineRule="auto"/>
        <w:jc w:val="both"/>
        <w:rPr>
          <w:rFonts w:ascii="Times New Roman" w:hAnsi="Times New Roman" w:cs="Times New Roman"/>
          <w:sz w:val="24"/>
          <w:szCs w:val="24"/>
          <w:shd w:val="clear" w:color="auto" w:fill="FFFFFF"/>
        </w:rPr>
      </w:pPr>
      <w:r w:rsidRPr="00EC023B">
        <w:rPr>
          <w:rFonts w:ascii="Times New Roman" w:hAnsi="Times New Roman" w:cs="Times New Roman"/>
          <w:b/>
          <w:noProof/>
          <w:sz w:val="24"/>
          <w:szCs w:val="24"/>
          <w:lang w:eastAsia="es-ES"/>
        </w:rPr>
        <w:drawing>
          <wp:inline distT="0" distB="0" distL="0" distR="0" wp14:anchorId="31E9815A" wp14:editId="66142F43">
            <wp:extent cx="5731510" cy="2404745"/>
            <wp:effectExtent l="0" t="0" r="2540" b="0"/>
            <wp:docPr id="483" name="Imagen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5731510" cy="2404745"/>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sz w:val="24"/>
          <w:szCs w:val="24"/>
          <w:shd w:val="clear" w:color="auto" w:fill="FFFFFF"/>
        </w:rPr>
      </w:pPr>
    </w:p>
    <w:p w:rsidR="0053075D" w:rsidRDefault="0053075D" w:rsidP="0053075D">
      <w:pPr>
        <w:spacing w:line="240" w:lineRule="auto"/>
        <w:jc w:val="both"/>
        <w:rPr>
          <w:rFonts w:ascii="Times New Roman" w:hAnsi="Times New Roman" w:cs="Times New Roman"/>
          <w:sz w:val="24"/>
          <w:szCs w:val="24"/>
          <w:shd w:val="clear" w:color="auto" w:fill="FFFFFF"/>
        </w:rPr>
      </w:pPr>
      <w:r w:rsidRPr="00EC023B">
        <w:rPr>
          <w:rFonts w:ascii="Times New Roman" w:hAnsi="Times New Roman" w:cs="Times New Roman"/>
          <w:b/>
          <w:noProof/>
          <w:sz w:val="24"/>
          <w:szCs w:val="24"/>
          <w:lang w:eastAsia="es-ES"/>
        </w:rPr>
        <w:drawing>
          <wp:inline distT="0" distB="0" distL="0" distR="0" wp14:anchorId="2F6607D0" wp14:editId="784694AB">
            <wp:extent cx="5731510" cy="2458085"/>
            <wp:effectExtent l="0" t="0" r="2540" b="0"/>
            <wp:docPr id="484" name="Imagen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5731510" cy="2458085"/>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sz w:val="24"/>
          <w:szCs w:val="24"/>
          <w:shd w:val="clear" w:color="auto" w:fill="FFFFFF"/>
        </w:rPr>
      </w:pPr>
      <w:r w:rsidRPr="00EC023B">
        <w:rPr>
          <w:rFonts w:ascii="Times New Roman" w:hAnsi="Times New Roman" w:cs="Times New Roman"/>
          <w:b/>
          <w:noProof/>
          <w:sz w:val="24"/>
          <w:szCs w:val="24"/>
          <w:lang w:eastAsia="es-ES"/>
        </w:rPr>
        <w:lastRenderedPageBreak/>
        <w:drawing>
          <wp:inline distT="0" distB="0" distL="0" distR="0" wp14:anchorId="46C269B8" wp14:editId="2B5E8C97">
            <wp:extent cx="5731510" cy="2329815"/>
            <wp:effectExtent l="0" t="0" r="2540" b="0"/>
            <wp:docPr id="485" name="Imagen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5731510" cy="2329815"/>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p>
    <w:p w:rsidR="0053075D" w:rsidRDefault="0053075D" w:rsidP="0053075D">
      <w:pPr>
        <w:spacing w:line="240" w:lineRule="auto"/>
        <w:jc w:val="both"/>
        <w:rPr>
          <w:rFonts w:ascii="Times New Roman" w:hAnsi="Times New Roman" w:cs="Times New Roman"/>
          <w:b/>
          <w:sz w:val="24"/>
          <w:szCs w:val="24"/>
        </w:rPr>
      </w:pPr>
      <w:r w:rsidRPr="003C29F6">
        <w:rPr>
          <w:rFonts w:ascii="Times New Roman" w:hAnsi="Times New Roman" w:cs="Times New Roman"/>
          <w:b/>
          <w:noProof/>
          <w:sz w:val="24"/>
          <w:szCs w:val="24"/>
          <w:lang w:eastAsia="es-ES"/>
        </w:rPr>
        <w:drawing>
          <wp:inline distT="0" distB="0" distL="0" distR="0" wp14:anchorId="6544410A" wp14:editId="068001B7">
            <wp:extent cx="5727214" cy="2806700"/>
            <wp:effectExtent l="0" t="0" r="6985" b="0"/>
            <wp:docPr id="486" name="Imagen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5731510" cy="2808805"/>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p>
    <w:p w:rsidR="0053075D" w:rsidRDefault="0053075D" w:rsidP="0053075D">
      <w:pPr>
        <w:spacing w:line="240" w:lineRule="auto"/>
        <w:jc w:val="both"/>
        <w:rPr>
          <w:rFonts w:ascii="Times New Roman" w:hAnsi="Times New Roman" w:cs="Times New Roman"/>
          <w:b/>
          <w:sz w:val="24"/>
          <w:szCs w:val="24"/>
        </w:rPr>
      </w:pPr>
      <w:r w:rsidRPr="006B09DB">
        <w:rPr>
          <w:rFonts w:ascii="Times New Roman" w:hAnsi="Times New Roman" w:cs="Times New Roman"/>
          <w:b/>
          <w:noProof/>
          <w:sz w:val="24"/>
          <w:szCs w:val="24"/>
          <w:lang w:eastAsia="es-ES"/>
        </w:rPr>
        <w:drawing>
          <wp:inline distT="0" distB="0" distL="0" distR="0" wp14:anchorId="77CE7E3A" wp14:editId="47CD727A">
            <wp:extent cx="5734050" cy="2851150"/>
            <wp:effectExtent l="0" t="0" r="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5731510" cy="2849887"/>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p>
    <w:p w:rsidR="0053075D" w:rsidRDefault="0053075D" w:rsidP="0053075D">
      <w:pPr>
        <w:spacing w:line="240" w:lineRule="auto"/>
        <w:jc w:val="both"/>
        <w:rPr>
          <w:rFonts w:ascii="Times New Roman" w:hAnsi="Times New Roman" w:cs="Times New Roman"/>
          <w:b/>
          <w:sz w:val="24"/>
          <w:szCs w:val="24"/>
        </w:rPr>
      </w:pPr>
      <w:r w:rsidRPr="00FF0E28">
        <w:rPr>
          <w:rFonts w:ascii="Times New Roman" w:hAnsi="Times New Roman" w:cs="Times New Roman"/>
          <w:b/>
          <w:noProof/>
          <w:sz w:val="24"/>
          <w:szCs w:val="24"/>
          <w:lang w:eastAsia="es-ES"/>
        </w:rPr>
        <w:drawing>
          <wp:inline distT="0" distB="0" distL="0" distR="0" wp14:anchorId="2FAD9274" wp14:editId="30D847B4">
            <wp:extent cx="5734050" cy="2813050"/>
            <wp:effectExtent l="0" t="0" r="0" b="6350"/>
            <wp:docPr id="487" name="Imagen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5731510" cy="2811804"/>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r w:rsidRPr="006B09DB">
        <w:rPr>
          <w:rFonts w:ascii="Times New Roman" w:hAnsi="Times New Roman" w:cs="Times New Roman"/>
          <w:b/>
          <w:noProof/>
          <w:sz w:val="24"/>
          <w:szCs w:val="24"/>
          <w:lang w:eastAsia="es-ES"/>
        </w:rPr>
        <w:drawing>
          <wp:inline distT="0" distB="0" distL="0" distR="0" wp14:anchorId="74439CE1" wp14:editId="60E6516E">
            <wp:extent cx="5732184" cy="2806700"/>
            <wp:effectExtent l="0" t="0" r="1905"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stretch>
                      <a:fillRect/>
                    </a:stretch>
                  </pic:blipFill>
                  <pic:spPr>
                    <a:xfrm>
                      <a:off x="0" y="0"/>
                      <a:ext cx="5731510" cy="2806370"/>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r w:rsidRPr="006B09DB">
        <w:rPr>
          <w:rFonts w:ascii="Times New Roman" w:hAnsi="Times New Roman" w:cs="Times New Roman"/>
          <w:b/>
          <w:noProof/>
          <w:sz w:val="24"/>
          <w:szCs w:val="24"/>
          <w:lang w:eastAsia="es-ES"/>
        </w:rPr>
        <w:drawing>
          <wp:inline distT="0" distB="0" distL="0" distR="0" wp14:anchorId="7ECEE62A" wp14:editId="6260C71A">
            <wp:extent cx="5732350" cy="2584450"/>
            <wp:effectExtent l="0" t="0" r="1905" b="635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5731510" cy="2584071"/>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r w:rsidRPr="003C29F6">
        <w:rPr>
          <w:rFonts w:ascii="Times New Roman" w:hAnsi="Times New Roman" w:cs="Times New Roman"/>
          <w:b/>
          <w:noProof/>
          <w:sz w:val="24"/>
          <w:szCs w:val="24"/>
          <w:lang w:eastAsia="es-ES"/>
        </w:rPr>
        <w:lastRenderedPageBreak/>
        <w:drawing>
          <wp:inline distT="0" distB="0" distL="0" distR="0" wp14:anchorId="35C31560" wp14:editId="1817D10E">
            <wp:extent cx="5733411" cy="2667000"/>
            <wp:effectExtent l="0" t="0" r="1270" b="0"/>
            <wp:docPr id="488" name="Imagen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5731510" cy="2666116"/>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r w:rsidRPr="003C29F6">
        <w:rPr>
          <w:rFonts w:ascii="Times New Roman" w:hAnsi="Times New Roman" w:cs="Times New Roman"/>
          <w:b/>
          <w:noProof/>
          <w:sz w:val="24"/>
          <w:szCs w:val="24"/>
          <w:lang w:eastAsia="es-ES"/>
        </w:rPr>
        <w:drawing>
          <wp:inline distT="0" distB="0" distL="0" distR="0" wp14:anchorId="64BBBD02" wp14:editId="114ED50A">
            <wp:extent cx="5733983" cy="2736850"/>
            <wp:effectExtent l="0" t="0" r="635" b="6350"/>
            <wp:docPr id="489" name="Imagen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5731510" cy="2735670"/>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p>
    <w:p w:rsidR="0053075D" w:rsidRDefault="0053075D" w:rsidP="0053075D">
      <w:pPr>
        <w:spacing w:line="240" w:lineRule="auto"/>
        <w:jc w:val="both"/>
        <w:rPr>
          <w:rFonts w:ascii="Times New Roman" w:hAnsi="Times New Roman" w:cs="Times New Roman"/>
          <w:b/>
          <w:sz w:val="24"/>
          <w:szCs w:val="24"/>
        </w:rPr>
      </w:pPr>
      <w:r w:rsidRPr="003C29F6">
        <w:rPr>
          <w:rFonts w:ascii="Times New Roman" w:hAnsi="Times New Roman" w:cs="Times New Roman"/>
          <w:b/>
          <w:noProof/>
          <w:sz w:val="24"/>
          <w:szCs w:val="24"/>
          <w:lang w:eastAsia="es-ES"/>
        </w:rPr>
        <w:drawing>
          <wp:inline distT="0" distB="0" distL="0" distR="0" wp14:anchorId="184F95E9" wp14:editId="4036C4BD">
            <wp:extent cx="5731681" cy="2711450"/>
            <wp:effectExtent l="0" t="0" r="2540" b="0"/>
            <wp:docPr id="490" name="Imagen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stretch>
                      <a:fillRect/>
                    </a:stretch>
                  </pic:blipFill>
                  <pic:spPr>
                    <a:xfrm>
                      <a:off x="0" y="0"/>
                      <a:ext cx="5731510" cy="2711369"/>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p>
    <w:p w:rsidR="0053075D" w:rsidRDefault="0053075D" w:rsidP="0053075D">
      <w:pPr>
        <w:spacing w:line="240" w:lineRule="auto"/>
        <w:jc w:val="both"/>
        <w:rPr>
          <w:rFonts w:ascii="Times New Roman" w:hAnsi="Times New Roman" w:cs="Times New Roman"/>
          <w:b/>
          <w:sz w:val="24"/>
          <w:szCs w:val="24"/>
        </w:rPr>
      </w:pPr>
      <w:r w:rsidRPr="00FF0E28">
        <w:rPr>
          <w:rFonts w:ascii="Times New Roman" w:hAnsi="Times New Roman" w:cs="Times New Roman"/>
          <w:b/>
          <w:noProof/>
          <w:sz w:val="24"/>
          <w:szCs w:val="24"/>
          <w:lang w:eastAsia="es-ES"/>
        </w:rPr>
        <w:drawing>
          <wp:inline distT="0" distB="0" distL="0" distR="0" wp14:anchorId="1026703D" wp14:editId="2DAC8504">
            <wp:extent cx="5728771" cy="2724150"/>
            <wp:effectExtent l="0" t="0" r="5715" b="0"/>
            <wp:docPr id="491" name="Imagen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5731510" cy="2725452"/>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r w:rsidRPr="00FF0E28">
        <w:rPr>
          <w:rFonts w:ascii="Times New Roman" w:hAnsi="Times New Roman" w:cs="Times New Roman"/>
          <w:b/>
          <w:noProof/>
          <w:sz w:val="24"/>
          <w:szCs w:val="24"/>
          <w:lang w:eastAsia="es-ES"/>
        </w:rPr>
        <w:drawing>
          <wp:inline distT="0" distB="0" distL="0" distR="0" wp14:anchorId="4E77AE6A" wp14:editId="606AE8AE">
            <wp:extent cx="5734050" cy="2774950"/>
            <wp:effectExtent l="0" t="0" r="0" b="6350"/>
            <wp:docPr id="492" name="Imagen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stretch>
                      <a:fillRect/>
                    </a:stretch>
                  </pic:blipFill>
                  <pic:spPr>
                    <a:xfrm>
                      <a:off x="0" y="0"/>
                      <a:ext cx="5731510" cy="2773721"/>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r w:rsidRPr="00FF0E28">
        <w:rPr>
          <w:rFonts w:ascii="Times New Roman" w:hAnsi="Times New Roman" w:cs="Times New Roman"/>
          <w:b/>
          <w:noProof/>
          <w:sz w:val="24"/>
          <w:szCs w:val="24"/>
          <w:lang w:eastAsia="es-ES"/>
        </w:rPr>
        <w:drawing>
          <wp:inline distT="0" distB="0" distL="0" distR="0" wp14:anchorId="006D42B1" wp14:editId="7AA42DDB">
            <wp:extent cx="5726392" cy="2755900"/>
            <wp:effectExtent l="0" t="0" r="8255" b="6350"/>
            <wp:docPr id="493" name="Imagen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5731510" cy="2758363"/>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r w:rsidRPr="00FF0E28">
        <w:rPr>
          <w:rFonts w:ascii="Times New Roman" w:hAnsi="Times New Roman" w:cs="Times New Roman"/>
          <w:b/>
          <w:noProof/>
          <w:sz w:val="24"/>
          <w:szCs w:val="24"/>
          <w:lang w:eastAsia="es-ES"/>
        </w:rPr>
        <w:lastRenderedPageBreak/>
        <w:drawing>
          <wp:inline distT="0" distB="0" distL="0" distR="0" wp14:anchorId="07801530" wp14:editId="57B97D5F">
            <wp:extent cx="5734050" cy="2641600"/>
            <wp:effectExtent l="0" t="0" r="0" b="6350"/>
            <wp:docPr id="494" name="Imagen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5731510" cy="2640430"/>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p>
    <w:p w:rsidR="0053075D" w:rsidRDefault="0053075D" w:rsidP="0053075D">
      <w:pPr>
        <w:spacing w:line="240" w:lineRule="auto"/>
        <w:jc w:val="both"/>
        <w:rPr>
          <w:rFonts w:ascii="Times New Roman" w:hAnsi="Times New Roman" w:cs="Times New Roman"/>
          <w:b/>
          <w:sz w:val="24"/>
          <w:szCs w:val="24"/>
        </w:rPr>
      </w:pPr>
    </w:p>
    <w:p w:rsidR="0053075D" w:rsidRDefault="0053075D" w:rsidP="0053075D">
      <w:pPr>
        <w:spacing w:line="240" w:lineRule="auto"/>
        <w:jc w:val="both"/>
        <w:rPr>
          <w:rFonts w:ascii="Times New Roman" w:hAnsi="Times New Roman" w:cs="Times New Roman"/>
          <w:b/>
          <w:sz w:val="24"/>
          <w:szCs w:val="24"/>
          <w:lang w:val="en-US"/>
        </w:rPr>
      </w:pPr>
      <w:r w:rsidRPr="005C2ACB">
        <w:rPr>
          <w:rFonts w:ascii="Times New Roman" w:hAnsi="Times New Roman" w:cs="Times New Roman"/>
          <w:b/>
          <w:noProof/>
          <w:sz w:val="24"/>
          <w:szCs w:val="24"/>
          <w:lang w:eastAsia="es-ES"/>
        </w:rPr>
        <w:drawing>
          <wp:inline distT="0" distB="0" distL="0" distR="0" wp14:anchorId="020B826D" wp14:editId="0E974C11">
            <wp:extent cx="5731510" cy="4479885"/>
            <wp:effectExtent l="0" t="0" r="2540" b="0"/>
            <wp:docPr id="495" name="Imagen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a:stretch>
                      <a:fillRect/>
                    </a:stretch>
                  </pic:blipFill>
                  <pic:spPr>
                    <a:xfrm>
                      <a:off x="0" y="0"/>
                      <a:ext cx="5731510" cy="4479885"/>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lang w:val="en-US"/>
        </w:rPr>
      </w:pPr>
      <w:r w:rsidRPr="005C2ACB">
        <w:rPr>
          <w:rFonts w:ascii="Times New Roman" w:hAnsi="Times New Roman" w:cs="Times New Roman"/>
          <w:b/>
          <w:noProof/>
          <w:sz w:val="24"/>
          <w:szCs w:val="24"/>
          <w:lang w:eastAsia="es-ES"/>
        </w:rPr>
        <w:lastRenderedPageBreak/>
        <w:drawing>
          <wp:inline distT="0" distB="0" distL="0" distR="0" wp14:anchorId="5D4DF20E" wp14:editId="124BF7AD">
            <wp:extent cx="5731510" cy="3524634"/>
            <wp:effectExtent l="0" t="0" r="2540" b="0"/>
            <wp:docPr id="496" name="Imagen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stretch>
                      <a:fillRect/>
                    </a:stretch>
                  </pic:blipFill>
                  <pic:spPr>
                    <a:xfrm>
                      <a:off x="0" y="0"/>
                      <a:ext cx="5731510" cy="3524634"/>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lang w:val="en-US"/>
        </w:rPr>
      </w:pPr>
      <w:r w:rsidRPr="00F92BFC">
        <w:rPr>
          <w:rFonts w:ascii="Times New Roman" w:hAnsi="Times New Roman" w:cs="Times New Roman"/>
          <w:b/>
          <w:noProof/>
          <w:sz w:val="24"/>
          <w:szCs w:val="24"/>
          <w:lang w:eastAsia="es-ES"/>
        </w:rPr>
        <w:drawing>
          <wp:inline distT="0" distB="0" distL="0" distR="0" wp14:anchorId="0769739B" wp14:editId="7384A6EB">
            <wp:extent cx="5731510" cy="3307080"/>
            <wp:effectExtent l="0" t="0" r="2540" b="7620"/>
            <wp:docPr id="497" name="Imagen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6"/>
                    <a:stretch>
                      <a:fillRect/>
                    </a:stretch>
                  </pic:blipFill>
                  <pic:spPr>
                    <a:xfrm>
                      <a:off x="0" y="0"/>
                      <a:ext cx="5731510" cy="3307080"/>
                    </a:xfrm>
                    <a:prstGeom prst="rect">
                      <a:avLst/>
                    </a:prstGeom>
                  </pic:spPr>
                </pic:pic>
              </a:graphicData>
            </a:graphic>
          </wp:inline>
        </w:drawing>
      </w:r>
    </w:p>
    <w:p w:rsidR="0053075D" w:rsidRPr="00F62984" w:rsidRDefault="0053075D" w:rsidP="0053075D">
      <w:pPr>
        <w:spacing w:line="240" w:lineRule="auto"/>
        <w:jc w:val="both"/>
        <w:rPr>
          <w:rFonts w:ascii="Times New Roman" w:hAnsi="Times New Roman" w:cs="Times New Roman"/>
          <w:b/>
          <w:sz w:val="24"/>
          <w:szCs w:val="24"/>
          <w:lang w:val="en-US"/>
        </w:rPr>
      </w:pPr>
      <w:r w:rsidRPr="005C2ACB">
        <w:rPr>
          <w:rFonts w:ascii="Times New Roman" w:hAnsi="Times New Roman" w:cs="Times New Roman"/>
          <w:b/>
          <w:noProof/>
          <w:sz w:val="24"/>
          <w:szCs w:val="24"/>
          <w:lang w:eastAsia="es-ES"/>
        </w:rPr>
        <w:lastRenderedPageBreak/>
        <w:drawing>
          <wp:inline distT="0" distB="0" distL="0" distR="0" wp14:anchorId="43048C9E" wp14:editId="20935DFF">
            <wp:extent cx="5729541" cy="3073400"/>
            <wp:effectExtent l="0" t="0" r="5080" b="0"/>
            <wp:docPr id="498" name="Imagen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5731510" cy="3074456"/>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r w:rsidRPr="005C2ACB">
        <w:rPr>
          <w:rFonts w:ascii="Times New Roman" w:hAnsi="Times New Roman" w:cs="Times New Roman"/>
          <w:b/>
          <w:noProof/>
          <w:sz w:val="24"/>
          <w:szCs w:val="24"/>
          <w:lang w:eastAsia="es-ES"/>
        </w:rPr>
        <w:drawing>
          <wp:inline distT="0" distB="0" distL="0" distR="0" wp14:anchorId="5089B5E2" wp14:editId="4E138C6C">
            <wp:extent cx="5731510" cy="2761355"/>
            <wp:effectExtent l="0" t="0" r="2540" b="1270"/>
            <wp:docPr id="499" name="Imagen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a:stretch>
                      <a:fillRect/>
                    </a:stretch>
                  </pic:blipFill>
                  <pic:spPr>
                    <a:xfrm>
                      <a:off x="0" y="0"/>
                      <a:ext cx="5731510" cy="2761355"/>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r w:rsidRPr="003C52B4">
        <w:rPr>
          <w:rFonts w:ascii="Times New Roman" w:hAnsi="Times New Roman" w:cs="Times New Roman"/>
          <w:b/>
          <w:noProof/>
          <w:sz w:val="24"/>
          <w:szCs w:val="24"/>
          <w:lang w:eastAsia="es-ES"/>
        </w:rPr>
        <w:drawing>
          <wp:inline distT="0" distB="0" distL="0" distR="0" wp14:anchorId="5EFEE599" wp14:editId="73BAFAAB">
            <wp:extent cx="5731510" cy="2620463"/>
            <wp:effectExtent l="0" t="0" r="2540" b="8890"/>
            <wp:docPr id="500" name="Imagen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a:stretch>
                      <a:fillRect/>
                    </a:stretch>
                  </pic:blipFill>
                  <pic:spPr>
                    <a:xfrm>
                      <a:off x="0" y="0"/>
                      <a:ext cx="5731510" cy="2620463"/>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r w:rsidRPr="003C52B4">
        <w:rPr>
          <w:rFonts w:ascii="Times New Roman" w:hAnsi="Times New Roman" w:cs="Times New Roman"/>
          <w:b/>
          <w:noProof/>
          <w:sz w:val="24"/>
          <w:szCs w:val="24"/>
          <w:lang w:eastAsia="es-ES"/>
        </w:rPr>
        <w:lastRenderedPageBreak/>
        <w:drawing>
          <wp:inline distT="0" distB="0" distL="0" distR="0" wp14:anchorId="672F5506" wp14:editId="1DDDBE65">
            <wp:extent cx="5728447" cy="2514600"/>
            <wp:effectExtent l="0" t="0" r="5715"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0"/>
                    <a:stretch>
                      <a:fillRect/>
                    </a:stretch>
                  </pic:blipFill>
                  <pic:spPr>
                    <a:xfrm>
                      <a:off x="0" y="0"/>
                      <a:ext cx="5731510" cy="2515945"/>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p>
    <w:p w:rsidR="0053075D" w:rsidRDefault="0053075D" w:rsidP="0053075D">
      <w:pPr>
        <w:spacing w:line="240" w:lineRule="auto"/>
        <w:jc w:val="both"/>
        <w:rPr>
          <w:rFonts w:ascii="Times New Roman" w:hAnsi="Times New Roman" w:cs="Times New Roman"/>
          <w:b/>
          <w:sz w:val="24"/>
          <w:szCs w:val="24"/>
        </w:rPr>
      </w:pPr>
      <w:r w:rsidRPr="003C52B4">
        <w:rPr>
          <w:rFonts w:ascii="Times New Roman" w:hAnsi="Times New Roman" w:cs="Times New Roman"/>
          <w:b/>
          <w:noProof/>
          <w:sz w:val="24"/>
          <w:szCs w:val="24"/>
          <w:lang w:eastAsia="es-ES"/>
        </w:rPr>
        <w:drawing>
          <wp:inline distT="0" distB="0" distL="0" distR="0" wp14:anchorId="5EDDDBCA" wp14:editId="0045CFF2">
            <wp:extent cx="5731510" cy="2836551"/>
            <wp:effectExtent l="0" t="0" r="2540" b="1905"/>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1"/>
                    <a:stretch>
                      <a:fillRect/>
                    </a:stretch>
                  </pic:blipFill>
                  <pic:spPr>
                    <a:xfrm>
                      <a:off x="0" y="0"/>
                      <a:ext cx="5731510" cy="2836551"/>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pPr>
    </w:p>
    <w:p w:rsidR="0053075D" w:rsidRDefault="0053075D" w:rsidP="0053075D">
      <w:pPr>
        <w:spacing w:line="240" w:lineRule="auto"/>
        <w:jc w:val="both"/>
        <w:rPr>
          <w:rFonts w:ascii="Times New Roman" w:hAnsi="Times New Roman" w:cs="Times New Roman"/>
          <w:b/>
          <w:sz w:val="24"/>
          <w:szCs w:val="24"/>
        </w:rPr>
      </w:pPr>
      <w:r w:rsidRPr="003C52B4">
        <w:rPr>
          <w:rFonts w:ascii="Times New Roman" w:hAnsi="Times New Roman" w:cs="Times New Roman"/>
          <w:b/>
          <w:noProof/>
          <w:sz w:val="24"/>
          <w:szCs w:val="24"/>
          <w:lang w:eastAsia="es-ES"/>
        </w:rPr>
        <w:drawing>
          <wp:inline distT="0" distB="0" distL="0" distR="0" wp14:anchorId="1147182F" wp14:editId="6F778F6D">
            <wp:extent cx="5731510" cy="2545715"/>
            <wp:effectExtent l="0" t="0" r="2540" b="6985"/>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2"/>
                    <a:stretch>
                      <a:fillRect/>
                    </a:stretch>
                  </pic:blipFill>
                  <pic:spPr>
                    <a:xfrm>
                      <a:off x="0" y="0"/>
                      <a:ext cx="5731510" cy="2545715"/>
                    </a:xfrm>
                    <a:prstGeom prst="rect">
                      <a:avLst/>
                    </a:prstGeom>
                  </pic:spPr>
                </pic:pic>
              </a:graphicData>
            </a:graphic>
          </wp:inline>
        </w:drawing>
      </w:r>
    </w:p>
    <w:p w:rsidR="0053075D" w:rsidRDefault="0053075D" w:rsidP="0053075D">
      <w:pPr>
        <w:spacing w:line="240" w:lineRule="auto"/>
        <w:jc w:val="both"/>
        <w:rPr>
          <w:rFonts w:ascii="Times New Roman" w:hAnsi="Times New Roman" w:cs="Times New Roman"/>
          <w:b/>
          <w:sz w:val="24"/>
          <w:szCs w:val="24"/>
        </w:rPr>
        <w:sectPr w:rsidR="0053075D" w:rsidSect="00C7040B">
          <w:pgSz w:w="11906" w:h="16838"/>
          <w:pgMar w:top="1440" w:right="1440" w:bottom="1440" w:left="1440" w:header="709" w:footer="709" w:gutter="0"/>
          <w:cols w:space="708"/>
          <w:docGrid w:linePitch="360"/>
        </w:sect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6A0C06">
        <w:rPr>
          <w:rFonts w:ascii="Times New Roman" w:hAnsi="Times New Roman" w:cs="Times New Roman"/>
          <w:b/>
          <w:noProof/>
          <w:sz w:val="24"/>
          <w:szCs w:val="24"/>
          <w:lang w:eastAsia="es-ES"/>
        </w:rPr>
        <w:drawing>
          <wp:inline distT="0" distB="0" distL="0" distR="0" wp14:anchorId="666038DF" wp14:editId="1472AACA">
            <wp:extent cx="6387353" cy="1304365"/>
            <wp:effectExtent l="0" t="0" r="0" b="0"/>
            <wp:docPr id="501" name="Imagen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a:stretch>
                      <a:fillRect/>
                    </a:stretch>
                  </pic:blipFill>
                  <pic:spPr>
                    <a:xfrm>
                      <a:off x="0" y="0"/>
                      <a:ext cx="6387353" cy="1304365"/>
                    </a:xfrm>
                    <a:prstGeom prst="rect">
                      <a:avLst/>
                    </a:prstGeom>
                  </pic:spPr>
                </pic:pic>
              </a:graphicData>
            </a:graphic>
          </wp:inline>
        </w:drawing>
      </w:r>
      <w:r w:rsidRPr="006A0C06">
        <w:rPr>
          <w:rFonts w:ascii="Times New Roman" w:hAnsi="Times New Roman" w:cs="Times New Roman"/>
          <w:b/>
          <w:noProof/>
          <w:sz w:val="24"/>
          <w:szCs w:val="24"/>
          <w:lang w:eastAsia="es-ES"/>
        </w:rPr>
        <w:drawing>
          <wp:inline distT="0" distB="0" distL="0" distR="0" wp14:anchorId="0E0ED0D1" wp14:editId="696D95B3">
            <wp:extent cx="1593476" cy="793376"/>
            <wp:effectExtent l="0" t="0" r="6985" b="6985"/>
            <wp:docPr id="502" name="Imagen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a:stretch>
                      <a:fillRect/>
                    </a:stretch>
                  </pic:blipFill>
                  <pic:spPr>
                    <a:xfrm>
                      <a:off x="0" y="0"/>
                      <a:ext cx="1592516" cy="792898"/>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6A0C06">
        <w:rPr>
          <w:rFonts w:ascii="Times New Roman" w:hAnsi="Times New Roman" w:cs="Times New Roman"/>
          <w:b/>
          <w:noProof/>
          <w:sz w:val="24"/>
          <w:szCs w:val="24"/>
          <w:lang w:eastAsia="es-ES"/>
        </w:rPr>
        <w:drawing>
          <wp:inline distT="0" distB="0" distL="0" distR="0" wp14:anchorId="2C14E193" wp14:editId="381E8D4F">
            <wp:extent cx="6293224" cy="2185147"/>
            <wp:effectExtent l="0" t="0" r="0" b="5715"/>
            <wp:docPr id="503" name="Imagen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stretch>
                      <a:fillRect/>
                    </a:stretch>
                  </pic:blipFill>
                  <pic:spPr>
                    <a:xfrm>
                      <a:off x="0" y="0"/>
                      <a:ext cx="6293224" cy="2185147"/>
                    </a:xfrm>
                    <a:prstGeom prst="rect">
                      <a:avLst/>
                    </a:prstGeom>
                  </pic:spPr>
                </pic:pic>
              </a:graphicData>
            </a:graphic>
          </wp:inline>
        </w:drawing>
      </w:r>
      <w:r w:rsidRPr="006A0C06">
        <w:rPr>
          <w:rFonts w:ascii="Times New Roman" w:hAnsi="Times New Roman" w:cs="Times New Roman"/>
          <w:b/>
          <w:noProof/>
          <w:sz w:val="24"/>
          <w:szCs w:val="24"/>
          <w:lang w:eastAsia="es-ES"/>
        </w:rPr>
        <w:drawing>
          <wp:inline distT="0" distB="0" distL="0" distR="0" wp14:anchorId="071FDF6D" wp14:editId="6CCB1643">
            <wp:extent cx="1667436" cy="1734671"/>
            <wp:effectExtent l="0" t="0" r="9525" b="0"/>
            <wp:docPr id="504" name="Imagen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1672902" cy="1740357"/>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360EEB">
        <w:rPr>
          <w:rFonts w:ascii="Times New Roman" w:hAnsi="Times New Roman" w:cs="Times New Roman"/>
          <w:b/>
          <w:noProof/>
          <w:sz w:val="24"/>
          <w:szCs w:val="24"/>
          <w:lang w:eastAsia="es-ES"/>
        </w:rPr>
        <w:lastRenderedPageBreak/>
        <w:drawing>
          <wp:inline distT="0" distB="0" distL="0" distR="0" wp14:anchorId="4621F4FC" wp14:editId="1FC05013">
            <wp:extent cx="6609229" cy="2124635"/>
            <wp:effectExtent l="0" t="0" r="1270" b="9525"/>
            <wp:docPr id="505" name="Imagen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a:stretch>
                      <a:fillRect/>
                    </a:stretch>
                  </pic:blipFill>
                  <pic:spPr>
                    <a:xfrm>
                      <a:off x="0" y="0"/>
                      <a:ext cx="6611563" cy="2125385"/>
                    </a:xfrm>
                    <a:prstGeom prst="rect">
                      <a:avLst/>
                    </a:prstGeom>
                  </pic:spPr>
                </pic:pic>
              </a:graphicData>
            </a:graphic>
          </wp:inline>
        </w:drawing>
      </w:r>
      <w:r w:rsidRPr="00360EEB">
        <w:rPr>
          <w:rFonts w:ascii="Times New Roman" w:hAnsi="Times New Roman" w:cs="Times New Roman"/>
          <w:b/>
          <w:noProof/>
          <w:sz w:val="24"/>
          <w:szCs w:val="24"/>
          <w:lang w:eastAsia="es-ES"/>
        </w:rPr>
        <w:drawing>
          <wp:inline distT="0" distB="0" distL="0" distR="0" wp14:anchorId="2FCCAB4A" wp14:editId="59D40D2C">
            <wp:extent cx="1916206" cy="1667435"/>
            <wp:effectExtent l="0" t="0" r="8255" b="9525"/>
            <wp:docPr id="506" name="Imagen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a:stretch>
                      <a:fillRect/>
                    </a:stretch>
                  </pic:blipFill>
                  <pic:spPr>
                    <a:xfrm>
                      <a:off x="0" y="0"/>
                      <a:ext cx="1916062" cy="1667309"/>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360EEB">
        <w:rPr>
          <w:rFonts w:ascii="Times New Roman" w:hAnsi="Times New Roman" w:cs="Times New Roman"/>
          <w:b/>
          <w:noProof/>
          <w:sz w:val="24"/>
          <w:szCs w:val="24"/>
          <w:lang w:eastAsia="es-ES"/>
        </w:rPr>
        <w:drawing>
          <wp:inline distT="0" distB="0" distL="0" distR="0" wp14:anchorId="370A4247" wp14:editId="1F9D69D9">
            <wp:extent cx="6918512" cy="1196788"/>
            <wp:effectExtent l="0" t="0" r="0" b="3810"/>
            <wp:docPr id="507" name="Imagen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a:stretch>
                      <a:fillRect/>
                    </a:stretch>
                  </pic:blipFill>
                  <pic:spPr>
                    <a:xfrm>
                      <a:off x="0" y="0"/>
                      <a:ext cx="6918512" cy="1196788"/>
                    </a:xfrm>
                    <a:prstGeom prst="rect">
                      <a:avLst/>
                    </a:prstGeom>
                  </pic:spPr>
                </pic:pic>
              </a:graphicData>
            </a:graphic>
          </wp:inline>
        </w:drawing>
      </w:r>
      <w:r w:rsidRPr="00360EEB">
        <w:rPr>
          <w:rFonts w:ascii="Times New Roman" w:hAnsi="Times New Roman" w:cs="Times New Roman"/>
          <w:b/>
          <w:noProof/>
          <w:sz w:val="24"/>
          <w:szCs w:val="24"/>
          <w:lang w:eastAsia="es-ES"/>
        </w:rPr>
        <w:drawing>
          <wp:inline distT="0" distB="0" distL="0" distR="0" wp14:anchorId="74F26B51" wp14:editId="130BF931">
            <wp:extent cx="1647264" cy="739154"/>
            <wp:effectExtent l="0" t="0" r="0" b="3810"/>
            <wp:docPr id="508" name="Imagen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1645826" cy="738509"/>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360EEB">
        <w:rPr>
          <w:rFonts w:ascii="Times New Roman" w:hAnsi="Times New Roman" w:cs="Times New Roman"/>
          <w:b/>
          <w:noProof/>
          <w:sz w:val="24"/>
          <w:szCs w:val="24"/>
          <w:lang w:eastAsia="es-ES"/>
        </w:rPr>
        <w:drawing>
          <wp:inline distT="0" distB="0" distL="0" distR="0" wp14:anchorId="4D637C88" wp14:editId="7CAD3BED">
            <wp:extent cx="6985747" cy="1270747"/>
            <wp:effectExtent l="0" t="0" r="5715" b="5715"/>
            <wp:docPr id="509" name="Imagen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stretch>
                      <a:fillRect/>
                    </a:stretch>
                  </pic:blipFill>
                  <pic:spPr>
                    <a:xfrm>
                      <a:off x="0" y="0"/>
                      <a:ext cx="6985747" cy="1270747"/>
                    </a:xfrm>
                    <a:prstGeom prst="rect">
                      <a:avLst/>
                    </a:prstGeom>
                  </pic:spPr>
                </pic:pic>
              </a:graphicData>
            </a:graphic>
          </wp:inline>
        </w:drawing>
      </w:r>
      <w:r w:rsidRPr="00360EEB">
        <w:rPr>
          <w:rFonts w:ascii="Times New Roman" w:hAnsi="Times New Roman" w:cs="Times New Roman"/>
          <w:b/>
          <w:noProof/>
          <w:sz w:val="24"/>
          <w:szCs w:val="24"/>
          <w:lang w:eastAsia="es-ES"/>
        </w:rPr>
        <w:drawing>
          <wp:inline distT="0" distB="0" distL="0" distR="0" wp14:anchorId="1CE10117" wp14:editId="7EF38AEC">
            <wp:extent cx="1640541" cy="739588"/>
            <wp:effectExtent l="0" t="0" r="0" b="3810"/>
            <wp:docPr id="510" name="Imagen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a:stretch>
                      <a:fillRect/>
                    </a:stretch>
                  </pic:blipFill>
                  <pic:spPr>
                    <a:xfrm>
                      <a:off x="0" y="0"/>
                      <a:ext cx="1637828" cy="738365"/>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sectPr w:rsidR="00DA4F73" w:rsidSect="00C7040B">
          <w:pgSz w:w="16838" w:h="11906" w:orient="landscape"/>
          <w:pgMar w:top="1440" w:right="1440" w:bottom="1440" w:left="1440" w:header="709" w:footer="709" w:gutter="0"/>
          <w:cols w:space="708"/>
          <w:docGrid w:linePitch="360"/>
        </w:sectPr>
      </w:pPr>
    </w:p>
    <w:p w:rsidR="00DA4F73" w:rsidRPr="009C40A4" w:rsidRDefault="00DA4F73" w:rsidP="00DA4F73">
      <w:pPr>
        <w:spacing w:line="240" w:lineRule="auto"/>
        <w:jc w:val="both"/>
        <w:rPr>
          <w:rFonts w:ascii="Times New Roman" w:hAnsi="Times New Roman" w:cs="Times New Roman"/>
          <w:b/>
          <w:sz w:val="24"/>
          <w:szCs w:val="24"/>
        </w:rPr>
      </w:pPr>
      <w:r w:rsidRPr="00C56FFD">
        <w:rPr>
          <w:rFonts w:ascii="Times New Roman" w:hAnsi="Times New Roman" w:cs="Times New Roman"/>
          <w:b/>
          <w:noProof/>
          <w:sz w:val="24"/>
          <w:szCs w:val="24"/>
          <w:lang w:eastAsia="es-ES"/>
        </w:rPr>
        <w:lastRenderedPageBreak/>
        <w:drawing>
          <wp:inline distT="0" distB="0" distL="0" distR="0" wp14:anchorId="2BFF0367" wp14:editId="71323EFC">
            <wp:extent cx="5728448" cy="3435724"/>
            <wp:effectExtent l="0" t="0" r="5715"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a:stretch>
                      <a:fillRect/>
                    </a:stretch>
                  </pic:blipFill>
                  <pic:spPr>
                    <a:xfrm>
                      <a:off x="0" y="0"/>
                      <a:ext cx="5731510" cy="3437560"/>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sz w:val="24"/>
          <w:szCs w:val="24"/>
        </w:rPr>
      </w:pPr>
    </w:p>
    <w:p w:rsidR="00DA4F73" w:rsidRDefault="00DA4F73" w:rsidP="00DA4F73">
      <w:pPr>
        <w:spacing w:line="240" w:lineRule="auto"/>
        <w:jc w:val="both"/>
        <w:rPr>
          <w:rFonts w:ascii="Times New Roman" w:hAnsi="Times New Roman" w:cs="Times New Roman"/>
          <w:sz w:val="24"/>
          <w:szCs w:val="24"/>
        </w:rPr>
      </w:pPr>
      <w:r w:rsidRPr="00C56FFD">
        <w:rPr>
          <w:rFonts w:ascii="Times New Roman" w:hAnsi="Times New Roman" w:cs="Times New Roman"/>
          <w:sz w:val="24"/>
          <w:szCs w:val="24"/>
        </w:rPr>
        <w:t>El COVID-19 ha tenido trágicas consecuencias para la salud y la vida de cientos de miles de personas en todo el mundo. También ha cambiado drásticamente las economías en todos los lugares, ya que las empresas de diversos sectores se han visto obligadas a cerrar temporalmente para frenar la propagación del virus, y a adaptar sus modalidades de trabajo habituales debido al refuerzo de las medidas de seguridad y salud en el trabajo o a otras interrupciones de la actividad comercial. Algunos sectores han decidido parar totalmente su actividad a causa del impacto económico que ha tenido el cambio de comportamiento de los consumidores a raíz de las recomendaciones o decisiones gubernamentales. A escala mundial, las empresas están teniendo grandes dificultades para asegurar su viabilidad continua, y se ha obligado a los trabajadores a permanecer en sus casas, muchos de ellos en situación de desempleo temporal o parcial. En los países con altos niveles de informalidad o con sistemas de protección social deficientes, muchos trabajadores carecen de apoyo a los ingresos o de prestaciones de desempleo, por lo que cabe el riesgo de que muchos hombres y mujeres caigan en la pobreza y de que se exacerben las desigualdades. La OIT estima que el COVID-19 podría acabar con aproximadamente el 6,7 por ciento de las horas de trabajo en todo el mundo e</w:t>
      </w:r>
      <w:r>
        <w:rPr>
          <w:rFonts w:ascii="Times New Roman" w:hAnsi="Times New Roman" w:cs="Times New Roman"/>
          <w:sz w:val="24"/>
          <w:szCs w:val="24"/>
        </w:rPr>
        <w:t>n el segundo trimestre de 2020 -</w:t>
      </w:r>
      <w:r w:rsidRPr="00C56FFD">
        <w:rPr>
          <w:rFonts w:ascii="Times New Roman" w:hAnsi="Times New Roman" w:cs="Times New Roman"/>
          <w:sz w:val="24"/>
          <w:szCs w:val="24"/>
        </w:rPr>
        <w:t xml:space="preserve"> lo que equivale a 195 millones de trabajadores a tiempo completo. Se prevén grandes recortes en los Estados árabes (el 8,1 por ciento, lo que equivale a 5 millones de trabajadores a tiempo completo), Europa (el 7,8 por ciento, o 12 millones de trabajadores a tiempo completo), y Asia y el Pacífico (el 7,2 por ciento, o 125 millones de tr</w:t>
      </w:r>
      <w:r>
        <w:rPr>
          <w:rFonts w:ascii="Times New Roman" w:hAnsi="Times New Roman" w:cs="Times New Roman"/>
          <w:sz w:val="24"/>
          <w:szCs w:val="24"/>
        </w:rPr>
        <w:t xml:space="preserve">abajadores a tiempo completo). </w:t>
      </w:r>
      <w:r w:rsidRPr="00C56FFD">
        <w:rPr>
          <w:rFonts w:ascii="Times New Roman" w:hAnsi="Times New Roman" w:cs="Times New Roman"/>
          <w:sz w:val="24"/>
          <w:szCs w:val="24"/>
        </w:rPr>
        <w:t xml:space="preserve"> Las corrientes mundiales de IED caerán, y el descenso podría oscilar entre el 30 por ciento y el 40 por ciento en el período 2020-2021.</w:t>
      </w:r>
    </w:p>
    <w:p w:rsidR="00DA4F73" w:rsidRDefault="00DA4F73" w:rsidP="00DA4F73">
      <w:pPr>
        <w:spacing w:line="240" w:lineRule="auto"/>
        <w:jc w:val="both"/>
        <w:rPr>
          <w:rFonts w:ascii="Times New Roman" w:hAnsi="Times New Roman" w:cs="Times New Roman"/>
          <w:sz w:val="24"/>
          <w:szCs w:val="24"/>
        </w:rPr>
      </w:pPr>
      <w:r w:rsidRPr="00E7574A">
        <w:rPr>
          <w:rFonts w:ascii="Times New Roman" w:hAnsi="Times New Roman" w:cs="Times New Roman"/>
          <w:noProof/>
          <w:sz w:val="24"/>
          <w:szCs w:val="24"/>
          <w:lang w:eastAsia="es-ES"/>
        </w:rPr>
        <w:lastRenderedPageBreak/>
        <w:drawing>
          <wp:inline distT="0" distB="0" distL="0" distR="0" wp14:anchorId="0E07AD83" wp14:editId="579845F7">
            <wp:extent cx="5610224" cy="3181350"/>
            <wp:effectExtent l="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4"/>
                    <a:stretch>
                      <a:fillRect/>
                    </a:stretch>
                  </pic:blipFill>
                  <pic:spPr>
                    <a:xfrm>
                      <a:off x="0" y="0"/>
                      <a:ext cx="5611008" cy="3181795"/>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r w:rsidRPr="00E7574A">
        <w:rPr>
          <w:rFonts w:ascii="Times New Roman" w:hAnsi="Times New Roman" w:cs="Times New Roman"/>
          <w:b/>
          <w:noProof/>
          <w:sz w:val="24"/>
          <w:szCs w:val="24"/>
          <w:lang w:eastAsia="es-ES"/>
        </w:rPr>
        <w:drawing>
          <wp:inline distT="0" distB="0" distL="0" distR="0" wp14:anchorId="07C10A99" wp14:editId="13C03859">
            <wp:extent cx="5117263" cy="5378450"/>
            <wp:effectExtent l="0" t="0" r="762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5"/>
                    <a:stretch>
                      <a:fillRect/>
                    </a:stretch>
                  </pic:blipFill>
                  <pic:spPr>
                    <a:xfrm>
                      <a:off x="0" y="0"/>
                      <a:ext cx="5115639" cy="5376743"/>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r w:rsidRPr="00E7574A">
        <w:rPr>
          <w:rFonts w:ascii="Times New Roman" w:hAnsi="Times New Roman" w:cs="Times New Roman"/>
          <w:b/>
          <w:noProof/>
          <w:sz w:val="24"/>
          <w:szCs w:val="24"/>
          <w:lang w:eastAsia="es-ES"/>
        </w:rPr>
        <w:lastRenderedPageBreak/>
        <w:drawing>
          <wp:inline distT="0" distB="0" distL="0" distR="0" wp14:anchorId="503E5A9D" wp14:editId="0327204A">
            <wp:extent cx="5728446" cy="2857500"/>
            <wp:effectExtent l="0" t="0" r="5715"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6"/>
                    <a:stretch>
                      <a:fillRect/>
                    </a:stretch>
                  </pic:blipFill>
                  <pic:spPr>
                    <a:xfrm>
                      <a:off x="0" y="0"/>
                      <a:ext cx="5731510" cy="2859029"/>
                    </a:xfrm>
                    <a:prstGeom prst="rect">
                      <a:avLst/>
                    </a:prstGeom>
                  </pic:spPr>
                </pic:pic>
              </a:graphicData>
            </a:graphic>
          </wp:inline>
        </w:drawing>
      </w:r>
    </w:p>
    <w:p w:rsidR="00DA4F73" w:rsidRPr="00C655CF" w:rsidRDefault="00DA4F73" w:rsidP="00DA4F73">
      <w:pPr>
        <w:pStyle w:val="Ttulo1"/>
        <w:spacing w:before="450"/>
        <w:jc w:val="both"/>
        <w:rPr>
          <w:bCs w:val="0"/>
          <w:color w:val="auto"/>
          <w:sz w:val="24"/>
          <w:szCs w:val="24"/>
        </w:rPr>
      </w:pPr>
      <w:r w:rsidRPr="00C655CF">
        <w:rPr>
          <w:bCs w:val="0"/>
          <w:color w:val="auto"/>
          <w:sz w:val="24"/>
          <w:szCs w:val="24"/>
        </w:rPr>
        <w:t>OIT: El COVID-19 causa pérdidas devastadoras de empleos y horas de trabajo</w:t>
      </w:r>
    </w:p>
    <w:p w:rsidR="00DA4F73" w:rsidRPr="00E7574A" w:rsidRDefault="00DA4F73" w:rsidP="00DA4F73">
      <w:pPr>
        <w:pStyle w:val="intro"/>
        <w:spacing w:before="300" w:beforeAutospacing="0" w:after="203" w:afterAutospacing="0"/>
        <w:jc w:val="both"/>
      </w:pPr>
      <w:r w:rsidRPr="00E7574A">
        <w:t>La pandemia COVID-19 está teniendo un efecto catastrófico en el tiempo de trabajo y en los ingresos, a nivel mundial. Un nuevo informe de la OIT destaca algunos de los sectores y regiones más afectados, y esboza unas políticas para mitigar la crisis.</w:t>
      </w:r>
    </w:p>
    <w:p w:rsidR="00DA4F73" w:rsidRPr="008B0EFC" w:rsidRDefault="008B0EFC" w:rsidP="00DA4F73">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sz w:val="24"/>
          <w:szCs w:val="24"/>
        </w:rPr>
        <w:t>Comunicado de prensa /</w:t>
      </w:r>
      <w:r w:rsidR="00DA4F73" w:rsidRPr="00E7574A">
        <w:rPr>
          <w:rFonts w:ascii="Times New Roman" w:hAnsi="Times New Roman" w:cs="Times New Roman"/>
          <w:sz w:val="24"/>
          <w:szCs w:val="24"/>
        </w:rPr>
        <w:t xml:space="preserve"> </w:t>
      </w:r>
      <w:r w:rsidR="00DA4F73" w:rsidRPr="008B0EFC">
        <w:rPr>
          <w:rFonts w:ascii="Times New Roman" w:hAnsi="Times New Roman" w:cs="Times New Roman"/>
          <w:b/>
          <w:sz w:val="24"/>
          <w:szCs w:val="24"/>
        </w:rPr>
        <w:t>7 de abril de 2020</w:t>
      </w:r>
    </w:p>
    <w:p w:rsidR="00DA4F73" w:rsidRPr="00E7574A" w:rsidRDefault="00FE130B" w:rsidP="00DA4F73">
      <w:pPr>
        <w:shd w:val="clear" w:color="auto" w:fill="FFFFFF"/>
        <w:spacing w:line="240" w:lineRule="auto"/>
        <w:jc w:val="both"/>
        <w:rPr>
          <w:rFonts w:ascii="Times New Roman" w:hAnsi="Times New Roman" w:cs="Times New Roman"/>
          <w:sz w:val="24"/>
          <w:szCs w:val="24"/>
        </w:rPr>
      </w:pPr>
      <w:r>
        <w:rPr>
          <w:rStyle w:val="nfasis"/>
          <w:rFonts w:ascii="Times New Roman" w:hAnsi="Times New Roman" w:cs="Times New Roman"/>
          <w:i w:val="0"/>
          <w:sz w:val="24"/>
          <w:szCs w:val="24"/>
        </w:rPr>
        <w:t>Luis Acosta</w:t>
      </w:r>
      <w:r w:rsidR="00DA4F73" w:rsidRPr="00FE130B">
        <w:rPr>
          <w:rStyle w:val="nfasis"/>
          <w:rFonts w:ascii="Times New Roman" w:hAnsi="Times New Roman" w:cs="Times New Roman"/>
          <w:i w:val="0"/>
          <w:sz w:val="24"/>
          <w:szCs w:val="24"/>
        </w:rPr>
        <w:t xml:space="preserve"> / AFP</w:t>
      </w:r>
      <w:r w:rsidR="00DA4F73">
        <w:rPr>
          <w:rStyle w:val="nfasis"/>
          <w:rFonts w:ascii="Times New Roman" w:hAnsi="Times New Roman" w:cs="Times New Roman"/>
          <w:sz w:val="24"/>
          <w:szCs w:val="24"/>
        </w:rPr>
        <w:t xml:space="preserve"> </w:t>
      </w:r>
      <w:r w:rsidR="005C1112">
        <w:rPr>
          <w:rFonts w:ascii="Times New Roman" w:hAnsi="Times New Roman" w:cs="Times New Roman"/>
          <w:sz w:val="24"/>
          <w:szCs w:val="24"/>
        </w:rPr>
        <w:t>Ginebra.-</w:t>
      </w:r>
      <w:r w:rsidR="00DA4F73">
        <w:rPr>
          <w:rFonts w:ascii="Times New Roman" w:hAnsi="Times New Roman" w:cs="Times New Roman"/>
          <w:sz w:val="24"/>
          <w:szCs w:val="24"/>
        </w:rPr>
        <w:t xml:space="preserve"> (OIT Noticias) -</w:t>
      </w:r>
      <w:r w:rsidR="00DA4F73" w:rsidRPr="00E7574A">
        <w:rPr>
          <w:rFonts w:ascii="Times New Roman" w:hAnsi="Times New Roman" w:cs="Times New Roman"/>
          <w:sz w:val="24"/>
          <w:szCs w:val="24"/>
        </w:rPr>
        <w:t xml:space="preserve"> A nivel mundial, se prevé que la crisis por </w:t>
      </w:r>
      <w:r w:rsidR="00DA4F73" w:rsidRPr="00897B8A">
        <w:rPr>
          <w:rFonts w:ascii="Times New Roman" w:hAnsi="Times New Roman" w:cs="Times New Roman"/>
          <w:sz w:val="24"/>
          <w:szCs w:val="24"/>
        </w:rPr>
        <w:t>el </w:t>
      </w:r>
      <w:hyperlink r:id="rId337" w:history="1">
        <w:r w:rsidR="00DA4F73" w:rsidRPr="00897B8A">
          <w:rPr>
            <w:rStyle w:val="Hipervnculo"/>
            <w:rFonts w:ascii="Times New Roman" w:hAnsi="Times New Roman" w:cs="Times New Roman"/>
            <w:color w:val="auto"/>
            <w:sz w:val="24"/>
            <w:szCs w:val="24"/>
            <w:u w:val="none"/>
          </w:rPr>
          <w:t>COVID-19</w:t>
        </w:r>
        <w:r w:rsidR="00DA4F73" w:rsidRPr="00897B8A">
          <w:rPr>
            <w:rStyle w:val="Hipervnculo"/>
            <w:rFonts w:ascii="Times New Roman" w:hAnsi="Times New Roman" w:cs="Times New Roman"/>
            <w:color w:val="auto"/>
            <w:sz w:val="24"/>
            <w:szCs w:val="24"/>
          </w:rPr>
          <w:t> </w:t>
        </w:r>
      </w:hyperlink>
      <w:r w:rsidR="00DA4F73" w:rsidRPr="00E7574A">
        <w:rPr>
          <w:rFonts w:ascii="Times New Roman" w:hAnsi="Times New Roman" w:cs="Times New Roman"/>
          <w:sz w:val="24"/>
          <w:szCs w:val="24"/>
        </w:rPr>
        <w:t> hará desaparecer 6,7 por ciento de las horas de trabajo en el segundo trimestre de 2020, lo que equivale a 195 millones de trabajadores a tiempo completo.</w:t>
      </w:r>
      <w:r w:rsidR="00DA4F73" w:rsidRPr="00E7574A">
        <w:rPr>
          <w:rFonts w:ascii="Times New Roman" w:hAnsi="Times New Roman" w:cs="Times New Roman"/>
          <w:sz w:val="24"/>
          <w:szCs w:val="24"/>
        </w:rPr>
        <w:br/>
      </w:r>
      <w:r w:rsidR="00DA4F73" w:rsidRPr="00E7574A">
        <w:rPr>
          <w:rFonts w:ascii="Times New Roman" w:hAnsi="Times New Roman" w:cs="Times New Roman"/>
          <w:sz w:val="24"/>
          <w:szCs w:val="24"/>
        </w:rPr>
        <w:br/>
        <w:t>Recortes a gran escala están previstos en los Estados Árabes (8,1 por ciento, equivalente a 5 millones de trabajadores a tiempo completo), en Europa (7,8 por ciento, o 12 millones de trabajadores a tiempo completo) y en Asia y el Pacífico (7,2 por ciento, 125 millones de trabajadores a tiempo completo).</w:t>
      </w:r>
    </w:p>
    <w:p w:rsidR="00DA4F73" w:rsidRPr="00E7574A" w:rsidRDefault="00DA4F73" w:rsidP="00DA4F73">
      <w:pPr>
        <w:shd w:val="clear" w:color="auto" w:fill="FFFFFF"/>
        <w:spacing w:line="240" w:lineRule="auto"/>
        <w:jc w:val="both"/>
        <w:rPr>
          <w:rFonts w:ascii="Times New Roman" w:hAnsi="Times New Roman" w:cs="Times New Roman"/>
          <w:sz w:val="24"/>
          <w:szCs w:val="24"/>
        </w:rPr>
      </w:pPr>
      <w:r w:rsidRPr="00E7574A">
        <w:rPr>
          <w:rFonts w:ascii="Times New Roman" w:hAnsi="Times New Roman" w:cs="Times New Roman"/>
          <w:sz w:val="24"/>
          <w:szCs w:val="24"/>
        </w:rPr>
        <w:t>Se prevén enormes pérdidas en los distintos grupos de ingresos, en particular en los países de ingresos medios altos (7 por ciento o 100 millones de trabajadores a tiempo completo). Esto supera con creces los efectos de la crisis financiera de 2008-2009.</w:t>
      </w:r>
    </w:p>
    <w:p w:rsidR="00DA4F73" w:rsidRPr="00E7574A" w:rsidRDefault="00DA4F73" w:rsidP="00DA4F73">
      <w:pPr>
        <w:shd w:val="clear" w:color="auto" w:fill="FFFFFF"/>
        <w:spacing w:line="240" w:lineRule="auto"/>
        <w:jc w:val="both"/>
        <w:rPr>
          <w:rFonts w:ascii="Times New Roman" w:hAnsi="Times New Roman" w:cs="Times New Roman"/>
          <w:sz w:val="24"/>
          <w:szCs w:val="24"/>
        </w:rPr>
      </w:pPr>
      <w:r w:rsidRPr="00E7574A">
        <w:rPr>
          <w:rFonts w:ascii="Times New Roman" w:hAnsi="Times New Roman" w:cs="Times New Roman"/>
          <w:sz w:val="24"/>
          <w:szCs w:val="24"/>
        </w:rPr>
        <w:t>Los sectores más expuestos al riesgo incluyen los servicios de hospedaje y restauración, la manufactura, el comercio minorista y las actividades empresariales y administrativas.</w:t>
      </w:r>
      <w:r w:rsidRPr="00E7574A">
        <w:rPr>
          <w:rFonts w:ascii="Times New Roman" w:hAnsi="Times New Roman" w:cs="Times New Roman"/>
          <w:sz w:val="24"/>
          <w:szCs w:val="24"/>
        </w:rPr>
        <w:br/>
      </w:r>
      <w:r w:rsidRPr="00E7574A">
        <w:rPr>
          <w:rFonts w:ascii="Times New Roman" w:hAnsi="Times New Roman" w:cs="Times New Roman"/>
          <w:sz w:val="24"/>
          <w:szCs w:val="24"/>
        </w:rPr>
        <w:br/>
        <w:t>El posible aumento del desempleo mundial durante 2020 dependerá de manera considerable de la evolución futura y de las medidas políticas que serán adoptadas. Existe un riesgo elevado de que para final de año la cifra será significativamente más alta que la previsión inicial de la OIT, de 25 millones de desempleados.</w:t>
      </w:r>
    </w:p>
    <w:p w:rsidR="00DA4F73" w:rsidRDefault="00DA4F73" w:rsidP="00DA4F73">
      <w:pPr>
        <w:shd w:val="clear" w:color="auto" w:fill="FFFFFF"/>
        <w:spacing w:line="240" w:lineRule="auto"/>
        <w:jc w:val="both"/>
        <w:rPr>
          <w:rFonts w:ascii="Times New Roman" w:hAnsi="Times New Roman" w:cs="Times New Roman"/>
          <w:sz w:val="24"/>
          <w:szCs w:val="24"/>
        </w:rPr>
      </w:pPr>
      <w:r w:rsidRPr="00E7574A">
        <w:rPr>
          <w:rFonts w:ascii="Times New Roman" w:hAnsi="Times New Roman" w:cs="Times New Roman"/>
          <w:sz w:val="24"/>
          <w:szCs w:val="24"/>
        </w:rPr>
        <w:t>Más de cuatro de cada cinco personas (81 por ciento) de las 3.300 millones que conforman la fuerza de trabajo mundial están siendo afectadas por cierres totales o parciales de su lugar de trabajo.</w:t>
      </w:r>
      <w:r w:rsidRPr="00E7574A">
        <w:rPr>
          <w:rFonts w:ascii="Times New Roman" w:hAnsi="Times New Roman" w:cs="Times New Roman"/>
          <w:sz w:val="24"/>
          <w:szCs w:val="24"/>
        </w:rPr>
        <w:br/>
      </w:r>
      <w:r w:rsidRPr="00E7574A">
        <w:rPr>
          <w:rFonts w:ascii="Times New Roman" w:hAnsi="Times New Roman" w:cs="Times New Roman"/>
          <w:sz w:val="24"/>
          <w:szCs w:val="24"/>
        </w:rPr>
        <w:br/>
      </w:r>
      <w:r w:rsidRPr="00E7574A">
        <w:rPr>
          <w:rFonts w:ascii="Times New Roman" w:hAnsi="Times New Roman" w:cs="Times New Roman"/>
          <w:sz w:val="24"/>
          <w:szCs w:val="24"/>
        </w:rPr>
        <w:lastRenderedPageBreak/>
        <w:t>“Los trabajadores y las empresas se enfrentan una catástrofe, tanto en las economías desarrolladas como en las que están en desarrollo”, declaró el Director General de la OIT, Guy Ryder”. “Tenemos que actuar con rapidez, decisión y coordinación. Las medidas correctas y urgentes podrían hacer la diferencia entre la supervivencia y el colapso”.</w:t>
      </w:r>
      <w:r w:rsidRPr="00E7574A">
        <w:rPr>
          <w:rFonts w:ascii="Times New Roman" w:hAnsi="Times New Roman" w:cs="Times New Roman"/>
          <w:sz w:val="24"/>
          <w:szCs w:val="24"/>
        </w:rPr>
        <w:br/>
      </w:r>
      <w:r w:rsidRPr="00E7574A">
        <w:rPr>
          <w:rFonts w:ascii="Times New Roman" w:hAnsi="Times New Roman" w:cs="Times New Roman"/>
          <w:sz w:val="24"/>
          <w:szCs w:val="24"/>
        </w:rPr>
        <w:br/>
        <w:t>La segunda edición del </w:t>
      </w:r>
      <w:hyperlink r:id="rId338" w:history="1">
        <w:r w:rsidRPr="00897B8A">
          <w:rPr>
            <w:rStyle w:val="Hipervnculo"/>
            <w:rFonts w:ascii="Times New Roman" w:hAnsi="Times New Roman" w:cs="Times New Roman"/>
            <w:i/>
            <w:iCs/>
            <w:color w:val="auto"/>
            <w:sz w:val="24"/>
            <w:szCs w:val="24"/>
          </w:rPr>
          <w:t>Observatorio de la OIT: El COVID-19 y el mundo del trabajo </w:t>
        </w:r>
      </w:hyperlink>
      <w:r w:rsidRPr="00897B8A">
        <w:rPr>
          <w:rFonts w:ascii="Times New Roman" w:hAnsi="Times New Roman" w:cs="Times New Roman"/>
          <w:sz w:val="24"/>
          <w:szCs w:val="24"/>
        </w:rPr>
        <w:t xml:space="preserve">, </w:t>
      </w:r>
      <w:r w:rsidRPr="00E7574A">
        <w:rPr>
          <w:rFonts w:ascii="Times New Roman" w:hAnsi="Times New Roman" w:cs="Times New Roman"/>
          <w:sz w:val="24"/>
          <w:szCs w:val="24"/>
        </w:rPr>
        <w:t>describe el COVID-19 como “la peor crisis mundial desde la Segunda Guerra Mundial”, actualiza la primera nota de investigación de la OIT publicada el 18 de marzo. La nueva versión incluye información sectorial y regional sobre los efectos de la pandemia.</w:t>
      </w:r>
      <w:r w:rsidRPr="00E7574A">
        <w:rPr>
          <w:rFonts w:ascii="Times New Roman" w:hAnsi="Times New Roman" w:cs="Times New Roman"/>
          <w:sz w:val="24"/>
          <w:szCs w:val="24"/>
        </w:rPr>
        <w:br/>
      </w:r>
      <w:r w:rsidRPr="00E7574A">
        <w:rPr>
          <w:rFonts w:ascii="Times New Roman" w:hAnsi="Times New Roman" w:cs="Times New Roman"/>
          <w:sz w:val="24"/>
          <w:szCs w:val="24"/>
        </w:rPr>
        <w:br/>
        <w:t>Según el nuevo estudio, 1.250 millones de personas trabajan en los sectores considerados de alto riesgo de sufrir “drásticos y devastadores” aumentos en los despidos y disminución de los sa</w:t>
      </w:r>
      <w:r w:rsidR="00FE130B">
        <w:rPr>
          <w:rFonts w:ascii="Times New Roman" w:hAnsi="Times New Roman" w:cs="Times New Roman"/>
          <w:sz w:val="24"/>
          <w:szCs w:val="24"/>
        </w:rPr>
        <w:t>larios y horas de trabajo. Mucha</w:t>
      </w:r>
      <w:r w:rsidRPr="00E7574A">
        <w:rPr>
          <w:rFonts w:ascii="Times New Roman" w:hAnsi="Times New Roman" w:cs="Times New Roman"/>
          <w:sz w:val="24"/>
          <w:szCs w:val="24"/>
        </w:rPr>
        <w:t>s de estas personas están empleadas en trabajos mal remunerados, de baja calificación, donde una pérdida imprevista de ingreso tiene consecuencias devastadoras.</w:t>
      </w:r>
    </w:p>
    <w:p w:rsidR="00DA4F73" w:rsidRPr="00E7574A" w:rsidRDefault="00DA4F73" w:rsidP="00DA4F73">
      <w:pPr>
        <w:shd w:val="clear" w:color="auto" w:fill="FFFFFF"/>
        <w:spacing w:line="240" w:lineRule="auto"/>
        <w:jc w:val="both"/>
        <w:rPr>
          <w:rFonts w:ascii="Times New Roman" w:hAnsi="Times New Roman" w:cs="Times New Roman"/>
          <w:sz w:val="24"/>
          <w:szCs w:val="24"/>
        </w:rPr>
      </w:pPr>
      <w:r w:rsidRPr="00E7574A">
        <w:rPr>
          <w:rFonts w:ascii="Times New Roman" w:hAnsi="Times New Roman" w:cs="Times New Roman"/>
          <w:sz w:val="24"/>
          <w:szCs w:val="24"/>
        </w:rPr>
        <w:t>A nivel regional, la proporción de trabajadores en estos sectores “en riesgo” varía de 43 por ciento en las Américas a 26 por ciento en África. Algunas regiones, África en particular, tienen niveles de informalidad más altos, lo cual unido a la falta de protección social, gran densidad de población y débil capacidad, plantea a los gobiernos serios desafíos sanitarios y económicos, advierte el informe.</w:t>
      </w:r>
    </w:p>
    <w:p w:rsidR="00DA4F73" w:rsidRPr="00E7574A" w:rsidRDefault="00DA4F73" w:rsidP="00DA4F73">
      <w:pPr>
        <w:shd w:val="clear" w:color="auto" w:fill="FFFFFF"/>
        <w:spacing w:line="240" w:lineRule="auto"/>
        <w:jc w:val="both"/>
        <w:rPr>
          <w:rFonts w:ascii="Times New Roman" w:hAnsi="Times New Roman" w:cs="Times New Roman"/>
          <w:sz w:val="24"/>
          <w:szCs w:val="24"/>
        </w:rPr>
      </w:pPr>
      <w:r w:rsidRPr="00E7574A">
        <w:rPr>
          <w:rFonts w:ascii="Times New Roman" w:hAnsi="Times New Roman" w:cs="Times New Roman"/>
          <w:sz w:val="24"/>
          <w:szCs w:val="24"/>
        </w:rPr>
        <w:t>A nivel mundial, dos mil millones de personas trabajan en el sector informal (la mayoría en las economías emergentes y en desarrollo) y corren un riesgo especial.</w:t>
      </w:r>
    </w:p>
    <w:p w:rsidR="00DA4F73" w:rsidRPr="00E7574A" w:rsidRDefault="00DA4F73" w:rsidP="00DA4F73">
      <w:pPr>
        <w:shd w:val="clear" w:color="auto" w:fill="FFFFFF"/>
        <w:spacing w:line="240" w:lineRule="auto"/>
        <w:jc w:val="both"/>
        <w:rPr>
          <w:rFonts w:ascii="Times New Roman" w:hAnsi="Times New Roman" w:cs="Times New Roman"/>
          <w:sz w:val="24"/>
          <w:szCs w:val="24"/>
        </w:rPr>
      </w:pPr>
      <w:r w:rsidRPr="00E7574A">
        <w:rPr>
          <w:rFonts w:ascii="Times New Roman" w:hAnsi="Times New Roman" w:cs="Times New Roman"/>
          <w:sz w:val="24"/>
          <w:szCs w:val="24"/>
        </w:rPr>
        <w:t>Es necesario adoptar medidas políticas integradas y a gran escala, centradas en cuatro pilares: apoyar a las empresas, al empleo y los ingresos; estimular la economía y los empleos; proteger a los trabajadores en el lugar de trabajo; y utilizar el diálogo social entre gobiernos, trabajadores y empleadores a fin de encontrar soluciones, señala el estudio.</w:t>
      </w:r>
    </w:p>
    <w:p w:rsidR="00DA4F73" w:rsidRPr="00E7574A" w:rsidRDefault="00DA4F73" w:rsidP="00DA4F73">
      <w:pPr>
        <w:shd w:val="clear" w:color="auto" w:fill="FFFFFF"/>
        <w:spacing w:line="240" w:lineRule="auto"/>
        <w:jc w:val="both"/>
        <w:rPr>
          <w:rFonts w:ascii="Times New Roman" w:hAnsi="Times New Roman" w:cs="Times New Roman"/>
          <w:sz w:val="24"/>
          <w:szCs w:val="24"/>
        </w:rPr>
      </w:pPr>
      <w:r w:rsidRPr="00E7574A">
        <w:rPr>
          <w:rFonts w:ascii="Times New Roman" w:hAnsi="Times New Roman" w:cs="Times New Roman"/>
          <w:sz w:val="24"/>
          <w:szCs w:val="24"/>
        </w:rPr>
        <w:t>“Esta es la mayor prueba para la cooperación internacional en más de 75 años”, afirmó Guy Ryder. “Si un país fracasa, entonces todos fracasamos. Debemos buscar soluciones que ayuden a todos los segmentos de nuestra sociedad global, en particular los más vulnerables y los que tienen menores posibilidades de valerse por sí mismos.</w:t>
      </w:r>
    </w:p>
    <w:p w:rsidR="00DA4F73" w:rsidRDefault="00DA4F73" w:rsidP="00DA4F73">
      <w:pPr>
        <w:shd w:val="clear" w:color="auto" w:fill="FFFFFF"/>
        <w:spacing w:line="240" w:lineRule="auto"/>
        <w:jc w:val="both"/>
        <w:rPr>
          <w:rFonts w:ascii="Times New Roman" w:hAnsi="Times New Roman" w:cs="Times New Roman"/>
          <w:sz w:val="24"/>
          <w:szCs w:val="24"/>
        </w:rPr>
      </w:pPr>
      <w:r w:rsidRPr="00E7574A">
        <w:rPr>
          <w:rFonts w:ascii="Times New Roman" w:hAnsi="Times New Roman" w:cs="Times New Roman"/>
          <w:sz w:val="24"/>
          <w:szCs w:val="24"/>
        </w:rPr>
        <w:t>“Las decisiones que tomemos hoy afectarán directamente la manera en que esta crisis evolucionará así como la vida de miles de millones de personas”, agregó. “Con las medidas correctas podemos limitar su impacto y las heridas que dejará. Nuestro objetivo debe ser reconstruir mejor para que nuestros nuevos sistemas sean más seguros, más justos y más sostenibles de los que permitieron que esta crisis ocurriera”.</w:t>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Eurostat - El impacto del Covid 19 - Euroindicators - Mayo 2020</w:t>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261005">
        <w:rPr>
          <w:rFonts w:ascii="Times New Roman" w:hAnsi="Times New Roman" w:cs="Times New Roman"/>
          <w:b/>
          <w:noProof/>
          <w:sz w:val="24"/>
          <w:szCs w:val="24"/>
          <w:lang w:eastAsia="es-ES"/>
        </w:rPr>
        <w:drawing>
          <wp:inline distT="0" distB="0" distL="0" distR="0" wp14:anchorId="0F0E75E7" wp14:editId="38CDC92E">
            <wp:extent cx="5458587" cy="6087325"/>
            <wp:effectExtent l="0" t="0" r="8890" b="889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a:stretch>
                      <a:fillRect/>
                    </a:stretch>
                  </pic:blipFill>
                  <pic:spPr>
                    <a:xfrm>
                      <a:off x="0" y="0"/>
                      <a:ext cx="5458587" cy="6087325"/>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261005">
        <w:rPr>
          <w:rFonts w:ascii="Times New Roman" w:hAnsi="Times New Roman" w:cs="Times New Roman"/>
          <w:b/>
          <w:noProof/>
          <w:sz w:val="24"/>
          <w:szCs w:val="24"/>
          <w:lang w:eastAsia="es-ES"/>
        </w:rPr>
        <w:drawing>
          <wp:inline distT="0" distB="0" distL="0" distR="0" wp14:anchorId="49ABC546" wp14:editId="5DBBE6EB">
            <wp:extent cx="4496428" cy="6401694"/>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a:stretch>
                      <a:fillRect/>
                    </a:stretch>
                  </pic:blipFill>
                  <pic:spPr>
                    <a:xfrm>
                      <a:off x="0" y="0"/>
                      <a:ext cx="4496428" cy="6401694"/>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261005">
        <w:rPr>
          <w:rFonts w:ascii="Times New Roman" w:hAnsi="Times New Roman" w:cs="Times New Roman"/>
          <w:b/>
          <w:noProof/>
          <w:sz w:val="24"/>
          <w:szCs w:val="24"/>
          <w:lang w:eastAsia="es-ES"/>
        </w:rPr>
        <w:drawing>
          <wp:inline distT="0" distB="0" distL="0" distR="0" wp14:anchorId="0C96B312" wp14:editId="0C606A05">
            <wp:extent cx="4515481" cy="6487431"/>
            <wp:effectExtent l="0" t="0" r="0" b="0"/>
            <wp:docPr id="511" name="Imagen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1"/>
                    <a:stretch>
                      <a:fillRect/>
                    </a:stretch>
                  </pic:blipFill>
                  <pic:spPr>
                    <a:xfrm>
                      <a:off x="0" y="0"/>
                      <a:ext cx="4515481" cy="6487431"/>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261005">
        <w:rPr>
          <w:rFonts w:ascii="Times New Roman" w:hAnsi="Times New Roman" w:cs="Times New Roman"/>
          <w:b/>
          <w:noProof/>
          <w:sz w:val="24"/>
          <w:szCs w:val="24"/>
          <w:lang w:eastAsia="es-ES"/>
        </w:rPr>
        <w:lastRenderedPageBreak/>
        <w:drawing>
          <wp:inline distT="0" distB="0" distL="0" distR="0" wp14:anchorId="69D0094C" wp14:editId="6D018D63">
            <wp:extent cx="4934639" cy="5725324"/>
            <wp:effectExtent l="0" t="0" r="0" b="889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a:stretch>
                      <a:fillRect/>
                    </a:stretch>
                  </pic:blipFill>
                  <pic:spPr>
                    <a:xfrm>
                      <a:off x="0" y="0"/>
                      <a:ext cx="4934639" cy="5725324"/>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261005">
        <w:rPr>
          <w:rFonts w:ascii="Times New Roman" w:hAnsi="Times New Roman" w:cs="Times New Roman"/>
          <w:b/>
          <w:noProof/>
          <w:sz w:val="24"/>
          <w:szCs w:val="24"/>
          <w:lang w:eastAsia="es-ES"/>
        </w:rPr>
        <w:lastRenderedPageBreak/>
        <w:drawing>
          <wp:inline distT="0" distB="0" distL="0" distR="0" wp14:anchorId="6F99F491" wp14:editId="00484435">
            <wp:extent cx="4591691" cy="6468378"/>
            <wp:effectExtent l="0" t="0" r="0" b="889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3"/>
                    <a:stretch>
                      <a:fillRect/>
                    </a:stretch>
                  </pic:blipFill>
                  <pic:spPr>
                    <a:xfrm>
                      <a:off x="0" y="0"/>
                      <a:ext cx="4591691" cy="6468378"/>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261005">
        <w:rPr>
          <w:rFonts w:ascii="Times New Roman" w:hAnsi="Times New Roman" w:cs="Times New Roman"/>
          <w:b/>
          <w:noProof/>
          <w:sz w:val="24"/>
          <w:szCs w:val="24"/>
          <w:lang w:eastAsia="es-ES"/>
        </w:rPr>
        <w:lastRenderedPageBreak/>
        <w:drawing>
          <wp:inline distT="0" distB="0" distL="0" distR="0" wp14:anchorId="6F6D5D86" wp14:editId="51A9C754">
            <wp:extent cx="4658375" cy="6325483"/>
            <wp:effectExtent l="0" t="0" r="889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4"/>
                    <a:stretch>
                      <a:fillRect/>
                    </a:stretch>
                  </pic:blipFill>
                  <pic:spPr>
                    <a:xfrm>
                      <a:off x="0" y="0"/>
                      <a:ext cx="4658375" cy="6325483"/>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sectPr w:rsidR="00DA4F73" w:rsidSect="00DA4F73">
          <w:pgSz w:w="11906" w:h="16838"/>
          <w:pgMar w:top="1440" w:right="1440" w:bottom="1440" w:left="1440" w:header="709" w:footer="709" w:gutter="0"/>
          <w:cols w:space="708"/>
          <w:docGrid w:linePitch="360"/>
        </w:sectPr>
      </w:pPr>
    </w:p>
    <w:p w:rsidR="00DA4F73" w:rsidRDefault="00DA4F73" w:rsidP="00DA4F73">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Eurostat - Base de datos: información disponible al 20/4/20</w:t>
      </w:r>
    </w:p>
    <w:p w:rsidR="00DA4F73" w:rsidRDefault="00DA4F73" w:rsidP="00DA4F73">
      <w:pPr>
        <w:spacing w:line="240" w:lineRule="auto"/>
        <w:jc w:val="both"/>
        <w:rPr>
          <w:rFonts w:ascii="Times New Roman" w:hAnsi="Times New Roman" w:cs="Times New Roman"/>
          <w:b/>
          <w:sz w:val="24"/>
          <w:szCs w:val="24"/>
        </w:rPr>
      </w:pPr>
      <w:r w:rsidRPr="008D489F">
        <w:rPr>
          <w:rFonts w:ascii="Times New Roman" w:hAnsi="Times New Roman" w:cs="Times New Roman"/>
          <w:b/>
          <w:noProof/>
          <w:sz w:val="24"/>
          <w:szCs w:val="24"/>
          <w:lang w:eastAsia="es-ES"/>
        </w:rPr>
        <w:drawing>
          <wp:inline distT="0" distB="0" distL="0" distR="0" wp14:anchorId="77620890" wp14:editId="06EF710E">
            <wp:extent cx="7570694" cy="2117912"/>
            <wp:effectExtent l="0" t="0" r="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5"/>
                    <a:stretch>
                      <a:fillRect/>
                    </a:stretch>
                  </pic:blipFill>
                  <pic:spPr>
                    <a:xfrm>
                      <a:off x="0" y="0"/>
                      <a:ext cx="7570694" cy="2117912"/>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r w:rsidRPr="00857571">
        <w:rPr>
          <w:rFonts w:ascii="Times New Roman" w:hAnsi="Times New Roman" w:cs="Times New Roman"/>
          <w:b/>
          <w:noProof/>
          <w:sz w:val="24"/>
          <w:szCs w:val="24"/>
          <w:lang w:eastAsia="es-ES"/>
        </w:rPr>
        <w:drawing>
          <wp:inline distT="0" distB="0" distL="0" distR="0" wp14:anchorId="2AD0D990" wp14:editId="29373AFC">
            <wp:extent cx="7570694" cy="2225488"/>
            <wp:effectExtent l="0" t="0" r="0" b="381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6"/>
                    <a:stretch>
                      <a:fillRect/>
                    </a:stretch>
                  </pic:blipFill>
                  <pic:spPr>
                    <a:xfrm>
                      <a:off x="0" y="0"/>
                      <a:ext cx="7570698" cy="2225489"/>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r w:rsidRPr="00857571">
        <w:rPr>
          <w:rFonts w:ascii="Times New Roman" w:hAnsi="Times New Roman" w:cs="Times New Roman"/>
          <w:b/>
          <w:noProof/>
          <w:sz w:val="24"/>
          <w:szCs w:val="24"/>
          <w:lang w:eastAsia="es-ES"/>
        </w:rPr>
        <w:lastRenderedPageBreak/>
        <w:drawing>
          <wp:inline distT="0" distB="0" distL="0" distR="0" wp14:anchorId="46DEAEF0" wp14:editId="67E9FB69">
            <wp:extent cx="7738782" cy="2413747"/>
            <wp:effectExtent l="0" t="0" r="0" b="5715"/>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7"/>
                    <a:stretch>
                      <a:fillRect/>
                    </a:stretch>
                  </pic:blipFill>
                  <pic:spPr>
                    <a:xfrm>
                      <a:off x="0" y="0"/>
                      <a:ext cx="7740598" cy="2414313"/>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857571">
        <w:rPr>
          <w:rFonts w:ascii="Times New Roman" w:hAnsi="Times New Roman" w:cs="Times New Roman"/>
          <w:b/>
          <w:noProof/>
          <w:sz w:val="24"/>
          <w:szCs w:val="24"/>
          <w:lang w:eastAsia="es-ES"/>
        </w:rPr>
        <w:drawing>
          <wp:inline distT="0" distB="0" distL="0" distR="0" wp14:anchorId="165EDD43" wp14:editId="505B1F51">
            <wp:extent cx="7738782" cy="2259106"/>
            <wp:effectExtent l="0" t="0" r="0" b="8255"/>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8"/>
                    <a:stretch>
                      <a:fillRect/>
                    </a:stretch>
                  </pic:blipFill>
                  <pic:spPr>
                    <a:xfrm>
                      <a:off x="0" y="0"/>
                      <a:ext cx="7741284" cy="2259836"/>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857571">
        <w:rPr>
          <w:rFonts w:ascii="Times New Roman" w:hAnsi="Times New Roman" w:cs="Times New Roman"/>
          <w:b/>
          <w:noProof/>
          <w:sz w:val="24"/>
          <w:szCs w:val="24"/>
          <w:lang w:eastAsia="es-ES"/>
        </w:rPr>
        <w:lastRenderedPageBreak/>
        <w:drawing>
          <wp:inline distT="0" distB="0" distL="0" distR="0" wp14:anchorId="52CD474F" wp14:editId="28357638">
            <wp:extent cx="7563971" cy="2144806"/>
            <wp:effectExtent l="0" t="0" r="0" b="8255"/>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9"/>
                    <a:stretch>
                      <a:fillRect/>
                    </a:stretch>
                  </pic:blipFill>
                  <pic:spPr>
                    <a:xfrm>
                      <a:off x="0" y="0"/>
                      <a:ext cx="7578041" cy="2148796"/>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857571">
        <w:rPr>
          <w:rFonts w:ascii="Times New Roman" w:hAnsi="Times New Roman" w:cs="Times New Roman"/>
          <w:b/>
          <w:noProof/>
          <w:sz w:val="24"/>
          <w:szCs w:val="24"/>
          <w:lang w:eastAsia="es-ES"/>
        </w:rPr>
        <w:drawing>
          <wp:inline distT="0" distB="0" distL="0" distR="0" wp14:anchorId="260517FD" wp14:editId="2C760FFD">
            <wp:extent cx="7725335" cy="1922930"/>
            <wp:effectExtent l="0" t="0" r="0" b="127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0"/>
                    <a:stretch>
                      <a:fillRect/>
                    </a:stretch>
                  </pic:blipFill>
                  <pic:spPr>
                    <a:xfrm>
                      <a:off x="0" y="0"/>
                      <a:ext cx="7725335" cy="1922930"/>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857571">
        <w:rPr>
          <w:rFonts w:ascii="Times New Roman" w:hAnsi="Times New Roman" w:cs="Times New Roman"/>
          <w:b/>
          <w:noProof/>
          <w:sz w:val="24"/>
          <w:szCs w:val="24"/>
          <w:lang w:eastAsia="es-ES"/>
        </w:rPr>
        <w:lastRenderedPageBreak/>
        <w:drawing>
          <wp:inline distT="0" distB="0" distL="0" distR="0" wp14:anchorId="485036E6" wp14:editId="4856F52A">
            <wp:extent cx="7664822" cy="2070847"/>
            <wp:effectExtent l="0" t="0" r="0" b="5715"/>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1"/>
                    <a:stretch>
                      <a:fillRect/>
                    </a:stretch>
                  </pic:blipFill>
                  <pic:spPr>
                    <a:xfrm>
                      <a:off x="0" y="0"/>
                      <a:ext cx="7671462" cy="2072641"/>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857571">
        <w:rPr>
          <w:rFonts w:ascii="Times New Roman" w:hAnsi="Times New Roman" w:cs="Times New Roman"/>
          <w:b/>
          <w:noProof/>
          <w:sz w:val="24"/>
          <w:szCs w:val="24"/>
          <w:lang w:eastAsia="es-ES"/>
        </w:rPr>
        <w:drawing>
          <wp:inline distT="0" distB="0" distL="0" distR="0" wp14:anchorId="4B081D68" wp14:editId="115CEDC2">
            <wp:extent cx="7732059" cy="2070848"/>
            <wp:effectExtent l="0" t="0" r="2540" b="5715"/>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2"/>
                    <a:stretch>
                      <a:fillRect/>
                    </a:stretch>
                  </pic:blipFill>
                  <pic:spPr>
                    <a:xfrm>
                      <a:off x="0" y="0"/>
                      <a:ext cx="7736872" cy="2072137"/>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857571">
        <w:rPr>
          <w:rFonts w:ascii="Times New Roman" w:hAnsi="Times New Roman" w:cs="Times New Roman"/>
          <w:b/>
          <w:noProof/>
          <w:sz w:val="24"/>
          <w:szCs w:val="24"/>
          <w:lang w:eastAsia="es-ES"/>
        </w:rPr>
        <w:drawing>
          <wp:inline distT="0" distB="0" distL="0" distR="0" wp14:anchorId="3519F030" wp14:editId="3F202A91">
            <wp:extent cx="7584141" cy="1916206"/>
            <wp:effectExtent l="0" t="0" r="0" b="8255"/>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a:stretch>
                      <a:fillRect/>
                    </a:stretch>
                  </pic:blipFill>
                  <pic:spPr>
                    <a:xfrm>
                      <a:off x="0" y="0"/>
                      <a:ext cx="7584141" cy="1916206"/>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857571">
        <w:rPr>
          <w:rFonts w:ascii="Times New Roman" w:hAnsi="Times New Roman" w:cs="Times New Roman"/>
          <w:b/>
          <w:noProof/>
          <w:sz w:val="24"/>
          <w:szCs w:val="24"/>
          <w:lang w:eastAsia="es-ES"/>
        </w:rPr>
        <w:drawing>
          <wp:inline distT="0" distB="0" distL="0" distR="0" wp14:anchorId="500DE14E" wp14:editId="3F894501">
            <wp:extent cx="7644653" cy="2043953"/>
            <wp:effectExtent l="0" t="0" r="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a:stretch>
                      <a:fillRect/>
                    </a:stretch>
                  </pic:blipFill>
                  <pic:spPr>
                    <a:xfrm>
                      <a:off x="0" y="0"/>
                      <a:ext cx="7644653" cy="2043953"/>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9C40A4">
        <w:rPr>
          <w:rFonts w:ascii="Times New Roman" w:hAnsi="Times New Roman" w:cs="Times New Roman"/>
          <w:b/>
          <w:noProof/>
          <w:sz w:val="24"/>
          <w:szCs w:val="24"/>
          <w:lang w:eastAsia="es-ES"/>
        </w:rPr>
        <w:lastRenderedPageBreak/>
        <w:drawing>
          <wp:inline distT="0" distB="0" distL="0" distR="0" wp14:anchorId="1028FEC6" wp14:editId="0FC2A961">
            <wp:extent cx="6940550" cy="2647950"/>
            <wp:effectExtent l="0" t="0" r="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5"/>
                    <a:stretch>
                      <a:fillRect/>
                    </a:stretch>
                  </pic:blipFill>
                  <pic:spPr>
                    <a:xfrm>
                      <a:off x="0" y="0"/>
                      <a:ext cx="6945730" cy="2649926"/>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r w:rsidRPr="009C40A4">
        <w:rPr>
          <w:rFonts w:ascii="Times New Roman" w:hAnsi="Times New Roman" w:cs="Times New Roman"/>
          <w:b/>
          <w:noProof/>
          <w:sz w:val="24"/>
          <w:szCs w:val="24"/>
          <w:lang w:eastAsia="es-ES"/>
        </w:rPr>
        <w:drawing>
          <wp:inline distT="0" distB="0" distL="0" distR="0" wp14:anchorId="39E8B199" wp14:editId="2EF21FBD">
            <wp:extent cx="6940550" cy="2584450"/>
            <wp:effectExtent l="0" t="0" r="0" b="635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6"/>
                    <a:stretch>
                      <a:fillRect/>
                    </a:stretch>
                  </pic:blipFill>
                  <pic:spPr>
                    <a:xfrm>
                      <a:off x="0" y="0"/>
                      <a:ext cx="6940550" cy="2584450"/>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197C46">
        <w:rPr>
          <w:rFonts w:ascii="Times New Roman" w:hAnsi="Times New Roman" w:cs="Times New Roman"/>
          <w:b/>
          <w:noProof/>
          <w:sz w:val="24"/>
          <w:szCs w:val="24"/>
          <w:lang w:eastAsia="es-ES"/>
        </w:rPr>
        <w:lastRenderedPageBreak/>
        <w:drawing>
          <wp:inline distT="0" distB="0" distL="0" distR="0" wp14:anchorId="19B85161" wp14:editId="4F16C729">
            <wp:extent cx="7853082" cy="2689412"/>
            <wp:effectExtent l="0" t="0" r="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7"/>
                    <a:stretch>
                      <a:fillRect/>
                    </a:stretch>
                  </pic:blipFill>
                  <pic:spPr>
                    <a:xfrm>
                      <a:off x="0" y="0"/>
                      <a:ext cx="7861808" cy="2692400"/>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197C46">
        <w:rPr>
          <w:rFonts w:ascii="Times New Roman" w:hAnsi="Times New Roman" w:cs="Times New Roman"/>
          <w:b/>
          <w:noProof/>
          <w:sz w:val="24"/>
          <w:szCs w:val="24"/>
          <w:lang w:eastAsia="es-ES"/>
        </w:rPr>
        <w:drawing>
          <wp:inline distT="0" distB="0" distL="0" distR="0" wp14:anchorId="37E35054" wp14:editId="268D7797">
            <wp:extent cx="7846359" cy="2837329"/>
            <wp:effectExtent l="0" t="0" r="2540" b="127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a:stretch>
                      <a:fillRect/>
                    </a:stretch>
                  </pic:blipFill>
                  <pic:spPr>
                    <a:xfrm>
                      <a:off x="0" y="0"/>
                      <a:ext cx="7854727" cy="2840355"/>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r w:rsidRPr="00197C46">
        <w:rPr>
          <w:rFonts w:ascii="Times New Roman" w:hAnsi="Times New Roman" w:cs="Times New Roman"/>
          <w:b/>
          <w:noProof/>
          <w:sz w:val="24"/>
          <w:szCs w:val="24"/>
          <w:lang w:eastAsia="es-ES"/>
        </w:rPr>
        <w:lastRenderedPageBreak/>
        <w:drawing>
          <wp:inline distT="0" distB="0" distL="0" distR="0" wp14:anchorId="1C31A3DD" wp14:editId="37681E1E">
            <wp:extent cx="7873253" cy="1163171"/>
            <wp:effectExtent l="0" t="0" r="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9"/>
                    <a:stretch>
                      <a:fillRect/>
                    </a:stretch>
                  </pic:blipFill>
                  <pic:spPr>
                    <a:xfrm>
                      <a:off x="0" y="0"/>
                      <a:ext cx="7882858" cy="1164590"/>
                    </a:xfrm>
                    <a:prstGeom prst="rect">
                      <a:avLst/>
                    </a:prstGeom>
                  </pic:spPr>
                </pic:pic>
              </a:graphicData>
            </a:graphic>
          </wp:inline>
        </w:drawing>
      </w:r>
      <w:r w:rsidRPr="00197C46">
        <w:rPr>
          <w:rFonts w:ascii="Times New Roman" w:hAnsi="Times New Roman" w:cs="Times New Roman"/>
          <w:b/>
          <w:noProof/>
          <w:sz w:val="24"/>
          <w:szCs w:val="24"/>
          <w:lang w:eastAsia="es-ES"/>
        </w:rPr>
        <w:drawing>
          <wp:inline distT="0" distB="0" distL="0" distR="0" wp14:anchorId="30582DA8" wp14:editId="41DC47D2">
            <wp:extent cx="7873253" cy="1324535"/>
            <wp:effectExtent l="0" t="0" r="0" b="9525"/>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0"/>
                    <a:stretch>
                      <a:fillRect/>
                    </a:stretch>
                  </pic:blipFill>
                  <pic:spPr>
                    <a:xfrm>
                      <a:off x="0" y="0"/>
                      <a:ext cx="7873253" cy="1324535"/>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r w:rsidRPr="008D0AE8">
        <w:rPr>
          <w:rFonts w:ascii="Times New Roman" w:hAnsi="Times New Roman" w:cs="Times New Roman"/>
          <w:b/>
          <w:noProof/>
          <w:sz w:val="24"/>
          <w:szCs w:val="24"/>
          <w:lang w:eastAsia="es-ES"/>
        </w:rPr>
        <w:drawing>
          <wp:inline distT="0" distB="0" distL="0" distR="0" wp14:anchorId="3ABC0933" wp14:editId="5AB9AF0F">
            <wp:extent cx="7987553" cy="961465"/>
            <wp:effectExtent l="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a:stretch>
                      <a:fillRect/>
                    </a:stretch>
                  </pic:blipFill>
                  <pic:spPr>
                    <a:xfrm>
                      <a:off x="0" y="0"/>
                      <a:ext cx="7993774" cy="962214"/>
                    </a:xfrm>
                    <a:prstGeom prst="rect">
                      <a:avLst/>
                    </a:prstGeom>
                  </pic:spPr>
                </pic:pic>
              </a:graphicData>
            </a:graphic>
          </wp:inline>
        </w:drawing>
      </w:r>
      <w:r w:rsidRPr="00197C46">
        <w:rPr>
          <w:rFonts w:ascii="Times New Roman" w:hAnsi="Times New Roman" w:cs="Times New Roman"/>
          <w:b/>
          <w:noProof/>
          <w:sz w:val="24"/>
          <w:szCs w:val="24"/>
          <w:lang w:eastAsia="es-ES"/>
        </w:rPr>
        <w:drawing>
          <wp:inline distT="0" distB="0" distL="0" distR="0" wp14:anchorId="207DC1DF" wp14:editId="13833F50">
            <wp:extent cx="7873253" cy="1337982"/>
            <wp:effectExtent l="0" t="0" r="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stretch>
                      <a:fillRect/>
                    </a:stretch>
                  </pic:blipFill>
                  <pic:spPr>
                    <a:xfrm>
                      <a:off x="0" y="0"/>
                      <a:ext cx="7873253" cy="1337982"/>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r w:rsidRPr="00197C46">
        <w:rPr>
          <w:rFonts w:ascii="Times New Roman" w:hAnsi="Times New Roman" w:cs="Times New Roman"/>
          <w:b/>
          <w:noProof/>
          <w:sz w:val="24"/>
          <w:szCs w:val="24"/>
          <w:lang w:eastAsia="es-ES"/>
        </w:rPr>
        <w:lastRenderedPageBreak/>
        <w:drawing>
          <wp:inline distT="0" distB="0" distL="0" distR="0" wp14:anchorId="2D20957D" wp14:editId="5613A371">
            <wp:extent cx="7698441" cy="2991971"/>
            <wp:effectExtent l="0" t="0" r="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stretch>
                      <a:fillRect/>
                    </a:stretch>
                  </pic:blipFill>
                  <pic:spPr>
                    <a:xfrm>
                      <a:off x="0" y="0"/>
                      <a:ext cx="7698441" cy="2991971"/>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r w:rsidRPr="00197C46">
        <w:rPr>
          <w:rFonts w:ascii="Times New Roman" w:hAnsi="Times New Roman" w:cs="Times New Roman"/>
          <w:b/>
          <w:noProof/>
          <w:sz w:val="24"/>
          <w:szCs w:val="24"/>
          <w:lang w:eastAsia="es-ES"/>
        </w:rPr>
        <w:drawing>
          <wp:inline distT="0" distB="0" distL="0" distR="0" wp14:anchorId="4A720762" wp14:editId="13921292">
            <wp:extent cx="7765676" cy="2561664"/>
            <wp:effectExtent l="0" t="0" r="6985"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7765676" cy="2561664"/>
                    </a:xfrm>
                    <a:prstGeom prst="rect">
                      <a:avLst/>
                    </a:prstGeom>
                  </pic:spPr>
                </pic:pic>
              </a:graphicData>
            </a:graphic>
          </wp:inline>
        </w:drawing>
      </w:r>
    </w:p>
    <w:p w:rsidR="00DA4F73" w:rsidRDefault="00DA4F73" w:rsidP="00DA4F73">
      <w:pPr>
        <w:spacing w:line="240" w:lineRule="auto"/>
        <w:jc w:val="both"/>
        <w:rPr>
          <w:noProof/>
          <w:lang w:eastAsia="es-ES"/>
        </w:rPr>
      </w:pPr>
      <w:r w:rsidRPr="008D0AE8">
        <w:rPr>
          <w:rFonts w:ascii="Times New Roman" w:hAnsi="Times New Roman" w:cs="Times New Roman"/>
          <w:b/>
          <w:noProof/>
          <w:sz w:val="24"/>
          <w:szCs w:val="24"/>
          <w:lang w:eastAsia="es-ES"/>
        </w:rPr>
        <w:lastRenderedPageBreak/>
        <w:drawing>
          <wp:inline distT="0" distB="0" distL="0" distR="0" wp14:anchorId="65DF27F4" wp14:editId="3D0CAF55">
            <wp:extent cx="7725335" cy="1364876"/>
            <wp:effectExtent l="0" t="0" r="0" b="6985"/>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7728211" cy="1365384"/>
                    </a:xfrm>
                    <a:prstGeom prst="rect">
                      <a:avLst/>
                    </a:prstGeom>
                  </pic:spPr>
                </pic:pic>
              </a:graphicData>
            </a:graphic>
          </wp:inline>
        </w:drawing>
      </w:r>
      <w:r w:rsidRPr="008D0AE8">
        <w:rPr>
          <w:noProof/>
          <w:lang w:eastAsia="es-ES"/>
        </w:rPr>
        <w:t xml:space="preserve"> </w:t>
      </w:r>
      <w:r w:rsidRPr="008D0AE8">
        <w:rPr>
          <w:rFonts w:ascii="Times New Roman" w:hAnsi="Times New Roman" w:cs="Times New Roman"/>
          <w:b/>
          <w:noProof/>
          <w:sz w:val="24"/>
          <w:szCs w:val="24"/>
          <w:lang w:eastAsia="es-ES"/>
        </w:rPr>
        <w:drawing>
          <wp:inline distT="0" distB="0" distL="0" distR="0" wp14:anchorId="2AAF14BD" wp14:editId="19BB6DBB">
            <wp:extent cx="7725335" cy="1156447"/>
            <wp:effectExtent l="0" t="0" r="0" b="5715"/>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a:stretch>
                      <a:fillRect/>
                    </a:stretch>
                  </pic:blipFill>
                  <pic:spPr>
                    <a:xfrm>
                      <a:off x="0" y="0"/>
                      <a:ext cx="7725335" cy="1156447"/>
                    </a:xfrm>
                    <a:prstGeom prst="rect">
                      <a:avLst/>
                    </a:prstGeom>
                  </pic:spPr>
                </pic:pic>
              </a:graphicData>
            </a:graphic>
          </wp:inline>
        </w:drawing>
      </w:r>
    </w:p>
    <w:p w:rsidR="00DA4F73" w:rsidRDefault="00DA4F73" w:rsidP="00DA4F73">
      <w:pPr>
        <w:spacing w:line="240" w:lineRule="auto"/>
        <w:jc w:val="both"/>
        <w:rPr>
          <w:noProof/>
          <w:lang w:eastAsia="es-ES"/>
        </w:rPr>
      </w:pPr>
      <w:r w:rsidRPr="008D0AE8">
        <w:rPr>
          <w:noProof/>
          <w:lang w:eastAsia="es-ES"/>
        </w:rPr>
        <w:drawing>
          <wp:inline distT="0" distB="0" distL="0" distR="0" wp14:anchorId="466D54F5" wp14:editId="6B61136B">
            <wp:extent cx="7765676" cy="887506"/>
            <wp:effectExtent l="0" t="0" r="0" b="8255"/>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7765676" cy="887506"/>
                    </a:xfrm>
                    <a:prstGeom prst="rect">
                      <a:avLst/>
                    </a:prstGeom>
                  </pic:spPr>
                </pic:pic>
              </a:graphicData>
            </a:graphic>
          </wp:inline>
        </w:drawing>
      </w:r>
      <w:r w:rsidRPr="008D0AE8">
        <w:rPr>
          <w:noProof/>
          <w:lang w:eastAsia="es-ES"/>
        </w:rPr>
        <w:drawing>
          <wp:inline distT="0" distB="0" distL="0" distR="0" wp14:anchorId="0632D69A" wp14:editId="675F869E">
            <wp:extent cx="7799294" cy="1351429"/>
            <wp:effectExtent l="0" t="0" r="0" b="127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7799294" cy="1351429"/>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DA4F73" w:rsidRDefault="00DA4F73" w:rsidP="00DA4F73">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8D0AE8">
        <w:rPr>
          <w:rFonts w:ascii="Times New Roman" w:hAnsi="Times New Roman" w:cs="Times New Roman"/>
          <w:b/>
          <w:noProof/>
          <w:sz w:val="24"/>
          <w:szCs w:val="24"/>
          <w:lang w:eastAsia="es-ES"/>
        </w:rPr>
        <w:drawing>
          <wp:inline distT="0" distB="0" distL="0" distR="0" wp14:anchorId="56BC4FD6" wp14:editId="114FA8ED">
            <wp:extent cx="6515100" cy="2716306"/>
            <wp:effectExtent l="0" t="0" r="0" b="8255"/>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6515100" cy="2716306"/>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r w:rsidRPr="00EB0070">
        <w:rPr>
          <w:rFonts w:ascii="Times New Roman" w:hAnsi="Times New Roman" w:cs="Times New Roman"/>
          <w:b/>
          <w:noProof/>
          <w:sz w:val="24"/>
          <w:szCs w:val="24"/>
          <w:lang w:eastAsia="es-ES"/>
        </w:rPr>
        <w:drawing>
          <wp:inline distT="0" distB="0" distL="0" distR="0" wp14:anchorId="381039F4" wp14:editId="618C25C6">
            <wp:extent cx="7490012" cy="2682688"/>
            <wp:effectExtent l="0" t="0" r="0" b="381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a:stretch>
                      <a:fillRect/>
                    </a:stretch>
                  </pic:blipFill>
                  <pic:spPr>
                    <a:xfrm>
                      <a:off x="0" y="0"/>
                      <a:ext cx="7490016" cy="2682689"/>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r w:rsidRPr="00EB0070">
        <w:rPr>
          <w:rFonts w:ascii="Times New Roman" w:hAnsi="Times New Roman" w:cs="Times New Roman"/>
          <w:b/>
          <w:noProof/>
          <w:sz w:val="24"/>
          <w:szCs w:val="24"/>
          <w:lang w:eastAsia="es-ES"/>
        </w:rPr>
        <w:lastRenderedPageBreak/>
        <w:drawing>
          <wp:inline distT="0" distB="0" distL="0" distR="0" wp14:anchorId="5891F87E" wp14:editId="72F6D243">
            <wp:extent cx="6750424" cy="1317812"/>
            <wp:effectExtent l="0" t="0" r="0"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6750424" cy="1317812"/>
                    </a:xfrm>
                    <a:prstGeom prst="rect">
                      <a:avLst/>
                    </a:prstGeom>
                  </pic:spPr>
                </pic:pic>
              </a:graphicData>
            </a:graphic>
          </wp:inline>
        </w:drawing>
      </w:r>
      <w:r>
        <w:rPr>
          <w:rFonts w:ascii="Times New Roman" w:hAnsi="Times New Roman" w:cs="Times New Roman"/>
          <w:b/>
          <w:sz w:val="24"/>
          <w:szCs w:val="24"/>
        </w:rPr>
        <w:t xml:space="preserve">    </w:t>
      </w:r>
      <w:r w:rsidRPr="00EB0070">
        <w:rPr>
          <w:rFonts w:ascii="Times New Roman" w:hAnsi="Times New Roman" w:cs="Times New Roman"/>
          <w:b/>
          <w:noProof/>
          <w:sz w:val="24"/>
          <w:szCs w:val="24"/>
          <w:lang w:eastAsia="es-ES"/>
        </w:rPr>
        <w:drawing>
          <wp:inline distT="0" distB="0" distL="0" distR="0" wp14:anchorId="01ED420A" wp14:editId="060B2A1E">
            <wp:extent cx="6750424" cy="1418664"/>
            <wp:effectExtent l="0" t="0" r="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6750424" cy="1418664"/>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r w:rsidRPr="00EB0070">
        <w:rPr>
          <w:rFonts w:ascii="Times New Roman" w:hAnsi="Times New Roman" w:cs="Times New Roman"/>
          <w:b/>
          <w:noProof/>
          <w:sz w:val="24"/>
          <w:szCs w:val="24"/>
          <w:lang w:eastAsia="es-ES"/>
        </w:rPr>
        <w:drawing>
          <wp:inline distT="0" distB="0" distL="0" distR="0" wp14:anchorId="755B6204" wp14:editId="4DCC2F3A">
            <wp:extent cx="7530353" cy="1168400"/>
            <wp:effectExtent l="0" t="0" r="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a:stretch>
                      <a:fillRect/>
                    </a:stretch>
                  </pic:blipFill>
                  <pic:spPr>
                    <a:xfrm>
                      <a:off x="0" y="0"/>
                      <a:ext cx="7530353" cy="1168400"/>
                    </a:xfrm>
                    <a:prstGeom prst="rect">
                      <a:avLst/>
                    </a:prstGeom>
                  </pic:spPr>
                </pic:pic>
              </a:graphicData>
            </a:graphic>
          </wp:inline>
        </w:drawing>
      </w:r>
      <w:r w:rsidRPr="00EB0070">
        <w:rPr>
          <w:rFonts w:ascii="Times New Roman" w:hAnsi="Times New Roman" w:cs="Times New Roman"/>
          <w:b/>
          <w:noProof/>
          <w:sz w:val="24"/>
          <w:szCs w:val="24"/>
          <w:lang w:eastAsia="es-ES"/>
        </w:rPr>
        <w:drawing>
          <wp:inline distT="0" distB="0" distL="0" distR="0" wp14:anchorId="2D3C9179" wp14:editId="07A59ACA">
            <wp:extent cx="7530353" cy="1512794"/>
            <wp:effectExtent l="0" t="0" r="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a:stretch>
                      <a:fillRect/>
                    </a:stretch>
                  </pic:blipFill>
                  <pic:spPr>
                    <a:xfrm>
                      <a:off x="0" y="0"/>
                      <a:ext cx="7530353" cy="1512794"/>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r w:rsidRPr="003A0CEF">
        <w:rPr>
          <w:rFonts w:ascii="Times New Roman" w:hAnsi="Times New Roman" w:cs="Times New Roman"/>
          <w:b/>
          <w:noProof/>
          <w:sz w:val="24"/>
          <w:szCs w:val="24"/>
          <w:lang w:eastAsia="es-ES"/>
        </w:rPr>
        <w:lastRenderedPageBreak/>
        <w:drawing>
          <wp:inline distT="0" distB="0" distL="0" distR="0" wp14:anchorId="772FE3F6" wp14:editId="0349577F">
            <wp:extent cx="6905065" cy="2622176"/>
            <wp:effectExtent l="0" t="0" r="0" b="6985"/>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a:stretch>
                      <a:fillRect/>
                    </a:stretch>
                  </pic:blipFill>
                  <pic:spPr>
                    <a:xfrm>
                      <a:off x="0" y="0"/>
                      <a:ext cx="6905065" cy="2622176"/>
                    </a:xfrm>
                    <a:prstGeom prst="rect">
                      <a:avLst/>
                    </a:prstGeom>
                  </pic:spPr>
                </pic:pic>
              </a:graphicData>
            </a:graphic>
          </wp:inline>
        </w:drawing>
      </w:r>
      <w:r w:rsidRPr="003A0CEF">
        <w:rPr>
          <w:rFonts w:ascii="Times New Roman" w:hAnsi="Times New Roman" w:cs="Times New Roman"/>
          <w:b/>
          <w:noProof/>
          <w:sz w:val="24"/>
          <w:szCs w:val="24"/>
          <w:lang w:eastAsia="es-ES"/>
        </w:rPr>
        <w:drawing>
          <wp:inline distT="0" distB="0" distL="0" distR="0" wp14:anchorId="2FAE51D2" wp14:editId="4D859EFC">
            <wp:extent cx="6958853" cy="2689412"/>
            <wp:effectExtent l="0" t="0" r="0" b="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a:stretch>
                      <a:fillRect/>
                    </a:stretch>
                  </pic:blipFill>
                  <pic:spPr>
                    <a:xfrm>
                      <a:off x="0" y="0"/>
                      <a:ext cx="6966735" cy="2692458"/>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3B5FAE">
        <w:rPr>
          <w:rFonts w:ascii="Times New Roman" w:hAnsi="Times New Roman" w:cs="Times New Roman"/>
          <w:b/>
          <w:noProof/>
          <w:sz w:val="24"/>
          <w:szCs w:val="24"/>
          <w:lang w:eastAsia="es-ES"/>
        </w:rPr>
        <w:lastRenderedPageBreak/>
        <w:drawing>
          <wp:inline distT="0" distB="0" distL="0" distR="0" wp14:anchorId="1A311526" wp14:editId="6804FFFC">
            <wp:extent cx="8794376" cy="3570194"/>
            <wp:effectExtent l="0" t="0" r="6985"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a:stretch>
                      <a:fillRect/>
                    </a:stretch>
                  </pic:blipFill>
                  <pic:spPr>
                    <a:xfrm>
                      <a:off x="0" y="0"/>
                      <a:ext cx="8798896" cy="3572029"/>
                    </a:xfrm>
                    <a:prstGeom prst="rect">
                      <a:avLst/>
                    </a:prstGeom>
                  </pic:spPr>
                </pic:pic>
              </a:graphicData>
            </a:graphic>
          </wp:inline>
        </w:drawing>
      </w:r>
      <w:r w:rsidRPr="003B5FAE">
        <w:rPr>
          <w:rFonts w:ascii="Times New Roman" w:hAnsi="Times New Roman" w:cs="Times New Roman"/>
          <w:b/>
          <w:noProof/>
          <w:sz w:val="24"/>
          <w:szCs w:val="24"/>
          <w:lang w:eastAsia="es-ES"/>
        </w:rPr>
        <w:drawing>
          <wp:inline distT="0" distB="0" distL="0" distR="0" wp14:anchorId="22DD54B2" wp14:editId="2006E497">
            <wp:extent cx="8834718" cy="1512794"/>
            <wp:effectExtent l="0" t="0" r="508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a:stretch>
                      <a:fillRect/>
                    </a:stretch>
                  </pic:blipFill>
                  <pic:spPr>
                    <a:xfrm>
                      <a:off x="0" y="0"/>
                      <a:ext cx="8841078" cy="1513883"/>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3A0CEF">
        <w:rPr>
          <w:rFonts w:ascii="Times New Roman" w:hAnsi="Times New Roman" w:cs="Times New Roman"/>
          <w:b/>
          <w:noProof/>
          <w:sz w:val="24"/>
          <w:szCs w:val="24"/>
          <w:lang w:eastAsia="es-ES"/>
        </w:rPr>
        <w:lastRenderedPageBreak/>
        <w:drawing>
          <wp:inline distT="0" distB="0" distL="0" distR="0" wp14:anchorId="437C49F9" wp14:editId="122EBC7D">
            <wp:extent cx="8350624" cy="3422276"/>
            <wp:effectExtent l="0" t="0" r="0" b="6985"/>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a:stretch>
                      <a:fillRect/>
                    </a:stretch>
                  </pic:blipFill>
                  <pic:spPr>
                    <a:xfrm>
                      <a:off x="0" y="0"/>
                      <a:ext cx="8360281" cy="3426234"/>
                    </a:xfrm>
                    <a:prstGeom prst="rect">
                      <a:avLst/>
                    </a:prstGeom>
                  </pic:spPr>
                </pic:pic>
              </a:graphicData>
            </a:graphic>
          </wp:inline>
        </w:drawing>
      </w:r>
      <w:r w:rsidRPr="001846B7">
        <w:rPr>
          <w:rFonts w:ascii="Times New Roman" w:hAnsi="Times New Roman" w:cs="Times New Roman"/>
          <w:b/>
          <w:noProof/>
          <w:sz w:val="24"/>
          <w:szCs w:val="24"/>
          <w:lang w:eastAsia="es-ES"/>
        </w:rPr>
        <w:drawing>
          <wp:inline distT="0" distB="0" distL="0" distR="0" wp14:anchorId="2601B186" wp14:editId="2A04184E">
            <wp:extent cx="8350624" cy="1909482"/>
            <wp:effectExtent l="0" t="0" r="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a:stretch>
                      <a:fillRect/>
                    </a:stretch>
                  </pic:blipFill>
                  <pic:spPr>
                    <a:xfrm>
                      <a:off x="0" y="0"/>
                      <a:ext cx="8350624" cy="1909482"/>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3B5FAE">
        <w:rPr>
          <w:rFonts w:ascii="Times New Roman" w:hAnsi="Times New Roman" w:cs="Times New Roman"/>
          <w:b/>
          <w:noProof/>
          <w:sz w:val="24"/>
          <w:szCs w:val="24"/>
          <w:lang w:eastAsia="es-ES"/>
        </w:rPr>
        <w:drawing>
          <wp:inline distT="0" distB="0" distL="0" distR="0" wp14:anchorId="7A252BC5" wp14:editId="7F0D10AF">
            <wp:extent cx="8706971" cy="3402106"/>
            <wp:effectExtent l="0" t="0" r="0" b="8255"/>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a:stretch>
                      <a:fillRect/>
                    </a:stretch>
                  </pic:blipFill>
                  <pic:spPr>
                    <a:xfrm>
                      <a:off x="0" y="0"/>
                      <a:ext cx="8706971" cy="3402106"/>
                    </a:xfrm>
                    <a:prstGeom prst="rect">
                      <a:avLst/>
                    </a:prstGeom>
                  </pic:spPr>
                </pic:pic>
              </a:graphicData>
            </a:graphic>
          </wp:inline>
        </w:drawing>
      </w:r>
      <w:r w:rsidRPr="003B5FAE">
        <w:rPr>
          <w:rFonts w:ascii="Times New Roman" w:hAnsi="Times New Roman" w:cs="Times New Roman"/>
          <w:b/>
          <w:noProof/>
          <w:sz w:val="24"/>
          <w:szCs w:val="24"/>
          <w:lang w:eastAsia="es-ES"/>
        </w:rPr>
        <w:drawing>
          <wp:inline distT="0" distB="0" distL="0" distR="0" wp14:anchorId="33460DF9" wp14:editId="2192E1CD">
            <wp:extent cx="8706971" cy="1344706"/>
            <wp:effectExtent l="0" t="0" r="0" b="8255"/>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a:stretch>
                      <a:fillRect/>
                    </a:stretch>
                  </pic:blipFill>
                  <pic:spPr>
                    <a:xfrm>
                      <a:off x="0" y="0"/>
                      <a:ext cx="8706971" cy="1344706"/>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rPr>
      </w:pPr>
    </w:p>
    <w:p w:rsidR="00DA4F73" w:rsidRDefault="00DA4F73" w:rsidP="00DA4F73">
      <w:pPr>
        <w:spacing w:line="240" w:lineRule="auto"/>
        <w:jc w:val="both"/>
        <w:rPr>
          <w:rFonts w:ascii="Times New Roman" w:hAnsi="Times New Roman" w:cs="Times New Roman"/>
          <w:b/>
          <w:sz w:val="24"/>
          <w:szCs w:val="24"/>
        </w:rPr>
      </w:pPr>
      <w:r w:rsidRPr="00704177">
        <w:rPr>
          <w:rFonts w:ascii="Times New Roman" w:hAnsi="Times New Roman" w:cs="Times New Roman"/>
          <w:b/>
          <w:noProof/>
          <w:sz w:val="24"/>
          <w:szCs w:val="24"/>
          <w:lang w:eastAsia="es-ES"/>
        </w:rPr>
        <w:lastRenderedPageBreak/>
        <w:drawing>
          <wp:inline distT="0" distB="0" distL="0" distR="0" wp14:anchorId="1AED2EDF" wp14:editId="182BD9BC">
            <wp:extent cx="8357347" cy="3200400"/>
            <wp:effectExtent l="0" t="0" r="5715"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a:stretch>
                      <a:fillRect/>
                    </a:stretch>
                  </pic:blipFill>
                  <pic:spPr>
                    <a:xfrm>
                      <a:off x="0" y="0"/>
                      <a:ext cx="8357347" cy="3200400"/>
                    </a:xfrm>
                    <a:prstGeom prst="rect">
                      <a:avLst/>
                    </a:prstGeom>
                  </pic:spPr>
                </pic:pic>
              </a:graphicData>
            </a:graphic>
          </wp:inline>
        </w:drawing>
      </w:r>
      <w:r w:rsidRPr="00704177">
        <w:rPr>
          <w:rFonts w:ascii="Times New Roman" w:hAnsi="Times New Roman" w:cs="Times New Roman"/>
          <w:b/>
          <w:noProof/>
          <w:sz w:val="24"/>
          <w:szCs w:val="24"/>
          <w:lang w:eastAsia="es-ES"/>
        </w:rPr>
        <w:drawing>
          <wp:inline distT="0" distB="0" distL="0" distR="0" wp14:anchorId="654CC807" wp14:editId="4DA2A05D">
            <wp:extent cx="8404412" cy="2010335"/>
            <wp:effectExtent l="0" t="0" r="0" b="9525"/>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stretch>
                      <a:fillRect/>
                    </a:stretch>
                  </pic:blipFill>
                  <pic:spPr>
                    <a:xfrm>
                      <a:off x="0" y="0"/>
                      <a:ext cx="8417445" cy="2013452"/>
                    </a:xfrm>
                    <a:prstGeom prst="rect">
                      <a:avLst/>
                    </a:prstGeom>
                  </pic:spPr>
                </pic:pic>
              </a:graphicData>
            </a:graphic>
          </wp:inline>
        </w:drawing>
      </w:r>
    </w:p>
    <w:p w:rsidR="00DA4F73" w:rsidRPr="00F83924" w:rsidRDefault="00DA4F73" w:rsidP="00DA4F73">
      <w:pPr>
        <w:spacing w:line="240" w:lineRule="auto"/>
        <w:jc w:val="both"/>
        <w:rPr>
          <w:rFonts w:ascii="Times New Roman" w:hAnsi="Times New Roman" w:cs="Times New Roman"/>
          <w:sz w:val="20"/>
          <w:szCs w:val="20"/>
          <w:lang w:val="en-US"/>
        </w:rPr>
      </w:pPr>
      <w:r w:rsidRPr="00F83924">
        <w:rPr>
          <w:rFonts w:ascii="Times New Roman" w:hAnsi="Times New Roman" w:cs="Times New Roman"/>
          <w:sz w:val="20"/>
          <w:szCs w:val="20"/>
          <w:lang w:val="en-US"/>
        </w:rPr>
        <w:t>The Gini coefficient is defined as the relationship of cumulative shares of the population arranged according to the level of equivalised disposable income, to the cumulative share of the equivalised total disposable income received by them.</w:t>
      </w:r>
    </w:p>
    <w:p w:rsidR="00DA4F73" w:rsidRPr="00F83924" w:rsidRDefault="00DA4F73" w:rsidP="00DA4F73">
      <w:pPr>
        <w:spacing w:line="240" w:lineRule="auto"/>
        <w:jc w:val="both"/>
        <w:rPr>
          <w:rFonts w:ascii="Times New Roman" w:hAnsi="Times New Roman" w:cs="Times New Roman"/>
          <w:b/>
          <w:sz w:val="24"/>
          <w:szCs w:val="24"/>
          <w:lang w:val="en-US"/>
        </w:rPr>
      </w:pPr>
    </w:p>
    <w:p w:rsidR="00DA4F73" w:rsidRDefault="00DA4F73" w:rsidP="00DA4F73">
      <w:pPr>
        <w:spacing w:line="240" w:lineRule="auto"/>
        <w:jc w:val="both"/>
        <w:rPr>
          <w:rFonts w:ascii="Times New Roman" w:hAnsi="Times New Roman" w:cs="Times New Roman"/>
          <w:b/>
          <w:sz w:val="24"/>
          <w:szCs w:val="24"/>
        </w:rPr>
      </w:pPr>
      <w:r w:rsidRPr="00F83924">
        <w:rPr>
          <w:rFonts w:ascii="Times New Roman" w:hAnsi="Times New Roman" w:cs="Times New Roman"/>
          <w:b/>
          <w:noProof/>
          <w:sz w:val="24"/>
          <w:szCs w:val="24"/>
          <w:lang w:eastAsia="es-ES"/>
        </w:rPr>
        <w:drawing>
          <wp:inline distT="0" distB="0" distL="0" distR="0" wp14:anchorId="72EEF83B" wp14:editId="54B5F794">
            <wp:extent cx="8296835" cy="2743200"/>
            <wp:effectExtent l="0" t="0" r="9525"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a:stretch>
                      <a:fillRect/>
                    </a:stretch>
                  </pic:blipFill>
                  <pic:spPr>
                    <a:xfrm>
                      <a:off x="0" y="0"/>
                      <a:ext cx="8302597" cy="2745105"/>
                    </a:xfrm>
                    <a:prstGeom prst="rect">
                      <a:avLst/>
                    </a:prstGeom>
                  </pic:spPr>
                </pic:pic>
              </a:graphicData>
            </a:graphic>
          </wp:inline>
        </w:drawing>
      </w:r>
      <w:r w:rsidRPr="00F83924">
        <w:rPr>
          <w:rFonts w:ascii="Times New Roman" w:hAnsi="Times New Roman" w:cs="Times New Roman"/>
          <w:b/>
          <w:noProof/>
          <w:sz w:val="24"/>
          <w:szCs w:val="24"/>
          <w:lang w:eastAsia="es-ES"/>
        </w:rPr>
        <w:drawing>
          <wp:inline distT="0" distB="0" distL="0" distR="0" wp14:anchorId="63E7C440" wp14:editId="4D60C323">
            <wp:extent cx="8330453" cy="2023782"/>
            <wp:effectExtent l="0" t="0" r="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a:stretch>
                      <a:fillRect/>
                    </a:stretch>
                  </pic:blipFill>
                  <pic:spPr>
                    <a:xfrm>
                      <a:off x="0" y="0"/>
                      <a:ext cx="8330453" cy="2023782"/>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sz w:val="20"/>
          <w:szCs w:val="20"/>
          <w:lang w:val="en-US"/>
        </w:rPr>
      </w:pPr>
      <w:r w:rsidRPr="00F83924">
        <w:rPr>
          <w:rFonts w:ascii="Times New Roman" w:hAnsi="Times New Roman" w:cs="Times New Roman"/>
          <w:sz w:val="20"/>
          <w:szCs w:val="20"/>
          <w:lang w:val="en-US"/>
        </w:rPr>
        <w:t>The ratio of total income received by the 20 % of the population with the highest income (to</w:t>
      </w:r>
      <w:r>
        <w:rPr>
          <w:rFonts w:ascii="Times New Roman" w:hAnsi="Times New Roman" w:cs="Times New Roman"/>
          <w:sz w:val="20"/>
          <w:szCs w:val="20"/>
          <w:lang w:val="en-US"/>
        </w:rPr>
        <w:t xml:space="preserve">p quintile) to that received by </w:t>
      </w:r>
      <w:r w:rsidRPr="00F83924">
        <w:rPr>
          <w:rFonts w:ascii="Times New Roman" w:hAnsi="Times New Roman" w:cs="Times New Roman"/>
          <w:sz w:val="20"/>
          <w:szCs w:val="20"/>
          <w:lang w:val="en-US"/>
        </w:rPr>
        <w:t>the 20 % of the population with the lowest income (lowest quintile). Income must be under</w:t>
      </w:r>
      <w:r>
        <w:rPr>
          <w:rFonts w:ascii="Times New Roman" w:hAnsi="Times New Roman" w:cs="Times New Roman"/>
          <w:sz w:val="20"/>
          <w:szCs w:val="20"/>
          <w:lang w:val="en-US"/>
        </w:rPr>
        <w:t xml:space="preserve">stood as equivalised disposable </w:t>
      </w:r>
      <w:r w:rsidRPr="00F83924">
        <w:rPr>
          <w:rFonts w:ascii="Times New Roman" w:hAnsi="Times New Roman" w:cs="Times New Roman"/>
          <w:sz w:val="20"/>
          <w:szCs w:val="20"/>
          <w:lang w:val="en-US"/>
        </w:rPr>
        <w:t>income.</w:t>
      </w:r>
    </w:p>
    <w:p w:rsidR="00DA4F73" w:rsidRDefault="00DA4F73" w:rsidP="00DA4F73">
      <w:pPr>
        <w:spacing w:line="240" w:lineRule="auto"/>
        <w:jc w:val="both"/>
        <w:rPr>
          <w:rFonts w:ascii="Times New Roman" w:hAnsi="Times New Roman" w:cs="Times New Roman"/>
          <w:sz w:val="20"/>
          <w:szCs w:val="20"/>
          <w:lang w:val="en-US"/>
        </w:rPr>
      </w:pPr>
      <w:r w:rsidRPr="00F83924">
        <w:rPr>
          <w:rFonts w:ascii="Times New Roman" w:hAnsi="Times New Roman" w:cs="Times New Roman"/>
          <w:noProof/>
          <w:sz w:val="20"/>
          <w:szCs w:val="20"/>
          <w:lang w:eastAsia="es-ES"/>
        </w:rPr>
        <w:lastRenderedPageBreak/>
        <w:drawing>
          <wp:inline distT="0" distB="0" distL="0" distR="0" wp14:anchorId="142AE12C" wp14:editId="4C0D0517">
            <wp:extent cx="8626288" cy="3294529"/>
            <wp:effectExtent l="0" t="0" r="3810" b="127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a:stretch>
                      <a:fillRect/>
                    </a:stretch>
                  </pic:blipFill>
                  <pic:spPr>
                    <a:xfrm>
                      <a:off x="0" y="0"/>
                      <a:ext cx="8626394" cy="3294569"/>
                    </a:xfrm>
                    <a:prstGeom prst="rect">
                      <a:avLst/>
                    </a:prstGeom>
                  </pic:spPr>
                </pic:pic>
              </a:graphicData>
            </a:graphic>
          </wp:inline>
        </w:drawing>
      </w:r>
      <w:r w:rsidRPr="00F83924">
        <w:rPr>
          <w:rFonts w:ascii="Times New Roman" w:hAnsi="Times New Roman" w:cs="Times New Roman"/>
          <w:noProof/>
          <w:sz w:val="20"/>
          <w:szCs w:val="20"/>
          <w:lang w:eastAsia="es-ES"/>
        </w:rPr>
        <w:drawing>
          <wp:inline distT="0" distB="0" distL="0" distR="0" wp14:anchorId="2A890E5C" wp14:editId="66F8B271">
            <wp:extent cx="8659903" cy="1122830"/>
            <wp:effectExtent l="0" t="0" r="8255" b="127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a:stretch>
                      <a:fillRect/>
                    </a:stretch>
                  </pic:blipFill>
                  <pic:spPr>
                    <a:xfrm>
                      <a:off x="0" y="0"/>
                      <a:ext cx="8665516" cy="1123558"/>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sz w:val="20"/>
          <w:szCs w:val="20"/>
          <w:lang w:val="en-US"/>
        </w:rPr>
      </w:pPr>
      <w:r w:rsidRPr="00F83924">
        <w:rPr>
          <w:rFonts w:ascii="Times New Roman" w:hAnsi="Times New Roman" w:cs="Times New Roman"/>
          <w:sz w:val="20"/>
          <w:szCs w:val="20"/>
          <w:lang w:val="en-US"/>
        </w:rPr>
        <w:t>The Europe 2020 strategy promotes social inclusion, in particular through the reduction of poverty, by aiming to lift at least 20 million people out of the risk of poverty and social exclusion. This indicator corresponds to the sum of persons who are: at risk of poverty or severely materially deprived or living in households with very low work intensity. Persons are only counted once even if they are present in several sub-indicators. At risk-of-poverty are persons with an equivalised disposable income below the risk-of-poverty threshold, which is set at 60 % of the national median equivalised disposable income (after social transfers). Material deprivation covers indicators relating to economic strain and durables. Severely materially deprived persons have living conditions severely constrained by a lack of resources, they experience at least 4 out of 9 following deprivations items: cannot afford i) to pay rent or utility bills, ii) keep home adequately warm, iii) face unexpected expenses, iv) eat meat, fish or a protein equivalent every second day, v) a week holiday away from home, vi) a car, vii) a washing machine, viii) a colour TV, or ix) a telephone. People living in households with very low work intensity are those aged 0-59 living in households where the adults (aged 18-59) work 20% or less of their total work potential during the past year.</w:t>
      </w:r>
    </w:p>
    <w:p w:rsidR="00DA4F73" w:rsidRDefault="00DA4F73" w:rsidP="00DA4F73">
      <w:pPr>
        <w:spacing w:line="240" w:lineRule="auto"/>
        <w:jc w:val="both"/>
        <w:rPr>
          <w:rFonts w:ascii="Times New Roman" w:hAnsi="Times New Roman" w:cs="Times New Roman"/>
          <w:sz w:val="20"/>
          <w:szCs w:val="20"/>
          <w:lang w:val="en-US"/>
        </w:rPr>
      </w:pPr>
      <w:r w:rsidRPr="00F83924">
        <w:rPr>
          <w:rFonts w:ascii="Times New Roman" w:hAnsi="Times New Roman" w:cs="Times New Roman"/>
          <w:noProof/>
          <w:sz w:val="20"/>
          <w:szCs w:val="20"/>
          <w:lang w:eastAsia="es-ES"/>
        </w:rPr>
        <w:lastRenderedPageBreak/>
        <w:drawing>
          <wp:inline distT="0" distB="0" distL="0" distR="0" wp14:anchorId="6DE27CC7" wp14:editId="24D9D56E">
            <wp:extent cx="8303559" cy="2911288"/>
            <wp:effectExtent l="0" t="0" r="2540" b="381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9"/>
                    <a:stretch>
                      <a:fillRect/>
                    </a:stretch>
                  </pic:blipFill>
                  <pic:spPr>
                    <a:xfrm>
                      <a:off x="0" y="0"/>
                      <a:ext cx="8314496" cy="2915123"/>
                    </a:xfrm>
                    <a:prstGeom prst="rect">
                      <a:avLst/>
                    </a:prstGeom>
                  </pic:spPr>
                </pic:pic>
              </a:graphicData>
            </a:graphic>
          </wp:inline>
        </w:drawing>
      </w:r>
      <w:r w:rsidRPr="00945388">
        <w:rPr>
          <w:rFonts w:ascii="Times New Roman" w:hAnsi="Times New Roman" w:cs="Times New Roman"/>
          <w:noProof/>
          <w:sz w:val="20"/>
          <w:szCs w:val="20"/>
          <w:lang w:eastAsia="es-ES"/>
        </w:rPr>
        <w:drawing>
          <wp:inline distT="0" distB="0" distL="0" distR="0" wp14:anchorId="53DDAF9B" wp14:editId="7AA6B48E">
            <wp:extent cx="8343898" cy="1949823"/>
            <wp:effectExtent l="0" t="0" r="635"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a:stretch>
                      <a:fillRect/>
                    </a:stretch>
                  </pic:blipFill>
                  <pic:spPr>
                    <a:xfrm>
                      <a:off x="0" y="0"/>
                      <a:ext cx="8357951" cy="1953107"/>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sz w:val="20"/>
          <w:szCs w:val="20"/>
          <w:lang w:val="en-US"/>
        </w:rPr>
      </w:pPr>
      <w:r w:rsidRPr="00945388">
        <w:rPr>
          <w:rFonts w:ascii="Times New Roman" w:hAnsi="Times New Roman" w:cs="Times New Roman"/>
          <w:sz w:val="20"/>
          <w:szCs w:val="20"/>
          <w:lang w:val="en-US"/>
        </w:rPr>
        <w:t>The ratio of total income received by the 20 % of the population with the highest income (top quintile) to that received by the 20 % of the population with the lowest income (lowest quintile). Income must be understood as equivalised disposable income. The indicator is based on the EU-SILC (statistics on income, social inclusion and living conditions)</w:t>
      </w:r>
    </w:p>
    <w:p w:rsidR="00DA4F73" w:rsidRDefault="00DA4F73" w:rsidP="00DA4F73">
      <w:pPr>
        <w:spacing w:line="240" w:lineRule="auto"/>
        <w:jc w:val="both"/>
        <w:rPr>
          <w:rFonts w:ascii="Times New Roman" w:hAnsi="Times New Roman" w:cs="Times New Roman"/>
          <w:sz w:val="20"/>
          <w:szCs w:val="20"/>
          <w:lang w:val="en-US"/>
        </w:rPr>
      </w:pPr>
    </w:p>
    <w:p w:rsidR="00DA4F73" w:rsidRDefault="00DA4F73" w:rsidP="00DA4F73">
      <w:pPr>
        <w:spacing w:line="240" w:lineRule="auto"/>
        <w:jc w:val="both"/>
        <w:rPr>
          <w:rFonts w:ascii="Times New Roman" w:hAnsi="Times New Roman" w:cs="Times New Roman"/>
          <w:sz w:val="20"/>
          <w:szCs w:val="20"/>
          <w:lang w:val="en-US"/>
        </w:rPr>
        <w:sectPr w:rsidR="00DA4F73" w:rsidSect="00C7040B">
          <w:pgSz w:w="16838" w:h="11906" w:orient="landscape"/>
          <w:pgMar w:top="1440" w:right="1440" w:bottom="1440" w:left="1440" w:header="709" w:footer="709" w:gutter="0"/>
          <w:cols w:space="708"/>
          <w:docGrid w:linePitch="360"/>
        </w:sectPr>
      </w:pPr>
    </w:p>
    <w:p w:rsidR="00DA4F73" w:rsidRDefault="00DA4F73" w:rsidP="00DA4F73">
      <w:pPr>
        <w:rPr>
          <w:rFonts w:ascii="Times New Roman" w:hAnsi="Times New Roman" w:cs="Times New Roman"/>
          <w:b/>
          <w:sz w:val="24"/>
          <w:szCs w:val="24"/>
          <w:lang w:val="en-US"/>
        </w:rPr>
      </w:pPr>
      <w:r w:rsidRPr="00C76712">
        <w:rPr>
          <w:rFonts w:ascii="Times New Roman" w:hAnsi="Times New Roman" w:cs="Times New Roman"/>
          <w:b/>
          <w:noProof/>
          <w:sz w:val="24"/>
          <w:szCs w:val="24"/>
          <w:lang w:eastAsia="es-ES"/>
        </w:rPr>
        <w:lastRenderedPageBreak/>
        <w:drawing>
          <wp:inline distT="0" distB="0" distL="0" distR="0" wp14:anchorId="2BE4A355" wp14:editId="7D5AB656">
            <wp:extent cx="5726609" cy="3644153"/>
            <wp:effectExtent l="0" t="0" r="7620" b="0"/>
            <wp:docPr id="266" name="Imagen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1"/>
                    <a:stretch>
                      <a:fillRect/>
                    </a:stretch>
                  </pic:blipFill>
                  <pic:spPr>
                    <a:xfrm>
                      <a:off x="0" y="0"/>
                      <a:ext cx="5731510" cy="3647272"/>
                    </a:xfrm>
                    <a:prstGeom prst="rect">
                      <a:avLst/>
                    </a:prstGeom>
                  </pic:spPr>
                </pic:pic>
              </a:graphicData>
            </a:graphic>
          </wp:inline>
        </w:drawing>
      </w:r>
    </w:p>
    <w:tbl>
      <w:tblPr>
        <w:tblW w:w="0" w:type="auto"/>
        <w:tblBorders>
          <w:top w:val="single" w:sz="6" w:space="0" w:color="AAAAAA"/>
          <w:left w:val="single" w:sz="6" w:space="0" w:color="AAAAAA"/>
          <w:bottom w:val="single" w:sz="6" w:space="0" w:color="AAAAAA"/>
          <w:right w:val="single" w:sz="6" w:space="0" w:color="AAAAAA"/>
        </w:tblBorders>
        <w:shd w:val="clear" w:color="auto" w:fill="FFFFFF"/>
        <w:tblCellMar>
          <w:left w:w="0" w:type="dxa"/>
          <w:right w:w="0" w:type="dxa"/>
        </w:tblCellMar>
        <w:tblLook w:val="04A0" w:firstRow="1" w:lastRow="0" w:firstColumn="1" w:lastColumn="0" w:noHBand="0" w:noVBand="1"/>
      </w:tblPr>
      <w:tblGrid>
        <w:gridCol w:w="21"/>
      </w:tblGrid>
      <w:tr w:rsidR="00DA4F73" w:rsidRPr="002432BC" w:rsidTr="00C7040B">
        <w:trPr>
          <w:hidden/>
        </w:trPr>
        <w:tc>
          <w:tcPr>
            <w:tcW w:w="0" w:type="auto"/>
            <w:tcBorders>
              <w:top w:val="nil"/>
              <w:left w:val="nil"/>
              <w:bottom w:val="nil"/>
              <w:right w:val="nil"/>
            </w:tcBorders>
            <w:shd w:val="clear" w:color="auto" w:fill="FFFFFF"/>
            <w:vAlign w:val="center"/>
          </w:tcPr>
          <w:p w:rsidR="00DA4F73" w:rsidRPr="002432BC" w:rsidRDefault="00DA4F73" w:rsidP="00C7040B">
            <w:pPr>
              <w:pBdr>
                <w:top w:val="single" w:sz="6" w:space="1" w:color="auto"/>
              </w:pBdr>
              <w:spacing w:after="0" w:line="240" w:lineRule="auto"/>
              <w:jc w:val="center"/>
              <w:rPr>
                <w:rFonts w:ascii="Arial" w:eastAsia="Times New Roman" w:hAnsi="Arial" w:cs="Arial"/>
                <w:vanish/>
                <w:sz w:val="16"/>
                <w:szCs w:val="16"/>
                <w:lang w:eastAsia="es-ES"/>
              </w:rPr>
            </w:pPr>
          </w:p>
        </w:tc>
      </w:tr>
      <w:tr w:rsidR="00DA4F73" w:rsidRPr="002432BC" w:rsidTr="00C7040B">
        <w:tc>
          <w:tcPr>
            <w:tcW w:w="0" w:type="auto"/>
            <w:shd w:val="clear" w:color="auto" w:fill="FFFFFF"/>
            <w:vAlign w:val="center"/>
            <w:hideMark/>
          </w:tcPr>
          <w:p w:rsidR="00DA4F73" w:rsidRPr="002432BC" w:rsidRDefault="00DA4F73" w:rsidP="00C7040B">
            <w:pPr>
              <w:spacing w:after="0" w:line="293" w:lineRule="atLeast"/>
              <w:rPr>
                <w:rFonts w:ascii="Arial" w:eastAsia="Times New Roman" w:hAnsi="Arial" w:cs="Arial"/>
                <w:color w:val="000000"/>
                <w:sz w:val="19"/>
                <w:szCs w:val="19"/>
                <w:lang w:eastAsia="es-ES"/>
              </w:rPr>
            </w:pPr>
          </w:p>
        </w:tc>
      </w:tr>
    </w:tbl>
    <w:p w:rsidR="00DA4F73" w:rsidRPr="002432BC" w:rsidRDefault="00DA4F73" w:rsidP="00DA4F73">
      <w:pPr>
        <w:spacing w:after="0" w:line="240" w:lineRule="auto"/>
        <w:rPr>
          <w:rFonts w:ascii="Times New Roman" w:eastAsia="Times New Roman" w:hAnsi="Times New Roman" w:cs="Times New Roman"/>
          <w:vanish/>
          <w:sz w:val="24"/>
          <w:szCs w:val="24"/>
          <w:lang w:eastAsia="es-ES"/>
        </w:rPr>
      </w:pPr>
    </w:p>
    <w:tbl>
      <w:tblPr>
        <w:tblW w:w="0" w:type="auto"/>
        <w:tblBorders>
          <w:top w:val="single" w:sz="6" w:space="0" w:color="AAAAAA"/>
          <w:left w:val="single" w:sz="6" w:space="0" w:color="AAAAAA"/>
          <w:bottom w:val="single" w:sz="6" w:space="0" w:color="AAAAAA"/>
          <w:right w:val="single" w:sz="6" w:space="0" w:color="AAAAAA"/>
        </w:tblBorders>
        <w:shd w:val="clear" w:color="auto" w:fill="FFFFFF"/>
        <w:tblCellMar>
          <w:left w:w="0" w:type="dxa"/>
          <w:right w:w="0" w:type="dxa"/>
        </w:tblCellMar>
        <w:tblLook w:val="04A0" w:firstRow="1" w:lastRow="0" w:firstColumn="1" w:lastColumn="0" w:noHBand="0" w:noVBand="1"/>
      </w:tblPr>
      <w:tblGrid>
        <w:gridCol w:w="543"/>
        <w:gridCol w:w="764"/>
      </w:tblGrid>
      <w:tr w:rsidR="00DA4F73" w:rsidRPr="002432BC" w:rsidTr="00C7040B">
        <w:trPr>
          <w:tblHeader/>
        </w:trPr>
        <w:tc>
          <w:tcPr>
            <w:tcW w:w="0" w:type="auto"/>
            <w:tcBorders>
              <w:left w:val="single" w:sz="6" w:space="0" w:color="999999"/>
              <w:bottom w:val="single" w:sz="6" w:space="0" w:color="999999"/>
            </w:tcBorders>
            <w:shd w:val="clear" w:color="auto" w:fill="DDDDDD"/>
            <w:tcMar>
              <w:top w:w="15" w:type="dxa"/>
              <w:left w:w="60" w:type="dxa"/>
              <w:bottom w:w="15" w:type="dxa"/>
              <w:right w:w="60" w:type="dxa"/>
            </w:tcMar>
            <w:vAlign w:val="bottom"/>
            <w:hideMark/>
          </w:tcPr>
          <w:p w:rsidR="00DA4F73" w:rsidRPr="002432BC" w:rsidRDefault="00DA4F73" w:rsidP="00C7040B">
            <w:pPr>
              <w:spacing w:after="0" w:line="293" w:lineRule="atLeast"/>
              <w:jc w:val="center"/>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Year</w:t>
            </w:r>
          </w:p>
        </w:tc>
        <w:tc>
          <w:tcPr>
            <w:tcW w:w="0" w:type="auto"/>
            <w:tcBorders>
              <w:left w:val="single" w:sz="6" w:space="0" w:color="999999"/>
              <w:bottom w:val="single" w:sz="6" w:space="0" w:color="999999"/>
            </w:tcBorders>
            <w:shd w:val="clear" w:color="auto" w:fill="DDDDDD"/>
            <w:tcMar>
              <w:top w:w="15" w:type="dxa"/>
              <w:left w:w="60" w:type="dxa"/>
              <w:bottom w:w="15" w:type="dxa"/>
              <w:right w:w="60" w:type="dxa"/>
            </w:tcMar>
            <w:vAlign w:val="bottom"/>
            <w:hideMark/>
          </w:tcPr>
          <w:p w:rsidR="00DA4F73" w:rsidRPr="002432BC" w:rsidRDefault="00DA4F73" w:rsidP="00C7040B">
            <w:pPr>
              <w:spacing w:after="0" w:line="293" w:lineRule="atLeast"/>
              <w:jc w:val="center"/>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Annual</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2000</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4.0</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2001</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4.7</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2002</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5.8</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2003</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6.0</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2004</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5.5</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2005</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5.1</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2006</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4.6</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2007</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4.6</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2008</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5.8</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2009</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9.3</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2010</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9.6</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2011</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8.9</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2012</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8.1</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2013</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7.4</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2014</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6.2</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2015</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5.3</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2016</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4.9</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2017</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4.4</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2018</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3.9</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2019</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3.7</w:t>
            </w:r>
          </w:p>
        </w:tc>
      </w:tr>
    </w:tbl>
    <w:p w:rsidR="00DA4F73" w:rsidRDefault="00DA4F73" w:rsidP="00DA4F73">
      <w:pPr>
        <w:rPr>
          <w:rFonts w:ascii="Times New Roman" w:hAnsi="Times New Roman" w:cs="Times New Roman"/>
          <w:b/>
          <w:sz w:val="24"/>
          <w:szCs w:val="24"/>
          <w:lang w:val="en-US"/>
        </w:rPr>
      </w:pPr>
      <w:r w:rsidRPr="00B8774B">
        <w:rPr>
          <w:rFonts w:ascii="Times New Roman" w:hAnsi="Times New Roman" w:cs="Times New Roman"/>
          <w:b/>
          <w:sz w:val="24"/>
          <w:szCs w:val="24"/>
          <w:lang w:val="en-US"/>
        </w:rPr>
        <w:t>U.S. Bureau of Labor Statistics</w:t>
      </w:r>
      <w:r>
        <w:rPr>
          <w:rFonts w:ascii="Times New Roman" w:hAnsi="Times New Roman" w:cs="Times New Roman"/>
          <w:b/>
          <w:sz w:val="24"/>
          <w:szCs w:val="24"/>
          <w:lang w:val="en-US"/>
        </w:rPr>
        <w:t xml:space="preserve"> - </w:t>
      </w:r>
      <w:r w:rsidRPr="00B8774B">
        <w:rPr>
          <w:rFonts w:ascii="Times New Roman" w:hAnsi="Times New Roman" w:cs="Times New Roman"/>
          <w:b/>
          <w:sz w:val="24"/>
          <w:szCs w:val="24"/>
          <w:lang w:val="en-US"/>
        </w:rPr>
        <w:t>May 8, 2020</w:t>
      </w:r>
    </w:p>
    <w:p w:rsidR="00DA4F73" w:rsidRDefault="00DA4F73" w:rsidP="00DA4F73">
      <w:pPr>
        <w:rPr>
          <w:rFonts w:ascii="Times New Roman" w:hAnsi="Times New Roman" w:cs="Times New Roman"/>
          <w:b/>
          <w:sz w:val="24"/>
          <w:szCs w:val="24"/>
          <w:lang w:val="en-US"/>
        </w:rPr>
      </w:pPr>
      <w:r w:rsidRPr="002432BC">
        <w:rPr>
          <w:rFonts w:ascii="Times New Roman" w:hAnsi="Times New Roman" w:cs="Times New Roman"/>
          <w:b/>
          <w:noProof/>
          <w:sz w:val="24"/>
          <w:szCs w:val="24"/>
          <w:lang w:eastAsia="es-ES"/>
        </w:rPr>
        <w:lastRenderedPageBreak/>
        <w:drawing>
          <wp:inline distT="0" distB="0" distL="0" distR="0" wp14:anchorId="428E70B8" wp14:editId="6D871291">
            <wp:extent cx="5733993" cy="3845859"/>
            <wp:effectExtent l="0" t="0" r="635" b="2540"/>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2"/>
                    <a:stretch>
                      <a:fillRect/>
                    </a:stretch>
                  </pic:blipFill>
                  <pic:spPr>
                    <a:xfrm>
                      <a:off x="0" y="0"/>
                      <a:ext cx="5731510" cy="3844194"/>
                    </a:xfrm>
                    <a:prstGeom prst="rect">
                      <a:avLst/>
                    </a:prstGeom>
                  </pic:spPr>
                </pic:pic>
              </a:graphicData>
            </a:graphic>
          </wp:inline>
        </w:drawing>
      </w:r>
    </w:p>
    <w:tbl>
      <w:tblPr>
        <w:tblW w:w="0" w:type="auto"/>
        <w:tblBorders>
          <w:top w:val="single" w:sz="6" w:space="0" w:color="AAAAAA"/>
          <w:left w:val="single" w:sz="6" w:space="0" w:color="AAAAAA"/>
          <w:bottom w:val="single" w:sz="6" w:space="0" w:color="AAAAAA"/>
          <w:right w:val="single" w:sz="6" w:space="0" w:color="AAAAAA"/>
        </w:tblBorders>
        <w:shd w:val="clear" w:color="auto" w:fill="FFFFFF"/>
        <w:tblCellMar>
          <w:left w:w="0" w:type="dxa"/>
          <w:right w:w="0" w:type="dxa"/>
        </w:tblCellMar>
        <w:tblLook w:val="04A0" w:firstRow="1" w:lastRow="0" w:firstColumn="1" w:lastColumn="0" w:noHBand="0" w:noVBand="1"/>
      </w:tblPr>
      <w:tblGrid>
        <w:gridCol w:w="543"/>
        <w:gridCol w:w="764"/>
      </w:tblGrid>
      <w:tr w:rsidR="00DA4F73" w:rsidRPr="002432BC" w:rsidTr="00C7040B">
        <w:trPr>
          <w:tblHeader/>
        </w:trPr>
        <w:tc>
          <w:tcPr>
            <w:tcW w:w="0" w:type="auto"/>
            <w:tcBorders>
              <w:left w:val="single" w:sz="6" w:space="0" w:color="999999"/>
              <w:bottom w:val="single" w:sz="6" w:space="0" w:color="999999"/>
            </w:tcBorders>
            <w:shd w:val="clear" w:color="auto" w:fill="DDDDDD"/>
            <w:tcMar>
              <w:top w:w="15" w:type="dxa"/>
              <w:left w:w="60" w:type="dxa"/>
              <w:bottom w:w="15" w:type="dxa"/>
              <w:right w:w="60" w:type="dxa"/>
            </w:tcMar>
            <w:vAlign w:val="bottom"/>
            <w:hideMark/>
          </w:tcPr>
          <w:p w:rsidR="00DA4F73" w:rsidRPr="002432BC" w:rsidRDefault="00DA4F73" w:rsidP="00C7040B">
            <w:pPr>
              <w:spacing w:after="0" w:line="293" w:lineRule="atLeast"/>
              <w:jc w:val="center"/>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Year</w:t>
            </w:r>
          </w:p>
        </w:tc>
        <w:tc>
          <w:tcPr>
            <w:tcW w:w="0" w:type="auto"/>
            <w:tcBorders>
              <w:left w:val="single" w:sz="6" w:space="0" w:color="999999"/>
              <w:bottom w:val="single" w:sz="6" w:space="0" w:color="999999"/>
            </w:tcBorders>
            <w:shd w:val="clear" w:color="auto" w:fill="DDDDDD"/>
            <w:tcMar>
              <w:top w:w="15" w:type="dxa"/>
              <w:left w:w="60" w:type="dxa"/>
              <w:bottom w:w="15" w:type="dxa"/>
              <w:right w:w="60" w:type="dxa"/>
            </w:tcMar>
            <w:vAlign w:val="bottom"/>
            <w:hideMark/>
          </w:tcPr>
          <w:p w:rsidR="00DA4F73" w:rsidRPr="002432BC" w:rsidRDefault="00DA4F73" w:rsidP="00C7040B">
            <w:pPr>
              <w:spacing w:after="0" w:line="293" w:lineRule="atLeast"/>
              <w:jc w:val="center"/>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Annual</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1980</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7.1</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1981</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7.6</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1982</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9.7</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1983</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9.6</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1984</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7.5</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1985</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7.2</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1986</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7.0</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1987</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6.2</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1988</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5.5</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1989</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5.3</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1990</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5.6</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1991</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6.8</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1992</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7.5</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1993</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6.9</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1994</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6.1</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1995</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5.6</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1996</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5.4</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1997</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4.9</w:t>
            </w:r>
          </w:p>
        </w:tc>
      </w:tr>
      <w:tr w:rsidR="00DA4F73" w:rsidRPr="002432BC" w:rsidTr="00C7040B">
        <w:tc>
          <w:tcPr>
            <w:tcW w:w="0" w:type="auto"/>
            <w:tcBorders>
              <w:left w:val="single" w:sz="6" w:space="0" w:color="999999"/>
              <w:bottom w:val="single" w:sz="6" w:space="0" w:color="999999"/>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1998</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4.5</w:t>
            </w:r>
          </w:p>
        </w:tc>
      </w:tr>
      <w:tr w:rsidR="00DA4F73" w:rsidRPr="002432BC" w:rsidTr="00C7040B">
        <w:tc>
          <w:tcPr>
            <w:tcW w:w="0" w:type="auto"/>
            <w:tcBorders>
              <w:left w:val="single" w:sz="6" w:space="0" w:color="999999"/>
              <w:bottom w:val="single" w:sz="6" w:space="0" w:color="999999"/>
            </w:tcBorders>
            <w:shd w:val="clear" w:color="auto" w:fill="DBEAFF"/>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1999</w:t>
            </w:r>
          </w:p>
        </w:tc>
        <w:tc>
          <w:tcPr>
            <w:tcW w:w="0" w:type="auto"/>
            <w:tcBorders>
              <w:left w:val="single" w:sz="6" w:space="0" w:color="999999"/>
              <w:bottom w:val="single" w:sz="6" w:space="0" w:color="999999"/>
            </w:tcBorders>
            <w:shd w:val="clear" w:color="auto" w:fill="EEF4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4.2</w:t>
            </w:r>
          </w:p>
        </w:tc>
      </w:tr>
      <w:tr w:rsidR="00DA4F73" w:rsidRPr="002432BC" w:rsidTr="00642E5A">
        <w:trPr>
          <w:trHeight w:val="215"/>
        </w:trPr>
        <w:tc>
          <w:tcPr>
            <w:tcW w:w="0" w:type="auto"/>
            <w:tcBorders>
              <w:top w:val="single" w:sz="6" w:space="0" w:color="999999"/>
              <w:left w:val="single" w:sz="6" w:space="0" w:color="999999"/>
              <w:bottom w:val="single" w:sz="4" w:space="0" w:color="auto"/>
            </w:tcBorders>
            <w:shd w:val="clear" w:color="auto" w:fill="EEEEEE"/>
            <w:noWrap/>
            <w:tcMar>
              <w:top w:w="15" w:type="dxa"/>
              <w:left w:w="60" w:type="dxa"/>
              <w:bottom w:w="15" w:type="dxa"/>
              <w:right w:w="60" w:type="dxa"/>
            </w:tcMar>
            <w:vAlign w:val="center"/>
            <w:hideMark/>
          </w:tcPr>
          <w:p w:rsidR="00DA4F73" w:rsidRPr="002432BC" w:rsidRDefault="00DA4F73" w:rsidP="00C7040B">
            <w:pPr>
              <w:spacing w:after="0" w:line="293" w:lineRule="atLeast"/>
              <w:rPr>
                <w:rFonts w:ascii="Arial" w:eastAsia="Times New Roman" w:hAnsi="Arial" w:cs="Arial"/>
                <w:b/>
                <w:bCs/>
                <w:color w:val="000000"/>
                <w:sz w:val="19"/>
                <w:szCs w:val="19"/>
                <w:lang w:eastAsia="es-ES"/>
              </w:rPr>
            </w:pPr>
            <w:r w:rsidRPr="002432BC">
              <w:rPr>
                <w:rFonts w:ascii="Arial" w:eastAsia="Times New Roman" w:hAnsi="Arial" w:cs="Arial"/>
                <w:b/>
                <w:bCs/>
                <w:color w:val="000000"/>
                <w:sz w:val="19"/>
                <w:szCs w:val="19"/>
                <w:lang w:eastAsia="es-ES"/>
              </w:rPr>
              <w:t>2000</w:t>
            </w:r>
          </w:p>
        </w:tc>
        <w:tc>
          <w:tcPr>
            <w:tcW w:w="0" w:type="auto"/>
            <w:tcBorders>
              <w:left w:val="single" w:sz="6" w:space="0" w:color="999999"/>
              <w:bottom w:val="single" w:sz="6" w:space="0" w:color="999999"/>
            </w:tcBorders>
            <w:shd w:val="clear" w:color="auto" w:fill="FFFFFF"/>
            <w:noWrap/>
            <w:tcMar>
              <w:top w:w="15" w:type="dxa"/>
              <w:left w:w="60" w:type="dxa"/>
              <w:bottom w:w="15" w:type="dxa"/>
              <w:right w:w="60" w:type="dxa"/>
            </w:tcMar>
            <w:vAlign w:val="center"/>
            <w:hideMark/>
          </w:tcPr>
          <w:p w:rsidR="00DA4F73" w:rsidRPr="002432BC" w:rsidRDefault="00DA4F73" w:rsidP="00C7040B">
            <w:pPr>
              <w:spacing w:after="0" w:line="293" w:lineRule="atLeast"/>
              <w:jc w:val="right"/>
              <w:rPr>
                <w:rFonts w:ascii="Arial" w:eastAsia="Times New Roman" w:hAnsi="Arial" w:cs="Arial"/>
                <w:color w:val="000000"/>
                <w:sz w:val="19"/>
                <w:szCs w:val="19"/>
                <w:lang w:eastAsia="es-ES"/>
              </w:rPr>
            </w:pPr>
            <w:r w:rsidRPr="002432BC">
              <w:rPr>
                <w:rFonts w:ascii="Arial" w:eastAsia="Times New Roman" w:hAnsi="Arial" w:cs="Arial"/>
                <w:color w:val="000000"/>
                <w:sz w:val="19"/>
                <w:szCs w:val="19"/>
                <w:lang w:eastAsia="es-ES"/>
              </w:rPr>
              <w:t>4.0</w:t>
            </w:r>
          </w:p>
        </w:tc>
      </w:tr>
    </w:tbl>
    <w:p w:rsidR="00642E5A" w:rsidRDefault="00642E5A" w:rsidP="00642E5A">
      <w:pPr>
        <w:rPr>
          <w:rFonts w:ascii="Times New Roman" w:hAnsi="Times New Roman" w:cs="Times New Roman"/>
          <w:b/>
          <w:sz w:val="24"/>
          <w:szCs w:val="24"/>
          <w:lang w:val="en-US"/>
        </w:rPr>
      </w:pPr>
      <w:r w:rsidRPr="00B8774B">
        <w:rPr>
          <w:rFonts w:ascii="Times New Roman" w:hAnsi="Times New Roman" w:cs="Times New Roman"/>
          <w:b/>
          <w:sz w:val="24"/>
          <w:szCs w:val="24"/>
          <w:lang w:val="en-US"/>
        </w:rPr>
        <w:t>U.S. Bureau of Labor Statistics</w:t>
      </w:r>
      <w:r>
        <w:rPr>
          <w:rFonts w:ascii="Times New Roman" w:hAnsi="Times New Roman" w:cs="Times New Roman"/>
          <w:b/>
          <w:sz w:val="24"/>
          <w:szCs w:val="24"/>
          <w:lang w:val="en-US"/>
        </w:rPr>
        <w:t xml:space="preserve"> - </w:t>
      </w:r>
      <w:r w:rsidRPr="00B8774B">
        <w:rPr>
          <w:rFonts w:ascii="Times New Roman" w:hAnsi="Times New Roman" w:cs="Times New Roman"/>
          <w:b/>
          <w:sz w:val="24"/>
          <w:szCs w:val="24"/>
          <w:lang w:val="en-US"/>
        </w:rPr>
        <w:t>May 8, 2020</w:t>
      </w:r>
    </w:p>
    <w:p w:rsidR="00DA4F73" w:rsidRDefault="00DA4F73" w:rsidP="00DA4F73">
      <w:pPr>
        <w:spacing w:line="240" w:lineRule="auto"/>
        <w:jc w:val="both"/>
        <w:rPr>
          <w:rFonts w:ascii="Times New Roman" w:hAnsi="Times New Roman" w:cs="Times New Roman"/>
          <w:b/>
          <w:sz w:val="24"/>
          <w:szCs w:val="24"/>
          <w:lang w:val="en-US"/>
        </w:rPr>
      </w:pPr>
    </w:p>
    <w:p w:rsidR="00DA4F73" w:rsidRDefault="00DA4F73" w:rsidP="00DA4F73">
      <w:pPr>
        <w:spacing w:line="240" w:lineRule="auto"/>
        <w:jc w:val="both"/>
        <w:rPr>
          <w:rFonts w:ascii="Times New Roman" w:hAnsi="Times New Roman" w:cs="Times New Roman"/>
          <w:b/>
          <w:sz w:val="24"/>
          <w:szCs w:val="24"/>
          <w:lang w:val="en-US"/>
        </w:rPr>
      </w:pPr>
    </w:p>
    <w:p w:rsidR="00DA4F73" w:rsidRDefault="00DA4F73" w:rsidP="00DA4F73">
      <w:pPr>
        <w:spacing w:line="240" w:lineRule="auto"/>
        <w:jc w:val="both"/>
        <w:rPr>
          <w:rFonts w:ascii="Times New Roman" w:hAnsi="Times New Roman" w:cs="Times New Roman"/>
          <w:b/>
          <w:sz w:val="24"/>
          <w:szCs w:val="24"/>
          <w:lang w:val="en-US"/>
        </w:rPr>
      </w:pPr>
      <w:r w:rsidRPr="008746F1">
        <w:rPr>
          <w:rFonts w:ascii="Times New Roman" w:hAnsi="Times New Roman" w:cs="Times New Roman"/>
          <w:b/>
          <w:noProof/>
          <w:sz w:val="24"/>
          <w:szCs w:val="24"/>
          <w:lang w:eastAsia="es-ES"/>
        </w:rPr>
        <w:drawing>
          <wp:inline distT="0" distB="0" distL="0" distR="0" wp14:anchorId="78E909A7" wp14:editId="1F24522B">
            <wp:extent cx="5728622" cy="3143250"/>
            <wp:effectExtent l="0" t="0" r="5715"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3"/>
                    <a:stretch>
                      <a:fillRect/>
                    </a:stretch>
                  </pic:blipFill>
                  <pic:spPr>
                    <a:xfrm>
                      <a:off x="0" y="0"/>
                      <a:ext cx="5731510" cy="3144835"/>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lang w:val="en-US"/>
        </w:rPr>
      </w:pPr>
    </w:p>
    <w:p w:rsidR="00DA4F73" w:rsidRDefault="00DA4F73" w:rsidP="00DA4F73">
      <w:pPr>
        <w:spacing w:line="240" w:lineRule="auto"/>
        <w:jc w:val="both"/>
        <w:rPr>
          <w:rFonts w:ascii="Times New Roman" w:hAnsi="Times New Roman" w:cs="Times New Roman"/>
          <w:b/>
          <w:sz w:val="24"/>
          <w:szCs w:val="24"/>
          <w:lang w:val="en-US"/>
        </w:rPr>
      </w:pPr>
      <w:r w:rsidRPr="008746F1">
        <w:rPr>
          <w:rFonts w:ascii="Times New Roman" w:hAnsi="Times New Roman" w:cs="Times New Roman"/>
          <w:b/>
          <w:noProof/>
          <w:sz w:val="24"/>
          <w:szCs w:val="24"/>
          <w:lang w:eastAsia="es-ES"/>
        </w:rPr>
        <w:drawing>
          <wp:inline distT="0" distB="0" distL="0" distR="0" wp14:anchorId="4F70F0E5" wp14:editId="3AD660A7">
            <wp:extent cx="5732640" cy="4216400"/>
            <wp:effectExtent l="0" t="0" r="1905"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4"/>
                    <a:stretch>
                      <a:fillRect/>
                    </a:stretch>
                  </pic:blipFill>
                  <pic:spPr>
                    <a:xfrm>
                      <a:off x="0" y="0"/>
                      <a:ext cx="5731510" cy="4215569"/>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b/>
          <w:sz w:val="24"/>
          <w:szCs w:val="24"/>
          <w:lang w:val="en-US"/>
        </w:rPr>
      </w:pPr>
    </w:p>
    <w:p w:rsidR="00DA4F73" w:rsidRPr="002432BC" w:rsidRDefault="00DA4F73" w:rsidP="00DA4F73">
      <w:pPr>
        <w:spacing w:line="240" w:lineRule="auto"/>
        <w:jc w:val="both"/>
        <w:rPr>
          <w:rFonts w:ascii="Times New Roman" w:hAnsi="Times New Roman" w:cs="Times New Roman"/>
          <w:b/>
          <w:sz w:val="24"/>
          <w:szCs w:val="24"/>
          <w:lang w:val="en-US"/>
        </w:rPr>
      </w:pPr>
      <w:r w:rsidRPr="002432BC">
        <w:rPr>
          <w:rFonts w:ascii="Times New Roman" w:hAnsi="Times New Roman" w:cs="Times New Roman"/>
          <w:b/>
          <w:sz w:val="24"/>
          <w:szCs w:val="24"/>
          <w:lang w:val="en-US"/>
        </w:rPr>
        <w:lastRenderedPageBreak/>
        <w:t>Establishment survey: How did the pandemic response impact April employment, hours, and</w:t>
      </w:r>
      <w:r>
        <w:rPr>
          <w:rFonts w:ascii="Times New Roman" w:hAnsi="Times New Roman" w:cs="Times New Roman"/>
          <w:b/>
          <w:sz w:val="24"/>
          <w:szCs w:val="24"/>
          <w:lang w:val="en-US"/>
        </w:rPr>
        <w:t xml:space="preserve"> </w:t>
      </w:r>
      <w:r w:rsidRPr="002432BC">
        <w:rPr>
          <w:rFonts w:ascii="Times New Roman" w:hAnsi="Times New Roman" w:cs="Times New Roman"/>
          <w:b/>
          <w:sz w:val="24"/>
          <w:szCs w:val="24"/>
          <w:lang w:val="en-US"/>
        </w:rPr>
        <w:t>earnings estimates?</w:t>
      </w:r>
    </w:p>
    <w:p w:rsidR="00DA4F73" w:rsidRDefault="00DA4F73" w:rsidP="00DA4F73">
      <w:pPr>
        <w:spacing w:line="240" w:lineRule="auto"/>
        <w:jc w:val="both"/>
        <w:rPr>
          <w:rFonts w:ascii="Times New Roman" w:hAnsi="Times New Roman" w:cs="Times New Roman"/>
          <w:sz w:val="24"/>
          <w:szCs w:val="24"/>
          <w:lang w:val="en-US"/>
        </w:rPr>
      </w:pPr>
      <w:r w:rsidRPr="002432BC">
        <w:rPr>
          <w:rFonts w:ascii="Times New Roman" w:hAnsi="Times New Roman" w:cs="Times New Roman"/>
          <w:sz w:val="24"/>
          <w:szCs w:val="24"/>
          <w:lang w:val="en-US"/>
        </w:rPr>
        <w:t>As highlighted in The Employment Situation news release, total non</w:t>
      </w:r>
      <w:r>
        <w:rPr>
          <w:rFonts w:ascii="Times New Roman" w:hAnsi="Times New Roman" w:cs="Times New Roman"/>
          <w:sz w:val="24"/>
          <w:szCs w:val="24"/>
          <w:lang w:val="en-US"/>
        </w:rPr>
        <w:t xml:space="preserve">farm payroll employment fell by </w:t>
      </w:r>
      <w:r w:rsidR="008B0EFC">
        <w:rPr>
          <w:rFonts w:ascii="Times New Roman" w:hAnsi="Times New Roman" w:cs="Times New Roman"/>
          <w:sz w:val="24"/>
          <w:szCs w:val="24"/>
          <w:lang w:val="en-US"/>
        </w:rPr>
        <w:t>20,</w:t>
      </w:r>
      <w:r w:rsidRPr="002432BC">
        <w:rPr>
          <w:rFonts w:ascii="Times New Roman" w:hAnsi="Times New Roman" w:cs="Times New Roman"/>
          <w:sz w:val="24"/>
          <w:szCs w:val="24"/>
          <w:lang w:val="en-US"/>
        </w:rPr>
        <w:t>5 million i</w:t>
      </w:r>
      <w:r w:rsidR="008B0EFC">
        <w:rPr>
          <w:rFonts w:ascii="Times New Roman" w:hAnsi="Times New Roman" w:cs="Times New Roman"/>
          <w:sz w:val="24"/>
          <w:szCs w:val="24"/>
          <w:lang w:val="en-US"/>
        </w:rPr>
        <w:t>n April, after declining by 881.</w:t>
      </w:r>
      <w:r w:rsidRPr="002432BC">
        <w:rPr>
          <w:rFonts w:ascii="Times New Roman" w:hAnsi="Times New Roman" w:cs="Times New Roman"/>
          <w:sz w:val="24"/>
          <w:szCs w:val="24"/>
          <w:lang w:val="en-US"/>
        </w:rPr>
        <w:t>000 in March. Over the</w:t>
      </w:r>
      <w:r>
        <w:rPr>
          <w:rFonts w:ascii="Times New Roman" w:hAnsi="Times New Roman" w:cs="Times New Roman"/>
          <w:sz w:val="24"/>
          <w:szCs w:val="24"/>
          <w:lang w:val="en-US"/>
        </w:rPr>
        <w:t xml:space="preserve"> two months, payroll employment </w:t>
      </w:r>
      <w:r w:rsidRPr="002432BC">
        <w:rPr>
          <w:rFonts w:ascii="Times New Roman" w:hAnsi="Times New Roman" w:cs="Times New Roman"/>
          <w:sz w:val="24"/>
          <w:szCs w:val="24"/>
          <w:lang w:val="en-US"/>
        </w:rPr>
        <w:t>fell by 14 percent, reflecting the effects of the coronavirus and efforts to contain it. The April over-themonth decline is the largest in the history of the series and brought emplo</w:t>
      </w:r>
      <w:r>
        <w:rPr>
          <w:rFonts w:ascii="Times New Roman" w:hAnsi="Times New Roman" w:cs="Times New Roman"/>
          <w:sz w:val="24"/>
          <w:szCs w:val="24"/>
          <w:lang w:val="en-US"/>
        </w:rPr>
        <w:t xml:space="preserve">yment to its lowest level since </w:t>
      </w:r>
      <w:r w:rsidRPr="002432BC">
        <w:rPr>
          <w:rFonts w:ascii="Times New Roman" w:hAnsi="Times New Roman" w:cs="Times New Roman"/>
          <w:sz w:val="24"/>
          <w:szCs w:val="24"/>
          <w:lang w:val="en-US"/>
        </w:rPr>
        <w:t>January 2011 (the series dates back to 1939). Job losses were w</w:t>
      </w:r>
      <w:r>
        <w:rPr>
          <w:rFonts w:ascii="Times New Roman" w:hAnsi="Times New Roman" w:cs="Times New Roman"/>
          <w:sz w:val="24"/>
          <w:szCs w:val="24"/>
          <w:lang w:val="en-US"/>
        </w:rPr>
        <w:t xml:space="preserve">idespread in April. The largest </w:t>
      </w:r>
      <w:r w:rsidRPr="002432BC">
        <w:rPr>
          <w:rFonts w:ascii="Times New Roman" w:hAnsi="Times New Roman" w:cs="Times New Roman"/>
          <w:sz w:val="24"/>
          <w:szCs w:val="24"/>
          <w:lang w:val="en-US"/>
        </w:rPr>
        <w:t>employment decline occurred in leisure and hospitality, where empl</w:t>
      </w:r>
      <w:r w:rsidR="008B0EFC">
        <w:rPr>
          <w:rFonts w:ascii="Times New Roman" w:hAnsi="Times New Roman" w:cs="Times New Roman"/>
          <w:sz w:val="24"/>
          <w:szCs w:val="24"/>
          <w:lang w:val="en-US"/>
        </w:rPr>
        <w:t>oyment plummeted by 7,</w:t>
      </w:r>
      <w:r>
        <w:rPr>
          <w:rFonts w:ascii="Times New Roman" w:hAnsi="Times New Roman" w:cs="Times New Roman"/>
          <w:sz w:val="24"/>
          <w:szCs w:val="24"/>
          <w:lang w:val="en-US"/>
        </w:rPr>
        <w:t xml:space="preserve">7 million </w:t>
      </w:r>
      <w:r w:rsidRPr="002432BC">
        <w:rPr>
          <w:rFonts w:ascii="Times New Roman" w:hAnsi="Times New Roman" w:cs="Times New Roman"/>
          <w:sz w:val="24"/>
          <w:szCs w:val="24"/>
          <w:lang w:val="en-US"/>
        </w:rPr>
        <w:t>over the month, or 47 percent. (See table A.)</w:t>
      </w:r>
    </w:p>
    <w:p w:rsidR="00DA4F73" w:rsidRDefault="00DA4F73" w:rsidP="00DA4F73">
      <w:pPr>
        <w:spacing w:line="240" w:lineRule="auto"/>
        <w:jc w:val="both"/>
        <w:rPr>
          <w:rFonts w:ascii="Times New Roman" w:hAnsi="Times New Roman" w:cs="Times New Roman"/>
          <w:sz w:val="24"/>
          <w:szCs w:val="24"/>
          <w:lang w:val="en-US"/>
        </w:rPr>
      </w:pPr>
      <w:r w:rsidRPr="002432BC">
        <w:rPr>
          <w:rFonts w:ascii="Times New Roman" w:hAnsi="Times New Roman" w:cs="Times New Roman"/>
          <w:noProof/>
          <w:sz w:val="24"/>
          <w:szCs w:val="24"/>
          <w:lang w:eastAsia="es-ES"/>
        </w:rPr>
        <w:drawing>
          <wp:inline distT="0" distB="0" distL="0" distR="0" wp14:anchorId="4D46A9E1" wp14:editId="2AEFF3F5">
            <wp:extent cx="5306166" cy="6620799"/>
            <wp:effectExtent l="0" t="0" r="8890" b="8890"/>
            <wp:docPr id="268"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5"/>
                    <a:stretch>
                      <a:fillRect/>
                    </a:stretch>
                  </pic:blipFill>
                  <pic:spPr>
                    <a:xfrm>
                      <a:off x="0" y="0"/>
                      <a:ext cx="5306166" cy="6620799"/>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sz w:val="24"/>
          <w:szCs w:val="24"/>
          <w:lang w:val="en-US"/>
        </w:rPr>
      </w:pPr>
      <w:r w:rsidRPr="00B8774B">
        <w:rPr>
          <w:rFonts w:ascii="Times New Roman" w:hAnsi="Times New Roman" w:cs="Times New Roman"/>
          <w:noProof/>
          <w:sz w:val="24"/>
          <w:szCs w:val="24"/>
          <w:lang w:eastAsia="es-ES"/>
        </w:rPr>
        <w:lastRenderedPageBreak/>
        <w:drawing>
          <wp:inline distT="0" distB="0" distL="0" distR="0" wp14:anchorId="526EC1F7" wp14:editId="7E13F0E6">
            <wp:extent cx="5731510" cy="6544086"/>
            <wp:effectExtent l="0" t="0" r="2540" b="9525"/>
            <wp:docPr id="269" name="Imagen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6"/>
                    <a:stretch>
                      <a:fillRect/>
                    </a:stretch>
                  </pic:blipFill>
                  <pic:spPr>
                    <a:xfrm>
                      <a:off x="0" y="0"/>
                      <a:ext cx="5731510" cy="6544086"/>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sz w:val="24"/>
          <w:szCs w:val="24"/>
          <w:lang w:val="en-US"/>
        </w:rPr>
      </w:pPr>
      <w:r w:rsidRPr="00B8774B">
        <w:rPr>
          <w:rFonts w:ascii="Times New Roman" w:hAnsi="Times New Roman" w:cs="Times New Roman"/>
          <w:noProof/>
          <w:sz w:val="24"/>
          <w:szCs w:val="24"/>
          <w:lang w:eastAsia="es-ES"/>
        </w:rPr>
        <w:drawing>
          <wp:inline distT="0" distB="0" distL="0" distR="0" wp14:anchorId="5E0DB564" wp14:editId="4EF4B7AF">
            <wp:extent cx="5731510" cy="1876570"/>
            <wp:effectExtent l="0" t="0" r="2540" b="9525"/>
            <wp:docPr id="270" name="Imagen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7"/>
                    <a:stretch>
                      <a:fillRect/>
                    </a:stretch>
                  </pic:blipFill>
                  <pic:spPr>
                    <a:xfrm>
                      <a:off x="0" y="0"/>
                      <a:ext cx="5731510" cy="1876570"/>
                    </a:xfrm>
                    <a:prstGeom prst="rect">
                      <a:avLst/>
                    </a:prstGeom>
                  </pic:spPr>
                </pic:pic>
              </a:graphicData>
            </a:graphic>
          </wp:inline>
        </w:drawing>
      </w:r>
    </w:p>
    <w:p w:rsidR="00DA4F73" w:rsidRDefault="00DA4F73" w:rsidP="00DA4F73">
      <w:pPr>
        <w:spacing w:line="240" w:lineRule="auto"/>
        <w:jc w:val="both"/>
        <w:rPr>
          <w:rFonts w:ascii="Times New Roman" w:hAnsi="Times New Roman" w:cs="Times New Roman"/>
          <w:sz w:val="24"/>
          <w:szCs w:val="24"/>
          <w:lang w:val="en-US"/>
        </w:rPr>
        <w:sectPr w:rsidR="00DA4F73" w:rsidSect="00C7040B">
          <w:pgSz w:w="11906" w:h="16838"/>
          <w:pgMar w:top="1440" w:right="1440" w:bottom="1440" w:left="1440" w:header="709" w:footer="709" w:gutter="0"/>
          <w:cols w:space="708"/>
          <w:docGrid w:linePitch="360"/>
        </w:sectPr>
      </w:pPr>
    </w:p>
    <w:p w:rsidR="00DA4F73" w:rsidRDefault="00DA4F73" w:rsidP="00DA4F73">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US</w:t>
      </w:r>
      <w:r w:rsidRPr="00D63134">
        <w:rPr>
          <w:rFonts w:ascii="Times New Roman" w:hAnsi="Times New Roman" w:cs="Times New Roman"/>
          <w:b/>
          <w:sz w:val="24"/>
          <w:szCs w:val="24"/>
          <w:lang w:val="en-US"/>
        </w:rPr>
        <w:t xml:space="preserve"> Census Bureau</w:t>
      </w:r>
    </w:p>
    <w:p w:rsidR="00FE130B" w:rsidRDefault="00DA4F73" w:rsidP="00DA4F73">
      <w:pPr>
        <w:rPr>
          <w:rFonts w:ascii="Times New Roman" w:hAnsi="Times New Roman" w:cs="Times New Roman"/>
          <w:b/>
          <w:sz w:val="24"/>
          <w:szCs w:val="24"/>
          <w:lang w:val="en-US"/>
        </w:rPr>
      </w:pPr>
      <w:r w:rsidRPr="00D63134">
        <w:rPr>
          <w:rFonts w:ascii="Times New Roman" w:hAnsi="Times New Roman" w:cs="Times New Roman"/>
          <w:b/>
          <w:noProof/>
          <w:sz w:val="24"/>
          <w:szCs w:val="24"/>
          <w:lang w:eastAsia="es-ES"/>
        </w:rPr>
        <w:drawing>
          <wp:inline distT="0" distB="0" distL="0" distR="0" wp14:anchorId="5C1495EA" wp14:editId="1CC813CB">
            <wp:extent cx="7698441" cy="2743200"/>
            <wp:effectExtent l="0" t="0" r="0" b="0"/>
            <wp:docPr id="275" name="Imagen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8"/>
                    <a:stretch>
                      <a:fillRect/>
                    </a:stretch>
                  </pic:blipFill>
                  <pic:spPr>
                    <a:xfrm>
                      <a:off x="0" y="0"/>
                      <a:ext cx="7698441" cy="2743200"/>
                    </a:xfrm>
                    <a:prstGeom prst="rect">
                      <a:avLst/>
                    </a:prstGeom>
                  </pic:spPr>
                </pic:pic>
              </a:graphicData>
            </a:graphic>
          </wp:inline>
        </w:drawing>
      </w:r>
      <w:r w:rsidRPr="00D63134">
        <w:rPr>
          <w:rFonts w:ascii="Times New Roman" w:hAnsi="Times New Roman" w:cs="Times New Roman"/>
          <w:b/>
          <w:noProof/>
          <w:sz w:val="24"/>
          <w:szCs w:val="24"/>
          <w:lang w:eastAsia="es-ES"/>
        </w:rPr>
        <w:drawing>
          <wp:inline distT="0" distB="0" distL="0" distR="0" wp14:anchorId="42AC07CC" wp14:editId="5CB3E7A9">
            <wp:extent cx="7698441" cy="2615453"/>
            <wp:effectExtent l="0" t="0" r="0" b="0"/>
            <wp:docPr id="276" name="Imagen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9"/>
                    <a:stretch>
                      <a:fillRect/>
                    </a:stretch>
                  </pic:blipFill>
                  <pic:spPr>
                    <a:xfrm>
                      <a:off x="0" y="0"/>
                      <a:ext cx="7698441" cy="2615453"/>
                    </a:xfrm>
                    <a:prstGeom prst="rect">
                      <a:avLst/>
                    </a:prstGeom>
                  </pic:spPr>
                </pic:pic>
              </a:graphicData>
            </a:graphic>
          </wp:inline>
        </w:drawing>
      </w:r>
    </w:p>
    <w:p w:rsidR="00DA4F73" w:rsidRDefault="00DA4F73" w:rsidP="00DA4F73">
      <w:pPr>
        <w:rPr>
          <w:rFonts w:ascii="Times New Roman" w:hAnsi="Times New Roman" w:cs="Times New Roman"/>
          <w:b/>
          <w:sz w:val="24"/>
          <w:szCs w:val="24"/>
          <w:lang w:val="en-US"/>
        </w:rPr>
      </w:pPr>
      <w:r w:rsidRPr="00D63134">
        <w:rPr>
          <w:rFonts w:ascii="Times New Roman" w:hAnsi="Times New Roman" w:cs="Times New Roman"/>
          <w:b/>
          <w:noProof/>
          <w:sz w:val="24"/>
          <w:szCs w:val="24"/>
          <w:lang w:eastAsia="es-ES"/>
        </w:rPr>
        <w:lastRenderedPageBreak/>
        <w:drawing>
          <wp:inline distT="0" distB="0" distL="0" distR="0" wp14:anchorId="7CCB3454" wp14:editId="1AA376F9">
            <wp:extent cx="7799294" cy="2850776"/>
            <wp:effectExtent l="0" t="0" r="0" b="6985"/>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0"/>
                    <a:stretch>
                      <a:fillRect/>
                    </a:stretch>
                  </pic:blipFill>
                  <pic:spPr>
                    <a:xfrm>
                      <a:off x="0" y="0"/>
                      <a:ext cx="7807960" cy="2853944"/>
                    </a:xfrm>
                    <a:prstGeom prst="rect">
                      <a:avLst/>
                    </a:prstGeom>
                  </pic:spPr>
                </pic:pic>
              </a:graphicData>
            </a:graphic>
          </wp:inline>
        </w:drawing>
      </w:r>
    </w:p>
    <w:p w:rsidR="0073604C" w:rsidRDefault="0073604C" w:rsidP="00DA4F73">
      <w:pPr>
        <w:rPr>
          <w:rFonts w:ascii="Times New Roman" w:hAnsi="Times New Roman" w:cs="Times New Roman"/>
          <w:b/>
          <w:sz w:val="24"/>
          <w:szCs w:val="24"/>
          <w:lang w:val="en-US"/>
        </w:rPr>
        <w:sectPr w:rsidR="0073604C" w:rsidSect="00C7040B">
          <w:pgSz w:w="16838" w:h="11906" w:orient="landscape"/>
          <w:pgMar w:top="1440" w:right="1440" w:bottom="1440" w:left="1440" w:header="709" w:footer="709" w:gutter="0"/>
          <w:cols w:space="708"/>
          <w:docGrid w:linePitch="360"/>
        </w:sectPr>
      </w:pPr>
      <w:r w:rsidRPr="00A7265B">
        <w:rPr>
          <w:rFonts w:ascii="Times New Roman" w:hAnsi="Times New Roman" w:cs="Times New Roman"/>
          <w:b/>
          <w:noProof/>
          <w:sz w:val="24"/>
          <w:szCs w:val="24"/>
          <w:lang w:eastAsia="es-ES"/>
        </w:rPr>
        <w:drawing>
          <wp:inline distT="0" distB="0" distL="0" distR="0" wp14:anchorId="16580C93" wp14:editId="4AE72A36">
            <wp:extent cx="7799294" cy="2689412"/>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7799294" cy="2689412"/>
                    </a:xfrm>
                    <a:prstGeom prst="rect">
                      <a:avLst/>
                    </a:prstGeom>
                  </pic:spPr>
                </pic:pic>
              </a:graphicData>
            </a:graphic>
          </wp:inline>
        </w:drawing>
      </w:r>
    </w:p>
    <w:p w:rsidR="0073604C" w:rsidRPr="00FE130B" w:rsidRDefault="0073604C" w:rsidP="0073604C">
      <w:pPr>
        <w:pStyle w:val="NormalWeb"/>
        <w:shd w:val="clear" w:color="auto" w:fill="FFFFFF"/>
        <w:jc w:val="both"/>
        <w:rPr>
          <w:b/>
        </w:rPr>
      </w:pPr>
      <w:r w:rsidRPr="00FE130B">
        <w:rPr>
          <w:rFonts w:eastAsiaTheme="minorHAnsi"/>
          <w:lang w:eastAsia="en-US"/>
        </w:rPr>
        <w:lastRenderedPageBreak/>
        <w:t xml:space="preserve">- </w:t>
      </w:r>
      <w:r w:rsidRPr="00FE130B">
        <w:rPr>
          <w:b/>
        </w:rPr>
        <w:t>Helicopter Money (rescate a la banca - monetización de la deuda)</w:t>
      </w:r>
    </w:p>
    <w:p w:rsidR="0073604C" w:rsidRPr="00923BA7" w:rsidRDefault="0073604C" w:rsidP="0073604C">
      <w:pPr>
        <w:pStyle w:val="NormalWeb"/>
        <w:shd w:val="clear" w:color="auto" w:fill="FFFFFF"/>
        <w:jc w:val="both"/>
        <w:rPr>
          <w:color w:val="000000"/>
          <w:lang w:val="en-US"/>
        </w:rPr>
      </w:pPr>
      <w:r>
        <w:rPr>
          <w:noProof/>
        </w:rPr>
        <w:drawing>
          <wp:inline distT="0" distB="0" distL="0" distR="0" wp14:anchorId="56C9542D" wp14:editId="04AF3597">
            <wp:extent cx="5634318" cy="3341594"/>
            <wp:effectExtent l="0" t="0" r="5080" b="0"/>
            <wp:docPr id="26" name="Imagen 26" descr="Ver imagen en Tw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er imagen en Twitter"/>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5632514" cy="3340524"/>
                    </a:xfrm>
                    <a:prstGeom prst="rect">
                      <a:avLst/>
                    </a:prstGeom>
                    <a:noFill/>
                    <a:ln>
                      <a:noFill/>
                    </a:ln>
                  </pic:spPr>
                </pic:pic>
              </a:graphicData>
            </a:graphic>
          </wp:inline>
        </w:drawing>
      </w:r>
    </w:p>
    <w:p w:rsidR="0073604C" w:rsidRDefault="0073604C" w:rsidP="0073604C">
      <w:pPr>
        <w:pStyle w:val="NormalWeb"/>
        <w:shd w:val="clear" w:color="auto" w:fill="FFFFFF"/>
        <w:jc w:val="both"/>
        <w:rPr>
          <w:b/>
          <w:color w:val="FF0000"/>
        </w:rPr>
      </w:pPr>
      <w:r w:rsidRPr="00FA170A">
        <w:rPr>
          <w:b/>
          <w:noProof/>
          <w:color w:val="FF0000"/>
        </w:rPr>
        <w:drawing>
          <wp:inline distT="0" distB="0" distL="0" distR="0" wp14:anchorId="50A7A344" wp14:editId="4A2F577F">
            <wp:extent cx="5706687" cy="4659406"/>
            <wp:effectExtent l="0" t="0" r="8890" b="825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2"/>
                    <a:stretch>
                      <a:fillRect/>
                    </a:stretch>
                  </pic:blipFill>
                  <pic:spPr>
                    <a:xfrm>
                      <a:off x="0" y="0"/>
                      <a:ext cx="5706272" cy="4659067"/>
                    </a:xfrm>
                    <a:prstGeom prst="rect">
                      <a:avLst/>
                    </a:prstGeom>
                  </pic:spPr>
                </pic:pic>
              </a:graphicData>
            </a:graphic>
          </wp:inline>
        </w:drawing>
      </w:r>
    </w:p>
    <w:p w:rsidR="0073604C" w:rsidRDefault="0073604C" w:rsidP="0073604C">
      <w:pPr>
        <w:pStyle w:val="NormalWeb"/>
        <w:shd w:val="clear" w:color="auto" w:fill="FFFFFF"/>
        <w:jc w:val="both"/>
        <w:rPr>
          <w:b/>
          <w:color w:val="FF0000"/>
        </w:rPr>
      </w:pPr>
      <w:r w:rsidRPr="00FA170A">
        <w:rPr>
          <w:b/>
          <w:noProof/>
          <w:color w:val="FF0000"/>
        </w:rPr>
        <w:lastRenderedPageBreak/>
        <w:drawing>
          <wp:inline distT="0" distB="0" distL="0" distR="0" wp14:anchorId="153C7D47" wp14:editId="4C9ED3F9">
            <wp:extent cx="5580528" cy="2198594"/>
            <wp:effectExtent l="0" t="0" r="127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3"/>
                    <a:stretch>
                      <a:fillRect/>
                    </a:stretch>
                  </pic:blipFill>
                  <pic:spPr>
                    <a:xfrm>
                      <a:off x="0" y="0"/>
                      <a:ext cx="5582429" cy="2199343"/>
                    </a:xfrm>
                    <a:prstGeom prst="rect">
                      <a:avLst/>
                    </a:prstGeom>
                  </pic:spPr>
                </pic:pic>
              </a:graphicData>
            </a:graphic>
          </wp:inline>
        </w:drawing>
      </w:r>
    </w:p>
    <w:p w:rsidR="0073604C" w:rsidRDefault="0073604C" w:rsidP="0073604C">
      <w:pPr>
        <w:pStyle w:val="NormalWeb"/>
        <w:shd w:val="clear" w:color="auto" w:fill="FFFFFF"/>
        <w:jc w:val="both"/>
        <w:rPr>
          <w:b/>
          <w:color w:val="FF0000"/>
        </w:rPr>
      </w:pPr>
      <w:r w:rsidRPr="00FA170A">
        <w:rPr>
          <w:b/>
          <w:noProof/>
          <w:color w:val="FF0000"/>
        </w:rPr>
        <w:drawing>
          <wp:inline distT="0" distB="0" distL="0" distR="0" wp14:anchorId="0436E6BB" wp14:editId="493E3D4B">
            <wp:extent cx="5540185" cy="2212041"/>
            <wp:effectExtent l="0" t="0" r="381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4"/>
                    <a:stretch>
                      <a:fillRect/>
                    </a:stretch>
                  </pic:blipFill>
                  <pic:spPr>
                    <a:xfrm>
                      <a:off x="0" y="0"/>
                      <a:ext cx="5534798" cy="2209890"/>
                    </a:xfrm>
                    <a:prstGeom prst="rect">
                      <a:avLst/>
                    </a:prstGeom>
                  </pic:spPr>
                </pic:pic>
              </a:graphicData>
            </a:graphic>
          </wp:inline>
        </w:drawing>
      </w:r>
    </w:p>
    <w:p w:rsidR="0073604C" w:rsidRPr="00897B8A" w:rsidRDefault="0073604C" w:rsidP="0073604C">
      <w:pPr>
        <w:pStyle w:val="NormalWeb"/>
        <w:shd w:val="clear" w:color="auto" w:fill="FFFFFF"/>
        <w:jc w:val="both"/>
        <w:rPr>
          <w:b/>
        </w:rPr>
      </w:pPr>
      <w:r w:rsidRPr="00897B8A">
        <w:rPr>
          <w:b/>
        </w:rPr>
        <w:t>La danza de los billones</w:t>
      </w:r>
    </w:p>
    <w:p w:rsidR="0073604C" w:rsidRDefault="0073604C" w:rsidP="0073604C">
      <w:pPr>
        <w:pStyle w:val="NormalWeb"/>
        <w:shd w:val="clear" w:color="auto" w:fill="FFFFFF"/>
        <w:jc w:val="both"/>
      </w:pPr>
      <w:r>
        <w:t>La Reserva Federal (Fed) introdujo inicialmente varios programas destinados a aumentar la liquidez (como la Term Auction Facility) y a finales de 2008 la institución tenía en balance un montante de aproximadamente 194.000 millones de dólares en préstamos.</w:t>
      </w:r>
    </w:p>
    <w:p w:rsidR="0073604C" w:rsidRDefault="0073604C" w:rsidP="0073604C">
      <w:pPr>
        <w:pStyle w:val="NormalWeb"/>
        <w:shd w:val="clear" w:color="auto" w:fill="FFFFFF"/>
        <w:jc w:val="both"/>
      </w:pPr>
      <w:r>
        <w:t xml:space="preserve">Posteriormente, además de acordar el establecimiento de líneas swaps en dólares con otros bancos centrales, emprendió tres programas de expansión cuantitativa (QE), anunciados en diciembre de 2008, junio de 2010 y septiembre de 2012, además de una medida que ampliaba el plazo medio de los títulos mantenidos en cartera (Maturity Expansion Programme). En mayo de 2013, anunció que podría dejar de expandir su balance en el futuro (Taper Tantrum). </w:t>
      </w:r>
    </w:p>
    <w:p w:rsidR="0073604C" w:rsidRDefault="0073604C" w:rsidP="0073604C">
      <w:pPr>
        <w:pStyle w:val="NormalWeb"/>
        <w:shd w:val="clear" w:color="auto" w:fill="FFFFFF"/>
        <w:jc w:val="both"/>
      </w:pPr>
      <w:r>
        <w:t>La decisión fue finalmente tomada en diciembre de ese mismo año, y a partir de entonces se produjo una reducción paulatina del ritmo de compras (tapering) que concluyó en octubre de 2014. A finales de este año la Fed mantendría 1,7 billones de dólares en MBS y una cifra similar en títulos del Tesoro. Ya en diciembre de 2015 se produjo la primera subida en una década del objetivo del índice de fondos federales en un cuarto de punto.</w:t>
      </w:r>
    </w:p>
    <w:p w:rsidR="0073604C" w:rsidRDefault="0073604C" w:rsidP="0073604C">
      <w:pPr>
        <w:pStyle w:val="NormalWeb"/>
        <w:shd w:val="clear" w:color="auto" w:fill="FFFFFF"/>
        <w:jc w:val="both"/>
      </w:pPr>
      <w:r>
        <w:t>El Banco Central Europeo (ECB) comenzó aumentando el volumen de las operaciones de financiación a más largo plazo (LTRO) frente a las operaciones principales de financiación (MRO). El ratio del volumen de las LTRO respecto a las MRO se situó en torno al 50% en los primeros meses de 2007 pero tras la perturbación de agosto de ese año llegó a superar el 170%.</w:t>
      </w:r>
    </w:p>
    <w:p w:rsidR="0073604C" w:rsidRPr="00C85028" w:rsidRDefault="0073604C" w:rsidP="0073604C">
      <w:pPr>
        <w:pStyle w:val="NormalWeb"/>
        <w:shd w:val="clear" w:color="auto" w:fill="FFFFFF"/>
        <w:jc w:val="both"/>
      </w:pPr>
      <w:r>
        <w:lastRenderedPageBreak/>
        <w:t xml:space="preserve">Tras la quiebra de Lehman Brothers, el ECB modificó su procedimiento de subasta a tipo variable por subastas a tipo fijo y adjudicación plena (Fixed Rate/Full-Allotment), amplió el rango de colateral aceptado en sus operaciones de financiación y también el volumen y el plazo de vencimiento de las LTRO de modo sucesivo hasta alcanzar los 3 años. El total de LTRO pendiente de pago llegó a superar el 1,1 billón de euros en 2012 después de que se hubieran realizado las dos subastas con vencimiento a tres años, y su volumen fue declinando desde entonces, acelerándose el declive en 2013. Además, emprendió sucesivos programas de compras -de relativa baja cuantía- destinados a garantizar liquidez en ciertos mercados </w:t>
      </w:r>
      <w:r w:rsidRPr="00C85028">
        <w:t>(Covered Bond Purchase Programme, Securities Market Programme).</w:t>
      </w:r>
    </w:p>
    <w:p w:rsidR="0073604C" w:rsidRDefault="0073604C" w:rsidP="0073604C">
      <w:pPr>
        <w:pStyle w:val="NormalWeb"/>
        <w:shd w:val="clear" w:color="auto" w:fill="FFFFFF"/>
        <w:jc w:val="both"/>
      </w:pPr>
      <w:r>
        <w:t>Ante la persistencia de la crisis de deuda soberana, el ECB anunció una medida, la Outright Monetary Transactions, para adquirir deuda de modo ilimitado de aquellos países que, además de otras condiciones, estuviesen recibiendo apoyo financiero a través del Mecanismo de Estabilidad Europeo. La compra selectiva de deuda no requirió ser aplicada para terminar con la crisis de deuda soberana. También instauró nuevas subastas a largo plazo condicionadas a la concesión de crédito (TLTRO). Recientemente, ha sido el último gran banco central que ha emprendido un cuantioso programa de compras que incluye activos garantizados, deuda pública, bonos garantizados y deuda de empresas -Expanded Purchase Programme- que dejaría de aplicarse en marzo de 2017 y reducido el tipo de interés de la facilidad de depósito por debajo del 0%.</w:t>
      </w:r>
    </w:p>
    <w:p w:rsidR="0073604C" w:rsidRDefault="0073604C" w:rsidP="0073604C">
      <w:pPr>
        <w:pStyle w:val="NormalWeb"/>
        <w:shd w:val="clear" w:color="auto" w:fill="FFFFFF"/>
        <w:jc w:val="both"/>
      </w:pPr>
      <w:r>
        <w:t>El Banco de Inglaterra también instauró programas de liquidez como el Special Liquidity Scheme, pero fueron de escasa importancia en relación a los aplicados por la Fed y el ECB. Su principal programa fue el Asset Purchase Funding Facility (APFF) con el que adquirió un total de 375 mil millones de libras en títulos de deuda pública. En los últimos tiempos, debido al Brexit, ha reducido su tipo de interés de referencia en 25 puntos básicos y anunciado su intención de expandir su balance en 170 mil millones de libras más instaurando un nuevo programa de inyección de liquidez para el sector bancario y adquiriendo deuda pública y corporativa.</w:t>
      </w:r>
    </w:p>
    <w:p w:rsidR="0073604C" w:rsidRDefault="0073604C" w:rsidP="0073604C">
      <w:pPr>
        <w:pStyle w:val="NormalWeb"/>
        <w:shd w:val="clear" w:color="auto" w:fill="FFFFFF"/>
        <w:jc w:val="both"/>
      </w:pPr>
      <w:r>
        <w:t>Por último, el Banco de Japón, al comenzar la crisis, aún estaba tratando de hacer frente al largo período de estancamiento económico que se inició con el estallido de su burbuja inmobiliaria a principios de los años 90. A finales de 2008, introdujo programas de suministro de liquidez (Special Funds Supplying Operations) y en octubre de 2010 instauró un programa de compra de activos, el Asset Purchase Program (APP). En marzo de 2013, el montante total de las operaciones llevadas a través del APP superaba los 720 mil millones de yenes. Tras el nombramiento de Kuroda como Gobernador del banco central y de la llegada a la presidencia del país nipón de Shinzo Abe se introdujeron importantes cambios en los instrumentos y operativas de la política monetaria como parte de una nueva política económica que ha sido denominada Abenomics. Esta nueva política económica ha supuesto el establecimiento de un objetivo explícito de inflación del 2%. Además, se ha pasado de instrumentar la política monetaria a través del tipo de interés a corto plazo a hacerlo a través de la base monetaria, que se iría incrementando de acuerdo a objetivos marcados previamente (Quantitative and qualitative easing). Entre las medidas más recientes podemos aludir a que, como también han decidido otros bancos centrales, viene aplicando un tipo de interés negativo por el exceso de reservas bancarias que mantengan los bancos desde enero de 2016.</w:t>
      </w:r>
    </w:p>
    <w:p w:rsidR="0073604C" w:rsidRDefault="0073604C" w:rsidP="0073604C">
      <w:pPr>
        <w:pStyle w:val="NormalWeb"/>
        <w:shd w:val="clear" w:color="auto" w:fill="FFFFFF"/>
        <w:jc w:val="both"/>
      </w:pPr>
      <w:r>
        <w:t>En resumen, podemos concluir que han existido dos grupos de medidas desde que se iniciara la crisis que se han aplicado por los bancos centrales principales, si bien las mismas no han coincidido temporalmente en su aplicación en las zonas monetarias fundamentales:</w:t>
      </w:r>
    </w:p>
    <w:p w:rsidR="0073604C" w:rsidRDefault="0073604C" w:rsidP="0073604C">
      <w:pPr>
        <w:pStyle w:val="NormalWeb"/>
        <w:numPr>
          <w:ilvl w:val="0"/>
          <w:numId w:val="12"/>
        </w:numPr>
        <w:shd w:val="clear" w:color="auto" w:fill="FFFFFF"/>
        <w:jc w:val="both"/>
      </w:pPr>
      <w:r>
        <w:lastRenderedPageBreak/>
        <w:t>Políticas de liquidez. Han tenido como objetivo garantizar la supervivencia de las entidades financieras, especialmente durante el inicio de la crisis.</w:t>
      </w:r>
    </w:p>
    <w:p w:rsidR="0073604C" w:rsidRDefault="0073604C" w:rsidP="0073604C">
      <w:pPr>
        <w:pStyle w:val="NormalWeb"/>
        <w:numPr>
          <w:ilvl w:val="0"/>
          <w:numId w:val="12"/>
        </w:numPr>
        <w:shd w:val="clear" w:color="auto" w:fill="FFFFFF"/>
        <w:jc w:val="both"/>
      </w:pPr>
      <w:r>
        <w:t>Políticas monetarias activas. Los bancos centrales han asumido la función de contribuir a la recuperación económica ante el incumplimiento de las previsiones de autoajuste de la teoría de los mercados eficientes. (…) los tipos de interés nominales de los bancos centrales se aproximaron al 0%. La reducción de los tipos de interés a corto plazo buscaba afectar a los tipos de interés a largo plazo y a su vez, al coste del capital de la inversión…</w:t>
      </w:r>
    </w:p>
    <w:p w:rsidR="0073604C" w:rsidRDefault="0073604C" w:rsidP="0073604C">
      <w:pPr>
        <w:pStyle w:val="NormalWeb"/>
        <w:shd w:val="clear" w:color="auto" w:fill="FFFFFF"/>
        <w:jc w:val="both"/>
      </w:pPr>
      <w:r>
        <w:t xml:space="preserve">Fuente: La política monetaria durante la “Gran Recesión” (Fructuoso Borrallo Egea - Tesis Doctoral 2016 - Universidad de Sevilla - </w:t>
      </w:r>
      <w:r w:rsidRPr="008B0EFC">
        <w:rPr>
          <w:b/>
        </w:rPr>
        <w:t>Septiembre 2016</w:t>
      </w:r>
      <w:r>
        <w:t>)</w:t>
      </w:r>
    </w:p>
    <w:p w:rsidR="0073604C" w:rsidRPr="00897B8A" w:rsidRDefault="0073604C" w:rsidP="0073604C">
      <w:pPr>
        <w:spacing w:line="240" w:lineRule="auto"/>
        <w:jc w:val="both"/>
        <w:rPr>
          <w:rFonts w:ascii="Times New Roman" w:hAnsi="Times New Roman" w:cs="Times New Roman"/>
          <w:sz w:val="24"/>
          <w:szCs w:val="24"/>
          <w:shd w:val="clear" w:color="auto" w:fill="FFFFFF"/>
        </w:rPr>
      </w:pPr>
      <w:r w:rsidRPr="00897B8A">
        <w:rPr>
          <w:rFonts w:ascii="Times New Roman" w:hAnsi="Times New Roman" w:cs="Times New Roman"/>
          <w:sz w:val="24"/>
          <w:szCs w:val="24"/>
          <w:shd w:val="clear" w:color="auto" w:fill="FFFFFF"/>
        </w:rPr>
        <w:t>Los socios de la Unión Europea han alcanzado este lunes un principio de acuerdo con el que echar a rodar los 200.000 millones de euros del Banco Europeo de Inversiones (BEI), una de las tres patas</w:t>
      </w:r>
      <w:r>
        <w:rPr>
          <w:rFonts w:ascii="Times New Roman" w:hAnsi="Times New Roman" w:cs="Times New Roman"/>
          <w:sz w:val="24"/>
          <w:szCs w:val="24"/>
          <w:shd w:val="clear" w:color="auto" w:fill="FFFFFF"/>
        </w:rPr>
        <w:t xml:space="preserve"> de</w:t>
      </w:r>
      <w:r w:rsidRPr="00897B8A">
        <w:rPr>
          <w:rFonts w:ascii="Times New Roman" w:hAnsi="Times New Roman" w:cs="Times New Roman"/>
          <w:sz w:val="24"/>
          <w:szCs w:val="24"/>
          <w:shd w:val="clear" w:color="auto" w:fill="FFFFFF"/>
        </w:rPr>
        <w:t xml:space="preserve"> la triple red de seguridad acordada por los 27, que moviliza en total unos 540.000 millones de euros. A los 200.000 millones del BEI se le unen otros 240.000 millones del MEDE (el fondo de rescate europeo) y otros 100.000 millones de SURE, el mecanismo para costear los ERTE y herramientas similares en Europa. Respecto al BEI, la semana pasada los socios no consiguieron ponerse de acuerdo, ya que querían asegurarse de que el grueso de estos 200.000 millones va a parar a pequeñas y medianas empresas.</w:t>
      </w:r>
    </w:p>
    <w:p w:rsidR="0073604C" w:rsidRPr="00897B8A" w:rsidRDefault="0073604C" w:rsidP="0073604C">
      <w:pPr>
        <w:spacing w:line="240" w:lineRule="auto"/>
        <w:jc w:val="both"/>
        <w:rPr>
          <w:rFonts w:ascii="Times New Roman" w:hAnsi="Times New Roman" w:cs="Times New Roman"/>
          <w:sz w:val="24"/>
          <w:szCs w:val="24"/>
          <w:shd w:val="clear" w:color="auto" w:fill="FFFFFF"/>
        </w:rPr>
      </w:pPr>
      <w:r w:rsidRPr="00897B8A">
        <w:rPr>
          <w:rFonts w:ascii="Times New Roman" w:hAnsi="Times New Roman" w:cs="Times New Roman"/>
          <w:sz w:val="24"/>
          <w:szCs w:val="24"/>
          <w:shd w:val="clear" w:color="auto" w:fill="FFFFFF"/>
        </w:rPr>
        <w:t xml:space="preserve">Con este movimiento, los mecanismos de la triple red de seguridad para estados, empresas y trabajadores acordada por la Unión Europea ya han sido validados. El MEDE, por ejemplo, dará préstamos equivalentes al 2% del PIB de cada país que pida la ayuda. La condicionalidad de este préstamo será muy favorable (0,115%), con un margen de hasta 10 años. Su uso, además, no estará vinculado a reformas ni a la vigilancia de una Troika. Por su parte, SURE, que también ha sido validado, está a la espera de ponerse a funcionar una vez tenga los avales de los países miembros. Los tres socios que más dinero pidan no podrán acumular, en conjunto, más de 60.000 millones de los 100.000 millones. </w:t>
      </w:r>
    </w:p>
    <w:p w:rsidR="0073604C" w:rsidRDefault="0073604C" w:rsidP="0073604C">
      <w:pPr>
        <w:spacing w:line="240" w:lineRule="auto"/>
        <w:jc w:val="both"/>
        <w:rPr>
          <w:rFonts w:ascii="Times New Roman" w:hAnsi="Times New Roman" w:cs="Times New Roman"/>
          <w:sz w:val="24"/>
          <w:szCs w:val="24"/>
          <w:shd w:val="clear" w:color="auto" w:fill="FFFFFF"/>
        </w:rPr>
      </w:pPr>
      <w:r w:rsidRPr="00897B8A">
        <w:rPr>
          <w:rFonts w:ascii="Times New Roman" w:hAnsi="Times New Roman" w:cs="Times New Roman"/>
          <w:sz w:val="24"/>
          <w:szCs w:val="24"/>
          <w:shd w:val="clear" w:color="auto" w:fill="FFFFFF"/>
        </w:rPr>
        <w:t>Esta semana, por su parte, la Comisión Europea deberá presentar su borrador para el presupuesto europeo con vistas al Marco Financiero Plurianual 2021-2027, donde se espera que se incluya el fondo de recuperación a largo plazo previsto por la Unión Europea. Se prevé una movilización sin precedentes que podría rondar los 2 billones de euros, si bien faltan por concretarse las cifras finales y las partidas que en ella se incluyen, así como la articulación de las aportaciones de los socios, la forma en la que se devuelve el dinero y si finalmente se emite deuda conjunta a través de la Comisión.</w:t>
      </w:r>
      <w:r>
        <w:rPr>
          <w:rFonts w:ascii="Times New Roman" w:hAnsi="Times New Roman" w:cs="Times New Roman"/>
          <w:sz w:val="24"/>
          <w:szCs w:val="24"/>
          <w:shd w:val="clear" w:color="auto" w:fill="FFFFFF"/>
        </w:rPr>
        <w:t xml:space="preserve"> (Cinco Días - </w:t>
      </w:r>
      <w:r w:rsidRPr="00897B8A">
        <w:rPr>
          <w:rFonts w:ascii="Times New Roman" w:hAnsi="Times New Roman" w:cs="Times New Roman"/>
          <w:b/>
          <w:sz w:val="24"/>
          <w:szCs w:val="24"/>
          <w:shd w:val="clear" w:color="auto" w:fill="FFFFFF"/>
        </w:rPr>
        <w:t>25/5/20</w:t>
      </w:r>
      <w:r>
        <w:rPr>
          <w:rFonts w:ascii="Times New Roman" w:hAnsi="Times New Roman" w:cs="Times New Roman"/>
          <w:sz w:val="24"/>
          <w:szCs w:val="24"/>
          <w:shd w:val="clear" w:color="auto" w:fill="FFFFFF"/>
        </w:rPr>
        <w:t>)</w:t>
      </w:r>
    </w:p>
    <w:p w:rsidR="0073604C" w:rsidRDefault="0073604C" w:rsidP="0073604C">
      <w:pPr>
        <w:spacing w:line="240" w:lineRule="auto"/>
        <w:jc w:val="both"/>
        <w:rPr>
          <w:rFonts w:ascii="Times New Roman" w:hAnsi="Times New Roman" w:cs="Times New Roman"/>
          <w:sz w:val="24"/>
          <w:szCs w:val="24"/>
          <w:shd w:val="clear" w:color="auto" w:fill="FFFFFF"/>
        </w:rPr>
      </w:pPr>
      <w:r w:rsidRPr="00897B8A">
        <w:rPr>
          <w:rFonts w:ascii="Times New Roman" w:hAnsi="Times New Roman" w:cs="Times New Roman"/>
          <w:sz w:val="24"/>
          <w:szCs w:val="24"/>
          <w:shd w:val="clear" w:color="auto" w:fill="FFFFFF"/>
        </w:rPr>
        <w:t>La estrategia propuesta por el órgano que preside Ursula von der Leyen se ancla en el presupuesto comunitario para el marco 2021-2027. Los marcos plurianuales, de siete años de duración debido a lo costoso de las negociaciones y a que no es factible pelear uno nuevo cada menos tiempo, conforman el presupuesto de la UE para cada periodo. En esta ocasión estaría dotado con 1,1 billones de euros. Con el respaldo de este presupuesto, la Comisión emitiría deuda en los mercados para financiar un Fondo de Recuperación por valor de 750.000 millones: en total se habla de 1,85 billones de euros, con los que también deben financiarse las partidas de la Política Agraria Común (PAC), la cohesión o la seguridad. Con diferentes multiplicadores y el resto de ayudas, no obstante, la Comisión confía en movilizar hasta 3,1 billones.</w:t>
      </w:r>
      <w:r>
        <w:rPr>
          <w:rFonts w:ascii="Times New Roman" w:hAnsi="Times New Roman" w:cs="Times New Roman"/>
          <w:sz w:val="24"/>
          <w:szCs w:val="24"/>
          <w:shd w:val="clear" w:color="auto" w:fill="FFFFFF"/>
        </w:rPr>
        <w:t xml:space="preserve"> (Cinco Días - </w:t>
      </w:r>
      <w:r w:rsidRPr="00897B8A">
        <w:rPr>
          <w:rFonts w:ascii="Times New Roman" w:hAnsi="Times New Roman" w:cs="Times New Roman"/>
          <w:b/>
          <w:sz w:val="24"/>
          <w:szCs w:val="24"/>
          <w:shd w:val="clear" w:color="auto" w:fill="FFFFFF"/>
        </w:rPr>
        <w:t>19/6/20</w:t>
      </w:r>
      <w:r>
        <w:rPr>
          <w:rFonts w:ascii="Times New Roman" w:hAnsi="Times New Roman" w:cs="Times New Roman"/>
          <w:sz w:val="24"/>
          <w:szCs w:val="24"/>
          <w:shd w:val="clear" w:color="auto" w:fill="FFFFFF"/>
        </w:rPr>
        <w:t>)</w:t>
      </w:r>
    </w:p>
    <w:p w:rsidR="0073604C" w:rsidRDefault="0073604C" w:rsidP="0073604C">
      <w:pPr>
        <w:pStyle w:val="NormalWeb"/>
        <w:shd w:val="clear" w:color="auto" w:fill="FFFFFF"/>
        <w:jc w:val="both"/>
        <w:rPr>
          <w:rFonts w:eastAsiaTheme="minorHAnsi"/>
          <w:color w:val="FF0000"/>
          <w:lang w:eastAsia="en-US"/>
        </w:rPr>
      </w:pPr>
    </w:p>
    <w:p w:rsidR="0073604C" w:rsidRPr="00FE130B" w:rsidRDefault="0073604C" w:rsidP="0073604C">
      <w:pPr>
        <w:pStyle w:val="NormalWeb"/>
        <w:shd w:val="clear" w:color="auto" w:fill="FFFFFF"/>
        <w:jc w:val="both"/>
        <w:rPr>
          <w:b/>
        </w:rPr>
      </w:pPr>
      <w:r w:rsidRPr="00FE130B">
        <w:rPr>
          <w:b/>
        </w:rPr>
        <w:lastRenderedPageBreak/>
        <w:t xml:space="preserve">- Represión financiera (socialización de las pérdidas - castigo al ahorro) </w:t>
      </w:r>
    </w:p>
    <w:p w:rsidR="0073604C" w:rsidRDefault="0073604C" w:rsidP="0073604C">
      <w:pPr>
        <w:pStyle w:val="NormalWeb"/>
        <w:shd w:val="clear" w:color="auto" w:fill="FFFFFF"/>
        <w:jc w:val="both"/>
        <w:rPr>
          <w:color w:val="000000"/>
        </w:rPr>
      </w:pPr>
      <w:r w:rsidRPr="00581FC4">
        <w:rPr>
          <w:noProof/>
          <w:color w:val="000000"/>
        </w:rPr>
        <w:drawing>
          <wp:inline distT="0" distB="0" distL="0" distR="0" wp14:anchorId="73C24A46" wp14:editId="7FA84C12">
            <wp:extent cx="5401429" cy="3353268"/>
            <wp:effectExtent l="0" t="0" r="889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5"/>
                    <a:stretch>
                      <a:fillRect/>
                    </a:stretch>
                  </pic:blipFill>
                  <pic:spPr>
                    <a:xfrm>
                      <a:off x="0" y="0"/>
                      <a:ext cx="5401429" cy="3353268"/>
                    </a:xfrm>
                    <a:prstGeom prst="rect">
                      <a:avLst/>
                    </a:prstGeom>
                  </pic:spPr>
                </pic:pic>
              </a:graphicData>
            </a:graphic>
          </wp:inline>
        </w:drawing>
      </w:r>
      <w:r w:rsidRPr="00B01B0F">
        <w:rPr>
          <w:color w:val="000000"/>
        </w:rPr>
        <w:t> </w:t>
      </w:r>
    </w:p>
    <w:p w:rsidR="0073604C" w:rsidRDefault="0073604C" w:rsidP="0073604C">
      <w:pPr>
        <w:spacing w:line="240" w:lineRule="auto"/>
        <w:jc w:val="both"/>
        <w:rPr>
          <w:rFonts w:ascii="Times New Roman" w:hAnsi="Times New Roman" w:cs="Times New Roman"/>
          <w:sz w:val="24"/>
          <w:szCs w:val="24"/>
        </w:rPr>
      </w:pPr>
      <w:r w:rsidRPr="00581FC4">
        <w:rPr>
          <w:rFonts w:ascii="Times New Roman" w:hAnsi="Times New Roman" w:cs="Times New Roman"/>
          <w:noProof/>
          <w:sz w:val="24"/>
          <w:szCs w:val="24"/>
          <w:lang w:eastAsia="es-ES"/>
        </w:rPr>
        <w:drawing>
          <wp:inline distT="0" distB="0" distL="0" distR="0" wp14:anchorId="767B5D6D" wp14:editId="75BC076B">
            <wp:extent cx="2716306" cy="3697941"/>
            <wp:effectExtent l="0" t="0" r="8255"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6"/>
                    <a:stretch>
                      <a:fillRect/>
                    </a:stretch>
                  </pic:blipFill>
                  <pic:spPr>
                    <a:xfrm>
                      <a:off x="0" y="0"/>
                      <a:ext cx="2716022" cy="3697554"/>
                    </a:xfrm>
                    <a:prstGeom prst="rect">
                      <a:avLst/>
                    </a:prstGeom>
                  </pic:spPr>
                </pic:pic>
              </a:graphicData>
            </a:graphic>
          </wp:inline>
        </w:drawing>
      </w:r>
      <w:r w:rsidRPr="00581FC4">
        <w:rPr>
          <w:rFonts w:ascii="Times New Roman" w:hAnsi="Times New Roman" w:cs="Times New Roman"/>
          <w:noProof/>
          <w:sz w:val="24"/>
          <w:szCs w:val="24"/>
          <w:lang w:eastAsia="es-ES"/>
        </w:rPr>
        <w:drawing>
          <wp:inline distT="0" distB="0" distL="0" distR="0" wp14:anchorId="49759892" wp14:editId="3F6AE6E4">
            <wp:extent cx="2762600" cy="3583642"/>
            <wp:effectExtent l="0" t="0" r="0" b="0"/>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7"/>
                    <a:stretch>
                      <a:fillRect/>
                    </a:stretch>
                  </pic:blipFill>
                  <pic:spPr>
                    <a:xfrm>
                      <a:off x="0" y="0"/>
                      <a:ext cx="2762636" cy="3583688"/>
                    </a:xfrm>
                    <a:prstGeom prst="rect">
                      <a:avLst/>
                    </a:prstGeom>
                  </pic:spPr>
                </pic:pic>
              </a:graphicData>
            </a:graphic>
          </wp:inline>
        </w:drawing>
      </w:r>
    </w:p>
    <w:p w:rsidR="0073604C" w:rsidRDefault="0073604C" w:rsidP="0073604C">
      <w:pPr>
        <w:pStyle w:val="NormalWeb"/>
        <w:shd w:val="clear" w:color="auto" w:fill="FFFFFF"/>
        <w:jc w:val="both"/>
      </w:pPr>
      <w:r w:rsidRPr="007557F1">
        <w:rPr>
          <w:noProof/>
          <w:color w:val="000000"/>
        </w:rPr>
        <w:lastRenderedPageBreak/>
        <w:drawing>
          <wp:inline distT="0" distB="0" distL="0" distR="0" wp14:anchorId="0328881B" wp14:editId="44FA2E07">
            <wp:extent cx="5661212" cy="4585447"/>
            <wp:effectExtent l="0" t="0" r="0" b="5715"/>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8"/>
                    <a:stretch>
                      <a:fillRect/>
                    </a:stretch>
                  </pic:blipFill>
                  <pic:spPr>
                    <a:xfrm>
                      <a:off x="0" y="0"/>
                      <a:ext cx="5658640" cy="4583364"/>
                    </a:xfrm>
                    <a:prstGeom prst="rect">
                      <a:avLst/>
                    </a:prstGeom>
                  </pic:spPr>
                </pic:pic>
              </a:graphicData>
            </a:graphic>
          </wp:inline>
        </w:drawing>
      </w:r>
      <w:r>
        <w:t xml:space="preserve">Fuente: La política monetaria durante la “Gran Recesión” (Fructuoso Borrallo Egea - Tesis Doctoral 2016 - Universidad de Sevilla - </w:t>
      </w:r>
      <w:r w:rsidRPr="00897B8A">
        <w:rPr>
          <w:b/>
        </w:rPr>
        <w:t>Septiembre 2016</w:t>
      </w:r>
      <w:r>
        <w:t>)</w:t>
      </w:r>
    </w:p>
    <w:p w:rsidR="0073604C" w:rsidRDefault="0073604C" w:rsidP="0073604C">
      <w:pPr>
        <w:spacing w:line="240" w:lineRule="auto"/>
        <w:jc w:val="both"/>
        <w:rPr>
          <w:rFonts w:ascii="Times New Roman" w:hAnsi="Times New Roman" w:cs="Times New Roman"/>
          <w:sz w:val="24"/>
          <w:szCs w:val="24"/>
        </w:rPr>
      </w:pPr>
      <w:r w:rsidRPr="00581FC4">
        <w:rPr>
          <w:rFonts w:ascii="Times New Roman" w:hAnsi="Times New Roman" w:cs="Times New Roman"/>
          <w:noProof/>
          <w:sz w:val="24"/>
          <w:szCs w:val="24"/>
          <w:lang w:eastAsia="es-ES"/>
        </w:rPr>
        <w:drawing>
          <wp:inline distT="0" distB="0" distL="0" distR="0" wp14:anchorId="4CC4A18E" wp14:editId="2E769B5B">
            <wp:extent cx="5580529" cy="3032312"/>
            <wp:effectExtent l="0" t="0" r="1270" b="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9"/>
                    <a:stretch>
                      <a:fillRect/>
                    </a:stretch>
                  </pic:blipFill>
                  <pic:spPr>
                    <a:xfrm>
                      <a:off x="0" y="0"/>
                      <a:ext cx="5582429" cy="3033344"/>
                    </a:xfrm>
                    <a:prstGeom prst="rect">
                      <a:avLst/>
                    </a:prstGeom>
                  </pic:spPr>
                </pic:pic>
              </a:graphicData>
            </a:graphic>
          </wp:inline>
        </w:drawing>
      </w:r>
    </w:p>
    <w:p w:rsidR="0073604C" w:rsidRDefault="0073604C" w:rsidP="0073604C">
      <w:pPr>
        <w:pStyle w:val="NormalWeb"/>
        <w:shd w:val="clear" w:color="auto" w:fill="FFFFFF"/>
        <w:jc w:val="both"/>
        <w:rPr>
          <w:color w:val="000000"/>
        </w:rPr>
      </w:pPr>
      <w:r>
        <w:rPr>
          <w:color w:val="000000"/>
        </w:rPr>
        <w:t xml:space="preserve">Fuente: La política monetaria ante la crisis: análisis y comparación de las medidas adoptadas por el Banco Central Europeo y la Reserva Federal - </w:t>
      </w:r>
      <w:r w:rsidRPr="009A71E9">
        <w:rPr>
          <w:color w:val="000000"/>
        </w:rPr>
        <w:t>Á</w:t>
      </w:r>
      <w:r>
        <w:rPr>
          <w:color w:val="000000"/>
        </w:rPr>
        <w:t xml:space="preserve">lvaro Barba Sáez - Universidad Politécnica de Valencia - España - </w:t>
      </w:r>
      <w:r w:rsidRPr="009A71E9">
        <w:rPr>
          <w:b/>
          <w:color w:val="000000"/>
        </w:rPr>
        <w:t>Septiembre 2017</w:t>
      </w:r>
      <w:r>
        <w:rPr>
          <w:color w:val="000000"/>
        </w:rPr>
        <w:t>)</w:t>
      </w:r>
    </w:p>
    <w:p w:rsidR="0073604C" w:rsidRPr="00FE130B" w:rsidRDefault="0073604C" w:rsidP="0073604C">
      <w:pPr>
        <w:pStyle w:val="NormalWeb"/>
        <w:shd w:val="clear" w:color="auto" w:fill="FFFFFF"/>
        <w:jc w:val="both"/>
      </w:pPr>
      <w:r w:rsidRPr="00FE130B">
        <w:rPr>
          <w:b/>
          <w:shd w:val="clear" w:color="auto" w:fill="FFFFFF"/>
        </w:rPr>
        <w:lastRenderedPageBreak/>
        <w:t>El dulce porvenir: tipos de interés negativos, ¿sí o no?</w:t>
      </w:r>
    </w:p>
    <w:p w:rsidR="0073604C" w:rsidRPr="002D06C6" w:rsidRDefault="0073604C" w:rsidP="0073604C">
      <w:pPr>
        <w:spacing w:line="240" w:lineRule="auto"/>
        <w:jc w:val="both"/>
        <w:rPr>
          <w:rFonts w:ascii="Times New Roman" w:hAnsi="Times New Roman" w:cs="Times New Roman"/>
          <w:b/>
          <w:color w:val="FF0000"/>
          <w:sz w:val="24"/>
          <w:szCs w:val="24"/>
          <w:shd w:val="clear" w:color="auto" w:fill="FFFFFF"/>
        </w:rPr>
      </w:pPr>
      <w:r>
        <w:rPr>
          <w:noProof/>
          <w:lang w:eastAsia="es-ES"/>
        </w:rPr>
        <w:drawing>
          <wp:inline distT="0" distB="0" distL="0" distR="0" wp14:anchorId="1732B293" wp14:editId="0EF973F1">
            <wp:extent cx="5728447" cy="2030506"/>
            <wp:effectExtent l="0" t="0" r="5715" b="8255"/>
            <wp:docPr id="271" name="Imagen 271" descr="https://s03.s3c.es/imag/_v0/770x393/f/1/4/tipos-fed-b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393/f/1/4/tipos-fed-boe.jpg"/>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5731510" cy="2031592"/>
                    </a:xfrm>
                    <a:prstGeom prst="rect">
                      <a:avLst/>
                    </a:prstGeom>
                    <a:noFill/>
                    <a:ln>
                      <a:noFill/>
                    </a:ln>
                  </pic:spPr>
                </pic:pic>
              </a:graphicData>
            </a:graphic>
          </wp:inline>
        </w:drawing>
      </w:r>
    </w:p>
    <w:p w:rsidR="0073604C" w:rsidRPr="00B074FC" w:rsidRDefault="0073604C" w:rsidP="0073604C">
      <w:pPr>
        <w:spacing w:line="240" w:lineRule="auto"/>
        <w:jc w:val="both"/>
        <w:rPr>
          <w:rFonts w:ascii="Times New Roman" w:hAnsi="Times New Roman" w:cs="Times New Roman"/>
          <w:sz w:val="24"/>
          <w:szCs w:val="24"/>
          <w:shd w:val="clear" w:color="auto" w:fill="FFFFFF"/>
        </w:rPr>
      </w:pPr>
      <w:r w:rsidRPr="00B074FC">
        <w:rPr>
          <w:rFonts w:ascii="Times New Roman" w:hAnsi="Times New Roman" w:cs="Times New Roman"/>
          <w:sz w:val="24"/>
          <w:szCs w:val="24"/>
          <w:shd w:val="clear" w:color="auto" w:fill="FFFFFF"/>
        </w:rPr>
        <w:t>La crisis del coronavirus ha llevado a gobiernos y bancos centrales a dar varios pasos más en sus políticas para amortiguar el duro golpe que está sufriendo la economía. Aunque las políticas que están adoptando las instituciones no tienen precedentes en muchos casos, los bancos centrales de EEUU y Reino Unido no han querido ir más allá con los tipos de interés de lo que fueron durante la Gran Recesión de 2008-2009. La Fed y el Banco de Inglaterra, por ahora, se niegan a cruzar la frontera y llevar los tipos de interés oficiales a terreno negativo. Aunque quizá sea inevitable y terminen dando el paso final, parece que los países que han decidido adentrarse en el mundo de los tipos negativos son incapaces de volver a la normalidad monetaria. Sin embargo, bancos centrales como el BCE defienden que esta política ha sido clave para evitar la deflación y estimular el crecimiento ec</w:t>
      </w:r>
      <w:r>
        <w:rPr>
          <w:rFonts w:ascii="Times New Roman" w:hAnsi="Times New Roman" w:cs="Times New Roman"/>
          <w:sz w:val="24"/>
          <w:szCs w:val="24"/>
          <w:shd w:val="clear" w:color="auto" w:fill="FFFFFF"/>
        </w:rPr>
        <w:t xml:space="preserve">onómico. </w:t>
      </w:r>
    </w:p>
    <w:p w:rsidR="0073604C" w:rsidRDefault="0073604C" w:rsidP="0073604C">
      <w:pPr>
        <w:pStyle w:val="NormalWeb"/>
        <w:shd w:val="clear" w:color="auto" w:fill="FFFFFF"/>
        <w:jc w:val="both"/>
        <w:rPr>
          <w:color w:val="000000"/>
        </w:rPr>
      </w:pPr>
      <w:r>
        <w:rPr>
          <w:color w:val="000000"/>
        </w:rPr>
        <w:t>Dicen que, cuando un gato se quemó con leche… ve una vaca y sale corriendo (“rajando”). Eso mismo me ocurre cuando leo sobre tasas de interés negativas, o inflación provocada para licuar pasivos (públicos y privados), o alentar la demanda (sic).</w:t>
      </w:r>
    </w:p>
    <w:p w:rsidR="0073604C" w:rsidRDefault="0073604C" w:rsidP="0073604C">
      <w:pPr>
        <w:pStyle w:val="NormalWeb"/>
        <w:shd w:val="clear" w:color="auto" w:fill="FFFFFF"/>
        <w:jc w:val="both"/>
        <w:rPr>
          <w:color w:val="000000"/>
        </w:rPr>
      </w:pPr>
      <w:r>
        <w:rPr>
          <w:color w:val="000000"/>
        </w:rPr>
        <w:t>Como argentino de origen y padecimiento, y después de más de 30 años de exilio europeo voluntario, igual que los alemanes que vivieron la hiperinflación, aún mantengo un miedo cerval a la inflación (mecanismo oficial de prostitución monetaria, donde los precios suben por el ascensor, mientras los salarios suben por la escalera), a las tasas de interés que penalizan el ahorro (represión financiera), y a todo sistema de afeite o falsificación fiscal.</w:t>
      </w:r>
    </w:p>
    <w:p w:rsidR="0073604C" w:rsidRDefault="0073604C" w:rsidP="0073604C">
      <w:pPr>
        <w:pStyle w:val="NormalWeb"/>
        <w:shd w:val="clear" w:color="auto" w:fill="FFFFFF"/>
        <w:jc w:val="both"/>
        <w:rPr>
          <w:color w:val="000000"/>
        </w:rPr>
      </w:pPr>
      <w:r>
        <w:rPr>
          <w:color w:val="000000"/>
        </w:rPr>
        <w:t>Muchos de los grandes bonetes (nobelados o noveleros), que juegan con los modelos econométricos, nunca han vivido en un país que ha padecido (o padece) la lacra de la inflación, no han visto cómo sus ahorros se evaporan, cómo sus salarios pierden poder adquisitivo, cómo sus pensiones se devalúan. No han perdido la confianza en la moneda de su país, no han tenido que comprar moneda extranjera (dólares, euros, francos suizos…) para cubrirse del deterioro inflacionario, no han vivido la experiencia de operar con dos monedas: el dólar para hacer los cálculos económicos, contratos, compras de propiedades, alquileres…, y la moneda del país para cobrar sus salarios (menguantes), pagar las deudas (que no están dolarizadas), los impuestos, los servicios públicos y los gastos menores.</w:t>
      </w:r>
    </w:p>
    <w:p w:rsidR="0073604C" w:rsidRDefault="0073604C" w:rsidP="0073604C">
      <w:pPr>
        <w:pStyle w:val="NormalWeb"/>
        <w:shd w:val="clear" w:color="auto" w:fill="FFFFFF"/>
        <w:jc w:val="both"/>
        <w:rPr>
          <w:color w:val="000000"/>
        </w:rPr>
      </w:pPr>
      <w:r>
        <w:rPr>
          <w:color w:val="000000"/>
        </w:rPr>
        <w:t xml:space="preserve">Si de algo sirve mi experiencia extrema, puedo asegurarles que la inflación es una guerra “sin armas”, donde los más afectados (como en casi todas las guerras) suelen ser los más pobres. Aquellos que no tienen </w:t>
      </w:r>
      <w:r w:rsidR="008B0EFC">
        <w:rPr>
          <w:color w:val="000000"/>
        </w:rPr>
        <w:t xml:space="preserve">poder de negociación, que no </w:t>
      </w:r>
      <w:r w:rsidR="00C73630">
        <w:rPr>
          <w:color w:val="000000"/>
        </w:rPr>
        <w:t>les</w:t>
      </w:r>
      <w:r>
        <w:rPr>
          <w:color w:val="000000"/>
        </w:rPr>
        <w:t xml:space="preserve"> pueden pasar el muerto (de la inflación) a otros, que están pegados a un salario, a una pensión, a un alquiler, al plazo fijo…     </w:t>
      </w:r>
    </w:p>
    <w:p w:rsidR="0073604C" w:rsidRPr="00CD1787" w:rsidRDefault="0073604C" w:rsidP="0073604C">
      <w:pPr>
        <w:pStyle w:val="NormalWeb"/>
        <w:shd w:val="clear" w:color="auto" w:fill="FFFFFF"/>
        <w:jc w:val="both"/>
        <w:rPr>
          <w:color w:val="000000"/>
        </w:rPr>
        <w:sectPr w:rsidR="0073604C" w:rsidRPr="00CD1787" w:rsidSect="0073604C">
          <w:pgSz w:w="11906" w:h="16838"/>
          <w:pgMar w:top="1440" w:right="1440" w:bottom="1440" w:left="1440" w:header="709" w:footer="709" w:gutter="0"/>
          <w:cols w:space="708"/>
          <w:docGrid w:linePitch="360"/>
        </w:sectPr>
      </w:pPr>
    </w:p>
    <w:p w:rsidR="00DA4F73" w:rsidRDefault="00DA4F73" w:rsidP="00DA4F73">
      <w:pPr>
        <w:spacing w:line="240" w:lineRule="auto"/>
        <w:jc w:val="both"/>
        <w:rPr>
          <w:rFonts w:ascii="Times New Roman" w:hAnsi="Times New Roman" w:cs="Times New Roman"/>
          <w:b/>
          <w:sz w:val="24"/>
          <w:szCs w:val="24"/>
        </w:rPr>
      </w:pPr>
      <w:r w:rsidRPr="00344F06">
        <w:rPr>
          <w:rFonts w:ascii="Times New Roman" w:hAnsi="Times New Roman" w:cs="Times New Roman"/>
          <w:b/>
          <w:sz w:val="24"/>
          <w:szCs w:val="24"/>
        </w:rPr>
        <w:lastRenderedPageBreak/>
        <w:t xml:space="preserve">- Con este escenario, es inevitable que la crisis actual rehaga la globalización </w:t>
      </w:r>
      <w:r>
        <w:rPr>
          <w:rFonts w:ascii="Times New Roman" w:hAnsi="Times New Roman" w:cs="Times New Roman"/>
          <w:b/>
          <w:sz w:val="24"/>
          <w:szCs w:val="24"/>
        </w:rPr>
        <w:t xml:space="preserve">de un modo u otro. ¿Pero cómo? </w:t>
      </w:r>
    </w:p>
    <w:p w:rsidR="00DA4F73" w:rsidRPr="00736E56" w:rsidRDefault="00DA4F73" w:rsidP="00DA4F73">
      <w:pPr>
        <w:spacing w:line="240" w:lineRule="auto"/>
        <w:jc w:val="both"/>
        <w:rPr>
          <w:rFonts w:ascii="Times New Roman" w:hAnsi="Times New Roman" w:cs="Times New Roman"/>
          <w:b/>
          <w:sz w:val="24"/>
          <w:szCs w:val="24"/>
        </w:rPr>
      </w:pPr>
      <w:r>
        <w:rPr>
          <w:noProof/>
          <w:lang w:eastAsia="es-ES"/>
        </w:rPr>
        <w:drawing>
          <wp:inline distT="0" distB="0" distL="0" distR="0" wp14:anchorId="05BCC9C6" wp14:editId="369555B8">
            <wp:extent cx="5735171" cy="2938182"/>
            <wp:effectExtent l="0" t="0" r="0" b="0"/>
            <wp:docPr id="186" name="Imagen 186" descr="Foto: Foto de archivo: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Foto de archivo: Reuters"/>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5731510" cy="2936306"/>
                    </a:xfrm>
                    <a:prstGeom prst="rect">
                      <a:avLst/>
                    </a:prstGeom>
                    <a:noFill/>
                    <a:ln>
                      <a:noFill/>
                    </a:ln>
                  </pic:spPr>
                </pic:pic>
              </a:graphicData>
            </a:graphic>
          </wp:inline>
        </w:drawing>
      </w:r>
    </w:p>
    <w:p w:rsidR="00E46FC8" w:rsidRPr="006C6A7B" w:rsidRDefault="00C7040B" w:rsidP="00E46FC8">
      <w:pPr>
        <w:spacing w:line="240" w:lineRule="auto"/>
        <w:jc w:val="both"/>
        <w:rPr>
          <w:rFonts w:ascii="Times New Roman" w:hAnsi="Times New Roman" w:cs="Times New Roman"/>
          <w:b/>
          <w:sz w:val="24"/>
          <w:szCs w:val="24"/>
          <w:shd w:val="clear" w:color="auto" w:fill="FFFFFF"/>
        </w:rPr>
      </w:pPr>
      <w:r w:rsidRPr="006C6A7B">
        <w:rPr>
          <w:rFonts w:ascii="Times New Roman" w:hAnsi="Times New Roman" w:cs="Times New Roman"/>
          <w:b/>
          <w:sz w:val="24"/>
          <w:szCs w:val="24"/>
          <w:shd w:val="clear" w:color="auto" w:fill="FFFFFF"/>
        </w:rPr>
        <w:t>I</w:t>
      </w:r>
      <w:r w:rsidR="00E46FC8" w:rsidRPr="006C6A7B">
        <w:rPr>
          <w:rFonts w:ascii="Times New Roman" w:hAnsi="Times New Roman" w:cs="Times New Roman"/>
          <w:b/>
          <w:sz w:val="24"/>
          <w:szCs w:val="24"/>
          <w:shd w:val="clear" w:color="auto" w:fill="FFFFFF"/>
        </w:rPr>
        <w:t>ntentando tapar una verdad imposible de ocultar</w:t>
      </w:r>
    </w:p>
    <w:p w:rsidR="00E46FC8" w:rsidRPr="006C6A7B" w:rsidRDefault="00E46FC8" w:rsidP="00E46FC8">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Hasta hace unos años, todavía resultaba viable que los “amos del universo” recapacitasen. Todavía tenía sentido preguntarse por los motivos de tanta obstinación. Sin el recurso de la racionalidad económica, </w:t>
      </w:r>
      <w:r w:rsidRPr="006C6A7B">
        <w:rPr>
          <w:rStyle w:val="Textoennegrita"/>
          <w:rFonts w:ascii="Times New Roman" w:hAnsi="Times New Roman" w:cs="Times New Roman"/>
          <w:b w:val="0"/>
          <w:sz w:val="24"/>
          <w:szCs w:val="24"/>
          <w:bdr w:val="none" w:sz="0" w:space="0" w:color="auto" w:frame="1"/>
          <w:shd w:val="clear" w:color="auto" w:fill="FFFFFF"/>
        </w:rPr>
        <w:t>cabía buscar otras explicaciones</w:t>
      </w:r>
      <w:r w:rsidRPr="006C6A7B">
        <w:rPr>
          <w:rFonts w:ascii="Times New Roman" w:hAnsi="Times New Roman" w:cs="Times New Roman"/>
          <w:sz w:val="24"/>
          <w:szCs w:val="24"/>
          <w:shd w:val="clear" w:color="auto" w:fill="FFFFFF"/>
        </w:rPr>
        <w:t>. Por ejemplo, entre los resortes de la condición humana (avaricia, arrogancia, fatuidad, indiferencia…).</w:t>
      </w:r>
    </w:p>
    <w:p w:rsidR="00E46FC8" w:rsidRPr="006C6A7B" w:rsidRDefault="00E46FC8" w:rsidP="00E46FC8">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El trastorno narcisista se perfila desde los patrones de la grandiosidad. La adicción a la adulación es paralela a la incapacidad de admitir errores. Por eso, quienes sufren esta desgracia suelen </w:t>
      </w:r>
      <w:r w:rsidRPr="006C6A7B">
        <w:rPr>
          <w:rStyle w:val="Textoennegrita"/>
          <w:rFonts w:ascii="Times New Roman" w:hAnsi="Times New Roman" w:cs="Times New Roman"/>
          <w:b w:val="0"/>
          <w:sz w:val="24"/>
          <w:szCs w:val="24"/>
          <w:bdr w:val="none" w:sz="0" w:space="0" w:color="auto" w:frame="1"/>
          <w:shd w:val="clear" w:color="auto" w:fill="FFFFFF"/>
        </w:rPr>
        <w:t>erradicar de su entorno la deliberación y el pensamiento crítico</w:t>
      </w:r>
      <w:r w:rsidRPr="006C6A7B">
        <w:rPr>
          <w:rFonts w:ascii="Times New Roman" w:hAnsi="Times New Roman" w:cs="Times New Roman"/>
          <w:sz w:val="24"/>
          <w:szCs w:val="24"/>
          <w:shd w:val="clear" w:color="auto" w:fill="FFFFFF"/>
        </w:rPr>
        <w:t>. Nadie parece haberse atrevido a desvelar lo obvio: la vida siempre acaba trayendo alguna ocasión para aprender que, a veces, la verdadera grandeza solo puede demostrarse reconociendo la equiv</w:t>
      </w:r>
      <w:r w:rsidR="00C7040B" w:rsidRPr="006C6A7B">
        <w:rPr>
          <w:rFonts w:ascii="Times New Roman" w:hAnsi="Times New Roman" w:cs="Times New Roman"/>
          <w:sz w:val="24"/>
          <w:szCs w:val="24"/>
          <w:shd w:val="clear" w:color="auto" w:fill="FFFFFF"/>
        </w:rPr>
        <w:t xml:space="preserve">ocación. Basta con eso. </w:t>
      </w:r>
    </w:p>
    <w:p w:rsidR="009D023F" w:rsidRPr="00347CD3" w:rsidRDefault="00E46FC8" w:rsidP="00347CD3">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Con el andar, andar, el “pecado original” de la globalización, se ha transformado en un “pecado mortal” representado en (al menos) dos grandes crisis (financiera, en el año 2008, y sanitaria, en el año 2020), que han puesto al mundo, en ambas circunstancias ante un estado de depresión, nunca visto desde 1930. Todo ello en poco más de una década. No se podría haber hecho mayor daño económico en menor plazo. Un gran éxito de la globalización, vamos. Puro nihilismo, de los “amos del universo”, donde parece que los “mercados” viven en un mundo ajeno, diferente del que habitamos los demás, en el que no existen, ni las crisis financieras, ni las pandemias,</w:t>
      </w:r>
      <w:r w:rsidR="00347CD3">
        <w:rPr>
          <w:rFonts w:ascii="Times New Roman" w:hAnsi="Times New Roman" w:cs="Times New Roman"/>
          <w:sz w:val="24"/>
          <w:szCs w:val="24"/>
          <w:shd w:val="clear" w:color="auto" w:fill="FFFFFF"/>
        </w:rPr>
        <w:t xml:space="preserve"> ni las tensiones comerciales. </w:t>
      </w:r>
    </w:p>
    <w:p w:rsidR="00546485" w:rsidRPr="006C6A7B" w:rsidRDefault="00546485" w:rsidP="0054648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Mientras las imágenes de EEUU entre finales de mayo y principios de junio (2020) mostraban cuán rápido se puede romper el orden cuando se juntan divisiones de larga data, graves dificultades económicas y una sensación de injusticia… Wall Street seguía subiendo, subiendo y subiendo. </w:t>
      </w:r>
    </w:p>
    <w:p w:rsidR="00546485" w:rsidRPr="006C6A7B" w:rsidRDefault="00546485" w:rsidP="00546485">
      <w:pPr>
        <w:spacing w:line="240" w:lineRule="auto"/>
        <w:jc w:val="both"/>
        <w:rPr>
          <w:rFonts w:ascii="Times New Roman" w:hAnsi="Times New Roman" w:cs="Times New Roman"/>
          <w:szCs w:val="24"/>
        </w:rPr>
      </w:pPr>
      <w:r w:rsidRPr="006C6A7B">
        <w:rPr>
          <w:rFonts w:ascii="Times New Roman" w:hAnsi="Times New Roman" w:cs="Times New Roman"/>
          <w:noProof/>
          <w:szCs w:val="24"/>
          <w:lang w:eastAsia="es-ES"/>
        </w:rPr>
        <w:lastRenderedPageBreak/>
        <w:drawing>
          <wp:inline distT="0" distB="0" distL="0" distR="0" wp14:anchorId="1A0654CE" wp14:editId="7FF017F5">
            <wp:extent cx="5728447" cy="2857500"/>
            <wp:effectExtent l="0" t="0" r="5715"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2"/>
                    <a:stretch>
                      <a:fillRect/>
                    </a:stretch>
                  </pic:blipFill>
                  <pic:spPr>
                    <a:xfrm>
                      <a:off x="0" y="0"/>
                      <a:ext cx="5731510" cy="2859028"/>
                    </a:xfrm>
                    <a:prstGeom prst="rect">
                      <a:avLst/>
                    </a:prstGeom>
                  </pic:spPr>
                </pic:pic>
              </a:graphicData>
            </a:graphic>
          </wp:inline>
        </w:drawing>
      </w:r>
    </w:p>
    <w:p w:rsidR="00546485" w:rsidRPr="006C6A7B" w:rsidRDefault="00546485" w:rsidP="0054648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Ignoran la pandemia… ignoran la crisis económica… ignoran la conflictividad social… ¿qué es lo que de verdad importa? ¿el dopaje de los bancos centrales? ¿la regadera monetaria? ¿el gas de la risa? ¿el espejismo del riesgo moral? ¿los algoritmos de </w:t>
      </w:r>
      <w:r w:rsidR="00B074FC" w:rsidRPr="006C6A7B">
        <w:rPr>
          <w:rFonts w:ascii="Times New Roman" w:hAnsi="Times New Roman" w:cs="Times New Roman"/>
          <w:sz w:val="24"/>
          <w:szCs w:val="24"/>
        </w:rPr>
        <w:t xml:space="preserve">la exuberancia irracional? … </w:t>
      </w:r>
      <w:r w:rsidRPr="006C6A7B">
        <w:rPr>
          <w:rFonts w:ascii="Times New Roman" w:hAnsi="Times New Roman" w:cs="Times New Roman"/>
          <w:sz w:val="24"/>
          <w:szCs w:val="24"/>
        </w:rPr>
        <w:t>¿a qué viene tanta euforia?... ¿un altra volta? ¿volvemos a disfrazar el riesgo? ¿empezamos a vivir los engaños de la pospandemia? ¿siguen intentando negocios epilépticos (especulativos, improductivos, y ficticios) con costos infinitos para los contribuyentes (sociedad civil) y ganancias infinitas para sus protagonistas (ladronazos), que repartieron y reparten su rapiña con los funcionarios de turno (el poder en la sombra)?</w:t>
      </w:r>
    </w:p>
    <w:p w:rsidR="00546485" w:rsidRPr="006C6A7B" w:rsidRDefault="00546485" w:rsidP="0054648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Según Manuel Romera, director del Sector Financiero de la IE Business School, España, el mercado está apostando por una rápida recuperación</w:t>
      </w:r>
      <w:r w:rsidR="002837C6" w:rsidRPr="006C6A7B">
        <w:rPr>
          <w:rFonts w:ascii="Times New Roman" w:hAnsi="Times New Roman" w:cs="Times New Roman"/>
          <w:sz w:val="24"/>
          <w:szCs w:val="24"/>
        </w:rPr>
        <w:t xml:space="preserve"> de la economía en forma de V.  “</w:t>
      </w:r>
      <w:r w:rsidRPr="006C6A7B">
        <w:rPr>
          <w:rFonts w:ascii="Times New Roman" w:hAnsi="Times New Roman" w:cs="Times New Roman"/>
          <w:sz w:val="24"/>
          <w:szCs w:val="24"/>
        </w:rPr>
        <w:t>Los mercados financieros descuentan lo que va a pasar en seis o 12 meses más, es decir, la cotización de hoy está valorand</w:t>
      </w:r>
      <w:r w:rsidR="002837C6" w:rsidRPr="006C6A7B">
        <w:rPr>
          <w:rFonts w:ascii="Times New Roman" w:hAnsi="Times New Roman" w:cs="Times New Roman"/>
          <w:sz w:val="24"/>
          <w:szCs w:val="24"/>
        </w:rPr>
        <w:t>o la economía del año que viene”</w:t>
      </w:r>
      <w:r w:rsidRPr="006C6A7B">
        <w:rPr>
          <w:rFonts w:ascii="Times New Roman" w:hAnsi="Times New Roman" w:cs="Times New Roman"/>
          <w:sz w:val="24"/>
          <w:szCs w:val="24"/>
        </w:rPr>
        <w:t>, le dice a BBC Mundo (5/6/20).</w:t>
      </w:r>
    </w:p>
    <w:p w:rsidR="00546485" w:rsidRPr="006C6A7B" w:rsidRDefault="00546485" w:rsidP="00546485">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El mensaje de los inversores es que la pandemia ha sido un shock puntual, y que aunque sus efectos están a la vista, el </w:t>
      </w:r>
      <w:r w:rsidR="002837C6" w:rsidRPr="006C6A7B">
        <w:rPr>
          <w:rFonts w:ascii="Times New Roman" w:hAnsi="Times New Roman" w:cs="Times New Roman"/>
          <w:sz w:val="24"/>
          <w:szCs w:val="24"/>
        </w:rPr>
        <w:t xml:space="preserve">problema ya tocó fondo, apunta. </w:t>
      </w:r>
      <w:r w:rsidRPr="006C6A7B">
        <w:rPr>
          <w:rFonts w:ascii="Times New Roman" w:hAnsi="Times New Roman" w:cs="Times New Roman"/>
          <w:sz w:val="24"/>
          <w:szCs w:val="24"/>
        </w:rPr>
        <w:t>A eso se suman las grandes inversiones que se han hecho para producir una vacuna y desarrollar tratamientos que, teóricamente, deberían producir resultados el año entrante.</w:t>
      </w:r>
    </w:p>
    <w:p w:rsidR="002837C6" w:rsidRPr="006C6A7B" w:rsidRDefault="002837C6" w:rsidP="00546485">
      <w:pPr>
        <w:spacing w:line="240" w:lineRule="auto"/>
        <w:jc w:val="both"/>
        <w:rPr>
          <w:rFonts w:ascii="Times New Roman" w:hAnsi="Times New Roman" w:cs="Times New Roman"/>
          <w:sz w:val="24"/>
          <w:szCs w:val="24"/>
        </w:rPr>
      </w:pPr>
      <w:r w:rsidRPr="006C6A7B">
        <w:rPr>
          <w:noProof/>
          <w:lang w:eastAsia="es-ES"/>
        </w:rPr>
        <w:drawing>
          <wp:inline distT="0" distB="0" distL="0" distR="0" wp14:anchorId="38D409E4" wp14:editId="398C3B48">
            <wp:extent cx="5728447" cy="2433918"/>
            <wp:effectExtent l="0" t="0" r="5715" b="5080"/>
            <wp:docPr id="259" name="Imagen 259" descr="El Ibex firma su mejor semana desde 2008 con el impulso del empleo en EE 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Ibex firma su mejor semana desde 2008 con el impulso del empleo en EE UU"/>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5728447" cy="2433918"/>
                    </a:xfrm>
                    <a:prstGeom prst="rect">
                      <a:avLst/>
                    </a:prstGeom>
                    <a:noFill/>
                    <a:ln>
                      <a:noFill/>
                    </a:ln>
                  </pic:spPr>
                </pic:pic>
              </a:graphicData>
            </a:graphic>
          </wp:inline>
        </w:drawing>
      </w:r>
    </w:p>
    <w:p w:rsidR="002837C6" w:rsidRPr="006C6A7B" w:rsidRDefault="002837C6" w:rsidP="00546485">
      <w:pPr>
        <w:spacing w:line="240" w:lineRule="auto"/>
        <w:jc w:val="both"/>
        <w:rPr>
          <w:rFonts w:ascii="Times New Roman" w:hAnsi="Times New Roman" w:cs="Times New Roman"/>
          <w:sz w:val="24"/>
          <w:szCs w:val="24"/>
        </w:rPr>
      </w:pPr>
      <w:r w:rsidRPr="006C6A7B">
        <w:rPr>
          <w:noProof/>
          <w:lang w:eastAsia="es-ES"/>
        </w:rPr>
        <w:lastRenderedPageBreak/>
        <w:drawing>
          <wp:inline distT="0" distB="0" distL="0" distR="0" wp14:anchorId="53CB0F9F" wp14:editId="30233821">
            <wp:extent cx="5735171" cy="3973606"/>
            <wp:effectExtent l="0" t="0" r="0" b="8255"/>
            <wp:docPr id="278" name="Imagen 278" descr="https://s03.s3c.es/imag/_v0/800x496/1/d/1/060620-SP-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800x496/1/d/1/060620-SP-2.gif"/>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5731510" cy="3971069"/>
                    </a:xfrm>
                    <a:prstGeom prst="rect">
                      <a:avLst/>
                    </a:prstGeom>
                    <a:noFill/>
                    <a:ln>
                      <a:noFill/>
                    </a:ln>
                  </pic:spPr>
                </pic:pic>
              </a:graphicData>
            </a:graphic>
          </wp:inline>
        </w:drawing>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El S&amp;P calca la recuperación de 2009: “un augurio que apunta a más alzas a 12 meses”, según los “analistas”.</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El 3 de junio cerró su mayor subida en 50 sesiones de la historia y el índice ha ido replicando el ascenso que experimentó desde los mínimos de la gran crisis financiera en marzo de 2009.</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“No se consuela el que no quiere”: debo reconocer el placer del conformismo, la ligereza de corazón que otorga, la forma en que resuelve tantos dilemas personales y profesionales.</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¿Por qué esta vez iba a ser distinto?</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A veces la idea no es conseguir que la gente se crea una mentira, sino que el mentiroso meta miedo a la gente. Con el Covid-19, lo están logrando. Mentiras y miedo… miedo y mentiras.</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¿Terminará alguna vez este período de esquizofrenia económica, que ya lleva dos grandes crisis (2008 y 2020) en su haber?</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¿Se puede terminar con la economía de casino, sin abordar el proceso de desglobalización, para recuperar las actividades productivas perdidas?</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Además de mirarse el ombligo en el espejo (los global players) no vendría mal echar una ojeada a la involución de buena parte de la sociedad de los países avanzados.</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A saber: de seguir en la misma, quizás ya sea demasiado tarde hasta para las lágrimas.</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Cuidado con intentar disparar con armas que desconocen, cuidado con no evaluar la importancia del retroceso, el culatazo que produce un disparo de novato. Si esa fuerza tiende su manto sobre las clases populares de la precariedad laboral y el coronavirus…  entonces sabremos, por quién doblan las campanas (que no serán para dar inicio a la rueda bursátil).</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lastRenderedPageBreak/>
        <w:t>El miedo de los empresarios y economistas, auténticamente liberales (que no liberticidas) a hacer lo que deben, no lo que se dice o se supone que deben hacer (según el establishment, subvencionado y prebendatario), desemboca en no cambiar lo que hacen los “falsos” librecambistas.</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Los historiadores (con más tiempo y perspectiva) podrán establecer si en el proceso de globalización económica hubo dolo o culpa. </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La diferencia esencial es que en el dolo siempre existe mala fe, un concepto jurídico que se refiere a la intencionalidad, a la premeditación para alcanzar un determinado fin conociendo que supone un daño o perjuicio para alguien. La arbitrariedad en la aplicación de algunas medidas correctivas ante las alarmas manifiestas corrobora la mala fe. Los avisos existieron y daban tiempo a reaccionar para evitar un mal mayor en el tejido industrial de EEUU o la UE.</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No hubo desconocimiento ni posible falta de previsión. El proceso de globalización económica se hizo a sabiendas de que podrían ocasionar serios daños en la economía de los países avanzados (ahora, en vías de subdesarrollo).</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Me resulta difícil saber si estos grandes empresarios son conscientes de lo que se viene encima o les gusta jugar con fuego y quemarse. </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Los historiadores demostrarán (eso espero) que en el proceso de globalización económica no hubo negligencia sino intencionalidad y una arraigada costumbre por la ocultación. La responsabilidad de las grandes corporaciones multinacionales (deslocalizando o subcontratando operaciones) es del todo ineludible, la de los gobiernos que los ampararon (conniventes, cómplices necesarios, corruptos), es del todo inevitable. </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La mala fe de una clase dirigente decadente, anclada en un mundo de economía productiva que desaparece sin que dé muestra de haberse enterado, no tiene excusa y supongo que tampoco perdón.</w:t>
      </w:r>
    </w:p>
    <w:p w:rsidR="00B074FC" w:rsidRPr="006C6A7B" w:rsidRDefault="00B074FC" w:rsidP="00B074F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Mientras espero a los historiadores (que darán o quitarán razones), no puedo callar (ni quiero) mi mensaje a los “amos del universo” (global players): nos han robado el trabajo, no han robado los ingresos, nos han robado el futuro, pero al menos, no ofendan nuestra inteligencia.</w:t>
      </w:r>
    </w:p>
    <w:p w:rsidR="00E26FD8" w:rsidRPr="006C6A7B" w:rsidRDefault="00E26FD8" w:rsidP="00E26FD8">
      <w:pPr>
        <w:spacing w:line="240" w:lineRule="auto"/>
        <w:jc w:val="both"/>
        <w:rPr>
          <w:rFonts w:ascii="Times New Roman" w:hAnsi="Times New Roman" w:cs="Times New Roman"/>
          <w:b/>
          <w:sz w:val="24"/>
          <w:szCs w:val="24"/>
        </w:rPr>
      </w:pPr>
      <w:r w:rsidRPr="006C6A7B">
        <w:rPr>
          <w:rFonts w:ascii="Times New Roman" w:hAnsi="Times New Roman" w:cs="Times New Roman"/>
          <w:b/>
          <w:sz w:val="24"/>
          <w:szCs w:val="24"/>
        </w:rPr>
        <w:t>Negocios, traiciones, y disparates, como sistema económico de la posmodernidad</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A </w:t>
      </w:r>
      <w:r w:rsidRPr="006C6A7B">
        <w:rPr>
          <w:rFonts w:ascii="Times New Roman" w:hAnsi="Times New Roman" w:cs="Times New Roman"/>
          <w:b/>
          <w:sz w:val="24"/>
          <w:szCs w:val="24"/>
          <w:u w:val="single"/>
        </w:rPr>
        <w:t>la crisis financiera de 2008</w:t>
      </w:r>
      <w:r w:rsidRPr="006C6A7B">
        <w:rPr>
          <w:rFonts w:ascii="Times New Roman" w:hAnsi="Times New Roman" w:cs="Times New Roman"/>
          <w:sz w:val="24"/>
          <w:szCs w:val="24"/>
        </w:rPr>
        <w:t xml:space="preserve"> se llegó a causa de un sector privado apalancado: los trucos para seguir generando ingresos de la nada, a través de instrumentos (como los CDS y CDO) tejidos con fórmulas brillantes de genios matemáticos, habían generado tantos problemas que amenazaban con arrojar la economía al abismo. En síntesis, estas fórmulas consistían en que se realizaban inversiones, se apostaba por productos financieros o se pagaban dividendos con dinero prestado, y esta jugada a menudo se repetía varias veces, de modo que cuando alguien dejaba de pagar, como ocurrió con los propietarios de viviendas hipotecadas, el edificio podía venirse abajo. El sector público intervino para evitar una crisis total y lo hizo introduciendo enormes cantidades de dinero a través de los bancos centrales, con las que se estabilizó a los grandes bancos, y con ellos al sistema financiero. Pero también se generó mucha deuda estatal, y como el compromiso consistía en que, tras el paréntesis, todo regresaría a la ortodoxia, los ciudadanos tuvieron que hacer sacrificios añadidos para devolver lo que se prestó.</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Esta salida fue una huida hacia delante. Ese dinero no podía generar crecimiento en la economía real, ya que la presión para reducir los déficits de los gobiernos, así como la </w:t>
      </w:r>
      <w:r w:rsidRPr="006C6A7B">
        <w:rPr>
          <w:rFonts w:ascii="Times New Roman" w:hAnsi="Times New Roman" w:cs="Times New Roman"/>
          <w:sz w:val="24"/>
          <w:szCs w:val="24"/>
        </w:rPr>
        <w:lastRenderedPageBreak/>
        <w:t>tendencia a recortar costes y a aumentar los beneficios en las grandes empresas, debilitaron los ingresos y las opciones de las clases medias y trabajadoras occidentales. La esperanza residía en que todo ese capital asentaría la economía, beneficiaría a las clases con más recursos y de ahí fluiría al resto de la sociedad. Una esperanza irreal que, además, produjo efectos nocivos.</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El 11 por ciento más rico de la población mundial posee más del 80% de la riqueza, según afirma Credit Suisse, y mucha riqueza en pocas manos significa que hay mucho dinero excedente: lo que se puede comprar tiene un límite. Este “exceso de ahorro de los ricos”, sin embargo, no está guardado en una caja, sino que vuelve a los mercados con el objetivo de producir rendimiento.</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El problema de fondo es que todo ese enorme capital que circula por las esferas virtuales, raramente aterriza en la economía productiva, la de la gente común. Se destina al sector financiero, a la deuda, a los fondos de inversión, al “private equity”, que circulan por una vía muy distinta. Es una economía muy real en tanto produce beneficios y rentabilidad, pero no genera efectos positivos en el conjunto de la sociedad; peor aún, la debilita.</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Lo que ocurrió con la crisis de 2008 fue que esas grandes cantidades de dinero que se introdujeron en el mercado alimentaron ese circuito, y además de sanar las cuentas de los grandes bancos y solucionar los problemas esperados de rentabilidad, inflaron la burbuja de ese sector paralelo. El mercado de las acciones y de los bonos, pero también de las fusiones y adquisiciones, del apalancamiento o de las operaciones del “private equity”, se han sostenido en esa burbuja; mientras, las clases medias y las trabajadoras occidentales, y con ellas la economía productiva, perdían peso y opciones. Han sido años de gran bonanza (para unos pocos privilegiados - Wall Street), pero el ciudadano de a pie no se ha enterado (y lo vivió como una gran depresión - Main Street).</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b/>
          <w:sz w:val="24"/>
          <w:szCs w:val="24"/>
          <w:u w:val="single"/>
        </w:rPr>
        <w:t>Así se ha llegado a 2020, el año de la pandemia</w:t>
      </w:r>
      <w:r w:rsidRPr="006C6A7B">
        <w:rPr>
          <w:rFonts w:ascii="Times New Roman" w:hAnsi="Times New Roman" w:cs="Times New Roman"/>
          <w:sz w:val="24"/>
          <w:szCs w:val="24"/>
        </w:rPr>
        <w:t>. La crisis era una situación esperada que, como tantas otras cosas, el coronavirus aceleró. Todos estos años de dinero ficticio operando en una esfera virtual tenían que encontrarse con lo real en algún momento.</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Esta vez no han sido los bancos, sino las compañías demasiado estratégicas para caer, esas grandes firmas demasiado endeudadas, las que han provocado la necesidad de que se inserten grandes cantidades de dinero en la economía. Mohamed El-Erian, afirma que el apoyo masivo que ha brindado la Reserva Federal a “compañías zombis” improductivas supone un gran riesgo, ya que también se pueden crear “mercados zombis”, cuya distorsión hará que el capital no se use adecuadamente. Es probable que la advertencia de El-Erian llegue tarde, porque eso es lo que se ha estado ocurriendo desde 2008.</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En esta situación, y cuando la respuesta a la crisis de 2020 consiste en hacer lo mismo que en la precedente, pero ampliando el músculo de la ayuda, los riesgos tienden a aumentar. El-Erian señala, y es una posición ampliamente aceptada, que el apalancamiento actual a través del rescate institucional a las grandes empresas (y al sector financiero que se beneficia de ellas) es aconsejable y necesario, siempre y cuando después se produzca crecimiento económico. La resolución de los problemas de liquidez es precisa, a condición de que no lleve a la insolvencia.</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Si la economía vuelve a funcionar, todo irá bien. Pero si no es así y no se produce crecimiento en la economía real, la de los empleos y el consumo, nos encontraremos con un sobreendeudamiento masivo que llevará a la falta de pago y a las reestructuraciones de deuda. En este orden, se imponen medidas en varias direcciones, según El-Erian: los gobiernos </w:t>
      </w:r>
      <w:r w:rsidRPr="006C6A7B">
        <w:rPr>
          <w:rFonts w:ascii="Times New Roman" w:hAnsi="Times New Roman" w:cs="Times New Roman"/>
          <w:sz w:val="24"/>
          <w:szCs w:val="24"/>
        </w:rPr>
        <w:lastRenderedPageBreak/>
        <w:t>deben garantizar una base más sólida para el crecimiento que no solo beneficie a los sectores con más recursos, los inversores deben ser más cuidadosos y reducir su exposición al riesgo y las empresas deben resistir la tentación de utilizar la deuda para la ingeniería financiera, las recompras de acciones y los bonus para sus directivos.</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Todo correcto, salvo que estas llamadas a la prudencia son operativamente muy débiles. El problema de fondo es que existen dos esferas altamente desconectadas, dos caminos diferentes de entender la economía y dos formas de obtener rentabilidad, y en ese escenario las apelaciones a la cordura suponen quedar en manos de la buena voluntad. La cuestión de fondo es estructural: el único modo para que eso se produzca sería generar cambios de calado que permitieran que la economía productiva y la financiera volvieran a conectarse de un modo que beneficiase a la primera. Solo por ese camino, el de que las clases medias y trabajadoras occidentales volvieran a tener recursos, se generaría crecimiento.</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Escoger esa vía supone cruzar una línea bastante peligrosa, porque significaría que los sectores que más están ganando tendrían que renunciar a parte de sus beneficios. Y esto no es tan sencillo. Un ejemplo significativo lo tenemos en el desacople con China. Separarse de la producción barata implicaría, entre otros efectos, dañar las cuentas de resultados de las grandes firmas que fabrican allí, y muy pocas empresas están dispuestas a cambiar el guion (y sus accionistas menos todavía). El desacople que se sugiere es diferente, y tiene que ver con minar el recorrido ascendente de la potencia asiática, en especial en la competencia que realiza en sectores de alto valor añadido y en su poder militar, o en bienes estratégicos, no en la fabricación barata.</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La economía real juega un papel similar para la financiera, es parte de su fuente de beneficios, es la base a partir de la cual genera rentabilidad. Como ocurre con China, al ámbito financiero le interesa que funcione, pero no en exceso, porque eso dañaría el nivel de beneficios. Aumentar el nivel de vida de las clases trabajadoras y medias occidentales potenciaría el consumo e impulsaría el crecimiento, pero lo haría a costa de restar dividendos, y es un sacrificio que todavía no se quiere realizar. La salida de esta crisis lo demuestra: los recursos han llegado rápidamente y en grandes cantidades a los sectores más potentes de la economía, y mucho más lentamente y en menor cantidad a los pequeños negocios y a los trabajadores. Se han aportado cantidades paliativas a la economía real, justo lo necesario para que no se asfixie, pero insuficientes para recuperarla y potenciarla.</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Sin embargo, esta es la única solución significativa a esta crisis, un aumento de los recursos, el nivel de vida y las posibilidades de las clases perdedoras en los últimos tiempos. Este giro hacia la economía real, hacia “Main Street” y hacia la recuperación de las clases trabajadoras, subrayaría que se cuenta con sentido del momento histórico, demostraría responsabilidad en la clase política y comprensión de la importancia de la cohesión social, la que fue la base del capitalismo de la posguerra. De momento, nada de esto está presente, por lo que viviremos un tiempo en el que habrá recuperación y el próximo año, si no hay rebrote de la pandemia, la gente común volverá a sufrir en sus carnes la crisis. Y aumentarán las tensiones, las opciones antisistémicas, el descontento social, la inestabilidad. Y así seguiremos. No hemos aprendido nada de 2008. Ni de la Historia.</w:t>
      </w:r>
    </w:p>
    <w:p w:rsidR="00E26FD8" w:rsidRPr="006C6A7B" w:rsidRDefault="00F35EB4"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En su último libro, “</w:t>
      </w:r>
      <w:r w:rsidR="00E26FD8" w:rsidRPr="006C6A7B">
        <w:rPr>
          <w:rFonts w:ascii="Times New Roman" w:hAnsi="Times New Roman" w:cs="Times New Roman"/>
          <w:sz w:val="24"/>
          <w:szCs w:val="24"/>
        </w:rPr>
        <w:t>Hablemos claro sobre el come</w:t>
      </w:r>
      <w:r w:rsidRPr="006C6A7B">
        <w:rPr>
          <w:rFonts w:ascii="Times New Roman" w:hAnsi="Times New Roman" w:cs="Times New Roman"/>
          <w:sz w:val="24"/>
          <w:szCs w:val="24"/>
        </w:rPr>
        <w:t>rcio mundial”</w:t>
      </w:r>
      <w:r w:rsidR="00E26FD8" w:rsidRPr="006C6A7B">
        <w:rPr>
          <w:rFonts w:ascii="Times New Roman" w:hAnsi="Times New Roman" w:cs="Times New Roman"/>
          <w:sz w:val="24"/>
          <w:szCs w:val="24"/>
        </w:rPr>
        <w:t xml:space="preserve">, Dani Rodrik iba directo al grano: ¿eran los economistas culpables de la victoria de Donald Trump? </w:t>
      </w:r>
      <w:r w:rsidR="00E26FD8" w:rsidRPr="00C73630">
        <w:rPr>
          <w:rFonts w:ascii="Times New Roman" w:hAnsi="Times New Roman" w:cs="Times New Roman"/>
          <w:sz w:val="24"/>
          <w:szCs w:val="24"/>
        </w:rPr>
        <w:t>Rodrik, ganador</w:t>
      </w:r>
      <w:r w:rsidR="00E26FD8" w:rsidRPr="006C6A7B">
        <w:rPr>
          <w:rFonts w:ascii="Times New Roman" w:hAnsi="Times New Roman" w:cs="Times New Roman"/>
          <w:sz w:val="24"/>
          <w:szCs w:val="24"/>
          <w:u w:val="single"/>
        </w:rPr>
        <w:t xml:space="preserve"> </w:t>
      </w:r>
      <w:r w:rsidR="00E26FD8" w:rsidRPr="006C6A7B">
        <w:rPr>
          <w:rFonts w:ascii="Times New Roman" w:hAnsi="Times New Roman" w:cs="Times New Roman"/>
          <w:sz w:val="24"/>
          <w:szCs w:val="24"/>
        </w:rPr>
        <w:t xml:space="preserve">(12/6/20) del premio Princesa de Asturias de Ciencias Sociales, acusaba a sus colegas de haber estado durante décadas cegados por las bondades de la globalización, de haberse </w:t>
      </w:r>
      <w:r w:rsidR="00E26FD8" w:rsidRPr="006C6A7B">
        <w:rPr>
          <w:rFonts w:ascii="Times New Roman" w:hAnsi="Times New Roman" w:cs="Times New Roman"/>
          <w:sz w:val="24"/>
          <w:szCs w:val="24"/>
        </w:rPr>
        <w:lastRenderedPageBreak/>
        <w:t>convertido en unos “idiotas sabios de las ciencias sociales” que solo eran capaces de usar marcos teóricos simples para explicar fenómenos sociales complejos.</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“Los economistas tienden a subestimar algunas de las complicaciones de la globalización, como los efectos distributivos o las consecuencias sobre los grupos que se ven afectados de forma negativa”, explicaba en una entrevista en diciembre de 2018 a El Confidencial. “Tampoco les gusta hablar sobre los inconvenientes en público porque tienen miedo de ofrecer munición a los prote</w:t>
      </w:r>
      <w:r w:rsidR="00F35EB4" w:rsidRPr="006C6A7B">
        <w:rPr>
          <w:rFonts w:ascii="Times New Roman" w:hAnsi="Times New Roman" w:cs="Times New Roman"/>
          <w:sz w:val="24"/>
          <w:szCs w:val="24"/>
        </w:rPr>
        <w:t>ccionistas, a quienes ven como “bárbaros”</w:t>
      </w:r>
      <w:r w:rsidRPr="006C6A7B">
        <w:rPr>
          <w:rFonts w:ascii="Times New Roman" w:hAnsi="Times New Roman" w:cs="Times New Roman"/>
          <w:sz w:val="24"/>
          <w:szCs w:val="24"/>
        </w:rPr>
        <w:t>, que o bien no entienden la defensa del libre mercado o quieren proteger tan solo sus estrechos puntos de vista”.</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Dani Rodrik (Estambul, 1957) lleva años y años repitiendo que el exceso de globalización traería consecuencias negativas. Ya en la primera década de los dos mil, antes de la gran recesión, advertía del fanatismo neoliberal, “un concepto resbaladizo y cambiante” que ha acabado impregnando gran parte de nuestro pensamiento y transformando la economía en un sustrato puramente i</w:t>
      </w:r>
      <w:r w:rsidR="00F35EB4" w:rsidRPr="006C6A7B">
        <w:rPr>
          <w:rFonts w:ascii="Times New Roman" w:hAnsi="Times New Roman" w:cs="Times New Roman"/>
          <w:sz w:val="24"/>
          <w:szCs w:val="24"/>
        </w:rPr>
        <w:t>deológico. Desde que publicara “</w:t>
      </w:r>
      <w:r w:rsidRPr="006C6A7B">
        <w:rPr>
          <w:rFonts w:ascii="Times New Roman" w:hAnsi="Times New Roman" w:cs="Times New Roman"/>
          <w:sz w:val="24"/>
          <w:szCs w:val="24"/>
        </w:rPr>
        <w:t>¿Ha ido la</w:t>
      </w:r>
      <w:r w:rsidR="00F35EB4" w:rsidRPr="006C6A7B">
        <w:rPr>
          <w:rFonts w:ascii="Times New Roman" w:hAnsi="Times New Roman" w:cs="Times New Roman"/>
          <w:sz w:val="24"/>
          <w:szCs w:val="24"/>
        </w:rPr>
        <w:t xml:space="preserve"> globalización demasiado lejos?”</w:t>
      </w:r>
      <w:r w:rsidRPr="006C6A7B">
        <w:rPr>
          <w:rFonts w:ascii="Times New Roman" w:hAnsi="Times New Roman" w:cs="Times New Roman"/>
          <w:sz w:val="24"/>
          <w:szCs w:val="24"/>
        </w:rPr>
        <w:t xml:space="preserve"> en 1997, este profesor de la Universidad de Harvard ha cargado contra los partidos políticos centristas que pensaban que la economía se podía disociar de la política, que la globalización había caído “del cielo” y que uno puede trasplantar modelos económicos a otros países con circunstancias y culturas muy distintas.</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“De sus trabajos, se deduce la necesidad de mejorar el gobierno de la globalización, un tema de gran relevancia en un momento de cuestionamiento del multilateralismo”, ha explicado el jurado del premio Princesa de Asturias en un comunicado. “En una coyuntura en la que el déficit creciente de gobernanza global y la necesidad de generar bienes públicos se hace más evidente (y la actual pandemia lo pone de manifiesto), la obra de Dani Rodrik aporta instrumentos esenciales para el análisis de las relaciones internacionales y el refuerzo de las instituciones multilaterales”, afirmaba.</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Probablemente, la aportación más novedosa de este economista haya sido el “trilema de la globalización”, teoría clave para entender las circunstancias políticas de nuestro tiempo. En “La paradoja de la globalización” (2011), Rodrik dibujó un triángulo cuyos vértices eran la globalización económica, la soberanía nacional y la democracia. ¿El problema? Solo se pueden escoger dos, y los demócratas liberales se han pasado años tratando sin éxito de tener los tres al mismo tiempo, provocando el descontento de sus votantes.</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En ese sentido, Trump, el Brexit y los nuevos movimientos iliberales, hijos de ese trilema, no se explican solo como fenómenos identitarios, sino que responden a la hipocresía de los partidos políticos, que han intentado comerse el pastel sin dejar de tenerlo en ningún momento: “(Los movimientos populistas) son el resultado de la falta de honestidad de políticos centristas que no se han enfrentado a las implicaciones del trilema. Les dijeron a sus votantes que podrían perseguir la hiperglobalización sin abandonar la soberanía o la rendición de cuentas democrática”, explicaba en su última </w:t>
      </w:r>
      <w:r w:rsidR="007637DA">
        <w:rPr>
          <w:rFonts w:ascii="Times New Roman" w:hAnsi="Times New Roman" w:cs="Times New Roman"/>
          <w:sz w:val="24"/>
          <w:szCs w:val="24"/>
        </w:rPr>
        <w:t>entrevista con El Confidencial.</w:t>
      </w:r>
    </w:p>
    <w:p w:rsidR="007637DA"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“Como dijo una vez un antiguo ministro de Economía de la eurozona, los populistas de hoy son los únicos que están contando la verdad sobre el trilema. Ellos son totalmente explícitos sobre lo que están dispuestos a abandonar: la hiperglobalización. Desafortunadamente, mezclan esta idea con una agenda política y económica nativista que no aborda los problemas fundamentales de sus votantes. Ahí es donde la izquierda debe involucrarse y rellenar ese vacío”, subrayaba.</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lastRenderedPageBreak/>
        <w:t>El trilema de la globalización, afirmaba en su obra, no implica abandonar por completo las organizaciones internacionales ni el comercio mundial. De hecho, en muchos casos, han sido muy positivos. Hay algunas áreas, reconocía el propio Rodrik, donde la gobernanza global es indispensable, “como en el combate contra el cambio climático, el control de la venta de armas o las precauciones ante las pandemias”. Pero la gestión económica del día a día y el peso de la responsabilidad, argumentaba, deben permanecer en manos nacionales, pues, si los estados-nación hacen sus deberes, acabaremos con una economía mundial razonablemente abierta igual.</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Los enemigos de Rodrik le han tildado de proteccionista y le han acusado de dar armas ideológicas a los autárquicos identitarios, pero él siempre ha negado su rechazo al capitalismo. “No hay nada malo en los mercados, el emprendedurismo privado o los incentivos, cuando se aplican de manera adecuada”, decía en un r</w:t>
      </w:r>
      <w:r w:rsidR="00F35EB4" w:rsidRPr="006C6A7B">
        <w:rPr>
          <w:rFonts w:ascii="Times New Roman" w:hAnsi="Times New Roman" w:cs="Times New Roman"/>
          <w:sz w:val="24"/>
          <w:szCs w:val="24"/>
        </w:rPr>
        <w:t>eciente artículo en la revista “Letras Libres”</w:t>
      </w:r>
      <w:r w:rsidRPr="006C6A7B">
        <w:rPr>
          <w:rFonts w:ascii="Times New Roman" w:hAnsi="Times New Roman" w:cs="Times New Roman"/>
          <w:sz w:val="24"/>
          <w:szCs w:val="24"/>
        </w:rPr>
        <w:t>. “Su uso creativo está detrás de los avances económicos más significativos de nuestro tiempo. Mientras acumulamos críticas contra el neoliberalismo, nos arriesgamos a despreciar algunas de sus útiles ideas”.</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Para Rodrik, a quien el “Financial Times” acabó catalogando como “pragmático del comercio”, no existe incompatibilidad inherente entre la apertura económica y perseguir el interés nacional. La globalización, recalca, debe servir a los objetivos de los países y las sociedades. No a la inversa.</w:t>
      </w:r>
    </w:p>
    <w:p w:rsidR="00E26FD8" w:rsidRPr="006C6A7B" w:rsidRDefault="00E26FD8" w:rsidP="00E26F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Keynes dijo una vez que sería genial que se consiguiera ver a los economistas como personas tan humildes y competentes como a los dentistas. Quizá la gran aportación de Rodrik haya sido esa: “desinyectar” un poco de arrogancia de una profesión tan desprestigiada por la crisis financiera de 2008 y la del euro de 2012. Explicar, en definitiva, que la economía nunca ha sido una ciencia estrictamente rigurosa que dé respuestas inequívocas a nuestros problemas. “Tenemos que enseñar a nuestros estudiantes que la mayoría del tiempo la mejor respuesta que podemos dar a una pregunta sobre una política económica es “depende”, seguida de una larga explicación sobre de qué depende”, afirmaba.</w:t>
      </w:r>
    </w:p>
    <w:p w:rsidR="003E1A80" w:rsidRPr="006C6A7B" w:rsidRDefault="003E1A80" w:rsidP="00E26FD8">
      <w:pPr>
        <w:spacing w:line="240" w:lineRule="auto"/>
        <w:jc w:val="both"/>
        <w:rPr>
          <w:rFonts w:ascii="Times New Roman" w:hAnsi="Times New Roman" w:cs="Times New Roman"/>
          <w:b/>
          <w:sz w:val="24"/>
          <w:szCs w:val="24"/>
        </w:rPr>
      </w:pPr>
      <w:r w:rsidRPr="006C6A7B">
        <w:rPr>
          <w:rFonts w:ascii="Times New Roman" w:hAnsi="Times New Roman" w:cs="Times New Roman"/>
          <w:b/>
          <w:sz w:val="24"/>
          <w:szCs w:val="24"/>
        </w:rPr>
        <w:t>Las perversiones económicas globales (2008: culpable EEUU y 2020: culpable China)</w:t>
      </w:r>
    </w:p>
    <w:p w:rsidR="004C62D2" w:rsidRDefault="004C62D2" w:rsidP="004C62D2">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Las dos últimas crisis que hemos vivido han estado basadas en esquemas de exponencialidad y de contagio (falta de confianza). La primera se basó en la ley de capitalización compuesta, que rige los mercados financieros y que explica cómo la economía financiera crece muy por encima de la economía real (lineal) sin posibilidad de redención. La consecuencia no es una economía basada en los bienes, como probablemente hubiera dicho Aristóteles, en los activos, que se dice ahora; sino una economía basada en la deuda, en los pasivos: en las perversas ideas de reserva fraccionaria, de dinero basado en la deuda, de las ventas en descubierto, de los derechos a contaminar y otras tantas perversiones que va generando nuestro sistema de acumulación y nuestra economía de casino. Por no hablar de las innovaciones eufemísticas en el ámbito financiero de llamar, por ejemplo, a un bono, que es un título de deuda, activo financiero. Y la segunda, la crisis del Covid-19, basada en la curva exponencial de contagio de cualquier epidemia y que nos ha sobrecogido a todos, no tanto por sus efectos, pues en la historia ha habido crisis epidemiológicas con mayor impacto sanitario, sino por su integración en el sistema económico y por ser el síntoma, aparte del cambio </w:t>
      </w:r>
      <w:r w:rsidR="003E1A80" w:rsidRPr="006C6A7B">
        <w:rPr>
          <w:rFonts w:ascii="Times New Roman" w:hAnsi="Times New Roman" w:cs="Times New Roman"/>
          <w:sz w:val="24"/>
          <w:szCs w:val="24"/>
        </w:rPr>
        <w:t>geoestratégico entre China y EE</w:t>
      </w:r>
      <w:r w:rsidRPr="006C6A7B">
        <w:rPr>
          <w:rFonts w:ascii="Times New Roman" w:hAnsi="Times New Roman" w:cs="Times New Roman"/>
          <w:sz w:val="24"/>
          <w:szCs w:val="24"/>
        </w:rPr>
        <w:t>UU, de un problema ambiental sin precedentes: pérdida de biodiversidad, cambio climático, ciclo del nitróge</w:t>
      </w:r>
      <w:r w:rsidR="009361EE">
        <w:rPr>
          <w:rFonts w:ascii="Times New Roman" w:hAnsi="Times New Roman" w:cs="Times New Roman"/>
          <w:sz w:val="24"/>
          <w:szCs w:val="24"/>
        </w:rPr>
        <w:t>no, acidificación oceánica</w:t>
      </w:r>
      <w:r w:rsidRPr="006C6A7B">
        <w:rPr>
          <w:rFonts w:ascii="Times New Roman" w:hAnsi="Times New Roman" w:cs="Times New Roman"/>
          <w:sz w:val="24"/>
          <w:szCs w:val="24"/>
        </w:rPr>
        <w:t>, etc.</w:t>
      </w:r>
    </w:p>
    <w:p w:rsidR="004C62D2" w:rsidRPr="006C6A7B" w:rsidRDefault="004C62D2" w:rsidP="004C62D2">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En esta crisis los mercados no han funcionado. Los modelos de </w:t>
      </w:r>
      <w:r w:rsidR="00B074FC" w:rsidRPr="006C6A7B">
        <w:rPr>
          <w:rFonts w:ascii="Times New Roman" w:hAnsi="Times New Roman" w:cs="Times New Roman"/>
          <w:sz w:val="24"/>
          <w:szCs w:val="24"/>
        </w:rPr>
        <w:t>tercerización</w:t>
      </w:r>
      <w:r w:rsidRPr="006C6A7B">
        <w:rPr>
          <w:rFonts w:ascii="Times New Roman" w:hAnsi="Times New Roman" w:cs="Times New Roman"/>
          <w:sz w:val="24"/>
          <w:szCs w:val="24"/>
        </w:rPr>
        <w:t xml:space="preserve"> o de temporización de la cadena de suministro han mostrado su vulnerabilidad. La obsesión por la </w:t>
      </w:r>
      <w:r w:rsidRPr="006C6A7B">
        <w:rPr>
          <w:rFonts w:ascii="Times New Roman" w:hAnsi="Times New Roman" w:cs="Times New Roman"/>
          <w:sz w:val="24"/>
          <w:szCs w:val="24"/>
        </w:rPr>
        <w:lastRenderedPageBreak/>
        <w:t>rotación de las cosas (obsolescencia programada y economía lineal) y de las personas nos genera problemas ambientales e infelicidad. El riesgo moral y el riesgo de agencia han campado a sus anchas. No estaba previsto un sistema de seguros para hacer frente a una catástrofe de esta índole, que era considerada en términos gaussianos como un problema de cola, y no la reconocimos cuando llegó (como tampoco la crisis financiera de 2008). Los Gobiernos se han visto más débiles que las grandes corporaciones para poder proveer de material sanitario y preservar la seguridad de los ciudadanos. Y lo que es mucho más grave, ha habido un cambio sustancial en las externalidades. Las externalidades negativas, como la del Covid-19, se han hecho transversales y/o globales. Las empresas y la economía financiera trasladan hoy más riesgos que costes a la sociedad. Cada vez más riesgos específicos se van convirtiendo en riesgos sistémicos, con importantes consecuencias en términos de desigualdad (socialización de los costes de las crisis y privatización de las ganancias) y distribución de la carga impositiva, de capacidad de diversificación y gestión de los riesgos, o de gobernanza.</w:t>
      </w:r>
    </w:p>
    <w:p w:rsidR="004C62D2" w:rsidRPr="006C6A7B" w:rsidRDefault="004C62D2" w:rsidP="004C62D2">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Precisamente el reto de la gobernanza está en la generación de certidumbre y horizontes de certeza. Ya sabemos que el mundo es incierto y azaroso, que todo está sometido a las leyes del cambio, pero no podemos permitir que las instituciones humanas (Gobiernos y empresas, por ejemplo) sean las que aceleren la incertidumbre, incrementen la entropía y eludan la planificación ante la fungibilidad y el cambio omnipresentes. El fetichismo que nuestra sociedad siente por el cambio nos ha llevado a generar esquemas de exponencialidad a los que no estamos acostumbrados, ni nuestra economía ni nuestra salud mental. Todos deberíamos pensar cómo aportar certidumbre a nuestro entorno, tanto a nivel individual como institucional. Esa debe ser nuestra licencia social para operar: la clave de la confianza a la que debemos enfrentarnos. Y confiar no es eludir el espíritu crítico.</w:t>
      </w:r>
    </w:p>
    <w:p w:rsidR="008D2AD8" w:rsidRPr="006C6A7B" w:rsidRDefault="008D2AD8" w:rsidP="004C62D2">
      <w:pPr>
        <w:spacing w:line="240" w:lineRule="auto"/>
        <w:jc w:val="both"/>
        <w:rPr>
          <w:rFonts w:ascii="Times New Roman" w:hAnsi="Times New Roman" w:cs="Times New Roman"/>
          <w:b/>
          <w:sz w:val="24"/>
          <w:szCs w:val="24"/>
        </w:rPr>
      </w:pPr>
      <w:r w:rsidRPr="006C6A7B">
        <w:rPr>
          <w:rFonts w:ascii="Times New Roman" w:hAnsi="Times New Roman" w:cs="Times New Roman"/>
          <w:b/>
          <w:sz w:val="24"/>
          <w:szCs w:val="24"/>
        </w:rPr>
        <w:t>More questions</w:t>
      </w:r>
      <w:r w:rsidR="004C332E" w:rsidRPr="006C6A7B">
        <w:rPr>
          <w:rFonts w:ascii="Times New Roman" w:hAnsi="Times New Roman" w:cs="Times New Roman"/>
          <w:b/>
          <w:sz w:val="24"/>
          <w:szCs w:val="24"/>
        </w:rPr>
        <w:t xml:space="preserve"> t</w:t>
      </w:r>
      <w:r w:rsidR="007005A3" w:rsidRPr="006C6A7B">
        <w:rPr>
          <w:rFonts w:ascii="Times New Roman" w:hAnsi="Times New Roman" w:cs="Times New Roman"/>
          <w:b/>
          <w:sz w:val="24"/>
          <w:szCs w:val="24"/>
        </w:rPr>
        <w:t xml:space="preserve">han answers </w:t>
      </w:r>
      <w:r w:rsidR="004C332E" w:rsidRPr="006C6A7B">
        <w:rPr>
          <w:rFonts w:ascii="Times New Roman" w:hAnsi="Times New Roman" w:cs="Times New Roman"/>
          <w:b/>
          <w:sz w:val="24"/>
          <w:szCs w:val="24"/>
        </w:rPr>
        <w:t xml:space="preserve">(la </w:t>
      </w:r>
      <w:r w:rsidR="007005A3" w:rsidRPr="006C6A7B">
        <w:rPr>
          <w:rFonts w:ascii="Times New Roman" w:hAnsi="Times New Roman" w:cs="Times New Roman"/>
          <w:b/>
          <w:sz w:val="24"/>
          <w:szCs w:val="24"/>
        </w:rPr>
        <w:t xml:space="preserve">realidad que tanto </w:t>
      </w:r>
      <w:r w:rsidRPr="006C6A7B">
        <w:rPr>
          <w:rFonts w:ascii="Times New Roman" w:hAnsi="Times New Roman" w:cs="Times New Roman"/>
          <w:b/>
          <w:sz w:val="24"/>
          <w:szCs w:val="24"/>
        </w:rPr>
        <w:t>cuesta reconocer al establishment)</w:t>
      </w:r>
    </w:p>
    <w:p w:rsidR="008D2AD8" w:rsidRPr="006C6A7B" w:rsidRDefault="008D2AD8" w:rsidP="008D2A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La Fed suele hacer una encuesta en la que se pregunta a los estadounidenses si posee fondos suficientes para hacer frente a un gasto imprevisto de 400 dólares. En la última, el 40</w:t>
      </w:r>
      <w:r w:rsidR="00C73630">
        <w:rPr>
          <w:rFonts w:ascii="Times New Roman" w:hAnsi="Times New Roman" w:cs="Times New Roman"/>
          <w:sz w:val="24"/>
          <w:szCs w:val="24"/>
        </w:rPr>
        <w:t xml:space="preserve"> </w:t>
      </w:r>
      <w:r w:rsidRPr="006C6A7B">
        <w:rPr>
          <w:rFonts w:ascii="Times New Roman" w:hAnsi="Times New Roman" w:cs="Times New Roman"/>
          <w:sz w:val="24"/>
          <w:szCs w:val="24"/>
        </w:rPr>
        <w:t>% contestó que no podría pagarlo sin vender algo o pedir dinero prestado. Y no es solo una situación privada, es un mapa general. (El Confidencial - 7/5/20)</w:t>
      </w:r>
    </w:p>
    <w:p w:rsidR="008D2AD8" w:rsidRPr="006C6A7B" w:rsidRDefault="008D2AD8" w:rsidP="008D2A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No eran solo los particulares: una parte importante de trabajadores y de pequeños empresarios vivían al límite, en EEUU, en España y en gran parte de Occidente, y la pandemia ha provocado que lo rebasen: las quiebras que vendrán a partir de ahora, así como las dificultades de subsistencia, tienen que ver con la imposibilidad de asumir más gastos y más deuda.</w:t>
      </w:r>
    </w:p>
    <w:p w:rsidR="008D2AD8" w:rsidRPr="006C6A7B" w:rsidRDefault="008D2AD8" w:rsidP="008D2A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Era una situación paradójica, porque al mismo tiempo que esos sectores pasaban dificultades, las grandes empresas vivían una oleada de dividendos y de recompras de acciones que proporcionaban más riqueza a sus accionistas. Sin embargo, y esto es importante para entender la presente crisis, tales flujos de beneficio no mejoraron la situación de las firmas; más al contrario, aquellas transferencias de fondos hacia los accionistas no fueron gratis, porque tuvieron el efecto de endeudar a esas compañías y de colocarlas en una posición débil.</w:t>
      </w:r>
    </w:p>
    <w:p w:rsidR="008D2AD8" w:rsidRPr="006C6A7B" w:rsidRDefault="008D2AD8" w:rsidP="008D2A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De modo que, cuando el virus ha llegado, se ha encontrado con muchísimas empresas, grandes y pequeñas, que estaban en la situación de no poder soportar siquiera un imprevisto, por seguir con el ejemplo, de 400 dólares al mes.</w:t>
      </w:r>
    </w:p>
    <w:p w:rsidR="008D2AD8" w:rsidRPr="006C6A7B" w:rsidRDefault="008D2AD8" w:rsidP="008D2AD8">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Repasemos: un mundo fragmentado, con EEUU lanzado hacia la desglobalización y China creciendo; una Unión Europea con fuertes tensiones; una necesidad urgente de conseguir </w:t>
      </w:r>
      <w:r w:rsidRPr="006C6A7B">
        <w:rPr>
          <w:rFonts w:ascii="Times New Roman" w:hAnsi="Times New Roman" w:cs="Times New Roman"/>
          <w:sz w:val="24"/>
          <w:szCs w:val="24"/>
        </w:rPr>
        <w:lastRenderedPageBreak/>
        <w:t>fondos para la recuperación de los que carecemos; la posibilidad de que el endeudamiento estatal nos pase factura a to</w:t>
      </w:r>
      <w:r w:rsidR="008D47DC">
        <w:rPr>
          <w:rFonts w:ascii="Times New Roman" w:hAnsi="Times New Roman" w:cs="Times New Roman"/>
          <w:sz w:val="24"/>
          <w:szCs w:val="24"/>
        </w:rPr>
        <w:t>dos los contribuyentes</w:t>
      </w:r>
      <w:r w:rsidRPr="006C6A7B">
        <w:rPr>
          <w:rFonts w:ascii="Times New Roman" w:hAnsi="Times New Roman" w:cs="Times New Roman"/>
          <w:sz w:val="24"/>
          <w:szCs w:val="24"/>
        </w:rPr>
        <w:t xml:space="preserve"> en poco tiempo; la quiebra de pequeñas empresas y el paro aumentando; y todo esto sin haber salido de la pandemia.</w:t>
      </w:r>
    </w:p>
    <w:p w:rsidR="008D2AD8" w:rsidRPr="006C6A7B" w:rsidRDefault="008D2AD8" w:rsidP="008D2AD8">
      <w:pPr>
        <w:shd w:val="clear" w:color="auto" w:fill="FFFFFF"/>
        <w:spacing w:after="0" w:line="240" w:lineRule="auto"/>
        <w:jc w:val="both"/>
        <w:textAlignment w:val="baseline"/>
        <w:rPr>
          <w:rFonts w:ascii="Times New Roman" w:eastAsia="Times New Roman" w:hAnsi="Times New Roman" w:cs="Times New Roman"/>
          <w:sz w:val="24"/>
          <w:szCs w:val="24"/>
        </w:rPr>
      </w:pPr>
      <w:r w:rsidRPr="006C6A7B">
        <w:rPr>
          <w:rFonts w:ascii="Times New Roman" w:eastAsia="Times New Roman" w:hAnsi="Times New Roman" w:cs="Times New Roman"/>
          <w:sz w:val="24"/>
          <w:szCs w:val="24"/>
        </w:rPr>
        <w:t>O expresado de otra manera: los subsidios estatales para devolver “la tranquilidad a los mercados” (sic), otorgados en la crisis financiera (2008), y en la crisis sanitaria (2020), han  sido una política pública diseñada en beneficio de algunas grandes corporaciones con una notable capacidad de presionar e influir sobre los gobernant</w:t>
      </w:r>
      <w:r w:rsidR="008D47DC">
        <w:rPr>
          <w:rFonts w:ascii="Times New Roman" w:eastAsia="Times New Roman" w:hAnsi="Times New Roman" w:cs="Times New Roman"/>
          <w:sz w:val="24"/>
          <w:szCs w:val="24"/>
        </w:rPr>
        <w:t>es. Sirven como ejemplo claro sobre</w:t>
      </w:r>
      <w:r w:rsidRPr="006C6A7B">
        <w:rPr>
          <w:rFonts w:ascii="Times New Roman" w:eastAsia="Times New Roman" w:hAnsi="Times New Roman" w:cs="Times New Roman"/>
          <w:sz w:val="24"/>
          <w:szCs w:val="24"/>
        </w:rPr>
        <w:t xml:space="preserve"> cómo el regulador es capturado por aquellos intereses privados que consiguen doblegar el intervencionismo estatal en su favor: un motivo más de por qué se deberían </w:t>
      </w:r>
      <w:r w:rsidRPr="006C6A7B">
        <w:rPr>
          <w:rFonts w:ascii="Times New Roman" w:eastAsia="Times New Roman" w:hAnsi="Times New Roman" w:cs="Times New Roman"/>
          <w:bCs/>
          <w:sz w:val="24"/>
          <w:szCs w:val="24"/>
          <w:bdr w:val="none" w:sz="0" w:space="0" w:color="auto" w:frame="1"/>
        </w:rPr>
        <w:t>incrementar los controles internos sobre el diseño de políticas públicas</w:t>
      </w:r>
      <w:r w:rsidRPr="006C6A7B">
        <w:rPr>
          <w:rFonts w:ascii="Times New Roman" w:eastAsia="Times New Roman" w:hAnsi="Times New Roman" w:cs="Times New Roman"/>
          <w:sz w:val="24"/>
          <w:szCs w:val="24"/>
        </w:rPr>
        <w:t> o, idealmente, reducir el ámbito de un intervencionismo estatal tan fácilmente pervertible y corrompible.</w:t>
      </w:r>
    </w:p>
    <w:p w:rsidR="008D2AD8" w:rsidRPr="006C6A7B" w:rsidRDefault="008D2AD8" w:rsidP="008D2AD8">
      <w:pPr>
        <w:shd w:val="clear" w:color="auto" w:fill="FFFFFF"/>
        <w:spacing w:after="0" w:line="240" w:lineRule="auto"/>
        <w:jc w:val="both"/>
        <w:textAlignment w:val="baseline"/>
        <w:rPr>
          <w:rFonts w:ascii="Times New Roman" w:eastAsia="Times New Roman" w:hAnsi="Times New Roman" w:cs="Times New Roman"/>
          <w:sz w:val="24"/>
          <w:szCs w:val="24"/>
        </w:rPr>
      </w:pPr>
    </w:p>
    <w:p w:rsidR="008D2AD8" w:rsidRPr="006C6A7B" w:rsidRDefault="008D2AD8" w:rsidP="008D2AD8">
      <w:pPr>
        <w:shd w:val="clear" w:color="auto" w:fill="FFFFFF"/>
        <w:spacing w:after="0" w:line="240" w:lineRule="auto"/>
        <w:jc w:val="both"/>
        <w:textAlignment w:val="baseline"/>
        <w:rPr>
          <w:rFonts w:ascii="Times New Roman" w:eastAsia="Times New Roman" w:hAnsi="Times New Roman" w:cs="Times New Roman"/>
          <w:sz w:val="24"/>
          <w:szCs w:val="24"/>
        </w:rPr>
      </w:pPr>
      <w:r w:rsidRPr="006C6A7B">
        <w:rPr>
          <w:rFonts w:ascii="Times New Roman" w:eastAsia="Times New Roman" w:hAnsi="Times New Roman" w:cs="Times New Roman"/>
          <w:sz w:val="24"/>
          <w:szCs w:val="24"/>
        </w:rPr>
        <w:t xml:space="preserve">Para dar cobertura a semejante socialización de las pérdidas (manteniendo la privatización de las ganancias) están los dóciles académicos (algunos Nobelados y muchos noveleros), con sus afines asimilables, con sus colegas de alpiste, formado la uniforme comparsa de los felices de haberse conocido, que en vez de ser premiados por satisfacer determinados intereses (de los que mandan), deberían ser inhabilitados por la dura realidad socio-económica (de los ajenos) y los sonoros fracasos de los modelos y pronósticos (de los propios). </w:t>
      </w:r>
      <w:r w:rsidR="00B56EAE" w:rsidRPr="006C6A7B">
        <w:rPr>
          <w:rFonts w:ascii="Times New Roman" w:eastAsia="Times New Roman" w:hAnsi="Times New Roman" w:cs="Times New Roman"/>
          <w:sz w:val="24"/>
          <w:szCs w:val="24"/>
        </w:rPr>
        <w:t>Son los (supuestos) expertos en los que se amparan (y justifican) los global players.</w:t>
      </w:r>
    </w:p>
    <w:p w:rsidR="008D2AD8" w:rsidRPr="006C6A7B" w:rsidRDefault="008D2AD8" w:rsidP="008D2AD8">
      <w:pPr>
        <w:shd w:val="clear" w:color="auto" w:fill="FFFFFF"/>
        <w:spacing w:after="0" w:line="240" w:lineRule="auto"/>
        <w:jc w:val="both"/>
        <w:textAlignment w:val="baseline"/>
        <w:rPr>
          <w:rStyle w:val="Textoennegrita"/>
          <w:rFonts w:ascii="Times New Roman" w:hAnsi="Times New Roman" w:cs="Times New Roman"/>
          <w:sz w:val="24"/>
          <w:szCs w:val="24"/>
          <w:shd w:val="clear" w:color="auto" w:fill="EEF0EF"/>
        </w:rPr>
      </w:pPr>
    </w:p>
    <w:p w:rsidR="008D2AD8" w:rsidRPr="003B038D" w:rsidRDefault="008D2AD8" w:rsidP="008D2AD8">
      <w:pPr>
        <w:spacing w:line="240" w:lineRule="auto"/>
        <w:jc w:val="both"/>
        <w:rPr>
          <w:rFonts w:ascii="Times New Roman" w:hAnsi="Times New Roman" w:cs="Times New Roman"/>
          <w:sz w:val="24"/>
          <w:szCs w:val="24"/>
          <w:shd w:val="clear" w:color="auto" w:fill="FFFFFF"/>
          <w:lang w:val="en-US"/>
        </w:rPr>
      </w:pPr>
      <w:r w:rsidRPr="006C6A7B">
        <w:rPr>
          <w:rFonts w:ascii="Times New Roman" w:hAnsi="Times New Roman" w:cs="Times New Roman"/>
          <w:sz w:val="24"/>
          <w:szCs w:val="24"/>
          <w:shd w:val="clear" w:color="auto" w:fill="FFFFFF"/>
        </w:rPr>
        <w:t xml:space="preserve">“Los europeos debemos reconsiderar nuestro modo de encarar la globalización, y reconocer la importancia crucial de producir bienes esenciales (por ejemplo equipos médicos) dentro de la Unión Europea. Tenemos que diversificar las cadenas de suministro para no ser totalmente dependientes de un único país o región. Pero repensar la globalización no implica reducir la cooperación internacional”... </w:t>
      </w:r>
      <w:r w:rsidRPr="003B038D">
        <w:rPr>
          <w:rFonts w:ascii="Times New Roman" w:hAnsi="Times New Roman" w:cs="Times New Roman"/>
          <w:sz w:val="24"/>
          <w:szCs w:val="24"/>
          <w:shd w:val="clear" w:color="auto" w:fill="FFFFFF"/>
          <w:lang w:val="en-US"/>
        </w:rPr>
        <w:t xml:space="preserve">(Jens Spahn, Germany’s Federal Minister of Health - Project Syndicate - </w:t>
      </w:r>
      <w:r w:rsidRPr="003B038D">
        <w:rPr>
          <w:rFonts w:ascii="Times New Roman" w:hAnsi="Times New Roman" w:cs="Times New Roman"/>
          <w:b/>
          <w:sz w:val="24"/>
          <w:szCs w:val="24"/>
          <w:shd w:val="clear" w:color="auto" w:fill="FFFFFF"/>
          <w:lang w:val="en-US"/>
        </w:rPr>
        <w:t>22/5/20</w:t>
      </w:r>
      <w:r w:rsidRPr="003B038D">
        <w:rPr>
          <w:rFonts w:ascii="Times New Roman" w:hAnsi="Times New Roman" w:cs="Times New Roman"/>
          <w:sz w:val="24"/>
          <w:szCs w:val="24"/>
          <w:shd w:val="clear" w:color="auto" w:fill="FFFFFF"/>
          <w:lang w:val="en-US"/>
        </w:rPr>
        <w:t>)</w:t>
      </w:r>
    </w:p>
    <w:p w:rsidR="007D7C53" w:rsidRPr="00660406" w:rsidRDefault="007D7C53" w:rsidP="00347CD3">
      <w:pPr>
        <w:spacing w:line="240" w:lineRule="auto"/>
        <w:jc w:val="both"/>
        <w:rPr>
          <w:rFonts w:ascii="Times New Roman" w:hAnsi="Times New Roman" w:cs="Times New Roman"/>
          <w:b/>
          <w:sz w:val="24"/>
          <w:szCs w:val="24"/>
        </w:rPr>
      </w:pPr>
      <w:r w:rsidRPr="003B038D">
        <w:rPr>
          <w:rFonts w:ascii="Times New Roman" w:hAnsi="Times New Roman" w:cs="Times New Roman"/>
          <w:b/>
          <w:sz w:val="24"/>
          <w:szCs w:val="24"/>
          <w:lang w:val="en-US"/>
        </w:rPr>
        <w:t>Tanguedia I: Cuentas que no cierran</w:t>
      </w:r>
      <w:r w:rsidR="0059481C" w:rsidRPr="003B038D">
        <w:rPr>
          <w:rFonts w:ascii="Times New Roman" w:hAnsi="Times New Roman" w:cs="Times New Roman"/>
          <w:b/>
          <w:sz w:val="24"/>
          <w:szCs w:val="24"/>
          <w:lang w:val="en-US"/>
        </w:rPr>
        <w:t>…</w:t>
      </w:r>
      <w:r w:rsidRPr="003B038D">
        <w:rPr>
          <w:rFonts w:ascii="Times New Roman" w:hAnsi="Times New Roman" w:cs="Times New Roman"/>
          <w:b/>
          <w:sz w:val="24"/>
          <w:szCs w:val="24"/>
          <w:lang w:val="en-US"/>
        </w:rPr>
        <w:t xml:space="preserve"> </w:t>
      </w:r>
      <w:r w:rsidRPr="00660406">
        <w:rPr>
          <w:rFonts w:ascii="Times New Roman" w:hAnsi="Times New Roman" w:cs="Times New Roman"/>
          <w:b/>
          <w:sz w:val="24"/>
          <w:szCs w:val="24"/>
        </w:rPr>
        <w:t>(y sangran todavía)</w:t>
      </w:r>
    </w:p>
    <w:p w:rsidR="007D7C53" w:rsidRPr="00660406" w:rsidRDefault="007D7C53" w:rsidP="007D7C53">
      <w:pPr>
        <w:spacing w:line="240" w:lineRule="auto"/>
        <w:jc w:val="both"/>
        <w:rPr>
          <w:rFonts w:ascii="Times New Roman" w:hAnsi="Times New Roman" w:cs="Times New Roman"/>
          <w:sz w:val="24"/>
          <w:szCs w:val="24"/>
        </w:rPr>
      </w:pPr>
      <w:r w:rsidRPr="00660406">
        <w:rPr>
          <w:rFonts w:ascii="Times New Roman" w:hAnsi="Times New Roman" w:cs="Times New Roman"/>
          <w:sz w:val="24"/>
          <w:szCs w:val="24"/>
        </w:rPr>
        <w:t>La prestigiosa consultora McKinsey estima que, al 26/6/20, los gobiernos afectados acumularán un déficit de entre 25 y 30 billones de dólares hasta 2023, equivalente al 30</w:t>
      </w:r>
      <w:r w:rsidR="00C73630">
        <w:rPr>
          <w:rFonts w:ascii="Times New Roman" w:hAnsi="Times New Roman" w:cs="Times New Roman"/>
          <w:sz w:val="24"/>
          <w:szCs w:val="24"/>
        </w:rPr>
        <w:t xml:space="preserve"> </w:t>
      </w:r>
      <w:r w:rsidRPr="00660406">
        <w:rPr>
          <w:rFonts w:ascii="Times New Roman" w:hAnsi="Times New Roman" w:cs="Times New Roman"/>
          <w:sz w:val="24"/>
          <w:szCs w:val="24"/>
        </w:rPr>
        <w:t>% del PIB global, una cifra inédita en tiempos de paz. Este desequilibrio es fruto, por un lado, del fuerte aumento que registrará el gasto público como consecuencia de los estímulos fiscales puestos en marcha para tratar de combatir la crisis económica y, por otro, de la intensa reducción de los ingresos debido, igualmente, a la recesión.</w:t>
      </w:r>
    </w:p>
    <w:p w:rsidR="007D7C53" w:rsidRPr="00660406" w:rsidRDefault="007D7C53" w:rsidP="007D7C53">
      <w:pPr>
        <w:spacing w:line="240" w:lineRule="auto"/>
        <w:jc w:val="both"/>
        <w:rPr>
          <w:rFonts w:ascii="Times New Roman" w:hAnsi="Times New Roman" w:cs="Times New Roman"/>
          <w:sz w:val="24"/>
          <w:szCs w:val="24"/>
        </w:rPr>
      </w:pPr>
      <w:r w:rsidRPr="00660406">
        <w:rPr>
          <w:rFonts w:ascii="Times New Roman" w:hAnsi="Times New Roman" w:cs="Times New Roman"/>
          <w:sz w:val="24"/>
          <w:szCs w:val="24"/>
        </w:rPr>
        <w:t xml:space="preserve">Tan sólo los estímulos que han anunciado las potencias pertenecientes al G-20 suman cerca de 10 billones de dólares, tres veces más que el importe desembolsado para hacer frente a la crisis financiera de 2008 y 2009, mientras que la recaudación podría bajar entre 3 </w:t>
      </w:r>
      <w:r w:rsidR="00317DCF">
        <w:rPr>
          <w:rFonts w:ascii="Times New Roman" w:hAnsi="Times New Roman" w:cs="Times New Roman"/>
          <w:sz w:val="24"/>
          <w:szCs w:val="24"/>
        </w:rPr>
        <w:t xml:space="preserve">y 4 billones al cierre de 2020. </w:t>
      </w:r>
      <w:r w:rsidRPr="00660406">
        <w:rPr>
          <w:rFonts w:ascii="Times New Roman" w:hAnsi="Times New Roman" w:cs="Times New Roman"/>
          <w:sz w:val="24"/>
          <w:szCs w:val="24"/>
        </w:rPr>
        <w:t>El mundo cerrará este año con un déficit de entre 9 y 11 billones de dólares, triplicando la cifra registrada en 2019, y, aunque descenderá de forma progresiva en los próximos ejercicios, la diferencia entre ingresos y gasto seguirá siendo sustancial. Y es que, tanto el PIB global como la recaudación podrían tardar dos o tres años en recuperar el nivel previo a la crisis del coronavirus.</w:t>
      </w:r>
      <w:r w:rsidR="00347CD3" w:rsidRPr="00660406">
        <w:rPr>
          <w:rFonts w:ascii="Times New Roman" w:hAnsi="Times New Roman" w:cs="Times New Roman"/>
          <w:sz w:val="24"/>
          <w:szCs w:val="24"/>
        </w:rPr>
        <w:t xml:space="preserve"> </w:t>
      </w:r>
    </w:p>
    <w:p w:rsidR="00347CD3" w:rsidRDefault="007D7C53" w:rsidP="007D7C53">
      <w:pPr>
        <w:spacing w:line="240" w:lineRule="auto"/>
        <w:jc w:val="both"/>
        <w:rPr>
          <w:rFonts w:ascii="Times New Roman" w:hAnsi="Times New Roman" w:cs="Times New Roman"/>
          <w:b/>
          <w:sz w:val="24"/>
          <w:szCs w:val="24"/>
        </w:rPr>
      </w:pPr>
      <w:r w:rsidRPr="00660406">
        <w:rPr>
          <w:rFonts w:ascii="Times New Roman" w:hAnsi="Times New Roman" w:cs="Times New Roman"/>
          <w:b/>
          <w:sz w:val="24"/>
          <w:szCs w:val="24"/>
        </w:rPr>
        <w:t>Tanguedia II: Lo que más bronca me da, es haber sido tan gil (idiota)</w:t>
      </w:r>
      <w:r w:rsidR="00347CD3" w:rsidRPr="00660406">
        <w:rPr>
          <w:rFonts w:ascii="Times New Roman" w:hAnsi="Times New Roman" w:cs="Times New Roman"/>
          <w:b/>
          <w:sz w:val="24"/>
          <w:szCs w:val="24"/>
        </w:rPr>
        <w:t xml:space="preserve"> </w:t>
      </w:r>
    </w:p>
    <w:p w:rsidR="007637DA" w:rsidRDefault="009361EE" w:rsidP="007637DA">
      <w:pPr>
        <w:shd w:val="clear" w:color="auto" w:fill="FFFFFF"/>
        <w:spacing w:after="225" w:line="240" w:lineRule="auto"/>
        <w:jc w:val="both"/>
        <w:rPr>
          <w:rFonts w:ascii="Times New Roman" w:hAnsi="Times New Roman" w:cs="Times New Roman"/>
          <w:sz w:val="24"/>
          <w:szCs w:val="24"/>
        </w:rPr>
      </w:pPr>
      <w:r>
        <w:rPr>
          <w:rFonts w:ascii="Times New Roman" w:eastAsia="Times New Roman" w:hAnsi="Times New Roman"/>
          <w:sz w:val="24"/>
          <w:szCs w:val="24"/>
        </w:rPr>
        <w:t xml:space="preserve">La autopsia de la mayor crisis financiera desde la Gran Depresión está hecha. La conclusión de la comisión del Congreso que investigó las causas que provocaron el colapso del sistema bancario en Estados Unidos, y que puso a la economía del país y luego del resto del mundo al borde del precipicio, es que </w:t>
      </w:r>
      <w:r>
        <w:rPr>
          <w:rFonts w:ascii="Times New Roman" w:eastAsia="Times New Roman" w:hAnsi="Times New Roman"/>
          <w:color w:val="FF0000"/>
          <w:sz w:val="24"/>
          <w:szCs w:val="24"/>
        </w:rPr>
        <w:t>“pudo evitarse”</w:t>
      </w:r>
      <w:r>
        <w:rPr>
          <w:rFonts w:ascii="Times New Roman" w:eastAsia="Times New Roman" w:hAnsi="Times New Roman"/>
          <w:sz w:val="24"/>
          <w:szCs w:val="24"/>
        </w:rPr>
        <w:t xml:space="preserve">. Decir lo contrario sería, dice, </w:t>
      </w:r>
      <w:r>
        <w:rPr>
          <w:rFonts w:ascii="Times New Roman" w:eastAsia="Times New Roman" w:hAnsi="Times New Roman"/>
          <w:color w:val="FF0000"/>
          <w:sz w:val="24"/>
          <w:szCs w:val="24"/>
        </w:rPr>
        <w:t xml:space="preserve">“admitir que se </w:t>
      </w:r>
      <w:r>
        <w:rPr>
          <w:rFonts w:ascii="Times New Roman" w:eastAsia="Times New Roman" w:hAnsi="Times New Roman"/>
          <w:color w:val="FF0000"/>
          <w:sz w:val="24"/>
          <w:szCs w:val="24"/>
        </w:rPr>
        <w:lastRenderedPageBreak/>
        <w:t>repetirá”.</w:t>
      </w:r>
      <w:r w:rsidR="007637DA">
        <w:rPr>
          <w:rFonts w:ascii="Times New Roman" w:eastAsia="Times New Roman" w:hAnsi="Times New Roman"/>
          <w:sz w:val="24"/>
          <w:szCs w:val="24"/>
        </w:rPr>
        <w:t xml:space="preserve"> </w:t>
      </w:r>
      <w:r>
        <w:rPr>
          <w:rFonts w:ascii="Times New Roman" w:hAnsi="Times New Roman" w:cs="Times New Roman"/>
          <w:sz w:val="24"/>
          <w:szCs w:val="24"/>
        </w:rPr>
        <w:t xml:space="preserve">Queda pendiente el “forensic” de </w:t>
      </w:r>
      <w:r w:rsidR="007637DA">
        <w:rPr>
          <w:rFonts w:ascii="Times New Roman" w:hAnsi="Times New Roman" w:cs="Times New Roman"/>
          <w:sz w:val="24"/>
          <w:szCs w:val="24"/>
        </w:rPr>
        <w:t>la crisis sanitaria (2020). A</w:t>
      </w:r>
      <w:r>
        <w:rPr>
          <w:rFonts w:ascii="Times New Roman" w:hAnsi="Times New Roman" w:cs="Times New Roman"/>
          <w:sz w:val="24"/>
          <w:szCs w:val="24"/>
        </w:rPr>
        <w:t xml:space="preserve"> priori, China es el “</w:t>
      </w:r>
      <w:r w:rsidR="004C6D62">
        <w:rPr>
          <w:rFonts w:ascii="Times New Roman" w:hAnsi="Times New Roman" w:cs="Times New Roman"/>
          <w:sz w:val="24"/>
          <w:szCs w:val="24"/>
        </w:rPr>
        <w:t xml:space="preserve">gran </w:t>
      </w:r>
      <w:r>
        <w:rPr>
          <w:rFonts w:ascii="Times New Roman" w:hAnsi="Times New Roman" w:cs="Times New Roman"/>
          <w:sz w:val="24"/>
          <w:szCs w:val="24"/>
        </w:rPr>
        <w:t>causa</w:t>
      </w:r>
      <w:r w:rsidR="004C6D62">
        <w:rPr>
          <w:rFonts w:ascii="Times New Roman" w:hAnsi="Times New Roman" w:cs="Times New Roman"/>
          <w:sz w:val="24"/>
          <w:szCs w:val="24"/>
        </w:rPr>
        <w:t>nte</w:t>
      </w:r>
      <w:r>
        <w:rPr>
          <w:rFonts w:ascii="Times New Roman" w:hAnsi="Times New Roman" w:cs="Times New Roman"/>
          <w:sz w:val="24"/>
          <w:szCs w:val="24"/>
        </w:rPr>
        <w:t xml:space="preserve">”, pero en el fondo está la globalización como </w:t>
      </w:r>
      <w:r w:rsidR="004C6D62">
        <w:rPr>
          <w:rFonts w:ascii="Times New Roman" w:hAnsi="Times New Roman" w:cs="Times New Roman"/>
          <w:sz w:val="24"/>
          <w:szCs w:val="24"/>
        </w:rPr>
        <w:t xml:space="preserve">el </w:t>
      </w:r>
      <w:r>
        <w:rPr>
          <w:rFonts w:ascii="Times New Roman" w:hAnsi="Times New Roman" w:cs="Times New Roman"/>
          <w:sz w:val="24"/>
          <w:szCs w:val="24"/>
        </w:rPr>
        <w:t>“</w:t>
      </w:r>
      <w:r w:rsidR="004C6D62">
        <w:rPr>
          <w:rFonts w:ascii="Times New Roman" w:hAnsi="Times New Roman" w:cs="Times New Roman"/>
          <w:sz w:val="24"/>
          <w:szCs w:val="24"/>
        </w:rPr>
        <w:t>vector</w:t>
      </w:r>
      <w:r>
        <w:rPr>
          <w:rFonts w:ascii="Times New Roman" w:hAnsi="Times New Roman" w:cs="Times New Roman"/>
          <w:sz w:val="24"/>
          <w:szCs w:val="24"/>
        </w:rPr>
        <w:t>”. Otra vez concluirán</w:t>
      </w:r>
      <w:r w:rsidR="007637DA">
        <w:rPr>
          <w:rFonts w:ascii="Times New Roman" w:hAnsi="Times New Roman" w:cs="Times New Roman"/>
          <w:sz w:val="24"/>
          <w:szCs w:val="24"/>
        </w:rPr>
        <w:t>,</w:t>
      </w:r>
      <w:r>
        <w:rPr>
          <w:rFonts w:ascii="Times New Roman" w:hAnsi="Times New Roman" w:cs="Times New Roman"/>
          <w:sz w:val="24"/>
          <w:szCs w:val="24"/>
        </w:rPr>
        <w:t xml:space="preserve"> en que </w:t>
      </w:r>
      <w:r w:rsidRPr="007637DA">
        <w:rPr>
          <w:rFonts w:ascii="Times New Roman" w:hAnsi="Times New Roman" w:cs="Times New Roman"/>
          <w:color w:val="FF0000"/>
          <w:sz w:val="24"/>
          <w:szCs w:val="24"/>
        </w:rPr>
        <w:t>“pudo evitarse”</w:t>
      </w:r>
      <w:r w:rsidR="007637DA">
        <w:rPr>
          <w:rFonts w:ascii="Times New Roman" w:hAnsi="Times New Roman" w:cs="Times New Roman"/>
          <w:sz w:val="24"/>
          <w:szCs w:val="24"/>
        </w:rPr>
        <w:t>;</w:t>
      </w:r>
      <w:r>
        <w:rPr>
          <w:rFonts w:ascii="Times New Roman" w:hAnsi="Times New Roman" w:cs="Times New Roman"/>
          <w:sz w:val="24"/>
          <w:szCs w:val="24"/>
        </w:rPr>
        <w:t xml:space="preserve"> y otra vez</w:t>
      </w:r>
      <w:r w:rsidR="007637DA">
        <w:rPr>
          <w:rFonts w:ascii="Times New Roman" w:hAnsi="Times New Roman" w:cs="Times New Roman"/>
          <w:sz w:val="24"/>
          <w:szCs w:val="24"/>
        </w:rPr>
        <w:t>,</w:t>
      </w:r>
      <w:r>
        <w:rPr>
          <w:rFonts w:ascii="Times New Roman" w:hAnsi="Times New Roman" w:cs="Times New Roman"/>
          <w:sz w:val="24"/>
          <w:szCs w:val="24"/>
        </w:rPr>
        <w:t xml:space="preserve"> </w:t>
      </w:r>
      <w:r w:rsidRPr="007637DA">
        <w:rPr>
          <w:rFonts w:ascii="Times New Roman" w:hAnsi="Times New Roman" w:cs="Times New Roman"/>
          <w:color w:val="FF0000"/>
          <w:sz w:val="24"/>
          <w:szCs w:val="24"/>
        </w:rPr>
        <w:t>“admitirán que se rep</w:t>
      </w:r>
      <w:r w:rsidR="007637DA" w:rsidRPr="007637DA">
        <w:rPr>
          <w:rFonts w:ascii="Times New Roman" w:hAnsi="Times New Roman" w:cs="Times New Roman"/>
          <w:color w:val="FF0000"/>
          <w:sz w:val="24"/>
          <w:szCs w:val="24"/>
        </w:rPr>
        <w:t>etirá</w:t>
      </w:r>
      <w:r w:rsidRPr="007637DA">
        <w:rPr>
          <w:rFonts w:ascii="Times New Roman" w:hAnsi="Times New Roman" w:cs="Times New Roman"/>
          <w:color w:val="FF0000"/>
          <w:sz w:val="24"/>
          <w:szCs w:val="24"/>
        </w:rPr>
        <w:t>”</w:t>
      </w:r>
      <w:r>
        <w:rPr>
          <w:rFonts w:ascii="Times New Roman" w:hAnsi="Times New Roman" w:cs="Times New Roman"/>
          <w:sz w:val="24"/>
          <w:szCs w:val="24"/>
        </w:rPr>
        <w:t xml:space="preserve">. </w:t>
      </w:r>
    </w:p>
    <w:p w:rsidR="004C6D62" w:rsidRPr="00D40965" w:rsidRDefault="004C6D62" w:rsidP="004C6D62">
      <w:pPr>
        <w:spacing w:line="240" w:lineRule="auto"/>
        <w:jc w:val="both"/>
        <w:rPr>
          <w:rFonts w:ascii="Times New Roman" w:hAnsi="Times New Roman" w:cs="Times New Roman"/>
          <w:sz w:val="24"/>
          <w:szCs w:val="24"/>
        </w:rPr>
      </w:pPr>
      <w:r w:rsidRPr="00D40965">
        <w:rPr>
          <w:rFonts w:ascii="Times New Roman" w:hAnsi="Times New Roman" w:cs="Times New Roman"/>
          <w:sz w:val="24"/>
          <w:szCs w:val="24"/>
        </w:rPr>
        <w:t>Una combinación de desconfianza, miedo y errores de percepción terminaron afectando gravemente (y está por verse, si no destruyeron) los vínculos en los que se basan, hasta el momento las relaciones económicas internacionales.</w:t>
      </w:r>
    </w:p>
    <w:p w:rsidR="004C6D62" w:rsidRPr="00D40965" w:rsidRDefault="004C6D62" w:rsidP="004C6D62">
      <w:pPr>
        <w:spacing w:line="240" w:lineRule="auto"/>
        <w:jc w:val="both"/>
        <w:rPr>
          <w:rFonts w:ascii="Times New Roman" w:hAnsi="Times New Roman" w:cs="Times New Roman"/>
          <w:sz w:val="24"/>
          <w:szCs w:val="24"/>
        </w:rPr>
      </w:pPr>
      <w:r w:rsidRPr="00D40965">
        <w:rPr>
          <w:rFonts w:ascii="Times New Roman" w:hAnsi="Times New Roman" w:cs="Times New Roman"/>
          <w:sz w:val="24"/>
          <w:szCs w:val="24"/>
        </w:rPr>
        <w:t>La peor pandemia desde el brote de gripe de 1918‑20 se está convirtiendo rápidamente en una crisis sistémica de la globalización, que puede crear el escenario para la confrontación geopolítica más peligrosa desde el final de la Guerra Fría.</w:t>
      </w:r>
    </w:p>
    <w:p w:rsidR="004C6D62" w:rsidRPr="00D40965" w:rsidRDefault="004C6D62" w:rsidP="004C6D62">
      <w:pPr>
        <w:spacing w:line="240" w:lineRule="auto"/>
        <w:jc w:val="both"/>
        <w:rPr>
          <w:rFonts w:ascii="Times New Roman" w:hAnsi="Times New Roman" w:cs="Times New Roman"/>
          <w:sz w:val="24"/>
          <w:szCs w:val="24"/>
        </w:rPr>
      </w:pPr>
      <w:r w:rsidRPr="00D40965">
        <w:rPr>
          <w:rFonts w:ascii="Times New Roman" w:hAnsi="Times New Roman" w:cs="Times New Roman"/>
          <w:sz w:val="24"/>
          <w:szCs w:val="24"/>
        </w:rPr>
        <w:t xml:space="preserve">En apenas dos semanas, la pandemia de COVID‑19 paralizó la tercera parte de la economía mundial y provocó la mayor perturbación económica desde la Gran Depresión. El factor más importante que definirá la evolución futura de esta crisis es el liderazgo colectivo. Pero este componente crucial sigue ausente. </w:t>
      </w:r>
    </w:p>
    <w:p w:rsidR="00BA1B4A" w:rsidRPr="00D40965" w:rsidRDefault="00BA1B4A" w:rsidP="00BA1B4A">
      <w:pPr>
        <w:shd w:val="clear" w:color="auto" w:fill="FFFFFF"/>
        <w:spacing w:after="0" w:line="240" w:lineRule="auto"/>
        <w:jc w:val="both"/>
        <w:textAlignment w:val="baseline"/>
        <w:rPr>
          <w:rFonts w:ascii="Times New Roman" w:eastAsia="Times New Roman" w:hAnsi="Times New Roman" w:cs="Times New Roman"/>
          <w:sz w:val="24"/>
          <w:szCs w:val="24"/>
        </w:rPr>
      </w:pPr>
      <w:r w:rsidRPr="00D40965">
        <w:rPr>
          <w:rFonts w:ascii="Times New Roman" w:eastAsia="Times New Roman" w:hAnsi="Times New Roman" w:cs="Times New Roman"/>
          <w:bCs/>
          <w:sz w:val="24"/>
          <w:szCs w:val="24"/>
          <w:bdr w:val="none" w:sz="0" w:space="0" w:color="auto" w:frame="1"/>
        </w:rPr>
        <w:t xml:space="preserve">Según </w:t>
      </w:r>
      <w:r w:rsidRPr="00D40965">
        <w:rPr>
          <w:rFonts w:ascii="Times New Roman" w:hAnsi="Times New Roman" w:cs="Times New Roman"/>
          <w:sz w:val="24"/>
          <w:szCs w:val="24"/>
        </w:rPr>
        <w:t>McKinsey,</w:t>
      </w:r>
      <w:r w:rsidRPr="00D40965">
        <w:rPr>
          <w:rFonts w:ascii="Times New Roman" w:eastAsia="Times New Roman" w:hAnsi="Times New Roman" w:cs="Times New Roman"/>
          <w:bCs/>
          <w:sz w:val="24"/>
          <w:szCs w:val="24"/>
          <w:bdr w:val="none" w:sz="0" w:space="0" w:color="auto" w:frame="1"/>
        </w:rPr>
        <w:t xml:space="preserve"> el mundo cerrará este año con un déficit de entre 9 y 11 billones</w:t>
      </w:r>
      <w:r w:rsidRPr="00D40965">
        <w:rPr>
          <w:rFonts w:ascii="Times New Roman" w:eastAsia="Times New Roman" w:hAnsi="Times New Roman" w:cs="Times New Roman"/>
          <w:sz w:val="24"/>
          <w:szCs w:val="24"/>
        </w:rPr>
        <w:t> de dólares, triplicando la cifra registrada en 2019, y, aunque descenderá de forma progresiva en los próximos ejercicios, la diferencia entre ingresos y gasto seguirá siendo sustancial. Y es que, tanto el PIB global como la recaudación podrían tardar dos o tres años en recuperar el nivel previo a la crisis del coronavirus.</w:t>
      </w:r>
    </w:p>
    <w:p w:rsidR="00BA1B4A" w:rsidRPr="00D40965" w:rsidRDefault="00BA1B4A" w:rsidP="00BA1B4A">
      <w:pPr>
        <w:shd w:val="clear" w:color="auto" w:fill="FFFFFF"/>
        <w:spacing w:after="0" w:line="240" w:lineRule="auto"/>
        <w:jc w:val="both"/>
        <w:textAlignment w:val="baseline"/>
        <w:rPr>
          <w:rFonts w:ascii="Times New Roman" w:eastAsia="Times New Roman" w:hAnsi="Times New Roman" w:cs="Times New Roman"/>
          <w:sz w:val="24"/>
          <w:szCs w:val="24"/>
        </w:rPr>
      </w:pPr>
    </w:p>
    <w:p w:rsidR="00BA1B4A" w:rsidRPr="00D40965" w:rsidRDefault="00BA1B4A" w:rsidP="00BA1B4A">
      <w:pPr>
        <w:shd w:val="clear" w:color="auto" w:fill="FFFFFF"/>
        <w:spacing w:after="0" w:line="240" w:lineRule="auto"/>
        <w:jc w:val="both"/>
        <w:textAlignment w:val="baseline"/>
        <w:rPr>
          <w:rFonts w:ascii="Times New Roman" w:eastAsia="Times New Roman" w:hAnsi="Times New Roman" w:cs="Times New Roman"/>
          <w:sz w:val="24"/>
          <w:szCs w:val="24"/>
        </w:rPr>
      </w:pPr>
      <w:r w:rsidRPr="00D40965">
        <w:rPr>
          <w:rFonts w:ascii="Times New Roman" w:eastAsia="Times New Roman" w:hAnsi="Times New Roman" w:cs="Times New Roman"/>
          <w:sz w:val="24"/>
          <w:szCs w:val="24"/>
        </w:rPr>
        <w:t>Semejante déficit hará que la </w:t>
      </w:r>
      <w:r w:rsidRPr="00D40965">
        <w:rPr>
          <w:rFonts w:ascii="Times New Roman" w:eastAsia="Times New Roman" w:hAnsi="Times New Roman" w:cs="Times New Roman"/>
          <w:bCs/>
          <w:sz w:val="24"/>
          <w:szCs w:val="24"/>
          <w:bdr w:val="none" w:sz="0" w:space="0" w:color="auto" w:frame="1"/>
        </w:rPr>
        <w:t>deuda pública de los países ricos crezca hasta una media del 120% del PIB </w:t>
      </w:r>
      <w:r w:rsidRPr="00D40965">
        <w:rPr>
          <w:rFonts w:ascii="Times New Roman" w:eastAsia="Times New Roman" w:hAnsi="Times New Roman" w:cs="Times New Roman"/>
          <w:sz w:val="24"/>
          <w:szCs w:val="24"/>
        </w:rPr>
        <w:t>en 2020, según las estimaciones del Fondo Monetario Internacional (FMI), disparando con ello el riesgo de insolvencia. ¿Cómo apuntalar el equilibrio presupuestario para evitar la quiebra? Éste es uno de los grandes interrogantes que deja esta crisis y una de las cuestiones más importantes que empiezan a plantearse los diferentes gobiernos.</w:t>
      </w:r>
    </w:p>
    <w:p w:rsidR="00BA1B4A" w:rsidRPr="00D40965" w:rsidRDefault="00BA1B4A" w:rsidP="00BA1B4A">
      <w:pPr>
        <w:shd w:val="clear" w:color="auto" w:fill="FFFFFF"/>
        <w:spacing w:after="0" w:line="240" w:lineRule="auto"/>
        <w:jc w:val="both"/>
        <w:textAlignment w:val="baseline"/>
        <w:rPr>
          <w:rFonts w:ascii="Times New Roman" w:eastAsia="Times New Roman" w:hAnsi="Times New Roman" w:cs="Times New Roman"/>
          <w:sz w:val="24"/>
          <w:szCs w:val="24"/>
        </w:rPr>
      </w:pPr>
    </w:p>
    <w:p w:rsidR="00BA1B4A" w:rsidRPr="00D40965" w:rsidRDefault="00BA1B4A" w:rsidP="00BA1B4A">
      <w:pPr>
        <w:shd w:val="clear" w:color="auto" w:fill="FFFFFF"/>
        <w:spacing w:after="0" w:line="240" w:lineRule="auto"/>
        <w:jc w:val="both"/>
        <w:textAlignment w:val="baseline"/>
        <w:rPr>
          <w:rFonts w:ascii="Times New Roman" w:eastAsia="Times New Roman" w:hAnsi="Times New Roman" w:cs="Times New Roman"/>
          <w:sz w:val="24"/>
          <w:szCs w:val="24"/>
        </w:rPr>
      </w:pPr>
      <w:r w:rsidRPr="00D40965">
        <w:rPr>
          <w:rFonts w:ascii="Times New Roman" w:eastAsia="Times New Roman" w:hAnsi="Times New Roman" w:cs="Times New Roman"/>
          <w:sz w:val="24"/>
          <w:szCs w:val="24"/>
        </w:rPr>
        <w:t>La consultora norteamericana calcula que para recuperar el equilibrio de las cuentas públicas por el lado del gasto sería necesario aplicar </w:t>
      </w:r>
      <w:r w:rsidRPr="00D40965">
        <w:rPr>
          <w:rFonts w:ascii="Times New Roman" w:eastAsia="Times New Roman" w:hAnsi="Times New Roman" w:cs="Times New Roman"/>
          <w:bCs/>
          <w:sz w:val="24"/>
          <w:szCs w:val="24"/>
          <w:bdr w:val="none" w:sz="0" w:space="0" w:color="auto" w:frame="1"/>
        </w:rPr>
        <w:t>recortes del 25</w:t>
      </w:r>
      <w:r w:rsidR="00C73630">
        <w:rPr>
          <w:rFonts w:ascii="Times New Roman" w:eastAsia="Times New Roman" w:hAnsi="Times New Roman" w:cs="Times New Roman"/>
          <w:bCs/>
          <w:sz w:val="24"/>
          <w:szCs w:val="24"/>
          <w:bdr w:val="none" w:sz="0" w:space="0" w:color="auto" w:frame="1"/>
        </w:rPr>
        <w:t xml:space="preserve"> </w:t>
      </w:r>
      <w:r w:rsidRPr="00D40965">
        <w:rPr>
          <w:rFonts w:ascii="Times New Roman" w:eastAsia="Times New Roman" w:hAnsi="Times New Roman" w:cs="Times New Roman"/>
          <w:bCs/>
          <w:sz w:val="24"/>
          <w:szCs w:val="24"/>
          <w:bdr w:val="none" w:sz="0" w:space="0" w:color="auto" w:frame="1"/>
        </w:rPr>
        <w:t>% a los presupuestos</w:t>
      </w:r>
      <w:r w:rsidRPr="00D40965">
        <w:rPr>
          <w:rFonts w:ascii="Times New Roman" w:eastAsia="Times New Roman" w:hAnsi="Times New Roman" w:cs="Times New Roman"/>
          <w:sz w:val="24"/>
          <w:szCs w:val="24"/>
        </w:rPr>
        <w:t>, mientras que, por el lado de los ingresos, supondría </w:t>
      </w:r>
      <w:r w:rsidRPr="00D40965">
        <w:rPr>
          <w:rFonts w:ascii="Times New Roman" w:eastAsia="Times New Roman" w:hAnsi="Times New Roman" w:cs="Times New Roman"/>
          <w:bCs/>
          <w:sz w:val="24"/>
          <w:szCs w:val="24"/>
          <w:bdr w:val="none" w:sz="0" w:space="0" w:color="auto" w:frame="1"/>
        </w:rPr>
        <w:t>elevar la carga fiscal en un 50</w:t>
      </w:r>
      <w:r w:rsidR="00C73630">
        <w:rPr>
          <w:rFonts w:ascii="Times New Roman" w:eastAsia="Times New Roman" w:hAnsi="Times New Roman" w:cs="Times New Roman"/>
          <w:bCs/>
          <w:sz w:val="24"/>
          <w:szCs w:val="24"/>
          <w:bdr w:val="none" w:sz="0" w:space="0" w:color="auto" w:frame="1"/>
        </w:rPr>
        <w:t xml:space="preserve"> </w:t>
      </w:r>
      <w:r w:rsidRPr="00D40965">
        <w:rPr>
          <w:rFonts w:ascii="Times New Roman" w:eastAsia="Times New Roman" w:hAnsi="Times New Roman" w:cs="Times New Roman"/>
          <w:bCs/>
          <w:sz w:val="24"/>
          <w:szCs w:val="24"/>
          <w:bdr w:val="none" w:sz="0" w:space="0" w:color="auto" w:frame="1"/>
        </w:rPr>
        <w:t>%.</w:t>
      </w:r>
      <w:r w:rsidRPr="00D40965">
        <w:rPr>
          <w:rFonts w:ascii="Times New Roman" w:eastAsia="Times New Roman" w:hAnsi="Times New Roman" w:cs="Times New Roman"/>
          <w:sz w:val="24"/>
          <w:szCs w:val="24"/>
        </w:rPr>
        <w:t> Lo más probable es que los estados apliquen una combinación de ambas medidas.</w:t>
      </w:r>
    </w:p>
    <w:p w:rsidR="00BA1B4A" w:rsidRPr="00D40965" w:rsidRDefault="00BA1B4A" w:rsidP="00BA1B4A">
      <w:pPr>
        <w:shd w:val="clear" w:color="auto" w:fill="FFFFFF"/>
        <w:spacing w:after="0" w:line="240" w:lineRule="auto"/>
        <w:jc w:val="both"/>
        <w:textAlignment w:val="baseline"/>
        <w:rPr>
          <w:rFonts w:ascii="Times New Roman" w:eastAsia="Times New Roman" w:hAnsi="Times New Roman" w:cs="Times New Roman"/>
          <w:sz w:val="24"/>
          <w:szCs w:val="24"/>
        </w:rPr>
      </w:pPr>
    </w:p>
    <w:p w:rsidR="00BA1B4A" w:rsidRPr="00D40965" w:rsidRDefault="00BA1B4A" w:rsidP="00BA1B4A">
      <w:pPr>
        <w:shd w:val="clear" w:color="auto" w:fill="FFFFFF"/>
        <w:spacing w:after="0" w:line="240" w:lineRule="auto"/>
        <w:jc w:val="both"/>
        <w:textAlignment w:val="baseline"/>
        <w:rPr>
          <w:rFonts w:ascii="Times New Roman" w:eastAsia="Times New Roman" w:hAnsi="Times New Roman" w:cs="Times New Roman"/>
          <w:sz w:val="24"/>
          <w:szCs w:val="24"/>
        </w:rPr>
      </w:pPr>
      <w:r w:rsidRPr="00D40965">
        <w:rPr>
          <w:rFonts w:ascii="Times New Roman" w:eastAsia="Times New Roman" w:hAnsi="Times New Roman" w:cs="Times New Roman"/>
          <w:sz w:val="24"/>
          <w:szCs w:val="24"/>
        </w:rPr>
        <w:t xml:space="preserve">El reto que queda por delante es épico: gestionar un nivel de deuda récord e impulsar la recuperación económica. </w:t>
      </w:r>
      <w:r w:rsidR="00D40965">
        <w:rPr>
          <w:rFonts w:ascii="Times New Roman" w:eastAsia="Times New Roman" w:hAnsi="Times New Roman" w:cs="Times New Roman"/>
          <w:sz w:val="24"/>
          <w:szCs w:val="24"/>
        </w:rPr>
        <w:t>El “</w:t>
      </w:r>
      <w:r w:rsidR="009C185E">
        <w:rPr>
          <w:rFonts w:ascii="Times New Roman" w:eastAsia="Times New Roman" w:hAnsi="Times New Roman" w:cs="Times New Roman"/>
          <w:sz w:val="24"/>
          <w:szCs w:val="24"/>
        </w:rPr>
        <w:t>éxito”</w:t>
      </w:r>
      <w:r w:rsidRPr="00D40965">
        <w:rPr>
          <w:rFonts w:ascii="Times New Roman" w:eastAsia="Times New Roman" w:hAnsi="Times New Roman" w:cs="Times New Roman"/>
          <w:sz w:val="24"/>
          <w:szCs w:val="24"/>
        </w:rPr>
        <w:t xml:space="preserve"> de esta gestión, según McKinsey, dará como resultado un</w:t>
      </w:r>
      <w:r w:rsidR="009C185E">
        <w:rPr>
          <w:rFonts w:ascii="Times New Roman" w:eastAsia="Times New Roman" w:hAnsi="Times New Roman" w:cs="Times New Roman"/>
          <w:sz w:val="24"/>
          <w:szCs w:val="24"/>
        </w:rPr>
        <w:t xml:space="preserve"> “nuevo contrato social”, pero el “fracaso”</w:t>
      </w:r>
      <w:r w:rsidRPr="00D40965">
        <w:rPr>
          <w:rFonts w:ascii="Times New Roman" w:eastAsia="Times New Roman" w:hAnsi="Times New Roman" w:cs="Times New Roman"/>
          <w:sz w:val="24"/>
          <w:szCs w:val="24"/>
        </w:rPr>
        <w:t xml:space="preserve"> traería como como consecuencia una</w:t>
      </w:r>
      <w:r w:rsidR="009C185E">
        <w:rPr>
          <w:rFonts w:ascii="Times New Roman" w:eastAsia="Times New Roman" w:hAnsi="Times New Roman" w:cs="Times New Roman"/>
          <w:bCs/>
          <w:sz w:val="24"/>
          <w:szCs w:val="24"/>
          <w:bdr w:val="none" w:sz="0" w:space="0" w:color="auto" w:frame="1"/>
        </w:rPr>
        <w:t> “depresión”</w:t>
      </w:r>
      <w:r w:rsidRPr="00D40965">
        <w:rPr>
          <w:rFonts w:ascii="Times New Roman" w:eastAsia="Times New Roman" w:hAnsi="Times New Roman" w:cs="Times New Roman"/>
          <w:bCs/>
          <w:sz w:val="24"/>
          <w:szCs w:val="24"/>
          <w:bdr w:val="none" w:sz="0" w:space="0" w:color="auto" w:frame="1"/>
        </w:rPr>
        <w:t xml:space="preserve"> no vista desde la década de 1930</w:t>
      </w:r>
      <w:r w:rsidR="009C185E">
        <w:rPr>
          <w:rFonts w:ascii="Times New Roman" w:eastAsia="Times New Roman" w:hAnsi="Times New Roman" w:cs="Times New Roman"/>
          <w:sz w:val="24"/>
          <w:szCs w:val="24"/>
        </w:rPr>
        <w:t>. “</w:t>
      </w:r>
      <w:r w:rsidRPr="00D40965">
        <w:rPr>
          <w:rFonts w:ascii="Times New Roman" w:eastAsia="Times New Roman" w:hAnsi="Times New Roman" w:cs="Times New Roman"/>
          <w:sz w:val="24"/>
          <w:szCs w:val="24"/>
        </w:rPr>
        <w:t>Hay mucho en juego y la necesidad de un liderazgo audaz y visionario en el sector público y p</w:t>
      </w:r>
      <w:r w:rsidR="009C185E">
        <w:rPr>
          <w:rFonts w:ascii="Times New Roman" w:eastAsia="Times New Roman" w:hAnsi="Times New Roman" w:cs="Times New Roman"/>
          <w:sz w:val="24"/>
          <w:szCs w:val="24"/>
        </w:rPr>
        <w:t>rivado nunca ha sido tan grande”</w:t>
      </w:r>
      <w:r w:rsidRPr="00D40965">
        <w:rPr>
          <w:rFonts w:ascii="Times New Roman" w:eastAsia="Times New Roman" w:hAnsi="Times New Roman" w:cs="Times New Roman"/>
          <w:sz w:val="24"/>
          <w:szCs w:val="24"/>
        </w:rPr>
        <w:t>, concluye.</w:t>
      </w:r>
    </w:p>
    <w:p w:rsidR="00D40965" w:rsidRPr="00D40965" w:rsidRDefault="00D40965" w:rsidP="00BA1B4A">
      <w:pPr>
        <w:shd w:val="clear" w:color="auto" w:fill="FFFFFF"/>
        <w:spacing w:after="0" w:line="240" w:lineRule="auto"/>
        <w:jc w:val="both"/>
        <w:textAlignment w:val="baseline"/>
        <w:rPr>
          <w:rFonts w:ascii="Times New Roman" w:eastAsia="Times New Roman" w:hAnsi="Times New Roman" w:cs="Times New Roman"/>
          <w:sz w:val="24"/>
          <w:szCs w:val="24"/>
        </w:rPr>
      </w:pPr>
    </w:p>
    <w:p w:rsidR="00BA1B4A" w:rsidRDefault="00BA1B4A" w:rsidP="00BA1B4A">
      <w:pPr>
        <w:spacing w:line="240" w:lineRule="auto"/>
        <w:jc w:val="both"/>
        <w:rPr>
          <w:rFonts w:ascii="Times New Roman" w:hAnsi="Times New Roman" w:cs="Times New Roman"/>
          <w:sz w:val="24"/>
          <w:szCs w:val="24"/>
        </w:rPr>
      </w:pPr>
      <w:r w:rsidRPr="00D40965">
        <w:rPr>
          <w:rFonts w:ascii="Times New Roman" w:hAnsi="Times New Roman" w:cs="Times New Roman"/>
          <w:sz w:val="24"/>
          <w:szCs w:val="24"/>
        </w:rPr>
        <w:t xml:space="preserve">Aunque </w:t>
      </w:r>
      <w:r w:rsidR="00D40965">
        <w:rPr>
          <w:rFonts w:ascii="Times New Roman" w:hAnsi="Times New Roman" w:cs="Times New Roman"/>
          <w:sz w:val="24"/>
          <w:szCs w:val="24"/>
        </w:rPr>
        <w:t>el mito de la</w:t>
      </w:r>
      <w:r w:rsidRPr="00D40965">
        <w:rPr>
          <w:rFonts w:ascii="Times New Roman" w:hAnsi="Times New Roman" w:cs="Times New Roman"/>
          <w:sz w:val="24"/>
          <w:szCs w:val="24"/>
        </w:rPr>
        <w:t xml:space="preserve"> globalización haya</w:t>
      </w:r>
      <w:r w:rsidR="00D40965">
        <w:rPr>
          <w:rFonts w:ascii="Times New Roman" w:hAnsi="Times New Roman" w:cs="Times New Roman"/>
          <w:sz w:val="24"/>
          <w:szCs w:val="24"/>
        </w:rPr>
        <w:t xml:space="preserve"> quedado desacreditado</w:t>
      </w:r>
      <w:r w:rsidRPr="00D40965">
        <w:rPr>
          <w:rFonts w:ascii="Times New Roman" w:hAnsi="Times New Roman" w:cs="Times New Roman"/>
          <w:sz w:val="24"/>
          <w:szCs w:val="24"/>
        </w:rPr>
        <w:t>, la enorme magnitud de esta cr</w:t>
      </w:r>
      <w:r w:rsidR="00D40965" w:rsidRPr="00D40965">
        <w:rPr>
          <w:rFonts w:ascii="Times New Roman" w:hAnsi="Times New Roman" w:cs="Times New Roman"/>
          <w:sz w:val="24"/>
          <w:szCs w:val="24"/>
        </w:rPr>
        <w:t xml:space="preserve">isis demuestra </w:t>
      </w:r>
      <w:r w:rsidRPr="00D40965">
        <w:rPr>
          <w:rFonts w:ascii="Times New Roman" w:hAnsi="Times New Roman" w:cs="Times New Roman"/>
          <w:sz w:val="24"/>
          <w:szCs w:val="24"/>
        </w:rPr>
        <w:t>la incapacidad de la clase dirigente de los países avanzados</w:t>
      </w:r>
      <w:r w:rsidR="00D40965">
        <w:rPr>
          <w:rFonts w:ascii="Times New Roman" w:hAnsi="Times New Roman" w:cs="Times New Roman"/>
          <w:sz w:val="24"/>
          <w:szCs w:val="24"/>
        </w:rPr>
        <w:t>,</w:t>
      </w:r>
      <w:r w:rsidRPr="00D40965">
        <w:rPr>
          <w:rFonts w:ascii="Times New Roman" w:hAnsi="Times New Roman" w:cs="Times New Roman"/>
          <w:sz w:val="24"/>
          <w:szCs w:val="24"/>
        </w:rPr>
        <w:t xml:space="preserve"> para </w:t>
      </w:r>
      <w:r w:rsidR="00D40965" w:rsidRPr="00D40965">
        <w:rPr>
          <w:rFonts w:ascii="Times New Roman" w:hAnsi="Times New Roman" w:cs="Times New Roman"/>
          <w:sz w:val="24"/>
          <w:szCs w:val="24"/>
        </w:rPr>
        <w:t xml:space="preserve">pensar en términos no lineales, </w:t>
      </w:r>
      <w:r w:rsidR="00D40965">
        <w:rPr>
          <w:rFonts w:ascii="Times New Roman" w:hAnsi="Times New Roman" w:cs="Times New Roman"/>
          <w:sz w:val="24"/>
          <w:szCs w:val="24"/>
        </w:rPr>
        <w:t>para interpretar ciertas</w:t>
      </w:r>
      <w:r w:rsidRPr="00D40965">
        <w:rPr>
          <w:rFonts w:ascii="Times New Roman" w:hAnsi="Times New Roman" w:cs="Times New Roman"/>
          <w:sz w:val="24"/>
          <w:szCs w:val="24"/>
        </w:rPr>
        <w:t xml:space="preserve"> evidencias</w:t>
      </w:r>
      <w:r w:rsidR="00D40965">
        <w:rPr>
          <w:rFonts w:ascii="Times New Roman" w:hAnsi="Times New Roman" w:cs="Times New Roman"/>
          <w:sz w:val="24"/>
          <w:szCs w:val="24"/>
        </w:rPr>
        <w:t>,</w:t>
      </w:r>
      <w:r w:rsidRPr="00D40965">
        <w:rPr>
          <w:rFonts w:ascii="Times New Roman" w:hAnsi="Times New Roman" w:cs="Times New Roman"/>
          <w:sz w:val="24"/>
          <w:szCs w:val="24"/>
        </w:rPr>
        <w:t xml:space="preserve"> o</w:t>
      </w:r>
      <w:r w:rsidR="00D40965" w:rsidRPr="00D40965">
        <w:rPr>
          <w:rFonts w:ascii="Times New Roman" w:hAnsi="Times New Roman" w:cs="Times New Roman"/>
          <w:sz w:val="24"/>
          <w:szCs w:val="24"/>
        </w:rPr>
        <w:t xml:space="preserve"> para</w:t>
      </w:r>
      <w:r w:rsidRPr="00D40965">
        <w:rPr>
          <w:rFonts w:ascii="Times New Roman" w:hAnsi="Times New Roman" w:cs="Times New Roman"/>
          <w:sz w:val="24"/>
          <w:szCs w:val="24"/>
        </w:rPr>
        <w:t xml:space="preserve"> escuchar algunas advertencias</w:t>
      </w:r>
      <w:r w:rsidR="00D40965" w:rsidRPr="00D40965">
        <w:rPr>
          <w:rFonts w:ascii="Times New Roman" w:hAnsi="Times New Roman" w:cs="Times New Roman"/>
          <w:sz w:val="24"/>
          <w:szCs w:val="24"/>
        </w:rPr>
        <w:t>.</w:t>
      </w:r>
    </w:p>
    <w:p w:rsidR="00A23520" w:rsidRDefault="009C185E" w:rsidP="00A23520">
      <w:pPr>
        <w:spacing w:line="240" w:lineRule="auto"/>
        <w:jc w:val="both"/>
        <w:rPr>
          <w:rFonts w:ascii="Times New Roman" w:hAnsi="Times New Roman" w:cs="Times New Roman"/>
          <w:sz w:val="24"/>
          <w:szCs w:val="24"/>
        </w:rPr>
      </w:pPr>
      <w:r w:rsidRPr="009C185E">
        <w:rPr>
          <w:rFonts w:ascii="Times New Roman" w:hAnsi="Times New Roman" w:cs="Times New Roman"/>
          <w:b/>
          <w:sz w:val="24"/>
          <w:szCs w:val="24"/>
        </w:rPr>
        <w:t xml:space="preserve">Ante la urgente necesidad de </w:t>
      </w:r>
      <w:r w:rsidR="00D40965" w:rsidRPr="009C185E">
        <w:rPr>
          <w:rFonts w:ascii="Times New Roman" w:hAnsi="Times New Roman" w:cs="Times New Roman"/>
          <w:b/>
          <w:sz w:val="24"/>
          <w:szCs w:val="24"/>
        </w:rPr>
        <w:t>ofrecer un “camino hacia la promesa”</w:t>
      </w:r>
      <w:r w:rsidRPr="009C185E">
        <w:rPr>
          <w:rFonts w:ascii="Times New Roman" w:hAnsi="Times New Roman" w:cs="Times New Roman"/>
          <w:b/>
          <w:sz w:val="24"/>
          <w:szCs w:val="24"/>
        </w:rPr>
        <w:t>,</w:t>
      </w:r>
      <w:r w:rsidR="00D40965" w:rsidRPr="009C185E">
        <w:rPr>
          <w:rFonts w:ascii="Times New Roman" w:hAnsi="Times New Roman" w:cs="Times New Roman"/>
          <w:b/>
          <w:sz w:val="24"/>
          <w:szCs w:val="24"/>
        </w:rPr>
        <w:t xml:space="preserve"> para los ciudadanos norteamericanos</w:t>
      </w:r>
      <w:r w:rsidRPr="009C185E">
        <w:rPr>
          <w:rFonts w:ascii="Times New Roman" w:hAnsi="Times New Roman" w:cs="Times New Roman"/>
          <w:b/>
          <w:sz w:val="24"/>
          <w:szCs w:val="24"/>
        </w:rPr>
        <w:t xml:space="preserve"> y europeos, </w:t>
      </w:r>
      <w:r w:rsidR="00D40965" w:rsidRPr="009C185E">
        <w:rPr>
          <w:rFonts w:ascii="Times New Roman" w:hAnsi="Times New Roman" w:cs="Times New Roman"/>
          <w:b/>
          <w:sz w:val="24"/>
          <w:szCs w:val="24"/>
        </w:rPr>
        <w:t>y un modelo</w:t>
      </w:r>
      <w:r w:rsidRPr="009C185E">
        <w:rPr>
          <w:rFonts w:ascii="Times New Roman" w:hAnsi="Times New Roman" w:cs="Times New Roman"/>
          <w:b/>
          <w:sz w:val="24"/>
          <w:szCs w:val="24"/>
        </w:rPr>
        <w:t xml:space="preserve"> de desarrollo</w:t>
      </w:r>
      <w:r w:rsidR="00313DDF">
        <w:rPr>
          <w:rFonts w:ascii="Times New Roman" w:hAnsi="Times New Roman" w:cs="Times New Roman"/>
          <w:b/>
          <w:sz w:val="24"/>
          <w:szCs w:val="24"/>
        </w:rPr>
        <w:t xml:space="preserve"> equilibrado y sostenible,</w:t>
      </w:r>
      <w:r w:rsidRPr="009C185E">
        <w:rPr>
          <w:rFonts w:ascii="Times New Roman" w:hAnsi="Times New Roman" w:cs="Times New Roman"/>
          <w:b/>
          <w:sz w:val="24"/>
          <w:szCs w:val="24"/>
        </w:rPr>
        <w:t xml:space="preserve"> para el </w:t>
      </w:r>
      <w:r w:rsidR="00313DDF">
        <w:rPr>
          <w:rFonts w:ascii="Times New Roman" w:hAnsi="Times New Roman" w:cs="Times New Roman"/>
          <w:b/>
          <w:sz w:val="24"/>
          <w:szCs w:val="24"/>
        </w:rPr>
        <w:t xml:space="preserve">mundo, </w:t>
      </w:r>
      <w:r>
        <w:rPr>
          <w:rFonts w:ascii="Times New Roman" w:hAnsi="Times New Roman" w:cs="Times New Roman"/>
          <w:b/>
          <w:sz w:val="24"/>
          <w:szCs w:val="24"/>
        </w:rPr>
        <w:t>l</w:t>
      </w:r>
      <w:r w:rsidR="00317DCF" w:rsidRPr="0058493C">
        <w:rPr>
          <w:rFonts w:ascii="Times New Roman" w:hAnsi="Times New Roman" w:cs="Times New Roman"/>
          <w:b/>
          <w:sz w:val="24"/>
          <w:szCs w:val="24"/>
        </w:rPr>
        <w:t xml:space="preserve">es dejo una pregunta, para terminar: </w:t>
      </w:r>
      <w:r w:rsidR="0058493C">
        <w:rPr>
          <w:rFonts w:ascii="Times New Roman" w:hAnsi="Times New Roman" w:cs="Times New Roman"/>
          <w:b/>
          <w:sz w:val="24"/>
          <w:szCs w:val="24"/>
        </w:rPr>
        <w:t>¿c</w:t>
      </w:r>
      <w:r w:rsidR="00317DCF" w:rsidRPr="0058493C">
        <w:rPr>
          <w:rFonts w:ascii="Times New Roman" w:hAnsi="Times New Roman" w:cs="Times New Roman"/>
          <w:b/>
          <w:sz w:val="24"/>
          <w:szCs w:val="24"/>
        </w:rPr>
        <w:t>reen ustedes que los que nos trajeron hasta aquí, tienen acreditado</w:t>
      </w:r>
      <w:r w:rsidR="0058493C">
        <w:rPr>
          <w:rFonts w:ascii="Times New Roman" w:hAnsi="Times New Roman" w:cs="Times New Roman"/>
          <w:b/>
          <w:sz w:val="24"/>
          <w:szCs w:val="24"/>
        </w:rPr>
        <w:t xml:space="preserve"> derecho, para</w:t>
      </w:r>
      <w:r w:rsidR="00317DCF" w:rsidRPr="0058493C">
        <w:rPr>
          <w:rFonts w:ascii="Times New Roman" w:hAnsi="Times New Roman" w:cs="Times New Roman"/>
          <w:b/>
          <w:sz w:val="24"/>
          <w:szCs w:val="24"/>
        </w:rPr>
        <w:t xml:space="preserve"> </w:t>
      </w:r>
      <w:r w:rsidR="0058493C" w:rsidRPr="0058493C">
        <w:rPr>
          <w:rFonts w:ascii="Times New Roman" w:hAnsi="Times New Roman" w:cs="Times New Roman"/>
          <w:b/>
          <w:sz w:val="24"/>
          <w:szCs w:val="24"/>
        </w:rPr>
        <w:t>seguir “poniendo</w:t>
      </w:r>
      <w:r w:rsidR="00317DCF" w:rsidRPr="0058493C">
        <w:rPr>
          <w:rFonts w:ascii="Times New Roman" w:hAnsi="Times New Roman" w:cs="Times New Roman"/>
          <w:b/>
          <w:sz w:val="24"/>
          <w:szCs w:val="24"/>
        </w:rPr>
        <w:t xml:space="preserve"> la mano en la rueda de la historia”</w:t>
      </w:r>
      <w:r w:rsidR="0058493C">
        <w:rPr>
          <w:rFonts w:ascii="Times New Roman" w:hAnsi="Times New Roman" w:cs="Times New Roman"/>
          <w:b/>
          <w:sz w:val="24"/>
          <w:szCs w:val="24"/>
        </w:rPr>
        <w:t>?</w:t>
      </w:r>
      <w:r w:rsidR="00317DCF" w:rsidRPr="0058493C">
        <w:rPr>
          <w:rFonts w:ascii="Times New Roman" w:hAnsi="Times New Roman" w:cs="Times New Roman"/>
          <w:b/>
          <w:sz w:val="24"/>
          <w:szCs w:val="24"/>
        </w:rPr>
        <w:t xml:space="preserve"> </w:t>
      </w:r>
      <w:r w:rsidR="0058493C" w:rsidRPr="0058493C">
        <w:rPr>
          <w:rFonts w:ascii="Times New Roman" w:hAnsi="Times New Roman" w:cs="Times New Roman"/>
          <w:b/>
          <w:sz w:val="24"/>
          <w:szCs w:val="24"/>
        </w:rPr>
        <w:t>(</w:t>
      </w:r>
      <w:r w:rsidR="00317DCF" w:rsidRPr="0058493C">
        <w:rPr>
          <w:rFonts w:ascii="Times New Roman" w:hAnsi="Times New Roman" w:cs="Times New Roman"/>
          <w:b/>
          <w:sz w:val="24"/>
          <w:szCs w:val="24"/>
        </w:rPr>
        <w:t>Max Weber</w:t>
      </w:r>
      <w:r w:rsidR="0058493C" w:rsidRPr="0058493C">
        <w:rPr>
          <w:rFonts w:ascii="Times New Roman" w:hAnsi="Times New Roman" w:cs="Times New Roman"/>
          <w:b/>
          <w:sz w:val="24"/>
          <w:szCs w:val="24"/>
        </w:rPr>
        <w:t>)</w:t>
      </w:r>
      <w:r w:rsidR="00317DCF" w:rsidRPr="0058493C">
        <w:rPr>
          <w:rFonts w:ascii="Times New Roman" w:hAnsi="Times New Roman" w:cs="Times New Roman"/>
          <w:b/>
          <w:sz w:val="24"/>
          <w:szCs w:val="24"/>
        </w:rPr>
        <w:t xml:space="preserve">. </w:t>
      </w:r>
      <w:r w:rsidR="00CC265C">
        <w:rPr>
          <w:rFonts w:ascii="Times New Roman" w:hAnsi="Times New Roman" w:cs="Times New Roman"/>
          <w:b/>
          <w:sz w:val="24"/>
          <w:szCs w:val="24"/>
        </w:rPr>
        <w:t>C</w:t>
      </w:r>
      <w:r w:rsidR="00CC265C" w:rsidRPr="00CC265C">
        <w:rPr>
          <w:rFonts w:ascii="Times New Roman" w:hAnsi="Times New Roman" w:cs="Times New Roman"/>
          <w:b/>
          <w:sz w:val="24"/>
          <w:szCs w:val="24"/>
        </w:rPr>
        <w:t>uesta ver de qué manera</w:t>
      </w:r>
      <w:r w:rsidR="00313DDF">
        <w:rPr>
          <w:rFonts w:ascii="Times New Roman" w:hAnsi="Times New Roman" w:cs="Times New Roman"/>
          <w:b/>
          <w:sz w:val="24"/>
          <w:szCs w:val="24"/>
        </w:rPr>
        <w:t xml:space="preserve"> se</w:t>
      </w:r>
      <w:r w:rsidR="00CC265C" w:rsidRPr="00CC265C">
        <w:rPr>
          <w:rFonts w:ascii="Times New Roman" w:hAnsi="Times New Roman" w:cs="Times New Roman"/>
          <w:b/>
          <w:sz w:val="24"/>
          <w:szCs w:val="24"/>
        </w:rPr>
        <w:t xml:space="preserve"> podrá</w:t>
      </w:r>
      <w:r w:rsidR="00CC265C">
        <w:rPr>
          <w:rFonts w:ascii="Times New Roman" w:hAnsi="Times New Roman" w:cs="Times New Roman"/>
          <w:b/>
          <w:sz w:val="24"/>
          <w:szCs w:val="24"/>
        </w:rPr>
        <w:t xml:space="preserve"> revertir la “fatiga de promesas”</w:t>
      </w:r>
      <w:r w:rsidR="00CC265C" w:rsidRPr="00CC265C">
        <w:rPr>
          <w:rFonts w:ascii="Times New Roman" w:hAnsi="Times New Roman" w:cs="Times New Roman"/>
          <w:b/>
          <w:sz w:val="24"/>
          <w:szCs w:val="24"/>
        </w:rPr>
        <w:t xml:space="preserve"> que ya se</w:t>
      </w:r>
      <w:r w:rsidR="00CC265C">
        <w:rPr>
          <w:rFonts w:ascii="Times New Roman" w:hAnsi="Times New Roman" w:cs="Times New Roman"/>
          <w:b/>
          <w:sz w:val="24"/>
          <w:szCs w:val="24"/>
        </w:rPr>
        <w:t xml:space="preserve"> ha instalado en gran parte de la población de los países avanzados</w:t>
      </w:r>
      <w:r w:rsidR="00313DDF">
        <w:rPr>
          <w:rFonts w:ascii="Times New Roman" w:hAnsi="Times New Roman" w:cs="Times New Roman"/>
          <w:b/>
          <w:sz w:val="24"/>
          <w:szCs w:val="24"/>
        </w:rPr>
        <w:t xml:space="preserve"> (ahora, en vías de subdesarrollo)</w:t>
      </w:r>
      <w:r w:rsidR="00CC265C">
        <w:rPr>
          <w:rFonts w:ascii="Times New Roman" w:hAnsi="Times New Roman" w:cs="Times New Roman"/>
          <w:b/>
          <w:sz w:val="24"/>
          <w:szCs w:val="24"/>
        </w:rPr>
        <w:t>.</w:t>
      </w:r>
      <w:r w:rsidR="00313DDF">
        <w:rPr>
          <w:rFonts w:ascii="Times New Roman" w:hAnsi="Times New Roman" w:cs="Times New Roman"/>
          <w:b/>
          <w:sz w:val="24"/>
          <w:szCs w:val="24"/>
        </w:rPr>
        <w:t xml:space="preserve"> </w:t>
      </w:r>
      <w:r w:rsidR="00660406" w:rsidRPr="0058493C">
        <w:rPr>
          <w:rFonts w:ascii="Times New Roman" w:hAnsi="Times New Roman" w:cs="Times New Roman"/>
          <w:b/>
          <w:sz w:val="24"/>
          <w:szCs w:val="24"/>
        </w:rPr>
        <w:t xml:space="preserve">  </w:t>
      </w:r>
      <w:r w:rsidR="007D7C53" w:rsidRPr="0058493C">
        <w:rPr>
          <w:rFonts w:ascii="Times New Roman" w:hAnsi="Times New Roman" w:cs="Times New Roman"/>
          <w:b/>
          <w:sz w:val="24"/>
          <w:szCs w:val="24"/>
        </w:rPr>
        <w:t xml:space="preserve"> </w:t>
      </w:r>
    </w:p>
    <w:p w:rsidR="007005A3" w:rsidRPr="00A23520" w:rsidRDefault="00DC2E5D" w:rsidP="00A23520">
      <w:pPr>
        <w:spacing w:line="240" w:lineRule="auto"/>
        <w:jc w:val="both"/>
        <w:rPr>
          <w:rFonts w:ascii="Times New Roman" w:hAnsi="Times New Roman" w:cs="Times New Roman"/>
          <w:sz w:val="24"/>
          <w:szCs w:val="24"/>
        </w:rPr>
      </w:pPr>
      <w:r w:rsidRPr="00005D29">
        <w:rPr>
          <w:rFonts w:ascii="Times New Roman" w:hAnsi="Times New Roman" w:cs="Times New Roman"/>
          <w:b/>
          <w:sz w:val="24"/>
          <w:szCs w:val="24"/>
        </w:rPr>
        <w:lastRenderedPageBreak/>
        <w:t xml:space="preserve">- </w:t>
      </w:r>
      <w:r w:rsidR="007005A3" w:rsidRPr="00005D29">
        <w:rPr>
          <w:rFonts w:ascii="Times New Roman" w:hAnsi="Times New Roman" w:cs="Times New Roman"/>
          <w:b/>
          <w:sz w:val="24"/>
          <w:szCs w:val="24"/>
        </w:rPr>
        <w:t>Del “big data”, al “big bang”</w:t>
      </w:r>
      <w:r w:rsidR="00005D29" w:rsidRPr="00005D29">
        <w:rPr>
          <w:rFonts w:ascii="Times New Roman" w:hAnsi="Times New Roman" w:cs="Times New Roman"/>
          <w:b/>
          <w:sz w:val="24"/>
          <w:szCs w:val="24"/>
        </w:rPr>
        <w:t xml:space="preserve"> (más allá del balance de sumas y saldos</w:t>
      </w:r>
      <w:r w:rsidR="00005D29">
        <w:rPr>
          <w:rFonts w:ascii="Times New Roman" w:hAnsi="Times New Roman" w:cs="Times New Roman"/>
          <w:b/>
          <w:sz w:val="24"/>
          <w:szCs w:val="24"/>
        </w:rPr>
        <w:t>)</w:t>
      </w:r>
    </w:p>
    <w:p w:rsidR="00DC2E5D" w:rsidRDefault="00DC2E5D" w:rsidP="00E46FC8">
      <w:pPr>
        <w:spacing w:line="240" w:lineRule="auto"/>
        <w:jc w:val="both"/>
        <w:rPr>
          <w:rFonts w:ascii="Times New Roman" w:hAnsi="Times New Roman" w:cs="Times New Roman"/>
          <w:b/>
          <w:sz w:val="24"/>
          <w:szCs w:val="24"/>
        </w:rPr>
      </w:pPr>
      <w:r w:rsidRPr="00DC2E5D">
        <w:rPr>
          <w:rFonts w:ascii="Times New Roman" w:hAnsi="Times New Roman" w:cs="Times New Roman"/>
          <w:b/>
          <w:sz w:val="24"/>
          <w:szCs w:val="24"/>
        </w:rPr>
        <w:t>Una “sociedad del malestar”</w:t>
      </w:r>
      <w:r w:rsidR="004C332E">
        <w:rPr>
          <w:rFonts w:ascii="Times New Roman" w:hAnsi="Times New Roman" w:cs="Times New Roman"/>
          <w:b/>
          <w:sz w:val="24"/>
          <w:szCs w:val="24"/>
        </w:rPr>
        <w:t>: solo puede mantenerse por la fuerza (</w:t>
      </w:r>
      <w:r w:rsidR="00D111F3">
        <w:rPr>
          <w:rFonts w:ascii="Times New Roman" w:hAnsi="Times New Roman" w:cs="Times New Roman"/>
          <w:b/>
          <w:sz w:val="24"/>
          <w:szCs w:val="24"/>
        </w:rPr>
        <w:t>¿</w:t>
      </w:r>
      <w:r w:rsidR="004C332E">
        <w:rPr>
          <w:rFonts w:ascii="Times New Roman" w:hAnsi="Times New Roman" w:cs="Times New Roman"/>
          <w:b/>
          <w:sz w:val="24"/>
          <w:szCs w:val="24"/>
        </w:rPr>
        <w:t>modelo chino?)</w:t>
      </w:r>
    </w:p>
    <w:p w:rsidR="00E46FC8" w:rsidRPr="00C73630" w:rsidRDefault="00DC2E5D" w:rsidP="00E46FC8">
      <w:pPr>
        <w:spacing w:line="240" w:lineRule="auto"/>
        <w:jc w:val="both"/>
        <w:rPr>
          <w:rFonts w:ascii="Times New Roman" w:hAnsi="Times New Roman" w:cs="Times New Roman"/>
          <w:color w:val="FF0000"/>
          <w:sz w:val="24"/>
          <w:szCs w:val="24"/>
        </w:rPr>
      </w:pPr>
      <w:r w:rsidRPr="00C73630">
        <w:rPr>
          <w:rFonts w:ascii="Times New Roman" w:hAnsi="Times New Roman" w:cs="Times New Roman"/>
          <w:color w:val="FF0000"/>
          <w:sz w:val="24"/>
          <w:szCs w:val="24"/>
        </w:rPr>
        <w:t>(Algunas fotos valen más que mil palabras)</w:t>
      </w:r>
    </w:p>
    <w:p w:rsidR="0083022B" w:rsidRDefault="00B074FC" w:rsidP="00DC2E5D">
      <w:pPr>
        <w:pStyle w:val="NormalWeb"/>
        <w:spacing w:after="420"/>
        <w:jc w:val="both"/>
        <w:textAlignment w:val="baseline"/>
        <w:rPr>
          <w:b/>
        </w:rPr>
      </w:pPr>
      <w:r>
        <w:rPr>
          <w:b/>
        </w:rPr>
        <w:t xml:space="preserve">Unión Europea: del estado del bienestar al estado del malestar </w:t>
      </w:r>
    </w:p>
    <w:p w:rsidR="00DC2E5D" w:rsidRPr="00DC2E5D" w:rsidRDefault="00DC2E5D" w:rsidP="00DC2E5D">
      <w:pPr>
        <w:pStyle w:val="NormalWeb"/>
        <w:spacing w:after="420"/>
        <w:jc w:val="both"/>
        <w:textAlignment w:val="baseline"/>
        <w:rPr>
          <w:b/>
        </w:rPr>
      </w:pPr>
      <w:r w:rsidRPr="00DC2E5D">
        <w:rPr>
          <w:b/>
        </w:rPr>
        <w:t>Sentados, esperando la “normalidad”…“Il-y-a toujour la manière” (siempre existe el camino) Talleyrand</w:t>
      </w:r>
      <w:r w:rsidR="007005A3">
        <w:rPr>
          <w:b/>
        </w:rPr>
        <w:t xml:space="preserve"> </w:t>
      </w:r>
    </w:p>
    <w:p w:rsidR="00E46FC8" w:rsidRDefault="00E46FC8" w:rsidP="00E46FC8">
      <w:pPr>
        <w:spacing w:line="240" w:lineRule="auto"/>
        <w:jc w:val="both"/>
        <w:rPr>
          <w:rFonts w:ascii="Times New Roman" w:hAnsi="Times New Roman" w:cs="Times New Roman"/>
          <w:sz w:val="24"/>
          <w:szCs w:val="24"/>
        </w:rPr>
      </w:pPr>
      <w:r>
        <w:rPr>
          <w:noProof/>
          <w:lang w:eastAsia="es-ES"/>
        </w:rPr>
        <w:drawing>
          <wp:inline distT="0" distB="0" distL="0" distR="0" wp14:anchorId="522D1D02" wp14:editId="27BEB975">
            <wp:extent cx="5731510" cy="3227614"/>
            <wp:effectExtent l="0" t="0" r="2540" b="0"/>
            <wp:docPr id="260" name="Imagen 260" descr="Los chalecos amarillos de la Francia invisible, en la calle contr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s chalecos amarillos de la Francia invisible, en la calle contra ..."/>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5731510" cy="3227614"/>
                    </a:xfrm>
                    <a:prstGeom prst="rect">
                      <a:avLst/>
                    </a:prstGeom>
                    <a:noFill/>
                    <a:ln>
                      <a:noFill/>
                    </a:ln>
                  </pic:spPr>
                </pic:pic>
              </a:graphicData>
            </a:graphic>
          </wp:inline>
        </w:drawing>
      </w:r>
    </w:p>
    <w:p w:rsidR="00E46FC8" w:rsidRDefault="00E46FC8" w:rsidP="00E46FC8">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Los “chalecos amarillos” incendian París - </w:t>
      </w:r>
      <w:r w:rsidRPr="00B129B8">
        <w:rPr>
          <w:rFonts w:ascii="Times New Roman" w:hAnsi="Times New Roman" w:cs="Times New Roman"/>
          <w:b/>
          <w:sz w:val="24"/>
          <w:szCs w:val="24"/>
        </w:rPr>
        <w:t>Marzo 2019</w:t>
      </w:r>
    </w:p>
    <w:p w:rsidR="00E46FC8" w:rsidRDefault="00E46FC8" w:rsidP="00E46FC8">
      <w:pPr>
        <w:spacing w:line="240" w:lineRule="auto"/>
        <w:jc w:val="both"/>
        <w:rPr>
          <w:rFonts w:ascii="Times New Roman" w:hAnsi="Times New Roman" w:cs="Times New Roman"/>
          <w:sz w:val="24"/>
          <w:szCs w:val="24"/>
        </w:rPr>
      </w:pPr>
      <w:r>
        <w:rPr>
          <w:noProof/>
          <w:lang w:eastAsia="es-ES"/>
        </w:rPr>
        <w:drawing>
          <wp:inline distT="0" distB="0" distL="0" distR="0" wp14:anchorId="5ADD8E46" wp14:editId="00A80C4B">
            <wp:extent cx="5731510" cy="3216759"/>
            <wp:effectExtent l="0" t="0" r="2540" b="3175"/>
            <wp:docPr id="261" name="Imagen 261" descr="Chalecos amarillos” preparan undécima protesta, en medio 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alecos amarillos” preparan undécima protesta, en medio de ..."/>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5731510" cy="3216759"/>
                    </a:xfrm>
                    <a:prstGeom prst="rect">
                      <a:avLst/>
                    </a:prstGeom>
                    <a:noFill/>
                    <a:ln>
                      <a:noFill/>
                    </a:ln>
                  </pic:spPr>
                </pic:pic>
              </a:graphicData>
            </a:graphic>
          </wp:inline>
        </w:drawing>
      </w:r>
    </w:p>
    <w:p w:rsidR="00E46FC8" w:rsidRDefault="00E46FC8" w:rsidP="00E46FC8">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49EC4C32" wp14:editId="093407CA">
            <wp:extent cx="5728447" cy="2729753"/>
            <wp:effectExtent l="0" t="0" r="5715" b="0"/>
            <wp:docPr id="262" name="Imagen 262" descr="Los 'chalecos amarillos' incendian París con sus protest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s 'chalecos amarillos' incendian París con sus protestas ..."/>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5731510" cy="2731213"/>
                    </a:xfrm>
                    <a:prstGeom prst="rect">
                      <a:avLst/>
                    </a:prstGeom>
                    <a:noFill/>
                    <a:ln>
                      <a:noFill/>
                    </a:ln>
                  </pic:spPr>
                </pic:pic>
              </a:graphicData>
            </a:graphic>
          </wp:inline>
        </w:drawing>
      </w:r>
    </w:p>
    <w:p w:rsidR="00E46FC8" w:rsidRDefault="00E46FC8" w:rsidP="00E46FC8">
      <w:pPr>
        <w:spacing w:line="240" w:lineRule="auto"/>
        <w:jc w:val="both"/>
        <w:rPr>
          <w:rFonts w:ascii="Times New Roman" w:hAnsi="Times New Roman" w:cs="Times New Roman"/>
          <w:sz w:val="24"/>
          <w:szCs w:val="24"/>
        </w:rPr>
      </w:pPr>
      <w:r>
        <w:rPr>
          <w:noProof/>
          <w:lang w:eastAsia="es-ES"/>
        </w:rPr>
        <w:drawing>
          <wp:inline distT="0" distB="0" distL="0" distR="0" wp14:anchorId="2C1B855C" wp14:editId="36D7DE02">
            <wp:extent cx="5728447" cy="2649071"/>
            <wp:effectExtent l="0" t="0" r="5715" b="0"/>
            <wp:docPr id="263" name="Imagen 263" descr="Chalecos amarillos: Violencia y saqueos en París | RT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halecos amarillos: Violencia y saqueos en París | RTVE"/>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5731510" cy="2650487"/>
                    </a:xfrm>
                    <a:prstGeom prst="rect">
                      <a:avLst/>
                    </a:prstGeom>
                    <a:noFill/>
                    <a:ln>
                      <a:noFill/>
                    </a:ln>
                  </pic:spPr>
                </pic:pic>
              </a:graphicData>
            </a:graphic>
          </wp:inline>
        </w:drawing>
      </w:r>
    </w:p>
    <w:p w:rsidR="00E46FC8" w:rsidRDefault="00E46FC8" w:rsidP="00E46FC8">
      <w:pPr>
        <w:spacing w:line="240" w:lineRule="auto"/>
        <w:jc w:val="both"/>
        <w:rPr>
          <w:rFonts w:ascii="Times New Roman" w:hAnsi="Times New Roman" w:cs="Times New Roman"/>
          <w:sz w:val="24"/>
          <w:szCs w:val="24"/>
        </w:rPr>
      </w:pPr>
      <w:r>
        <w:rPr>
          <w:noProof/>
          <w:lang w:eastAsia="es-ES"/>
        </w:rPr>
        <w:drawing>
          <wp:inline distT="0" distB="0" distL="0" distR="0" wp14:anchorId="126CC66D" wp14:editId="7204F2F3">
            <wp:extent cx="5733036" cy="3180229"/>
            <wp:effectExtent l="0" t="0" r="1270" b="1270"/>
            <wp:docPr id="264" name="Imagen 264" descr="Francia detiene a un millar de &quot;chalecos amarillos&quot; por s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rancia detiene a un millar de &quot;chalecos amarillos&quot; por su ..."/>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5731510" cy="3179383"/>
                    </a:xfrm>
                    <a:prstGeom prst="rect">
                      <a:avLst/>
                    </a:prstGeom>
                    <a:noFill/>
                    <a:ln>
                      <a:noFill/>
                    </a:ln>
                  </pic:spPr>
                </pic:pic>
              </a:graphicData>
            </a:graphic>
          </wp:inline>
        </w:drawing>
      </w:r>
    </w:p>
    <w:p w:rsidR="009F63A5" w:rsidRPr="00D111F3" w:rsidRDefault="00DC2E5D" w:rsidP="009F63A5">
      <w:pPr>
        <w:pStyle w:val="NormalWeb"/>
        <w:spacing w:after="420"/>
        <w:jc w:val="both"/>
        <w:textAlignment w:val="baseline"/>
        <w:rPr>
          <w:b/>
        </w:rPr>
      </w:pPr>
      <w:r w:rsidRPr="00D111F3">
        <w:rPr>
          <w:b/>
        </w:rPr>
        <w:lastRenderedPageBreak/>
        <w:t>D</w:t>
      </w:r>
      <w:r w:rsidR="009F63A5" w:rsidRPr="00D111F3">
        <w:rPr>
          <w:b/>
        </w:rPr>
        <w:t>el sueño americano a la pesadilla americana</w:t>
      </w:r>
    </w:p>
    <w:p w:rsidR="009F63A5" w:rsidRPr="00556EA7" w:rsidRDefault="009F63A5" w:rsidP="009F63A5">
      <w:pPr>
        <w:pStyle w:val="NormalWeb"/>
        <w:spacing w:after="420"/>
        <w:jc w:val="both"/>
        <w:textAlignment w:val="baseline"/>
      </w:pPr>
      <w:r>
        <w:rPr>
          <w:noProof/>
        </w:rPr>
        <w:drawing>
          <wp:inline distT="0" distB="0" distL="0" distR="0" wp14:anchorId="42E94CB0" wp14:editId="0B2FD1E2">
            <wp:extent cx="5735171" cy="2729753"/>
            <wp:effectExtent l="0" t="0" r="0" b="0"/>
            <wp:docPr id="290" name="Imagen 290" descr="Los j&amp;#243;venes piden ayuda a Estados Unidos para no caer bajo el yugo del Partido Comunista Ch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os j&amp;#243;venes piden ayuda a Estados Unidos para no caer bajo el yugo del Partido Comunista Chino."/>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5731510" cy="2728010"/>
                    </a:xfrm>
                    <a:prstGeom prst="rect">
                      <a:avLst/>
                    </a:prstGeom>
                    <a:noFill/>
                    <a:ln>
                      <a:noFill/>
                    </a:ln>
                  </pic:spPr>
                </pic:pic>
              </a:graphicData>
            </a:graphic>
          </wp:inline>
        </w:drawing>
      </w:r>
      <w:r w:rsidRPr="006F0BFC">
        <w:t xml:space="preserve">¿Esperando a Trump… o esperando a </w:t>
      </w:r>
      <w:r>
        <w:t>Godot? ¿Por qué no miran a la CNN?</w:t>
      </w:r>
    </w:p>
    <w:p w:rsidR="009F63A5" w:rsidRDefault="009F63A5" w:rsidP="009F63A5">
      <w:pPr>
        <w:pStyle w:val="NormalWeb"/>
        <w:spacing w:after="420"/>
        <w:jc w:val="both"/>
        <w:textAlignment w:val="baseline"/>
      </w:pPr>
      <w:r>
        <w:t>Crecen las revueltas capitalistas de Hong Kong ante el aumento de la represión comunista china. Los jóvenes piden ayuda a Estados Unidos para no caer bajo el yugo del Partido Comunista Chino. (</w:t>
      </w:r>
      <w:r w:rsidRPr="00313DDF">
        <w:rPr>
          <w:b/>
        </w:rPr>
        <w:t>3/6/20</w:t>
      </w:r>
      <w:r>
        <w:t>)</w:t>
      </w:r>
    </w:p>
    <w:p w:rsidR="008E0762" w:rsidRPr="00313DDF" w:rsidRDefault="00313DDF" w:rsidP="008E0762">
      <w:pPr>
        <w:spacing w:line="240" w:lineRule="auto"/>
        <w:jc w:val="both"/>
        <w:rPr>
          <w:rFonts w:ascii="Times New Roman" w:hAnsi="Times New Roman" w:cs="Times New Roman"/>
          <w:color w:val="FF0000"/>
          <w:sz w:val="24"/>
          <w:szCs w:val="24"/>
          <w:lang w:val="en-US"/>
        </w:rPr>
      </w:pPr>
      <w:r>
        <w:rPr>
          <w:rFonts w:ascii="Times New Roman" w:hAnsi="Times New Roman" w:cs="Times New Roman"/>
          <w:sz w:val="24"/>
          <w:szCs w:val="24"/>
        </w:rPr>
        <w:t>“</w:t>
      </w:r>
      <w:r w:rsidR="008E0762" w:rsidRPr="00B074FC">
        <w:rPr>
          <w:rFonts w:ascii="Times New Roman" w:hAnsi="Times New Roman" w:cs="Times New Roman"/>
          <w:sz w:val="24"/>
          <w:szCs w:val="24"/>
        </w:rPr>
        <w:t>Estados Unidos está enfrentando varios difíciles desafíos al mismo tiempo. Está la pandemia de COVID‑19, qu</w:t>
      </w:r>
      <w:r>
        <w:rPr>
          <w:rFonts w:ascii="Times New Roman" w:hAnsi="Times New Roman" w:cs="Times New Roman"/>
          <w:sz w:val="24"/>
          <w:szCs w:val="24"/>
        </w:rPr>
        <w:t>e tras cobrarse casi 120.</w:t>
      </w:r>
      <w:r w:rsidR="008E0762" w:rsidRPr="00B074FC">
        <w:rPr>
          <w:rFonts w:ascii="Times New Roman" w:hAnsi="Times New Roman" w:cs="Times New Roman"/>
          <w:sz w:val="24"/>
          <w:szCs w:val="24"/>
        </w:rPr>
        <w:t>000 vidas muestra pocos signos de retroceder en grandes áreas del país. El impacto económico ha sido devastador; en este momento hay unos 40 millones de personas sin empleo, y la Reserva Federal prevé que muchas seguirán en esa condición por mucho tiempo</w:t>
      </w:r>
      <w:r>
        <w:rPr>
          <w:rFonts w:ascii="Times New Roman" w:hAnsi="Times New Roman" w:cs="Times New Roman"/>
          <w:sz w:val="24"/>
          <w:szCs w:val="24"/>
        </w:rPr>
        <w:t>”…</w:t>
      </w:r>
      <w:r w:rsidR="008E0762" w:rsidRPr="00B074FC">
        <w:rPr>
          <w:rFonts w:ascii="Times New Roman" w:hAnsi="Times New Roman" w:cs="Times New Roman"/>
          <w:sz w:val="24"/>
          <w:szCs w:val="24"/>
        </w:rPr>
        <w:t xml:space="preserve"> </w:t>
      </w:r>
      <w:r w:rsidR="008E0762" w:rsidRPr="00313DDF">
        <w:rPr>
          <w:rFonts w:ascii="Times New Roman" w:hAnsi="Times New Roman" w:cs="Times New Roman"/>
          <w:sz w:val="24"/>
          <w:szCs w:val="24"/>
          <w:lang w:val="en-US"/>
        </w:rPr>
        <w:t xml:space="preserve">(Project Syndicate - Richard N. Haass, President of the Council on Foreign Relations, previously served as Director of Policy Planning for the US State Department (2001-2003) - </w:t>
      </w:r>
      <w:r w:rsidR="008E0762" w:rsidRPr="00313DDF">
        <w:rPr>
          <w:rFonts w:ascii="Times New Roman" w:hAnsi="Times New Roman" w:cs="Times New Roman"/>
          <w:b/>
          <w:sz w:val="24"/>
          <w:szCs w:val="24"/>
          <w:lang w:val="en-US"/>
        </w:rPr>
        <w:t>15/6/20</w:t>
      </w:r>
      <w:r w:rsidR="008E0762" w:rsidRPr="00313DDF">
        <w:rPr>
          <w:rFonts w:ascii="Times New Roman" w:hAnsi="Times New Roman" w:cs="Times New Roman"/>
          <w:sz w:val="24"/>
          <w:szCs w:val="24"/>
          <w:lang w:val="en-US"/>
        </w:rPr>
        <w:t>)</w:t>
      </w:r>
    </w:p>
    <w:p w:rsidR="00DC2E5D" w:rsidRPr="00DC2E5D" w:rsidRDefault="00DC2E5D" w:rsidP="00DC2E5D">
      <w:pPr>
        <w:spacing w:line="240" w:lineRule="auto"/>
        <w:jc w:val="both"/>
        <w:rPr>
          <w:rFonts w:ascii="Times New Roman" w:hAnsi="Times New Roman" w:cs="Times New Roman"/>
          <w:b/>
          <w:sz w:val="24"/>
          <w:szCs w:val="24"/>
        </w:rPr>
      </w:pPr>
      <w:r>
        <w:rPr>
          <w:rFonts w:ascii="Times New Roman" w:hAnsi="Times New Roman" w:cs="Times New Roman"/>
          <w:b/>
          <w:sz w:val="24"/>
          <w:szCs w:val="24"/>
        </w:rPr>
        <w:t>Black Floyd - The Wall</w:t>
      </w:r>
    </w:p>
    <w:p w:rsidR="009F63A5" w:rsidRPr="00DC2E5D" w:rsidRDefault="009F63A5" w:rsidP="009F63A5">
      <w:pPr>
        <w:pStyle w:val="NormalWeb"/>
        <w:spacing w:after="420"/>
        <w:jc w:val="both"/>
        <w:textAlignment w:val="baseline"/>
      </w:pPr>
      <w:r>
        <w:rPr>
          <w:noProof/>
        </w:rPr>
        <w:drawing>
          <wp:inline distT="0" distB="0" distL="0" distR="0" wp14:anchorId="44938BB1" wp14:editId="6B62CECE">
            <wp:extent cx="5735171" cy="2817159"/>
            <wp:effectExtent l="0" t="0" r="0" b="2540"/>
            <wp:docPr id="291" name="Imagen 291" descr="Protesters Defy Curfews, Trump Visits Church, Floyd Death Ruled Homic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testers Defy Curfews, Trump Visits Church, Floyd Death Ruled Homicide"/>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731510" cy="2815361"/>
                    </a:xfrm>
                    <a:prstGeom prst="rect">
                      <a:avLst/>
                    </a:prstGeom>
                    <a:noFill/>
                    <a:ln>
                      <a:noFill/>
                    </a:ln>
                  </pic:spPr>
                </pic:pic>
              </a:graphicData>
            </a:graphic>
          </wp:inline>
        </w:drawing>
      </w:r>
      <w:r>
        <w:t>¿Será esto lo que queda del “sueño americano”?</w:t>
      </w:r>
    </w:p>
    <w:p w:rsidR="009F63A5" w:rsidRPr="0079527B" w:rsidRDefault="00DC2E5D" w:rsidP="009F63A5">
      <w:pPr>
        <w:pStyle w:val="NormalWeb"/>
        <w:spacing w:before="0" w:beforeAutospacing="0" w:after="420" w:afterAutospacing="0"/>
        <w:jc w:val="both"/>
        <w:textAlignment w:val="baseline"/>
      </w:pPr>
      <w:r>
        <w:lastRenderedPageBreak/>
        <w:t xml:space="preserve"> </w:t>
      </w:r>
      <w:r w:rsidR="009F63A5">
        <w:rPr>
          <w:noProof/>
        </w:rPr>
        <w:drawing>
          <wp:inline distT="0" distB="0" distL="0" distR="0" wp14:anchorId="48A495F1" wp14:editId="6D1927F9">
            <wp:extent cx="5724936" cy="3166782"/>
            <wp:effectExtent l="0" t="0" r="9525" b="0"/>
            <wp:docPr id="292" name="Imagen 292" descr="Un oficial de la Guardia Nacional frente a un edificio incendiado en Minneapo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oficial de la Guardia Nacional frente a un edificio incendiado en Minneapolis."/>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5731510" cy="3170419"/>
                    </a:xfrm>
                    <a:prstGeom prst="rect">
                      <a:avLst/>
                    </a:prstGeom>
                    <a:noFill/>
                    <a:ln>
                      <a:noFill/>
                    </a:ln>
                  </pic:spPr>
                </pic:pic>
              </a:graphicData>
            </a:graphic>
          </wp:inline>
        </w:drawing>
      </w:r>
      <w:r w:rsidR="009F63A5" w:rsidRPr="0079527B">
        <w:t>¿Siria? No, USA</w:t>
      </w:r>
    </w:p>
    <w:p w:rsidR="009F63A5" w:rsidRPr="006F0BFC" w:rsidRDefault="009F63A5" w:rsidP="009F63A5">
      <w:pPr>
        <w:pStyle w:val="NormalWeb"/>
        <w:spacing w:before="0" w:beforeAutospacing="0" w:after="420" w:afterAutospacing="0"/>
        <w:jc w:val="both"/>
        <w:textAlignment w:val="baseline"/>
      </w:pPr>
      <w:r>
        <w:rPr>
          <w:noProof/>
        </w:rPr>
        <w:drawing>
          <wp:inline distT="0" distB="0" distL="0" distR="0" wp14:anchorId="791F6B19" wp14:editId="455C90CC">
            <wp:extent cx="5735100" cy="3328147"/>
            <wp:effectExtent l="0" t="0" r="0" b="5715"/>
            <wp:docPr id="293" name="Imagen 293" descr="Manifestantes se reúnen para ver arder una licorer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nifestantes se reúnen para ver arder una licorería"/>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5731510" cy="3326064"/>
                    </a:xfrm>
                    <a:prstGeom prst="rect">
                      <a:avLst/>
                    </a:prstGeom>
                    <a:noFill/>
                    <a:ln>
                      <a:noFill/>
                    </a:ln>
                  </pic:spPr>
                </pic:pic>
              </a:graphicData>
            </a:graphic>
          </wp:inline>
        </w:drawing>
      </w:r>
      <w:r>
        <w:t xml:space="preserve">¿Chalecos amarillos - París? No, </w:t>
      </w:r>
      <w:r w:rsidRPr="0079527B">
        <w:t>disturbios y las protestas en Minneapolis</w:t>
      </w:r>
      <w:r>
        <w:t xml:space="preserve"> - USA por la muerte de un</w:t>
      </w:r>
      <w:r w:rsidRPr="0079527B">
        <w:t xml:space="preserve"> afroestadounidense en custodia policial     </w:t>
      </w:r>
    </w:p>
    <w:p w:rsidR="009F63A5" w:rsidRPr="002F3DA5" w:rsidRDefault="009F63A5" w:rsidP="009F63A5">
      <w:pPr>
        <w:pStyle w:val="NormalWeb"/>
        <w:spacing w:before="0" w:beforeAutospacing="0" w:after="420" w:afterAutospacing="0"/>
        <w:jc w:val="both"/>
        <w:textAlignment w:val="baseline"/>
      </w:pPr>
    </w:p>
    <w:p w:rsidR="009F63A5" w:rsidRDefault="009F63A5" w:rsidP="009F63A5">
      <w:pPr>
        <w:pStyle w:val="NormalWeb"/>
        <w:shd w:val="clear" w:color="auto" w:fill="FFFFFF"/>
        <w:spacing w:before="0" w:beforeAutospacing="0" w:after="0" w:afterAutospacing="0"/>
        <w:jc w:val="both"/>
        <w:rPr>
          <w:rFonts w:ascii="Calibri" w:hAnsi="Calibri" w:cs="Calibri"/>
          <w:color w:val="1D2228"/>
          <w:sz w:val="29"/>
          <w:szCs w:val="29"/>
          <w:shd w:val="clear" w:color="auto" w:fill="FFFFFF"/>
          <w:lang w:val="en-US"/>
        </w:rPr>
      </w:pPr>
      <w:r>
        <w:rPr>
          <w:noProof/>
        </w:rPr>
        <w:lastRenderedPageBreak/>
        <w:drawing>
          <wp:inline distT="0" distB="0" distL="0" distR="0" wp14:anchorId="0B2BBF8C" wp14:editId="286024BE">
            <wp:extent cx="5735170" cy="3482788"/>
            <wp:effectExtent l="0" t="0" r="0" b="3810"/>
            <wp:docPr id="294" name="Imagen 294" descr="Un hombre pasa junto a una licorería en lla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 hombre pasa junto a una licorería en llamas"/>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5731510" cy="3480565"/>
                    </a:xfrm>
                    <a:prstGeom prst="rect">
                      <a:avLst/>
                    </a:prstGeom>
                    <a:noFill/>
                    <a:ln>
                      <a:noFill/>
                    </a:ln>
                  </pic:spPr>
                </pic:pic>
              </a:graphicData>
            </a:graphic>
          </wp:inline>
        </w:drawing>
      </w:r>
    </w:p>
    <w:p w:rsidR="009F63A5" w:rsidRPr="00DC2E5D" w:rsidRDefault="00DC2E5D" w:rsidP="00DC2E5D">
      <w:pPr>
        <w:shd w:val="clear" w:color="auto" w:fill="FFFFFF"/>
        <w:spacing w:after="600" w:line="240" w:lineRule="auto"/>
        <w:jc w:val="both"/>
        <w:rPr>
          <w:rFonts w:ascii="Times New Roman" w:eastAsia="Times New Roman" w:hAnsi="Times New Roman" w:cs="Times New Roman"/>
          <w:color w:val="1D2228"/>
          <w:sz w:val="24"/>
          <w:szCs w:val="24"/>
        </w:rPr>
      </w:pPr>
      <w:r w:rsidRPr="00DC2E5D">
        <w:rPr>
          <w:rFonts w:ascii="Times New Roman" w:eastAsia="Times New Roman" w:hAnsi="Times New Roman" w:cs="Times New Roman"/>
          <w:color w:val="1D2228"/>
          <w:sz w:val="24"/>
          <w:szCs w:val="24"/>
        </w:rPr>
        <w:t>¿Hong Kong? No, USA</w:t>
      </w:r>
    </w:p>
    <w:p w:rsidR="009F63A5" w:rsidRPr="00775B06" w:rsidRDefault="009F63A5" w:rsidP="009F63A5">
      <w:pPr>
        <w:pStyle w:val="NormalWeb"/>
        <w:shd w:val="clear" w:color="auto" w:fill="FFFFFF"/>
        <w:spacing w:before="0" w:beforeAutospacing="0" w:after="0" w:afterAutospacing="0"/>
        <w:jc w:val="both"/>
        <w:rPr>
          <w:rFonts w:ascii="Calibri" w:hAnsi="Calibri" w:cs="Calibri"/>
          <w:color w:val="1D2228"/>
          <w:sz w:val="29"/>
          <w:szCs w:val="29"/>
          <w:shd w:val="clear" w:color="auto" w:fill="FFFFFF"/>
          <w:lang w:val="en-US"/>
        </w:rPr>
      </w:pPr>
      <w:r>
        <w:rPr>
          <w:noProof/>
        </w:rPr>
        <w:drawing>
          <wp:inline distT="0" distB="0" distL="0" distR="0" wp14:anchorId="0B6E606C" wp14:editId="2475C915">
            <wp:extent cx="5721724" cy="3072653"/>
            <wp:effectExtent l="0" t="0" r="0" b="0"/>
            <wp:docPr id="295" name="Imagen 295" descr="La policía seguía este viernes custodiando las calles en Minneapo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a policía seguía este viernes custodiando las calles en Minneapolis."/>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5731510" cy="3077908"/>
                    </a:xfrm>
                    <a:prstGeom prst="rect">
                      <a:avLst/>
                    </a:prstGeom>
                    <a:noFill/>
                    <a:ln>
                      <a:noFill/>
                    </a:ln>
                  </pic:spPr>
                </pic:pic>
              </a:graphicData>
            </a:graphic>
          </wp:inline>
        </w:drawing>
      </w:r>
    </w:p>
    <w:p w:rsidR="00DC2E5D" w:rsidRPr="002F3DA5" w:rsidRDefault="00DC2E5D" w:rsidP="00DC2E5D">
      <w:pPr>
        <w:pStyle w:val="NormalWeb"/>
        <w:spacing w:before="0" w:beforeAutospacing="0" w:after="420" w:afterAutospacing="0"/>
        <w:jc w:val="both"/>
        <w:textAlignment w:val="baseline"/>
      </w:pPr>
      <w:r w:rsidRPr="002F3DA5">
        <w:t>¿E</w:t>
      </w:r>
      <w:r>
        <w:t>stado de alarma, toque de queda o… solo queda, la guerra civil</w:t>
      </w:r>
      <w:r w:rsidRPr="002F3DA5">
        <w:t>?</w:t>
      </w:r>
      <w:r>
        <w:t xml:space="preserve"> </w:t>
      </w:r>
    </w:p>
    <w:p w:rsidR="009F63A5" w:rsidRPr="00DC2E5D" w:rsidRDefault="009F63A5" w:rsidP="009F63A5">
      <w:pPr>
        <w:pStyle w:val="NormalWeb"/>
        <w:shd w:val="clear" w:color="auto" w:fill="FFFFFF"/>
        <w:spacing w:before="0" w:beforeAutospacing="0" w:after="0" w:afterAutospacing="0"/>
        <w:rPr>
          <w:rFonts w:ascii="Calibri" w:hAnsi="Calibri" w:cs="Calibri"/>
          <w:color w:val="1D2228"/>
          <w:sz w:val="22"/>
          <w:szCs w:val="22"/>
        </w:rPr>
      </w:pPr>
    </w:p>
    <w:p w:rsidR="009F63A5" w:rsidRDefault="009F63A5" w:rsidP="009F63A5">
      <w:pPr>
        <w:spacing w:line="240" w:lineRule="auto"/>
        <w:jc w:val="both"/>
        <w:rPr>
          <w:rFonts w:ascii="Times New Roman" w:hAnsi="Times New Roman" w:cs="Times New Roman"/>
          <w:sz w:val="24"/>
          <w:szCs w:val="24"/>
          <w:shd w:val="clear" w:color="auto" w:fill="FFFFFF"/>
          <w:lang w:val="en-US"/>
        </w:rPr>
      </w:pPr>
      <w:r>
        <w:rPr>
          <w:noProof/>
          <w:lang w:eastAsia="es-ES"/>
        </w:rPr>
        <w:lastRenderedPageBreak/>
        <w:drawing>
          <wp:inline distT="0" distB="0" distL="0" distR="0" wp14:anchorId="55AFE6CC" wp14:editId="5835F47A">
            <wp:extent cx="5731510" cy="3820746"/>
            <wp:effectExtent l="0" t="0" r="2540" b="8890"/>
            <wp:docPr id="296" name="Imagen 296" descr="Los manifestantes se reúnen después de prender fuego a la entrada de una estación de polic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s manifestantes se reúnen después de prender fuego a la entrada de una estación de policía"/>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5731510" cy="3820746"/>
                    </a:xfrm>
                    <a:prstGeom prst="rect">
                      <a:avLst/>
                    </a:prstGeom>
                    <a:noFill/>
                    <a:ln>
                      <a:noFill/>
                    </a:ln>
                  </pic:spPr>
                </pic:pic>
              </a:graphicData>
            </a:graphic>
          </wp:inline>
        </w:drawing>
      </w:r>
    </w:p>
    <w:p w:rsidR="009F63A5" w:rsidRPr="0079527B" w:rsidRDefault="009F63A5" w:rsidP="009F63A5">
      <w:pPr>
        <w:spacing w:line="240" w:lineRule="auto"/>
        <w:jc w:val="both"/>
        <w:rPr>
          <w:rFonts w:ascii="Times New Roman" w:hAnsi="Times New Roman" w:cs="Times New Roman"/>
          <w:sz w:val="24"/>
          <w:szCs w:val="24"/>
          <w:shd w:val="clear" w:color="auto" w:fill="FFFFFF"/>
        </w:rPr>
      </w:pPr>
      <w:r w:rsidRPr="0079527B">
        <w:rPr>
          <w:rFonts w:ascii="Times New Roman" w:hAnsi="Times New Roman" w:cs="Times New Roman"/>
          <w:sz w:val="24"/>
          <w:szCs w:val="24"/>
          <w:shd w:val="clear" w:color="auto" w:fill="FFFFFF"/>
        </w:rPr>
        <w:t>También hubo protestas en Chicago, Illinois; Los Ángeles, California; y Memphis, Tennessee.</w:t>
      </w:r>
    </w:p>
    <w:p w:rsidR="009F63A5" w:rsidRDefault="009F63A5" w:rsidP="009F63A5">
      <w:pPr>
        <w:spacing w:line="240" w:lineRule="auto"/>
        <w:jc w:val="both"/>
        <w:rPr>
          <w:rFonts w:ascii="Times New Roman" w:hAnsi="Times New Roman" w:cs="Times New Roman"/>
          <w:color w:val="FF0000"/>
          <w:sz w:val="24"/>
          <w:szCs w:val="24"/>
          <w:lang w:val="en-US"/>
        </w:rPr>
      </w:pPr>
      <w:r>
        <w:rPr>
          <w:noProof/>
          <w:lang w:eastAsia="es-ES"/>
        </w:rPr>
        <w:drawing>
          <wp:inline distT="0" distB="0" distL="0" distR="0" wp14:anchorId="28F0DA64" wp14:editId="3AF701A6">
            <wp:extent cx="5731510" cy="3688456"/>
            <wp:effectExtent l="0" t="0" r="2540" b="7620"/>
            <wp:docPr id="297" name="Imagen 297" descr="Manifestantes son vistos fuera de una licorería en lla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nifestantes son vistos fuera de una licorería en llamas"/>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5731510" cy="3688456"/>
                    </a:xfrm>
                    <a:prstGeom prst="rect">
                      <a:avLst/>
                    </a:prstGeom>
                    <a:noFill/>
                    <a:ln>
                      <a:noFill/>
                    </a:ln>
                  </pic:spPr>
                </pic:pic>
              </a:graphicData>
            </a:graphic>
          </wp:inline>
        </w:drawing>
      </w:r>
    </w:p>
    <w:p w:rsidR="009F63A5" w:rsidRPr="007637DA" w:rsidRDefault="007637DA" w:rsidP="009F63A5">
      <w:pPr>
        <w:spacing w:line="240" w:lineRule="auto"/>
        <w:jc w:val="both"/>
        <w:rPr>
          <w:rFonts w:ascii="Times New Roman" w:hAnsi="Times New Roman" w:cs="Times New Roman"/>
          <w:sz w:val="24"/>
          <w:szCs w:val="24"/>
        </w:rPr>
      </w:pPr>
      <w:r w:rsidRPr="007637DA">
        <w:rPr>
          <w:rFonts w:ascii="Times New Roman" w:hAnsi="Times New Roman" w:cs="Times New Roman"/>
          <w:sz w:val="24"/>
          <w:szCs w:val="24"/>
        </w:rPr>
        <w:t>¿La hoguera de las vanidades… o el poder de las tinieblas?</w:t>
      </w:r>
    </w:p>
    <w:p w:rsidR="009F63A5" w:rsidRDefault="009F63A5" w:rsidP="00E46FC8">
      <w:pPr>
        <w:spacing w:line="240" w:lineRule="auto"/>
        <w:jc w:val="both"/>
        <w:rPr>
          <w:rFonts w:ascii="Times New Roman" w:hAnsi="Times New Roman" w:cs="Times New Roman"/>
          <w:b/>
          <w:sz w:val="24"/>
          <w:szCs w:val="24"/>
        </w:rPr>
      </w:pPr>
      <w:r>
        <w:rPr>
          <w:noProof/>
          <w:lang w:eastAsia="es-ES"/>
        </w:rPr>
        <w:lastRenderedPageBreak/>
        <w:drawing>
          <wp:inline distT="0" distB="0" distL="0" distR="0" wp14:anchorId="3107168C" wp14:editId="77F8B925">
            <wp:extent cx="5731510" cy="3223895"/>
            <wp:effectExtent l="0" t="0" r="2540" b="0"/>
            <wp:docPr id="298" name="Imagen 298" descr="sommers1_Stephen MaturenGetty Images_usprotestgeorgefloy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ommers1_Stephen MaturenGetty Images_usprotestgeorgefloyd"/>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inline>
        </w:drawing>
      </w:r>
    </w:p>
    <w:p w:rsidR="00E46FC8" w:rsidRDefault="00E46FC8" w:rsidP="00E46FC8">
      <w:pPr>
        <w:spacing w:line="240" w:lineRule="auto"/>
        <w:jc w:val="both"/>
        <w:rPr>
          <w:rFonts w:ascii="Times New Roman" w:hAnsi="Times New Roman" w:cs="Times New Roman"/>
          <w:b/>
          <w:sz w:val="24"/>
          <w:szCs w:val="24"/>
        </w:rPr>
      </w:pPr>
      <w:r>
        <w:rPr>
          <w:rFonts w:ascii="Times New Roman" w:hAnsi="Times New Roman" w:cs="Times New Roman"/>
          <w:b/>
          <w:sz w:val="24"/>
          <w:szCs w:val="24"/>
        </w:rPr>
        <w:t>L</w:t>
      </w:r>
      <w:r w:rsidRPr="00B129B8">
        <w:rPr>
          <w:rFonts w:ascii="Times New Roman" w:hAnsi="Times New Roman" w:cs="Times New Roman"/>
          <w:b/>
          <w:sz w:val="24"/>
          <w:szCs w:val="24"/>
        </w:rPr>
        <w:t>os disturbios de EEUU fueron iniciados por una chispa a la que todos los países estamos expuestos. Un informe del IEEE describe bien a qué escenario nos enfrentamos</w:t>
      </w:r>
    </w:p>
    <w:p w:rsidR="00E46FC8" w:rsidRPr="00B129B8" w:rsidRDefault="00E46FC8" w:rsidP="00E46FC8">
      <w:pPr>
        <w:spacing w:line="240" w:lineRule="auto"/>
        <w:jc w:val="both"/>
        <w:rPr>
          <w:rFonts w:ascii="Times New Roman" w:hAnsi="Times New Roman" w:cs="Times New Roman"/>
          <w:sz w:val="24"/>
          <w:szCs w:val="24"/>
        </w:rPr>
      </w:pPr>
      <w:r w:rsidRPr="00B129B8">
        <w:rPr>
          <w:rFonts w:ascii="Times New Roman" w:hAnsi="Times New Roman" w:cs="Times New Roman"/>
          <w:sz w:val="24"/>
          <w:szCs w:val="24"/>
        </w:rPr>
        <w:t>A estas alturas, resulta curioso recordar las predicciones que se hicieron sobre el futuro de China. Se nos decía que el ascenso del país asiático no era de temer, ya que era un gigante con los pies de barrio. Una de las fuentes de debilidad futura residía en su crecimiento económico: conforme sus ciudadanos fueran aumentando su nivel de vida, someterían a mayor presión a su Gobierno, ya que demandarían más libertades y estarían menos dispuestos a sufrir un régimen opresivo. Una vez estabilizadas las necesidades materiales, darían el paso siguiente y tratarían de ascender en la pirámide de Maslow, lo que obligaría al Gobierno chino a abandonar muchas de las restricciones impuestas o a utilizar un plus de control; cualquiera de las dos cosas minaría la cohesión interna y debilitaría al régimen comunista.</w:t>
      </w:r>
    </w:p>
    <w:p w:rsidR="00E46FC8" w:rsidRDefault="00E46FC8" w:rsidP="00E46FC8">
      <w:pPr>
        <w:spacing w:line="240" w:lineRule="auto"/>
        <w:jc w:val="both"/>
        <w:rPr>
          <w:rFonts w:ascii="Times New Roman" w:hAnsi="Times New Roman" w:cs="Times New Roman"/>
          <w:sz w:val="24"/>
          <w:szCs w:val="24"/>
        </w:rPr>
      </w:pPr>
      <w:r w:rsidRPr="00B129B8">
        <w:rPr>
          <w:rFonts w:ascii="Times New Roman" w:hAnsi="Times New Roman" w:cs="Times New Roman"/>
          <w:sz w:val="24"/>
          <w:szCs w:val="24"/>
        </w:rPr>
        <w:t>A quienes afirmaban estas tesis, que desgranaban con aplomo, se les olvidó mencionar que, mientras tanto, las poblaciones occidentales iban viendo reducido su nivel de vida, lo que iba a generar mucho descontento y a aumentar la presión sobre los gobiernos; y si estos no respondían de la manera adecuada, el malestar iba a extenderse, lo que volvería muy frágil la cohesión interna. No era tan difícil de adivinar, pero nuestras élites económicas e intelectuales estaban pendientes del mundo del futuro, el de los grandes avances científicos y la reinvención tecnológica, por lo que las poblaciones no eran su objeto preferido de atención.</w:t>
      </w:r>
    </w:p>
    <w:p w:rsidR="00E46FC8" w:rsidRPr="00B129B8" w:rsidRDefault="00E46FC8" w:rsidP="00E46FC8">
      <w:pPr>
        <w:spacing w:line="240" w:lineRule="auto"/>
        <w:jc w:val="both"/>
        <w:rPr>
          <w:rFonts w:ascii="Times New Roman" w:hAnsi="Times New Roman" w:cs="Times New Roman"/>
          <w:sz w:val="24"/>
          <w:szCs w:val="24"/>
        </w:rPr>
      </w:pPr>
      <w:r w:rsidRPr="00B129B8">
        <w:rPr>
          <w:rFonts w:ascii="Times New Roman" w:hAnsi="Times New Roman" w:cs="Times New Roman"/>
          <w:sz w:val="24"/>
          <w:szCs w:val="24"/>
        </w:rPr>
        <w:t>La crisis de 2008 vino a introducir algunos puntos de fricción sobre estas fantasías, al debilitar a las clases medias y empobrecer a las clases trabajadoras, lo que llevó al nacimiento de nuevos partidos políticos y de nuevas tendencias ideológicas que no eran demasiado complacientes con el sistema. Muy a menudo, las advertencias sobre el malestar social recurren a la imagen de masas de desfavorecidos asaltando los palacios de Invierno. Ocasionalmente ocurre, pero son excepciones en la historia. Lo más habitual es que se exacerben los descontentos existentes, como estamos viendo, y que la demanda de derechos, a menudo identitarios,</w:t>
      </w:r>
      <w:r>
        <w:rPr>
          <w:rFonts w:ascii="Times New Roman" w:hAnsi="Times New Roman" w:cs="Times New Roman"/>
          <w:sz w:val="24"/>
          <w:szCs w:val="24"/>
        </w:rPr>
        <w:t xml:space="preserve"> adquiera formas más violentas.</w:t>
      </w:r>
    </w:p>
    <w:p w:rsidR="00E46FC8" w:rsidRPr="00B129B8" w:rsidRDefault="00E46FC8" w:rsidP="00E46FC8">
      <w:pPr>
        <w:spacing w:line="240" w:lineRule="auto"/>
        <w:jc w:val="both"/>
        <w:rPr>
          <w:rFonts w:ascii="Times New Roman" w:hAnsi="Times New Roman" w:cs="Times New Roman"/>
          <w:sz w:val="24"/>
          <w:szCs w:val="24"/>
        </w:rPr>
      </w:pPr>
      <w:r w:rsidRPr="00B129B8">
        <w:rPr>
          <w:rFonts w:ascii="Times New Roman" w:hAnsi="Times New Roman" w:cs="Times New Roman"/>
          <w:sz w:val="24"/>
          <w:szCs w:val="24"/>
        </w:rPr>
        <w:t>Desde ese escenario, hemos de afrontar una nueva crisis que hará que llueva sobre mojado. El telón de fondo lo explica bien el coronel de artillería Jos</w:t>
      </w:r>
      <w:r w:rsidR="0083022B">
        <w:rPr>
          <w:rFonts w:ascii="Times New Roman" w:hAnsi="Times New Roman" w:cs="Times New Roman"/>
          <w:sz w:val="24"/>
          <w:szCs w:val="24"/>
        </w:rPr>
        <w:t xml:space="preserve">é Luis Pontijas en su análisis </w:t>
      </w:r>
      <w:r w:rsidR="0083022B">
        <w:rPr>
          <w:rFonts w:ascii="Times New Roman" w:hAnsi="Times New Roman" w:cs="Times New Roman"/>
          <w:sz w:val="24"/>
          <w:szCs w:val="24"/>
        </w:rPr>
        <w:lastRenderedPageBreak/>
        <w:t>“</w:t>
      </w:r>
      <w:r w:rsidRPr="00B129B8">
        <w:rPr>
          <w:rFonts w:ascii="Times New Roman" w:hAnsi="Times New Roman" w:cs="Times New Roman"/>
          <w:sz w:val="24"/>
          <w:szCs w:val="24"/>
        </w:rPr>
        <w:t xml:space="preserve">Efectos geopolíticos de </w:t>
      </w:r>
      <w:r w:rsidR="0083022B">
        <w:rPr>
          <w:rFonts w:ascii="Times New Roman" w:hAnsi="Times New Roman" w:cs="Times New Roman"/>
          <w:sz w:val="24"/>
          <w:szCs w:val="24"/>
        </w:rPr>
        <w:t>la COVID-19: punto de situación”</w:t>
      </w:r>
      <w:r w:rsidRPr="00B129B8">
        <w:rPr>
          <w:rFonts w:ascii="Times New Roman" w:hAnsi="Times New Roman" w:cs="Times New Roman"/>
          <w:sz w:val="24"/>
          <w:szCs w:val="24"/>
        </w:rPr>
        <w:t>, realizado para el Instituto Español de Estudios Estratégicos. La recesión que viene acentuará el declive de las clases medias y el de las trabajadoras y empujará hacia abajo a una parte sustancial de la población. La falta de expectativas socioeconómicas a corto y, sobre todo, a medio plazo fortalecerá el descontento y espoleará a un sector de la población hacia los disturbios. “De ser así, los Estados se verían obligados a sofocarlos, convirtiendo las ciudades, nudos de comunicación, infraestructuras estratégicas, etc., en el escenario de confrontaciones, en una espiral de violencia y desintegración social que pudiera amenazar la estabilidad misma de las sociedades. Aquellas naciones aquejadas de fracturas previas (étnicas, religiosas, políticas, etc.) ser</w:t>
      </w:r>
      <w:r>
        <w:rPr>
          <w:rFonts w:ascii="Times New Roman" w:hAnsi="Times New Roman" w:cs="Times New Roman"/>
          <w:sz w:val="24"/>
          <w:szCs w:val="24"/>
        </w:rPr>
        <w:t xml:space="preserve">ían especialmente vulnerables” (El Confidencial - </w:t>
      </w:r>
      <w:r w:rsidRPr="00C71B23">
        <w:rPr>
          <w:rFonts w:ascii="Times New Roman" w:hAnsi="Times New Roman" w:cs="Times New Roman"/>
          <w:b/>
          <w:sz w:val="24"/>
          <w:szCs w:val="24"/>
        </w:rPr>
        <w:t>5/6/20</w:t>
      </w:r>
      <w:r>
        <w:rPr>
          <w:rFonts w:ascii="Times New Roman" w:hAnsi="Times New Roman" w:cs="Times New Roman"/>
          <w:sz w:val="24"/>
          <w:szCs w:val="24"/>
        </w:rPr>
        <w:t>)</w:t>
      </w:r>
    </w:p>
    <w:p w:rsidR="00E46FC8" w:rsidRDefault="00E46FC8" w:rsidP="00E46FC8">
      <w:pPr>
        <w:spacing w:line="240" w:lineRule="auto"/>
        <w:jc w:val="both"/>
        <w:rPr>
          <w:rFonts w:ascii="Times New Roman" w:hAnsi="Times New Roman" w:cs="Times New Roman"/>
          <w:sz w:val="24"/>
          <w:szCs w:val="24"/>
        </w:rPr>
      </w:pPr>
      <w:r w:rsidRPr="00B129B8">
        <w:rPr>
          <w:rFonts w:ascii="Times New Roman" w:hAnsi="Times New Roman" w:cs="Times New Roman"/>
          <w:sz w:val="24"/>
          <w:szCs w:val="24"/>
        </w:rPr>
        <w:t>Es una secuencia lógica: empobrecimiento, falta de perspectivas, malestar, disturbios, represión. Nada que no nos haya enseñado la historia y de lo que no nos haya advertido la crisis de 2008. Dado que las causas del malestar no han sido atajadas, las tensiones han ido en aumento; ahora con un elemento diferencial, que explica el motivo de que estas revueltas estén produciéndose en un país hegemónico, EEUU, y se extiendan por otros del primer mundo, como Francia.</w:t>
      </w:r>
    </w:p>
    <w:p w:rsidR="00E46FC8" w:rsidRDefault="00E46FC8" w:rsidP="00E46FC8">
      <w:pPr>
        <w:spacing w:line="240" w:lineRule="auto"/>
        <w:jc w:val="both"/>
        <w:rPr>
          <w:rFonts w:ascii="Times New Roman" w:hAnsi="Times New Roman" w:cs="Times New Roman"/>
          <w:sz w:val="24"/>
          <w:szCs w:val="24"/>
        </w:rPr>
      </w:pPr>
      <w:r>
        <w:rPr>
          <w:rFonts w:ascii="Times New Roman" w:hAnsi="Times New Roman" w:cs="Times New Roman"/>
          <w:sz w:val="24"/>
          <w:szCs w:val="24"/>
        </w:rPr>
        <w:t>El factor último</w:t>
      </w:r>
    </w:p>
    <w:p w:rsidR="00E46FC8" w:rsidRDefault="00E46FC8" w:rsidP="00E46FC8">
      <w:pPr>
        <w:spacing w:line="240" w:lineRule="auto"/>
        <w:jc w:val="both"/>
        <w:rPr>
          <w:rFonts w:ascii="Times New Roman" w:hAnsi="Times New Roman" w:cs="Times New Roman"/>
          <w:sz w:val="24"/>
          <w:szCs w:val="24"/>
        </w:rPr>
      </w:pPr>
      <w:r w:rsidRPr="00B129B8">
        <w:rPr>
          <w:rFonts w:ascii="Times New Roman" w:hAnsi="Times New Roman" w:cs="Times New Roman"/>
          <w:sz w:val="24"/>
          <w:szCs w:val="24"/>
        </w:rPr>
        <w:t>El declive de las democracias occidentales proviene de la utilización de las instituciones para obtener provecho privado</w:t>
      </w:r>
      <w:r>
        <w:rPr>
          <w:rFonts w:ascii="Times New Roman" w:hAnsi="Times New Roman" w:cs="Times New Roman"/>
          <w:sz w:val="24"/>
          <w:szCs w:val="24"/>
        </w:rPr>
        <w:t xml:space="preserve">. </w:t>
      </w:r>
      <w:r w:rsidRPr="00B129B8">
        <w:rPr>
          <w:rFonts w:ascii="Times New Roman" w:hAnsi="Times New Roman" w:cs="Times New Roman"/>
          <w:sz w:val="24"/>
          <w:szCs w:val="24"/>
        </w:rPr>
        <w:t>El sistema no solo no funciona, sino que protege voluntariamente a quienes infringen las leyes. Así, su legitimidad tiende a desaparecer, y esto lleva a los enfrentamientos, porque ya no se forma parte de lo mismo: el Estado se divide entre nosotros y ellos, y nosotros estamos solos.</w:t>
      </w:r>
      <w:r>
        <w:rPr>
          <w:rFonts w:ascii="Times New Roman" w:hAnsi="Times New Roman" w:cs="Times New Roman"/>
          <w:sz w:val="24"/>
          <w:szCs w:val="24"/>
        </w:rPr>
        <w:t xml:space="preserve"> </w:t>
      </w:r>
    </w:p>
    <w:p w:rsidR="00E46FC8" w:rsidRDefault="00E46FC8" w:rsidP="00E46FC8">
      <w:pPr>
        <w:spacing w:line="240" w:lineRule="auto"/>
        <w:jc w:val="both"/>
        <w:rPr>
          <w:rFonts w:ascii="Times New Roman" w:hAnsi="Times New Roman" w:cs="Times New Roman"/>
          <w:sz w:val="24"/>
          <w:szCs w:val="24"/>
        </w:rPr>
      </w:pPr>
      <w:r w:rsidRPr="00B129B8">
        <w:rPr>
          <w:rFonts w:ascii="Times New Roman" w:hAnsi="Times New Roman" w:cs="Times New Roman"/>
          <w:sz w:val="24"/>
          <w:szCs w:val="24"/>
        </w:rPr>
        <w:t>En ese instante, la represión no se realiza únicamente desde la calle, sino que se articulan nuevos mecanismos legales para sancionar a quienes protestan, para controlar el Estado, para afianzar el poder frente a las nuevas amenazas. Y cuando esto ocurre, la democracia va desapareciendo lenta pero inexorablemente.</w:t>
      </w:r>
    </w:p>
    <w:p w:rsidR="00E46FC8" w:rsidRPr="00D84059" w:rsidRDefault="00E46FC8" w:rsidP="00E46FC8">
      <w:pPr>
        <w:spacing w:line="240" w:lineRule="auto"/>
        <w:jc w:val="both"/>
        <w:rPr>
          <w:rFonts w:ascii="Times New Roman" w:hAnsi="Times New Roman" w:cs="Times New Roman"/>
          <w:b/>
          <w:sz w:val="24"/>
          <w:szCs w:val="24"/>
          <w:lang w:val="en-US"/>
        </w:rPr>
      </w:pPr>
      <w:r w:rsidRPr="00D84059">
        <w:rPr>
          <w:rFonts w:ascii="Times New Roman" w:hAnsi="Times New Roman" w:cs="Times New Roman"/>
          <w:b/>
          <w:sz w:val="24"/>
          <w:szCs w:val="24"/>
          <w:lang w:val="en-US"/>
        </w:rPr>
        <w:t>Entre esto…</w:t>
      </w:r>
    </w:p>
    <w:p w:rsidR="00E46FC8" w:rsidRDefault="00E46FC8" w:rsidP="00E46FC8">
      <w:pPr>
        <w:spacing w:line="240" w:lineRule="auto"/>
        <w:jc w:val="both"/>
        <w:rPr>
          <w:rFonts w:ascii="Times New Roman" w:hAnsi="Times New Roman" w:cs="Times New Roman"/>
          <w:sz w:val="24"/>
          <w:szCs w:val="24"/>
        </w:rPr>
      </w:pPr>
      <w:r>
        <w:rPr>
          <w:noProof/>
          <w:lang w:eastAsia="es-ES"/>
        </w:rPr>
        <w:drawing>
          <wp:inline distT="0" distB="0" distL="0" distR="0" wp14:anchorId="1BE3BACD" wp14:editId="0A8215C7">
            <wp:extent cx="5735171" cy="2951629"/>
            <wp:effectExtent l="0" t="0" r="0" b="1270"/>
            <wp:docPr id="279" name="Imagen 279" descr="Venden la planta de Packard - Autoproy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nden la planta de Packard - Autoproyecto"/>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5731510" cy="2949745"/>
                    </a:xfrm>
                    <a:prstGeom prst="rect">
                      <a:avLst/>
                    </a:prstGeom>
                    <a:noFill/>
                    <a:ln>
                      <a:noFill/>
                    </a:ln>
                  </pic:spPr>
                </pic:pic>
              </a:graphicData>
            </a:graphic>
          </wp:inline>
        </w:drawing>
      </w:r>
    </w:p>
    <w:p w:rsidR="00D111F3" w:rsidRDefault="00D111F3" w:rsidP="00E46FC8">
      <w:pPr>
        <w:spacing w:line="240" w:lineRule="auto"/>
        <w:jc w:val="both"/>
        <w:rPr>
          <w:rFonts w:ascii="Times New Roman" w:hAnsi="Times New Roman" w:cs="Times New Roman"/>
          <w:b/>
          <w:sz w:val="24"/>
          <w:szCs w:val="24"/>
        </w:rPr>
      </w:pPr>
    </w:p>
    <w:p w:rsidR="00E46FC8" w:rsidRPr="00537FF0" w:rsidRDefault="0083022B" w:rsidP="00E46FC8">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E46FC8" w:rsidRPr="00537FF0">
        <w:rPr>
          <w:rFonts w:ascii="Times New Roman" w:hAnsi="Times New Roman" w:cs="Times New Roman"/>
          <w:b/>
          <w:sz w:val="24"/>
          <w:szCs w:val="24"/>
        </w:rPr>
        <w:t>esto…</w:t>
      </w:r>
    </w:p>
    <w:p w:rsidR="00E46FC8" w:rsidRDefault="00E46FC8" w:rsidP="00E46FC8">
      <w:pPr>
        <w:spacing w:line="240" w:lineRule="auto"/>
        <w:jc w:val="both"/>
        <w:rPr>
          <w:rFonts w:ascii="Times New Roman" w:hAnsi="Times New Roman" w:cs="Times New Roman"/>
          <w:sz w:val="24"/>
          <w:szCs w:val="24"/>
        </w:rPr>
      </w:pPr>
      <w:r>
        <w:rPr>
          <w:noProof/>
          <w:lang w:eastAsia="es-ES"/>
        </w:rPr>
        <w:drawing>
          <wp:inline distT="0" distB="0" distL="0" distR="0" wp14:anchorId="3B8A3BD3" wp14:editId="4125E0E6">
            <wp:extent cx="5731510" cy="3224185"/>
            <wp:effectExtent l="0" t="0" r="2540" b="0"/>
            <wp:docPr id="280" name="Imagen 280" descr="galbraith4_Spencer PlattGetty Images_usclosedstorecorona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lbraith4_Spencer PlattGetty Images_usclosedstorecoronavirus"/>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5731510" cy="3224185"/>
                    </a:xfrm>
                    <a:prstGeom prst="rect">
                      <a:avLst/>
                    </a:prstGeom>
                    <a:noFill/>
                    <a:ln>
                      <a:noFill/>
                    </a:ln>
                  </pic:spPr>
                </pic:pic>
              </a:graphicData>
            </a:graphic>
          </wp:inline>
        </w:drawing>
      </w:r>
    </w:p>
    <w:p w:rsidR="00E46FC8" w:rsidRPr="00537FF0" w:rsidRDefault="00D111F3" w:rsidP="00E46FC8">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0083022B">
        <w:rPr>
          <w:rFonts w:ascii="Times New Roman" w:hAnsi="Times New Roman" w:cs="Times New Roman"/>
          <w:b/>
          <w:sz w:val="24"/>
          <w:szCs w:val="24"/>
        </w:rPr>
        <w:t xml:space="preserve"> </w:t>
      </w:r>
      <w:r>
        <w:rPr>
          <w:rFonts w:ascii="Times New Roman" w:hAnsi="Times New Roman" w:cs="Times New Roman"/>
          <w:b/>
          <w:sz w:val="24"/>
          <w:szCs w:val="24"/>
        </w:rPr>
        <w:t>y esto</w:t>
      </w:r>
      <w:r w:rsidR="00E46FC8" w:rsidRPr="00537FF0">
        <w:rPr>
          <w:rFonts w:ascii="Times New Roman" w:hAnsi="Times New Roman" w:cs="Times New Roman"/>
          <w:b/>
          <w:sz w:val="24"/>
          <w:szCs w:val="24"/>
        </w:rPr>
        <w:t xml:space="preserve">… </w:t>
      </w:r>
    </w:p>
    <w:p w:rsidR="00E46FC8" w:rsidRDefault="00E46FC8" w:rsidP="00E46FC8">
      <w:pPr>
        <w:spacing w:line="240" w:lineRule="auto"/>
        <w:jc w:val="both"/>
        <w:rPr>
          <w:rFonts w:ascii="Times New Roman" w:hAnsi="Times New Roman" w:cs="Times New Roman"/>
          <w:sz w:val="24"/>
          <w:szCs w:val="24"/>
        </w:rPr>
      </w:pPr>
      <w:r>
        <w:rPr>
          <w:noProof/>
          <w:lang w:eastAsia="es-ES"/>
        </w:rPr>
        <w:drawing>
          <wp:inline distT="0" distB="0" distL="0" distR="0" wp14:anchorId="6531A9D3" wp14:editId="3D4CEE6D">
            <wp:extent cx="5731510" cy="3224185"/>
            <wp:effectExtent l="0" t="0" r="2540" b="0"/>
            <wp:docPr id="281" name="Imagen 281" descr="drew57_ERIC BARADATAFP via Getty Images_USprotestwhitehousegeorgefloy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ew57_ERIC BARADATAFP via Getty Images_USprotestwhitehousegeorgefloyd"/>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5731510" cy="3224185"/>
                    </a:xfrm>
                    <a:prstGeom prst="rect">
                      <a:avLst/>
                    </a:prstGeom>
                    <a:noFill/>
                    <a:ln>
                      <a:noFill/>
                    </a:ln>
                  </pic:spPr>
                </pic:pic>
              </a:graphicData>
            </a:graphic>
          </wp:inline>
        </w:drawing>
      </w:r>
    </w:p>
    <w:p w:rsidR="0083022B" w:rsidRDefault="0083022B" w:rsidP="00E46FC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537FF0">
        <w:rPr>
          <w:rFonts w:ascii="Times New Roman" w:hAnsi="Times New Roman" w:cs="Times New Roman"/>
          <w:b/>
          <w:sz w:val="24"/>
          <w:szCs w:val="24"/>
        </w:rPr>
        <w:t>hay mucho menos tiempo que el que se imaginan (y desean</w:t>
      </w:r>
      <w:r w:rsidR="00313DDF">
        <w:rPr>
          <w:rFonts w:ascii="Times New Roman" w:hAnsi="Times New Roman" w:cs="Times New Roman"/>
          <w:b/>
          <w:sz w:val="24"/>
          <w:szCs w:val="24"/>
        </w:rPr>
        <w:t>) en Wall Street, Silicon Valley y Washington S.A.</w:t>
      </w:r>
    </w:p>
    <w:p w:rsidR="00E46FC8" w:rsidRPr="00BE6C8A" w:rsidRDefault="00E46FC8" w:rsidP="00E46FC8">
      <w:pPr>
        <w:spacing w:line="240" w:lineRule="auto"/>
        <w:jc w:val="both"/>
        <w:rPr>
          <w:rFonts w:ascii="Times New Roman" w:hAnsi="Times New Roman" w:cs="Times New Roman"/>
          <w:b/>
          <w:sz w:val="24"/>
          <w:szCs w:val="24"/>
        </w:rPr>
      </w:pPr>
      <w:r>
        <w:rPr>
          <w:rFonts w:ascii="Times New Roman" w:hAnsi="Times New Roman" w:cs="Times New Roman"/>
          <w:b/>
          <w:sz w:val="24"/>
          <w:szCs w:val="24"/>
        </w:rPr>
        <w:t>¿Hasta dónde podrán prolongar,</w:t>
      </w:r>
      <w:r w:rsidRPr="00BE6C8A">
        <w:rPr>
          <w:rFonts w:ascii="Times New Roman" w:hAnsi="Times New Roman" w:cs="Times New Roman"/>
          <w:b/>
          <w:sz w:val="24"/>
          <w:szCs w:val="24"/>
        </w:rPr>
        <w:t xml:space="preserve"> l</w:t>
      </w:r>
      <w:r w:rsidR="0083022B">
        <w:rPr>
          <w:rFonts w:ascii="Times New Roman" w:hAnsi="Times New Roman" w:cs="Times New Roman"/>
          <w:b/>
          <w:sz w:val="24"/>
          <w:szCs w:val="24"/>
        </w:rPr>
        <w:t xml:space="preserve">os talibanes del mercado y los esbirros del poder profundo, </w:t>
      </w:r>
      <w:r w:rsidRPr="00BE6C8A">
        <w:rPr>
          <w:rFonts w:ascii="Times New Roman" w:hAnsi="Times New Roman" w:cs="Times New Roman"/>
          <w:b/>
          <w:sz w:val="24"/>
          <w:szCs w:val="24"/>
        </w:rPr>
        <w:t>esta estúpida agonía?</w:t>
      </w:r>
      <w:r>
        <w:rPr>
          <w:rFonts w:ascii="Times New Roman" w:hAnsi="Times New Roman" w:cs="Times New Roman"/>
          <w:b/>
          <w:sz w:val="24"/>
          <w:szCs w:val="24"/>
        </w:rPr>
        <w:t xml:space="preserve"> ¿Creen que, en medio d</w:t>
      </w:r>
      <w:r w:rsidRPr="00BE6C8A">
        <w:rPr>
          <w:rFonts w:ascii="Times New Roman" w:hAnsi="Times New Roman" w:cs="Times New Roman"/>
          <w:b/>
          <w:sz w:val="24"/>
          <w:szCs w:val="24"/>
        </w:rPr>
        <w:t>el escepticismo y la desconfianza</w:t>
      </w:r>
      <w:r>
        <w:rPr>
          <w:rFonts w:ascii="Times New Roman" w:hAnsi="Times New Roman" w:cs="Times New Roman"/>
          <w:b/>
          <w:sz w:val="24"/>
          <w:szCs w:val="24"/>
        </w:rPr>
        <w:t>, podrán salvar el culo?</w:t>
      </w:r>
    </w:p>
    <w:p w:rsidR="004C332E" w:rsidRDefault="004C332E" w:rsidP="004C332E">
      <w:pPr>
        <w:shd w:val="clear" w:color="auto" w:fill="FFFFFF"/>
        <w:spacing w:after="0" w:line="240" w:lineRule="auto"/>
        <w:jc w:val="both"/>
        <w:textAlignment w:val="baseline"/>
        <w:rPr>
          <w:rFonts w:ascii="Times New Roman" w:hAnsi="Times New Roman" w:cs="Times New Roman"/>
          <w:color w:val="FF0000"/>
          <w:sz w:val="24"/>
          <w:szCs w:val="24"/>
          <w:shd w:val="clear" w:color="auto" w:fill="EEF0EF"/>
        </w:rPr>
      </w:pPr>
    </w:p>
    <w:p w:rsidR="004C332E" w:rsidRDefault="004C332E" w:rsidP="004C332E">
      <w:pPr>
        <w:shd w:val="clear" w:color="auto" w:fill="FFFFFF"/>
        <w:spacing w:after="0" w:line="240" w:lineRule="auto"/>
        <w:jc w:val="both"/>
        <w:textAlignment w:val="baseline"/>
        <w:rPr>
          <w:rFonts w:ascii="Times New Roman" w:hAnsi="Times New Roman" w:cs="Times New Roman"/>
          <w:color w:val="FF0000"/>
          <w:sz w:val="24"/>
          <w:szCs w:val="24"/>
          <w:shd w:val="clear" w:color="auto" w:fill="EEF0EF"/>
        </w:rPr>
      </w:pPr>
    </w:p>
    <w:p w:rsidR="0083022B" w:rsidRDefault="0083022B" w:rsidP="004C332E">
      <w:pPr>
        <w:shd w:val="clear" w:color="auto" w:fill="FFFFFF"/>
        <w:spacing w:after="0" w:line="240" w:lineRule="auto"/>
        <w:jc w:val="both"/>
        <w:textAlignment w:val="baseline"/>
        <w:rPr>
          <w:rFonts w:ascii="Times New Roman" w:hAnsi="Times New Roman" w:cs="Times New Roman"/>
          <w:color w:val="FF0000"/>
          <w:sz w:val="24"/>
          <w:szCs w:val="24"/>
          <w:shd w:val="clear" w:color="auto" w:fill="EEF0EF"/>
        </w:rPr>
      </w:pPr>
    </w:p>
    <w:p w:rsidR="004C332E" w:rsidRPr="004C332E" w:rsidRDefault="004C332E" w:rsidP="004C332E">
      <w:pPr>
        <w:shd w:val="clear" w:color="auto" w:fill="FFFFFF"/>
        <w:spacing w:after="0" w:line="240" w:lineRule="auto"/>
        <w:jc w:val="both"/>
        <w:textAlignment w:val="baseline"/>
        <w:rPr>
          <w:rFonts w:ascii="Times New Roman" w:hAnsi="Times New Roman" w:cs="Times New Roman"/>
          <w:b/>
          <w:sz w:val="24"/>
          <w:szCs w:val="24"/>
          <w:shd w:val="clear" w:color="auto" w:fill="EEF0EF"/>
        </w:rPr>
      </w:pPr>
      <w:r w:rsidRPr="004C332E">
        <w:rPr>
          <w:rFonts w:ascii="Times New Roman" w:hAnsi="Times New Roman" w:cs="Times New Roman"/>
          <w:b/>
          <w:sz w:val="24"/>
          <w:szCs w:val="24"/>
          <w:shd w:val="clear" w:color="auto" w:fill="EEF0EF"/>
        </w:rPr>
        <w:t>Del “American dream”</w:t>
      </w:r>
      <w:r w:rsidR="00313DDF">
        <w:rPr>
          <w:rFonts w:ascii="Times New Roman" w:hAnsi="Times New Roman" w:cs="Times New Roman"/>
          <w:b/>
          <w:sz w:val="24"/>
          <w:szCs w:val="24"/>
          <w:shd w:val="clear" w:color="auto" w:fill="EEF0EF"/>
        </w:rPr>
        <w:t>…</w:t>
      </w:r>
    </w:p>
    <w:p w:rsidR="004C332E" w:rsidRDefault="004C332E" w:rsidP="004C332E">
      <w:pPr>
        <w:shd w:val="clear" w:color="auto" w:fill="FFFFFF"/>
        <w:spacing w:after="0" w:line="240" w:lineRule="auto"/>
        <w:jc w:val="both"/>
        <w:textAlignment w:val="baseline"/>
        <w:rPr>
          <w:rFonts w:ascii="Times New Roman" w:hAnsi="Times New Roman" w:cs="Times New Roman"/>
          <w:color w:val="FF0000"/>
          <w:sz w:val="24"/>
          <w:szCs w:val="24"/>
          <w:shd w:val="clear" w:color="auto" w:fill="EEF0EF"/>
        </w:rPr>
      </w:pPr>
    </w:p>
    <w:p w:rsidR="004C332E" w:rsidRDefault="004C332E" w:rsidP="004C332E">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Pr>
          <w:noProof/>
          <w:lang w:eastAsia="es-ES"/>
        </w:rPr>
        <w:drawing>
          <wp:inline distT="0" distB="0" distL="0" distR="0" wp14:anchorId="4B639F38" wp14:editId="47DFF618">
            <wp:extent cx="5731510" cy="4297513"/>
            <wp:effectExtent l="0" t="0" r="2540" b="8255"/>
            <wp:docPr id="311" name="Imagen 311" descr="USMC War Memorial N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MC War Memorial Night.jpg"/>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5731510" cy="4297513"/>
                    </a:xfrm>
                    <a:prstGeom prst="rect">
                      <a:avLst/>
                    </a:prstGeom>
                    <a:noFill/>
                    <a:ln>
                      <a:noFill/>
                    </a:ln>
                  </pic:spPr>
                </pic:pic>
              </a:graphicData>
            </a:graphic>
          </wp:inline>
        </w:drawing>
      </w:r>
    </w:p>
    <w:p w:rsidR="004C332E" w:rsidRPr="004C332E" w:rsidRDefault="004C332E" w:rsidP="004C332E">
      <w:pPr>
        <w:shd w:val="clear" w:color="auto" w:fill="FFFFFF"/>
        <w:spacing w:after="0" w:line="240" w:lineRule="auto"/>
        <w:jc w:val="both"/>
        <w:textAlignment w:val="baseline"/>
        <w:rPr>
          <w:rFonts w:ascii="Times New Roman" w:eastAsia="Times New Roman" w:hAnsi="Times New Roman" w:cs="Times New Roman"/>
          <w:sz w:val="24"/>
          <w:szCs w:val="24"/>
        </w:rPr>
      </w:pPr>
      <w:r w:rsidRPr="004C332E">
        <w:rPr>
          <w:rFonts w:ascii="Times New Roman" w:eastAsia="Times New Roman" w:hAnsi="Times New Roman" w:cs="Times New Roman"/>
          <w:sz w:val="24"/>
          <w:szCs w:val="24"/>
        </w:rPr>
        <w:t>Memorial de Iwo Jima</w:t>
      </w:r>
    </w:p>
    <w:p w:rsidR="004C332E" w:rsidRPr="004C332E" w:rsidRDefault="004C332E" w:rsidP="004C332E">
      <w:pPr>
        <w:shd w:val="clear" w:color="auto" w:fill="FFFFFF"/>
        <w:spacing w:after="0" w:line="240" w:lineRule="auto"/>
        <w:jc w:val="both"/>
        <w:textAlignment w:val="baseline"/>
        <w:rPr>
          <w:rFonts w:ascii="Times New Roman" w:eastAsia="Times New Roman" w:hAnsi="Times New Roman" w:cs="Times New Roman"/>
          <w:sz w:val="24"/>
          <w:szCs w:val="24"/>
        </w:rPr>
      </w:pPr>
    </w:p>
    <w:p w:rsidR="004C332E" w:rsidRPr="004C332E" w:rsidRDefault="004C332E" w:rsidP="004C332E">
      <w:pPr>
        <w:shd w:val="clear" w:color="auto" w:fill="FFFFFF"/>
        <w:spacing w:after="0" w:line="240" w:lineRule="auto"/>
        <w:jc w:val="both"/>
        <w:textAlignment w:val="baseline"/>
        <w:rPr>
          <w:rFonts w:ascii="Times New Roman" w:eastAsia="Times New Roman" w:hAnsi="Times New Roman" w:cs="Times New Roman"/>
          <w:b/>
          <w:sz w:val="24"/>
          <w:szCs w:val="24"/>
        </w:rPr>
      </w:pPr>
      <w:r w:rsidRPr="004C332E">
        <w:rPr>
          <w:rFonts w:ascii="Times New Roman" w:eastAsia="Times New Roman" w:hAnsi="Times New Roman" w:cs="Times New Roman"/>
          <w:b/>
          <w:sz w:val="24"/>
          <w:szCs w:val="24"/>
        </w:rPr>
        <w:t>… al “American nightmare”</w:t>
      </w:r>
    </w:p>
    <w:p w:rsidR="004C332E" w:rsidRPr="004C332E" w:rsidRDefault="004C332E" w:rsidP="004C332E">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4C332E" w:rsidRDefault="004C332E" w:rsidP="004C332E">
      <w:pPr>
        <w:spacing w:line="240" w:lineRule="auto"/>
        <w:jc w:val="both"/>
        <w:rPr>
          <w:rFonts w:ascii="Times New Roman" w:hAnsi="Times New Roman" w:cs="Times New Roman"/>
          <w:sz w:val="24"/>
          <w:szCs w:val="24"/>
        </w:rPr>
      </w:pPr>
      <w:r>
        <w:rPr>
          <w:noProof/>
          <w:lang w:eastAsia="es-ES"/>
        </w:rPr>
        <w:drawing>
          <wp:inline distT="0" distB="0" distL="0" distR="0" wp14:anchorId="75F0CCE2" wp14:editId="31F0F5F6">
            <wp:extent cx="5724938" cy="2938182"/>
            <wp:effectExtent l="0" t="0" r="9525" b="0"/>
            <wp:docPr id="312" name="Imagen 312" descr="Manifestantes en Washington D.C. con una bandera de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nifestantes en Washington D.C. con una bandera de EE.UU."/>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5731510" cy="2941555"/>
                    </a:xfrm>
                    <a:prstGeom prst="rect">
                      <a:avLst/>
                    </a:prstGeom>
                    <a:noFill/>
                    <a:ln>
                      <a:noFill/>
                    </a:ln>
                  </pic:spPr>
                </pic:pic>
              </a:graphicData>
            </a:graphic>
          </wp:inline>
        </w:drawing>
      </w:r>
    </w:p>
    <w:p w:rsidR="00347CD3" w:rsidRDefault="00142FE0" w:rsidP="00325A5C">
      <w:pPr>
        <w:spacing w:line="240" w:lineRule="auto"/>
        <w:jc w:val="both"/>
        <w:rPr>
          <w:rFonts w:ascii="Times New Roman" w:hAnsi="Times New Roman" w:cs="Times New Roman"/>
          <w:sz w:val="24"/>
          <w:szCs w:val="24"/>
        </w:rPr>
      </w:pPr>
      <w:r w:rsidRPr="00142FE0">
        <w:rPr>
          <w:rFonts w:ascii="Times New Roman" w:hAnsi="Times New Roman" w:cs="Times New Roman"/>
          <w:sz w:val="24"/>
          <w:szCs w:val="24"/>
        </w:rPr>
        <w:t>Memorial de “Black Lives Matter</w:t>
      </w:r>
    </w:p>
    <w:p w:rsidR="0083022B" w:rsidRPr="00347CD3" w:rsidRDefault="00ED2A21" w:rsidP="00325A5C">
      <w:pPr>
        <w:spacing w:line="240" w:lineRule="auto"/>
        <w:jc w:val="both"/>
        <w:rPr>
          <w:rFonts w:ascii="Times New Roman" w:hAnsi="Times New Roman" w:cs="Times New Roman"/>
          <w:sz w:val="24"/>
          <w:szCs w:val="24"/>
        </w:rPr>
      </w:pPr>
      <w:r>
        <w:rPr>
          <w:rFonts w:ascii="Times New Roman" w:hAnsi="Times New Roman" w:cs="Times New Roman"/>
          <w:b/>
          <w:sz w:val="24"/>
          <w:szCs w:val="24"/>
          <w:shd w:val="clear" w:color="auto" w:fill="FFFFFF"/>
        </w:rPr>
        <w:lastRenderedPageBreak/>
        <w:t>Conclusión</w:t>
      </w:r>
      <w:r w:rsidR="00142FE0">
        <w:rPr>
          <w:rFonts w:ascii="Times New Roman" w:hAnsi="Times New Roman" w:cs="Times New Roman"/>
          <w:b/>
          <w:sz w:val="24"/>
          <w:szCs w:val="24"/>
          <w:shd w:val="clear" w:color="auto" w:fill="FFFFFF"/>
        </w:rPr>
        <w:t xml:space="preserve"> (26/6/20)</w:t>
      </w:r>
      <w:r>
        <w:rPr>
          <w:rFonts w:ascii="Times New Roman" w:hAnsi="Times New Roman" w:cs="Times New Roman"/>
          <w:b/>
          <w:sz w:val="24"/>
          <w:szCs w:val="24"/>
          <w:shd w:val="clear" w:color="auto" w:fill="FFFFFF"/>
        </w:rPr>
        <w:t>: un final provisional (</w:t>
      </w:r>
      <w:r w:rsidR="0083022B" w:rsidRPr="0083022B">
        <w:rPr>
          <w:rFonts w:ascii="Times New Roman" w:hAnsi="Times New Roman" w:cs="Times New Roman"/>
          <w:b/>
          <w:sz w:val="24"/>
          <w:szCs w:val="24"/>
          <w:shd w:val="clear" w:color="auto" w:fill="FFFFFF"/>
        </w:rPr>
        <w:t>hasta la publicación del Ensayo</w:t>
      </w:r>
      <w:r>
        <w:rPr>
          <w:rFonts w:ascii="Times New Roman" w:hAnsi="Times New Roman" w:cs="Times New Roman"/>
          <w:b/>
          <w:sz w:val="24"/>
          <w:szCs w:val="24"/>
          <w:shd w:val="clear" w:color="auto" w:fill="FFFFFF"/>
        </w:rPr>
        <w:t>)</w:t>
      </w:r>
    </w:p>
    <w:p w:rsidR="00325A5C" w:rsidRPr="00F50F4D" w:rsidRDefault="00325A5C" w:rsidP="00325A5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w:t>
      </w:r>
      <w:r w:rsidRPr="00194E57">
        <w:rPr>
          <w:rFonts w:ascii="Times New Roman" w:hAnsi="Times New Roman" w:cs="Times New Roman"/>
          <w:sz w:val="24"/>
          <w:szCs w:val="24"/>
          <w:shd w:val="clear" w:color="auto" w:fill="FFFFFF"/>
        </w:rPr>
        <w:t>e repente, el mundo desarrollado entró, en cuestión de uno</w:t>
      </w:r>
      <w:r>
        <w:rPr>
          <w:rFonts w:ascii="Times New Roman" w:hAnsi="Times New Roman" w:cs="Times New Roman"/>
          <w:sz w:val="24"/>
          <w:szCs w:val="24"/>
          <w:shd w:val="clear" w:color="auto" w:fill="FFFFFF"/>
        </w:rPr>
        <w:t>s meses, “</w:t>
      </w:r>
      <w:r w:rsidRPr="00194E57">
        <w:rPr>
          <w:rFonts w:ascii="Times New Roman" w:hAnsi="Times New Roman" w:cs="Times New Roman"/>
          <w:sz w:val="24"/>
          <w:szCs w:val="24"/>
          <w:shd w:val="clear" w:color="auto" w:fill="FFFFFF"/>
        </w:rPr>
        <w:t>en un valle oscuro habitado por los gigantes del desempleo, la miseria, las disensiones y el miedo y, a medida que la oscuridad se hacía más densa, las difusas nubes de la crisis económica se condensaro</w:t>
      </w:r>
      <w:r>
        <w:rPr>
          <w:rFonts w:ascii="Times New Roman" w:hAnsi="Times New Roman" w:cs="Times New Roman"/>
          <w:sz w:val="24"/>
          <w:szCs w:val="24"/>
          <w:shd w:val="clear" w:color="auto" w:fill="FFFFFF"/>
        </w:rPr>
        <w:t>n en una gran tormenta política”</w:t>
      </w:r>
      <w:r w:rsidRPr="00194E57">
        <w:t xml:space="preserve"> </w:t>
      </w:r>
      <w:r>
        <w:t>(</w:t>
      </w:r>
      <w:r w:rsidRPr="00194E57">
        <w:rPr>
          <w:rFonts w:ascii="Times New Roman" w:hAnsi="Times New Roman" w:cs="Times New Roman"/>
          <w:sz w:val="24"/>
          <w:szCs w:val="24"/>
          <w:shd w:val="clear" w:color="auto" w:fill="FFFFFF"/>
        </w:rPr>
        <w:t>Piers Brando</w:t>
      </w:r>
      <w:r>
        <w:rPr>
          <w:rFonts w:ascii="Times New Roman" w:hAnsi="Times New Roman" w:cs="Times New Roman"/>
          <w:sz w:val="24"/>
          <w:szCs w:val="24"/>
          <w:shd w:val="clear" w:color="auto" w:fill="FFFFFF"/>
        </w:rPr>
        <w:t>n,</w:t>
      </w:r>
      <w:r w:rsidRPr="00194E57">
        <w:rPr>
          <w:rFonts w:ascii="Times New Roman" w:hAnsi="Times New Roman" w:cs="Times New Roman"/>
          <w:sz w:val="24"/>
          <w:szCs w:val="24"/>
          <w:shd w:val="clear" w:color="auto" w:fill="FFFFFF"/>
        </w:rPr>
        <w:t xml:space="preserve"> The Dark Valley</w:t>
      </w:r>
      <w:r w:rsidR="00DB3CF7">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Tan lúgubre metáfora, es </w:t>
      </w:r>
      <w:r w:rsidRPr="00650A88">
        <w:rPr>
          <w:rFonts w:ascii="Times New Roman" w:hAnsi="Times New Roman" w:cs="Times New Roman"/>
          <w:sz w:val="24"/>
          <w:szCs w:val="24"/>
          <w:shd w:val="clear" w:color="auto" w:fill="FFFFFF"/>
        </w:rPr>
        <w:t>por</w:t>
      </w:r>
      <w:r>
        <w:rPr>
          <w:rFonts w:ascii="Times New Roman" w:hAnsi="Times New Roman" w:cs="Times New Roman"/>
          <w:sz w:val="24"/>
          <w:szCs w:val="24"/>
          <w:shd w:val="clear" w:color="auto" w:fill="FFFFFF"/>
        </w:rPr>
        <w:t xml:space="preserve"> desgracia plenamente aplica</w:t>
      </w:r>
      <w:r w:rsidR="00DB3CF7">
        <w:rPr>
          <w:rFonts w:ascii="Times New Roman" w:hAnsi="Times New Roman" w:cs="Times New Roman"/>
          <w:sz w:val="24"/>
          <w:szCs w:val="24"/>
          <w:shd w:val="clear" w:color="auto" w:fill="FFFFFF"/>
        </w:rPr>
        <w:t>ble a los países avanzados, hoy.</w:t>
      </w:r>
    </w:p>
    <w:p w:rsidR="00325A5C" w:rsidRPr="006C6A7B" w:rsidRDefault="0083022B" w:rsidP="00325A5C">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En su ensayo “La condición humana”, Hannah Arendt glosa el “problema”</w:t>
      </w:r>
      <w:r w:rsidR="00325A5C" w:rsidRPr="006C6A7B">
        <w:rPr>
          <w:rFonts w:ascii="Times New Roman" w:hAnsi="Times New Roman" w:cs="Times New Roman"/>
          <w:sz w:val="24"/>
          <w:szCs w:val="24"/>
          <w:shd w:val="clear" w:color="auto" w:fill="FFFFFF"/>
        </w:rPr>
        <w:t xml:space="preserve"> de su naturaleza y alude a la reflexión de San Agustín: “He llegado a ser un problema para mí mismo”. Aunque la filósofa duda de la posibilidad de que autónomamente los individuos seamos capaces de disponer de la lucidez suficiente para darno</w:t>
      </w:r>
      <w:r w:rsidRPr="006C6A7B">
        <w:rPr>
          <w:rFonts w:ascii="Times New Roman" w:hAnsi="Times New Roman" w:cs="Times New Roman"/>
          <w:sz w:val="24"/>
          <w:szCs w:val="24"/>
          <w:shd w:val="clear" w:color="auto" w:fill="FFFFFF"/>
        </w:rPr>
        <w:t>s cuenta de lo que el autor de “La ciudad de Dios”</w:t>
      </w:r>
      <w:r w:rsidR="00325A5C" w:rsidRPr="006C6A7B">
        <w:rPr>
          <w:rFonts w:ascii="Times New Roman" w:hAnsi="Times New Roman" w:cs="Times New Roman"/>
          <w:sz w:val="24"/>
          <w:szCs w:val="24"/>
          <w:shd w:val="clear" w:color="auto" w:fill="FFFFFF"/>
        </w:rPr>
        <w:t xml:space="preserve"> se planteaba, existe la opción de que, mediante una introspección, se pueda lograr ese grado de consciencia sobre uno mismo. Una meditación profunda que no debe ser distraída ni alterada por el ruido exterior.</w:t>
      </w:r>
    </w:p>
    <w:p w:rsidR="00325A5C" w:rsidRPr="006C6A7B" w:rsidRDefault="00325A5C" w:rsidP="00325A5C">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 xml:space="preserve">Apliquemos esta teorización de Arendt y del santo de Hipona al caso del “mantra” de la globalización (librecambio, financierización, multilateralismo, tierra plana, disrupción… o como quieran llamarla las vacas sagradas, los grandes bonetes o profetas mediáticos), cuya relación con la realidad es muy problemática, y como se ha demostrado en las dos últimas crisis (financiera 2008, y sanitaria 2020), su capacidad para transformar en sistémicos los problemas locales, resulta singularmente explosiva, dramática y peligrosa. </w:t>
      </w:r>
    </w:p>
    <w:p w:rsidR="00325A5C" w:rsidRPr="006C6A7B" w:rsidRDefault="00325A5C" w:rsidP="00325A5C">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Los “borradores de cabeza” (desde sus púlpitos</w:t>
      </w:r>
      <w:r w:rsidR="00CC265C">
        <w:rPr>
          <w:rFonts w:ascii="Times New Roman" w:hAnsi="Times New Roman" w:cs="Times New Roman"/>
          <w:sz w:val="24"/>
          <w:szCs w:val="24"/>
          <w:shd w:val="clear" w:color="auto" w:fill="FFFFFF"/>
        </w:rPr>
        <w:t>,</w:t>
      </w:r>
      <w:r w:rsidRPr="006C6A7B">
        <w:rPr>
          <w:rFonts w:ascii="Times New Roman" w:hAnsi="Times New Roman" w:cs="Times New Roman"/>
          <w:sz w:val="24"/>
          <w:szCs w:val="24"/>
          <w:shd w:val="clear" w:color="auto" w:fill="FFFFFF"/>
        </w:rPr>
        <w:t xml:space="preserve"> bien rentados) siguen sosteniendo q</w:t>
      </w:r>
      <w:r w:rsidR="0083022B" w:rsidRPr="006C6A7B">
        <w:rPr>
          <w:rFonts w:ascii="Times New Roman" w:hAnsi="Times New Roman" w:cs="Times New Roman"/>
          <w:sz w:val="24"/>
          <w:szCs w:val="24"/>
          <w:shd w:val="clear" w:color="auto" w:fill="FFFFFF"/>
        </w:rPr>
        <w:t>ue no importa la realidad sino “el relato”</w:t>
      </w:r>
      <w:r w:rsidRPr="006C6A7B">
        <w:rPr>
          <w:rFonts w:ascii="Times New Roman" w:hAnsi="Times New Roman" w:cs="Times New Roman"/>
          <w:sz w:val="24"/>
          <w:szCs w:val="24"/>
          <w:shd w:val="clear" w:color="auto" w:fill="FFFFFF"/>
        </w:rPr>
        <w:t>, por contradictorio que sea con los hechos, y mucho más si se manejan palabras de significado torturado, porque a estas, pese a su densidad, se las lleva el viento. Como escribió Cicerón, “no hay nada tan increíble que la oratori</w:t>
      </w:r>
      <w:r w:rsidR="00DB3CF7" w:rsidRPr="006C6A7B">
        <w:rPr>
          <w:rFonts w:ascii="Times New Roman" w:hAnsi="Times New Roman" w:cs="Times New Roman"/>
          <w:sz w:val="24"/>
          <w:szCs w:val="24"/>
          <w:shd w:val="clear" w:color="auto" w:fill="FFFFFF"/>
        </w:rPr>
        <w:t xml:space="preserve">a no pueda volverlo aceptable”. </w:t>
      </w:r>
      <w:r w:rsidRPr="006C6A7B">
        <w:rPr>
          <w:rFonts w:ascii="Times New Roman" w:hAnsi="Times New Roman" w:cs="Times New Roman"/>
          <w:sz w:val="24"/>
          <w:szCs w:val="24"/>
          <w:shd w:val="clear" w:color="auto" w:fill="FFFFFF"/>
        </w:rPr>
        <w:t>Y así, en base a ese “relato” han puesto a la economía productiva, en un estado permanente, de economía especulat</w:t>
      </w:r>
      <w:r w:rsidR="0083022B" w:rsidRPr="006C6A7B">
        <w:rPr>
          <w:rFonts w:ascii="Times New Roman" w:hAnsi="Times New Roman" w:cs="Times New Roman"/>
          <w:sz w:val="24"/>
          <w:szCs w:val="24"/>
          <w:shd w:val="clear" w:color="auto" w:fill="FFFFFF"/>
        </w:rPr>
        <w:t>iva (de casino) propia de un bro</w:t>
      </w:r>
      <w:r w:rsidRPr="006C6A7B">
        <w:rPr>
          <w:rFonts w:ascii="Times New Roman" w:hAnsi="Times New Roman" w:cs="Times New Roman"/>
          <w:sz w:val="24"/>
          <w:szCs w:val="24"/>
          <w:shd w:val="clear" w:color="auto" w:fill="FFFFFF"/>
        </w:rPr>
        <w:t xml:space="preserve">ker bursátil no especialmente cuidadoso con las buenas prácticas: que suele comprar en corto y especular de continuo. </w:t>
      </w:r>
    </w:p>
    <w:p w:rsidR="00325A5C" w:rsidRPr="006C6A7B" w:rsidRDefault="00142FE0" w:rsidP="00325A5C">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Tod</w:t>
      </w:r>
      <w:r w:rsidR="00DB3CF7" w:rsidRPr="006C6A7B">
        <w:rPr>
          <w:rFonts w:ascii="Times New Roman" w:hAnsi="Times New Roman" w:cs="Times New Roman"/>
          <w:sz w:val="24"/>
          <w:szCs w:val="24"/>
          <w:shd w:val="clear" w:color="auto" w:fill="FFFFFF"/>
        </w:rPr>
        <w:t>a la información seleccionada</w:t>
      </w:r>
      <w:r w:rsidR="00325A5C" w:rsidRPr="006C6A7B">
        <w:rPr>
          <w:rFonts w:ascii="Times New Roman" w:hAnsi="Times New Roman" w:cs="Times New Roman"/>
          <w:sz w:val="24"/>
          <w:szCs w:val="24"/>
          <w:shd w:val="clear" w:color="auto" w:fill="FFFFFF"/>
        </w:rPr>
        <w:t>, y todos los cálculos realizados (en el Apartado correspondiente, por mi cuenta y riesgo) intentan dar una pista al lector para que reflexione (investigue, cuantifique, debata) -aunque sea difícil, no es imposible- si el proceso de globalización económica ha llegado a ser un problema en sí mismo. La meditación -recuérdense los ejercicios espirituales según Ignacio de Loyola- se practica en el silencio.</w:t>
      </w:r>
    </w:p>
    <w:p w:rsidR="00325A5C" w:rsidRPr="006C6A7B" w:rsidRDefault="00325A5C" w:rsidP="00782036">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 xml:space="preserve">La deriva de la globalización hacia los bloques regionales, es el principio del espíritu de enmienda económica; antes tendrá que producirse el pedido de perdón (por las mentiras y daños provocados), seguido del arrepentimiento (por la complicidad manifiesta). Oremos…  </w:t>
      </w:r>
    </w:p>
    <w:p w:rsidR="00325A5C" w:rsidRPr="006C6A7B" w:rsidRDefault="00325A5C" w:rsidP="00325A5C">
      <w:pPr>
        <w:spacing w:line="240" w:lineRule="auto"/>
        <w:jc w:val="both"/>
        <w:rPr>
          <w:rStyle w:val="Textoennegrita"/>
          <w:rFonts w:ascii="Times New Roman" w:hAnsi="Times New Roman" w:cs="Times New Roman"/>
          <w:b w:val="0"/>
          <w:bCs w:val="0"/>
          <w:sz w:val="24"/>
          <w:szCs w:val="24"/>
          <w:shd w:val="clear" w:color="auto" w:fill="FFFFFF"/>
        </w:rPr>
      </w:pPr>
      <w:r w:rsidRPr="006C6A7B">
        <w:rPr>
          <w:rFonts w:ascii="Times New Roman" w:hAnsi="Times New Roman" w:cs="Times New Roman"/>
          <w:sz w:val="24"/>
          <w:szCs w:val="24"/>
          <w:shd w:val="clear" w:color="auto" w:fill="FFFFFF"/>
        </w:rPr>
        <w:t>Winston Churchill explicó en su momento que su éxito se debía a su capacidad de ir de fracaso en frac</w:t>
      </w:r>
      <w:r w:rsidR="00DB3CF7" w:rsidRPr="006C6A7B">
        <w:rPr>
          <w:rFonts w:ascii="Times New Roman" w:hAnsi="Times New Roman" w:cs="Times New Roman"/>
          <w:sz w:val="24"/>
          <w:szCs w:val="24"/>
          <w:shd w:val="clear" w:color="auto" w:fill="FFFFFF"/>
        </w:rPr>
        <w:t>aso, sin perder el entusiasmo. </w:t>
      </w:r>
      <w:r w:rsidRPr="006C6A7B">
        <w:rPr>
          <w:rStyle w:val="Textoennegrita"/>
          <w:rFonts w:ascii="Times New Roman" w:hAnsi="Times New Roman" w:cs="Times New Roman"/>
          <w:b w:val="0"/>
          <w:sz w:val="24"/>
          <w:szCs w:val="24"/>
          <w:bdr w:val="none" w:sz="0" w:space="0" w:color="auto" w:frame="1"/>
          <w:shd w:val="clear" w:color="auto" w:fill="FFFFFF"/>
        </w:rPr>
        <w:t>En política, la memoria</w:t>
      </w:r>
      <w:r w:rsidR="00782036" w:rsidRPr="006C6A7B">
        <w:rPr>
          <w:rStyle w:val="Textoennegrita"/>
          <w:rFonts w:ascii="Times New Roman" w:hAnsi="Times New Roman" w:cs="Times New Roman"/>
          <w:b w:val="0"/>
          <w:sz w:val="24"/>
          <w:szCs w:val="24"/>
          <w:bdr w:val="none" w:sz="0" w:space="0" w:color="auto" w:frame="1"/>
          <w:shd w:val="clear" w:color="auto" w:fill="FFFFFF"/>
        </w:rPr>
        <w:t xml:space="preserve"> es muchas veces cortoplacista. </w:t>
      </w:r>
      <w:r w:rsidRPr="006C6A7B">
        <w:rPr>
          <w:rStyle w:val="Textoennegrita"/>
          <w:rFonts w:ascii="Times New Roman" w:hAnsi="Times New Roman" w:cs="Times New Roman"/>
          <w:b w:val="0"/>
          <w:sz w:val="24"/>
          <w:szCs w:val="24"/>
          <w:bdr w:val="none" w:sz="0" w:space="0" w:color="auto" w:frame="1"/>
          <w:shd w:val="clear" w:color="auto" w:fill="FFFFFF"/>
        </w:rPr>
        <w:t>Por lo visto, con la globalización es la economía la que se ha transformado en “cortoplacista” (financiera, especulativa, irracionalmente exuberante, miope, bipolar, codiciosa, avara, frívola, arrogante, fatua, falaz, indiferente, irresponsable, cínica, hipócrita, que privatiza las ganancias y socializa las pérdidas…). Pura ingeniería financiera y multiplicadores dudosos.</w:t>
      </w:r>
    </w:p>
    <w:p w:rsidR="00325A5C" w:rsidRPr="006C6A7B" w:rsidRDefault="00325A5C" w:rsidP="00325A5C">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Con todo, el presente no pinta bien para una economía de casino. Sólo el tiempo dirá si la bola global sigue creciendo, o la rebelión social revienta el multilateralismo y el librecambio.</w:t>
      </w:r>
    </w:p>
    <w:p w:rsidR="00325A5C" w:rsidRPr="006C6A7B" w:rsidRDefault="00325A5C" w:rsidP="00325A5C">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lastRenderedPageBreak/>
        <w:t>Aunque las “serpientes encantadoras de hombres” de Wall Street y Silicon Valley nos intentan convencer que la globalización es un “hecho de la naturaleza”, y que no hay otra solución. Eso es falso. Un modelo puede considerarse validado si sus predicciones se corresponden con la realidad.</w:t>
      </w:r>
    </w:p>
    <w:p w:rsidR="00325A5C" w:rsidRPr="006C6A7B" w:rsidRDefault="00325A5C" w:rsidP="00325A5C">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 xml:space="preserve">Nos volverán a decir que, es el Estado el que tiene que gastar para resolver las crisis sistémicas, cuando lo que quieren decir es que el estado debe gastar para socializar las pérdidas, mientras mantiene la privatización de las ganancias. Hasta que no quede a quién exprimir más. </w:t>
      </w:r>
    </w:p>
    <w:p w:rsidR="00325A5C" w:rsidRPr="006C6A7B" w:rsidRDefault="00325A5C" w:rsidP="00325A5C">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Y a toda esta enorme transferencia de riqueza de los sectores productivos y ahorradores hacia los gobiernos y sectores más cercanos a los mismos</w:t>
      </w:r>
      <w:r w:rsidR="00ED2A21" w:rsidRPr="006C6A7B">
        <w:rPr>
          <w:rFonts w:ascii="Times New Roman" w:hAnsi="Times New Roman" w:cs="Times New Roman"/>
          <w:sz w:val="24"/>
          <w:szCs w:val="24"/>
          <w:shd w:val="clear" w:color="auto" w:fill="FFFFFF"/>
        </w:rPr>
        <w:t>,</w:t>
      </w:r>
      <w:r w:rsidRPr="006C6A7B">
        <w:rPr>
          <w:rFonts w:ascii="Times New Roman" w:hAnsi="Times New Roman" w:cs="Times New Roman"/>
          <w:sz w:val="24"/>
          <w:szCs w:val="24"/>
          <w:shd w:val="clear" w:color="auto" w:fill="FFFFFF"/>
        </w:rPr>
        <w:t xml:space="preserve"> lo llamarán “errores del capitalismo”. </w:t>
      </w:r>
    </w:p>
    <w:p w:rsidR="00325A5C" w:rsidRPr="006C6A7B" w:rsidRDefault="00325A5C" w:rsidP="00325A5C">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 xml:space="preserve">El embeleco de las redes sociales, el anestésico de los teléfonos móviles, la hipnosis de Instagram, el analfabetismo funcional de los tuits, la alienante adicción al </w:t>
      </w:r>
      <w:r w:rsidR="00C93CC1" w:rsidRPr="006C6A7B">
        <w:rPr>
          <w:rFonts w:ascii="Times New Roman" w:hAnsi="Times New Roman" w:cs="Times New Roman"/>
          <w:sz w:val="24"/>
          <w:szCs w:val="24"/>
          <w:shd w:val="clear" w:color="auto" w:fill="FFFFFF"/>
        </w:rPr>
        <w:t>WhatsApp</w:t>
      </w:r>
      <w:r w:rsidRPr="006C6A7B">
        <w:rPr>
          <w:rFonts w:ascii="Times New Roman" w:hAnsi="Times New Roman" w:cs="Times New Roman"/>
          <w:sz w:val="24"/>
          <w:szCs w:val="24"/>
          <w:shd w:val="clear" w:color="auto" w:fill="FFFFFF"/>
        </w:rPr>
        <w:t xml:space="preserve">, los gadgets </w:t>
      </w:r>
      <w:r w:rsidR="00C93CC1">
        <w:rPr>
          <w:rFonts w:ascii="Times New Roman" w:hAnsi="Times New Roman" w:cs="Times New Roman"/>
          <w:sz w:val="24"/>
          <w:szCs w:val="24"/>
          <w:shd w:val="clear" w:color="auto" w:fill="FFFFFF"/>
        </w:rPr>
        <w:t>caz</w:t>
      </w:r>
      <w:r w:rsidR="00C93CC1" w:rsidRPr="006C6A7B">
        <w:rPr>
          <w:rFonts w:ascii="Times New Roman" w:hAnsi="Times New Roman" w:cs="Times New Roman"/>
          <w:sz w:val="24"/>
          <w:szCs w:val="24"/>
          <w:shd w:val="clear" w:color="auto" w:fill="FFFFFF"/>
        </w:rPr>
        <w:t>a</w:t>
      </w:r>
      <w:r w:rsidR="00C93CC1">
        <w:rPr>
          <w:rFonts w:ascii="Times New Roman" w:hAnsi="Times New Roman" w:cs="Times New Roman"/>
          <w:sz w:val="24"/>
          <w:szCs w:val="24"/>
          <w:shd w:val="clear" w:color="auto" w:fill="FFFFFF"/>
        </w:rPr>
        <w:t xml:space="preserve"> </w:t>
      </w:r>
      <w:r w:rsidR="00C93CC1" w:rsidRPr="006C6A7B">
        <w:rPr>
          <w:rFonts w:ascii="Times New Roman" w:hAnsi="Times New Roman" w:cs="Times New Roman"/>
          <w:sz w:val="24"/>
          <w:szCs w:val="24"/>
          <w:shd w:val="clear" w:color="auto" w:fill="FFFFFF"/>
        </w:rPr>
        <w:t>bobos</w:t>
      </w:r>
      <w:r w:rsidRPr="006C6A7B">
        <w:rPr>
          <w:rFonts w:ascii="Times New Roman" w:hAnsi="Times New Roman" w:cs="Times New Roman"/>
          <w:sz w:val="24"/>
          <w:szCs w:val="24"/>
          <w:shd w:val="clear" w:color="auto" w:fill="FFFFFF"/>
        </w:rPr>
        <w:t>, la gig-economy, los low-cost, la nube (de pedo</w:t>
      </w:r>
      <w:r w:rsidR="00ED2A21" w:rsidRPr="006C6A7B">
        <w:rPr>
          <w:rFonts w:ascii="Times New Roman" w:hAnsi="Times New Roman" w:cs="Times New Roman"/>
          <w:sz w:val="24"/>
          <w:szCs w:val="24"/>
          <w:shd w:val="clear" w:color="auto" w:fill="FFFFFF"/>
        </w:rPr>
        <w:t>s</w:t>
      </w:r>
      <w:r w:rsidRPr="006C6A7B">
        <w:rPr>
          <w:rFonts w:ascii="Times New Roman" w:hAnsi="Times New Roman" w:cs="Times New Roman"/>
          <w:sz w:val="24"/>
          <w:szCs w:val="24"/>
          <w:shd w:val="clear" w:color="auto" w:fill="FFFFFF"/>
        </w:rPr>
        <w:t>)…  no alcanzarán para disimular el panorama. Los millones de parados urgirán alguna respuesta.</w:t>
      </w:r>
    </w:p>
    <w:p w:rsidR="00325A5C" w:rsidRPr="006C6A7B" w:rsidRDefault="00325A5C" w:rsidP="00325A5C">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 xml:space="preserve">A ver cómo los “titiriteros” de Wall Street y Silicon Valley, logran “aplanar la curva” del desempleo, o propagar entre la población la “inmunidad colectiva” a las crisis (financiera, sanitaria, laboral, económica, social, moral…). </w:t>
      </w:r>
    </w:p>
    <w:p w:rsidR="009F63A5" w:rsidRPr="006C6A7B" w:rsidRDefault="009F63A5" w:rsidP="009F63A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Por más</w:t>
      </w:r>
      <w:r w:rsidR="00142FE0" w:rsidRPr="006C6A7B">
        <w:rPr>
          <w:rFonts w:ascii="Times New Roman" w:hAnsi="Times New Roman" w:cs="Times New Roman"/>
          <w:sz w:val="24"/>
          <w:szCs w:val="24"/>
          <w:shd w:val="clear" w:color="auto" w:fill="FFFFFF"/>
        </w:rPr>
        <w:t xml:space="preserve"> que</w:t>
      </w:r>
      <w:r w:rsidRPr="006C6A7B">
        <w:rPr>
          <w:rFonts w:ascii="Times New Roman" w:hAnsi="Times New Roman" w:cs="Times New Roman"/>
          <w:sz w:val="24"/>
          <w:szCs w:val="24"/>
          <w:shd w:val="clear" w:color="auto" w:fill="FFFFFF"/>
        </w:rPr>
        <w:t xml:space="preserve"> YouTube, Spotify, videojuegos, pokemons</w:t>
      </w:r>
      <w:r w:rsidR="00FA3B42">
        <w:rPr>
          <w:rFonts w:ascii="Times New Roman" w:hAnsi="Times New Roman" w:cs="Times New Roman"/>
          <w:sz w:val="24"/>
          <w:szCs w:val="24"/>
          <w:shd w:val="clear" w:color="auto" w:fill="FFFFFF"/>
        </w:rPr>
        <w:t>, y otras adicciones gibarizantes</w:t>
      </w:r>
      <w:r w:rsidRPr="006C6A7B">
        <w:rPr>
          <w:rFonts w:ascii="Times New Roman" w:hAnsi="Times New Roman" w:cs="Times New Roman"/>
          <w:sz w:val="24"/>
          <w:szCs w:val="24"/>
          <w:shd w:val="clear" w:color="auto" w:fill="FFFFFF"/>
        </w:rPr>
        <w:t xml:space="preserve">…  intenten negar la evidencia o anestesiar a la manada, nada se podrá hacer por resolver la situación de </w:t>
      </w:r>
      <w:r w:rsidR="00ED2A21" w:rsidRPr="006C6A7B">
        <w:rPr>
          <w:rFonts w:ascii="Times New Roman" w:hAnsi="Times New Roman" w:cs="Times New Roman"/>
          <w:sz w:val="24"/>
          <w:szCs w:val="24"/>
          <w:shd w:val="clear" w:color="auto" w:fill="FFFFFF"/>
        </w:rPr>
        <w:t>la “generación confinada”</w:t>
      </w:r>
      <w:r w:rsidRPr="006C6A7B">
        <w:rPr>
          <w:rFonts w:ascii="Times New Roman" w:hAnsi="Times New Roman" w:cs="Times New Roman"/>
          <w:sz w:val="24"/>
          <w:szCs w:val="24"/>
          <w:shd w:val="clear" w:color="auto" w:fill="FFFFFF"/>
        </w:rPr>
        <w:t xml:space="preserve"> (los jóvenes de 15 a 24 años), para quienes los efectos de la crisis sanitaria-económica serán más duraderos.</w:t>
      </w:r>
    </w:p>
    <w:p w:rsidR="009F63A5" w:rsidRPr="006C6A7B" w:rsidRDefault="009F63A5" w:rsidP="009F63A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 xml:space="preserve">Ni Facebook, ni Amazon, ni Apple, ni otras “fábricas de fantasías”, podrán devolver la ilusión asaltada y el futuro robado a la “generación confinada”… cuando uno de cada seis jóvenes en el mundo ha perdido su empleo desde el comienzo de la epidemia y los que siguen ocupados vieron reducir sus horas de trabajo en un 23%... cuando tres de cada cuatro jóvenes activos en el mercado laboral trabaja en el sector informal… (según la OIT - </w:t>
      </w:r>
      <w:r w:rsidRPr="00313DDF">
        <w:rPr>
          <w:rFonts w:ascii="Times New Roman" w:hAnsi="Times New Roman" w:cs="Times New Roman"/>
          <w:b/>
          <w:sz w:val="24"/>
          <w:szCs w:val="24"/>
          <w:shd w:val="clear" w:color="auto" w:fill="FFFFFF"/>
        </w:rPr>
        <w:t>28/5/20</w:t>
      </w:r>
      <w:r w:rsidRPr="006C6A7B">
        <w:rPr>
          <w:rFonts w:ascii="Times New Roman" w:hAnsi="Times New Roman" w:cs="Times New Roman"/>
          <w:sz w:val="24"/>
          <w:szCs w:val="24"/>
          <w:shd w:val="clear" w:color="auto" w:fill="FFFFFF"/>
        </w:rPr>
        <w:t>).</w:t>
      </w:r>
    </w:p>
    <w:p w:rsidR="009F63A5" w:rsidRPr="006C6A7B" w:rsidRDefault="009F63A5" w:rsidP="009F63A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A ver cómo los alquimistas de la “economía compartida” (disruptiva) se las apañan para solventar los problemas de la “economía de la silla vacía”, que bien podría convertirse en uno de los símbolos más característicos de la economía que viene. La de la distancia social contra la pandemia. A ver cómo, la cultura del pelotazo y el cortoplacismo, ofrece soluciones.</w:t>
      </w:r>
    </w:p>
    <w:p w:rsidR="009F63A5" w:rsidRPr="006C6A7B" w:rsidRDefault="009F63A5" w:rsidP="009F63A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Cuando la industria ha dejado de ser sexy para muchos empresarios y gobiernos, pese a que los salarios son más elevados que en el resto de los sectores, la innovación es mayor y, además, incorpora un mayor nivel de cualificación profesional, privilegiando al sector servicios de bajo valor añadido, precariedad laboral y escasa inversión en formación de los trabajadores, se termina afectando a la estructura social. Las clases medias se resienten y, en su lugar, emergen el precariado y el fenómeno de los trabajadores pobres que sobreviven, en muchos casos, a costa de las prestaciones públicas. Entonces se demuestra que los webonomics están desnudos (no sirven para nada), y los webonazos están jodidos (of course).</w:t>
      </w:r>
    </w:p>
    <w:p w:rsidR="009F63A5" w:rsidRPr="006C6A7B" w:rsidRDefault="009F63A5" w:rsidP="00ED2A21">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 xml:space="preserve">Pero los funambulistas de Wall Street, y los titiriteros de Silicon Valley, que han perdido el control del presente, no se quedarán de brazos cruzados, no aceptarán la derrota, y serán capaces de reescribir el pasado a la desesperada (la globalización fue un accidente de la naturaleza, o es culpa de China, como el Covid-19) para tratar de recuperarlo. ¡Atentos! </w:t>
      </w:r>
    </w:p>
    <w:p w:rsidR="009F63A5" w:rsidRPr="006C6A7B" w:rsidRDefault="009F63A5" w:rsidP="009F63A5">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lastRenderedPageBreak/>
        <w:t>La ciencia es ensayo y error; es aprendizaje y experiencia. Muchos estudiosos han tenido la honestidad de admitir que, en el medio de la incertidumbre, van tanteando y descubriendo sobre la marcha. ¿Cómo encuadra entonces el dogmatismo de la globalización? Si el derecho a plantear dudas e interrogantes asiste siempre a una sociedad moderna y democrática, se hace mucho más obvio (e inclusive necesario) ante un enorme cúmulo de datos que se ignoran y otro cúmulo de contradicciones que muchas veces nos dejan perplejos. Ni hablar de los errores académicos que echan leña al fuego de la confusión.</w:t>
      </w:r>
    </w:p>
    <w:p w:rsidR="009F63A5" w:rsidRPr="006C6A7B" w:rsidRDefault="009F63A5" w:rsidP="008272F7">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¿No podemos plantear dudas? ¿Solo nos cabe acatar y agradecer a una empresa que nos “entretiene” y</w:t>
      </w:r>
      <w:r w:rsidR="000C0FAB" w:rsidRPr="006C6A7B">
        <w:rPr>
          <w:rFonts w:ascii="Times New Roman" w:hAnsi="Times New Roman" w:cs="Times New Roman"/>
          <w:sz w:val="24"/>
          <w:szCs w:val="24"/>
          <w:shd w:val="clear" w:color="auto" w:fill="FFFFFF"/>
        </w:rPr>
        <w:t xml:space="preserve"> a un</w:t>
      </w:r>
      <w:r w:rsidRPr="006C6A7B">
        <w:rPr>
          <w:rFonts w:ascii="Times New Roman" w:hAnsi="Times New Roman" w:cs="Times New Roman"/>
          <w:sz w:val="24"/>
          <w:szCs w:val="24"/>
          <w:shd w:val="clear" w:color="auto" w:fill="FFFFFF"/>
        </w:rPr>
        <w:t xml:space="preserve"> estado que hace que “nos cuida”? ¿Nos van a decir también cuáles son las angustias permitidas? ¿Está mal que nos angustien la situación económica, el temor al futuro, la incertidumbre, el riesgo de quedarnos sin trabajo, la ansiedad por nuestros hijos, la desasistencia de padres y abuelos? ¿O tenemos que aceptar como normal la grieta, entre angustiados y agradecidos?</w:t>
      </w:r>
    </w:p>
    <w:p w:rsidR="009F63A5" w:rsidRPr="006C6A7B" w:rsidRDefault="009F63A5" w:rsidP="00DB3CF7">
      <w:pPr>
        <w:spacing w:line="240" w:lineRule="auto"/>
        <w:jc w:val="both"/>
        <w:rPr>
          <w:rFonts w:ascii="Times New Roman" w:hAnsi="Times New Roman" w:cs="Times New Roman"/>
          <w:sz w:val="24"/>
          <w:szCs w:val="24"/>
          <w:shd w:val="clear" w:color="auto" w:fill="FFFFFF"/>
        </w:rPr>
      </w:pPr>
      <w:r w:rsidRPr="006C6A7B">
        <w:rPr>
          <w:rFonts w:ascii="Times New Roman" w:hAnsi="Times New Roman" w:cs="Times New Roman"/>
          <w:sz w:val="24"/>
          <w:szCs w:val="24"/>
          <w:shd w:val="clear" w:color="auto" w:fill="FFFFFF"/>
        </w:rPr>
        <w:t>Atravesamos una circunstancia (crisis sanitaria 2020), después de otra circunstancia (crisis financiera 2008), que transformarán, probab</w:t>
      </w:r>
      <w:r w:rsidR="00DB3CF7" w:rsidRPr="006C6A7B">
        <w:rPr>
          <w:rFonts w:ascii="Times New Roman" w:hAnsi="Times New Roman" w:cs="Times New Roman"/>
          <w:sz w:val="24"/>
          <w:szCs w:val="24"/>
          <w:shd w:val="clear" w:color="auto" w:fill="FFFFFF"/>
        </w:rPr>
        <w:t>lemente, mucho de lo conocido. </w:t>
      </w:r>
      <w:r w:rsidR="00ED2A21" w:rsidRPr="006C6A7B">
        <w:rPr>
          <w:rFonts w:ascii="Times New Roman" w:hAnsi="Times New Roman" w:cs="Times New Roman"/>
          <w:sz w:val="24"/>
          <w:szCs w:val="24"/>
        </w:rPr>
        <w:t>Reducir todo al dogma de “</w:t>
      </w:r>
      <w:r w:rsidRPr="006C6A7B">
        <w:rPr>
          <w:rFonts w:ascii="Times New Roman" w:hAnsi="Times New Roman" w:cs="Times New Roman"/>
          <w:sz w:val="24"/>
          <w:szCs w:val="24"/>
        </w:rPr>
        <w:t>la irrev</w:t>
      </w:r>
      <w:r w:rsidR="00ED2A21" w:rsidRPr="006C6A7B">
        <w:rPr>
          <w:rFonts w:ascii="Times New Roman" w:hAnsi="Times New Roman" w:cs="Times New Roman"/>
          <w:sz w:val="24"/>
          <w:szCs w:val="24"/>
        </w:rPr>
        <w:t>ersibilidad de la globalización”</w:t>
      </w:r>
      <w:r w:rsidRPr="006C6A7B">
        <w:rPr>
          <w:rFonts w:ascii="Times New Roman" w:hAnsi="Times New Roman" w:cs="Times New Roman"/>
          <w:sz w:val="24"/>
          <w:szCs w:val="24"/>
        </w:rPr>
        <w:t xml:space="preserve"> parece un reduccionismo excesivo, más propio de un eslogan propagandístico que de un razonamiento científico; más propio de una mirada sesgada que de la perspectiva de un académico (o un analista, medianamente serio).</w:t>
      </w:r>
      <w:r w:rsidR="00782036" w:rsidRPr="006C6A7B">
        <w:rPr>
          <w:rFonts w:ascii="Times New Roman" w:hAnsi="Times New Roman" w:cs="Times New Roman"/>
          <w:sz w:val="24"/>
          <w:szCs w:val="24"/>
        </w:rPr>
        <w:t xml:space="preserve"> </w:t>
      </w:r>
      <w:r w:rsidRPr="006C6A7B">
        <w:rPr>
          <w:rFonts w:ascii="Times New Roman" w:hAnsi="Times New Roman" w:cs="Times New Roman"/>
          <w:sz w:val="24"/>
          <w:szCs w:val="24"/>
          <w:bdr w:val="none" w:sz="0" w:space="0" w:color="auto" w:frame="1"/>
          <w:lang w:val="es-AR"/>
        </w:rPr>
        <w:t>Tenemos derecho a dudar cuando vemos que las soflamas (“todos ganan”) no se corresponden con las consecuencias (“el ganador se lleva todo”)…</w:t>
      </w:r>
    </w:p>
    <w:p w:rsidR="009F63A5" w:rsidRPr="006C6A7B" w:rsidRDefault="009F63A5" w:rsidP="008272F7">
      <w:pPr>
        <w:pStyle w:val="NormalWeb"/>
        <w:shd w:val="clear" w:color="auto" w:fill="FFFFFF"/>
        <w:spacing w:before="0" w:beforeAutospacing="0" w:after="0" w:afterAutospacing="0"/>
        <w:jc w:val="both"/>
        <w:rPr>
          <w:shd w:val="clear" w:color="auto" w:fill="FFFFFF"/>
        </w:rPr>
      </w:pPr>
      <w:r w:rsidRPr="006C6A7B">
        <w:rPr>
          <w:shd w:val="clear" w:color="auto" w:fill="FFFFFF"/>
        </w:rPr>
        <w:t xml:space="preserve">Si la actividad empresarial es ensayo y error, la intelectualidad es (o debería ser) crítica y debate. Tal vez deberíamos preguntarnos, frente a una situación tan compleja y tan desafiante como la que atravesamos (una crisis sanitaria y dos crisis económicas, de extremos catastróficos), dónde están los investigadores económicos. Por supuesto que hay grandes </w:t>
      </w:r>
      <w:r w:rsidR="00ED2A21" w:rsidRPr="006C6A7B">
        <w:rPr>
          <w:shd w:val="clear" w:color="auto" w:fill="FFFFFF"/>
        </w:rPr>
        <w:t>“solistas”</w:t>
      </w:r>
      <w:r w:rsidRPr="006C6A7B">
        <w:rPr>
          <w:shd w:val="clear" w:color="auto" w:fill="FFFFFF"/>
        </w:rPr>
        <w:t xml:space="preserve"> que se expresan con potencia y reconfortante lucidez. Pero </w:t>
      </w:r>
      <w:r w:rsidRPr="006C6A7B">
        <w:rPr>
          <w:bCs/>
          <w:bdr w:val="none" w:sz="0" w:space="0" w:color="auto" w:frame="1"/>
          <w:shd w:val="clear" w:color="auto" w:fill="FFFFFF"/>
        </w:rPr>
        <w:t>el debate y el pensamiento crítico hoy carecen de calidad en el ámbito económico. El pensamiento único, y los pronunciamientos políticamente correcto</w:t>
      </w:r>
      <w:r w:rsidR="000C0FAB" w:rsidRPr="006C6A7B">
        <w:rPr>
          <w:bCs/>
          <w:bdr w:val="none" w:sz="0" w:space="0" w:color="auto" w:frame="1"/>
          <w:shd w:val="clear" w:color="auto" w:fill="FFFFFF"/>
        </w:rPr>
        <w:t xml:space="preserve">s, condicionan la racionalidad </w:t>
      </w:r>
      <w:r w:rsidRPr="006C6A7B">
        <w:rPr>
          <w:bCs/>
          <w:bdr w:val="none" w:sz="0" w:space="0" w:color="auto" w:frame="1"/>
          <w:shd w:val="clear" w:color="auto" w:fill="FFFFFF"/>
        </w:rPr>
        <w:t>en el ámbito académico</w:t>
      </w:r>
      <w:r w:rsidRPr="006C6A7B">
        <w:rPr>
          <w:shd w:val="clear" w:color="auto" w:fill="FFFFFF"/>
        </w:rPr>
        <w:t>. ¿Dónde están las universidades? ¿Dónde las academias de ciencias? ¿Qué dicen las asociaciones de profesionales? Parecen, al menos, de capa caída, casi en retirada. Tengo la sospecha que una parte de la intelectualidad desertó de su mandato ético al integrar el  coro académico de las universidades de la “Ivy leage schools”. Los suculentos honorarios, y las subvenciones (públicas y privadas) a los proyectos de investigación, tienen su “peaje”. Y en esas estamos: rendidos al dogmatismo militante de la globalización, la financierización, el multilateralismo, y el librecambio. Cómplices necesarios</w:t>
      </w:r>
      <w:r w:rsidR="00347CD3">
        <w:rPr>
          <w:shd w:val="clear" w:color="auto" w:fill="FFFFFF"/>
        </w:rPr>
        <w:t>.</w:t>
      </w:r>
      <w:r w:rsidRPr="006C6A7B">
        <w:rPr>
          <w:shd w:val="clear" w:color="auto" w:fill="FFFFFF"/>
        </w:rPr>
        <w:t xml:space="preserve"> Ciegos voluntarios. Estómagos agradecidos</w:t>
      </w:r>
      <w:r w:rsidR="000C0FAB" w:rsidRPr="006C6A7B">
        <w:rPr>
          <w:shd w:val="clear" w:color="auto" w:fill="FFFFFF"/>
        </w:rPr>
        <w:t>.</w:t>
      </w:r>
      <w:r w:rsidRPr="006C6A7B">
        <w:rPr>
          <w:shd w:val="clear" w:color="auto" w:fill="FFFFFF"/>
        </w:rPr>
        <w:t xml:space="preserve"> El silencio de los corderos (grandes bonetes, vacas sagradas, cabezas de huevo, algunos Nobeles y muchos noveleros). </w:t>
      </w:r>
    </w:p>
    <w:p w:rsidR="009F63A5" w:rsidRPr="006C6A7B" w:rsidRDefault="009F63A5" w:rsidP="008272F7">
      <w:pPr>
        <w:pStyle w:val="NormalWeb"/>
        <w:shd w:val="clear" w:color="auto" w:fill="FFFFFF"/>
        <w:spacing w:before="0" w:beforeAutospacing="0" w:after="0" w:afterAutospacing="0"/>
        <w:jc w:val="both"/>
        <w:rPr>
          <w:shd w:val="clear" w:color="auto" w:fill="FFFFFF"/>
        </w:rPr>
      </w:pPr>
    </w:p>
    <w:p w:rsidR="009F63A5" w:rsidRPr="006C6A7B" w:rsidRDefault="009F63A5" w:rsidP="008272F7">
      <w:pPr>
        <w:shd w:val="clear" w:color="auto" w:fill="FFFFFF"/>
        <w:spacing w:after="0" w:line="240" w:lineRule="auto"/>
        <w:jc w:val="both"/>
        <w:rPr>
          <w:rFonts w:ascii="Times New Roman" w:eastAsia="Times New Roman" w:hAnsi="Times New Roman" w:cs="Times New Roman"/>
          <w:sz w:val="24"/>
          <w:szCs w:val="24"/>
        </w:rPr>
      </w:pPr>
      <w:r w:rsidRPr="006C6A7B">
        <w:rPr>
          <w:rFonts w:ascii="Times New Roman" w:eastAsia="Times New Roman" w:hAnsi="Times New Roman" w:cs="Times New Roman"/>
          <w:sz w:val="24"/>
          <w:szCs w:val="24"/>
        </w:rPr>
        <w:t>Los analistas económicos (no empesebrados) tenemos derecho a dudar cuando advertimos que algunos científicos parecen demasiado cómodos al abrigo de los despachos y los honores oficiales. La ciencia puede quedar manchada cuando pierde independencia y cae en alguna complacencia.</w:t>
      </w:r>
    </w:p>
    <w:p w:rsidR="00ED2A21" w:rsidRPr="006C6A7B" w:rsidRDefault="00ED2A21" w:rsidP="00ED2A21">
      <w:pPr>
        <w:pStyle w:val="NormalWeb"/>
        <w:shd w:val="clear" w:color="auto" w:fill="FFFFFF"/>
        <w:spacing w:after="0"/>
        <w:jc w:val="both"/>
        <w:rPr>
          <w:shd w:val="clear" w:color="auto" w:fill="FFFFFF"/>
        </w:rPr>
      </w:pPr>
      <w:r w:rsidRPr="006C6A7B">
        <w:rPr>
          <w:shd w:val="clear" w:color="auto" w:fill="FFFFFF"/>
        </w:rPr>
        <w:t xml:space="preserve">Ojalá se alcen muchas voces que reivindiquen </w:t>
      </w:r>
      <w:r w:rsidR="00782036" w:rsidRPr="006C6A7B">
        <w:rPr>
          <w:shd w:val="clear" w:color="auto" w:fill="FFFFFF"/>
        </w:rPr>
        <w:t xml:space="preserve">el derecho a dudar y a debatir. </w:t>
      </w:r>
      <w:r w:rsidRPr="006C6A7B">
        <w:rPr>
          <w:shd w:val="clear" w:color="auto" w:fill="FFFFFF"/>
        </w:rPr>
        <w:t>No entreguemos nuestro espíritu crítico. No aceptemos, con mansedumbre, las pretensiones del pensamiento hegemónico. ¿No hay otra alternativa que seguir con la globalización, la financierización, el multilateralismo, y el librecambio?</w:t>
      </w:r>
    </w:p>
    <w:p w:rsidR="00ED2A21" w:rsidRPr="006C6A7B" w:rsidRDefault="00ED2A21" w:rsidP="00ED2A21">
      <w:pPr>
        <w:pStyle w:val="NormalWeb"/>
        <w:shd w:val="clear" w:color="auto" w:fill="FFFFFF"/>
        <w:spacing w:after="0"/>
        <w:jc w:val="both"/>
        <w:rPr>
          <w:shd w:val="clear" w:color="auto" w:fill="FFFFFF"/>
        </w:rPr>
      </w:pPr>
      <w:r w:rsidRPr="006C6A7B">
        <w:rPr>
          <w:shd w:val="clear" w:color="auto" w:fill="FFFFFF"/>
        </w:rPr>
        <w:lastRenderedPageBreak/>
        <w:t>Mientras buscamos la respuesta (algunas ve</w:t>
      </w:r>
      <w:r w:rsidR="000C0FAB" w:rsidRPr="006C6A7B">
        <w:rPr>
          <w:shd w:val="clear" w:color="auto" w:fill="FFFFFF"/>
        </w:rPr>
        <w:t>ngo sosteniendo desde 1998, aunque</w:t>
      </w:r>
      <w:r w:rsidRPr="006C6A7B">
        <w:rPr>
          <w:shd w:val="clear" w:color="auto" w:fill="FFFFFF"/>
        </w:rPr>
        <w:t xml:space="preserve"> no las proclamo como verdades absolutas), no debemos admitir que encierren nuestro pensamiento, descalifiquen nuestras dudas y nos manden a callar. </w:t>
      </w:r>
    </w:p>
    <w:p w:rsidR="00ED2A21" w:rsidRPr="006C6A7B" w:rsidRDefault="00ED2A21" w:rsidP="00ED2A21">
      <w:pPr>
        <w:pStyle w:val="NormalWeb"/>
        <w:shd w:val="clear" w:color="auto" w:fill="FFFFFF"/>
        <w:spacing w:before="0" w:beforeAutospacing="0" w:after="0" w:afterAutospacing="0"/>
        <w:jc w:val="both"/>
        <w:rPr>
          <w:shd w:val="clear" w:color="auto" w:fill="FFFFFF"/>
        </w:rPr>
      </w:pPr>
      <w:r w:rsidRPr="006C6A7B">
        <w:rPr>
          <w:shd w:val="clear" w:color="auto" w:fill="FFFFFF"/>
        </w:rPr>
        <w:t>A pesar de ser un millonario en fracasos, de mi estado de duda permanente, y de</w:t>
      </w:r>
      <w:r w:rsidR="00C94860">
        <w:rPr>
          <w:shd w:val="clear" w:color="auto" w:fill="FFFFFF"/>
        </w:rPr>
        <w:t xml:space="preserve"> mi</w:t>
      </w:r>
      <w:r w:rsidRPr="006C6A7B">
        <w:rPr>
          <w:shd w:val="clear" w:color="auto" w:fill="FFFFFF"/>
        </w:rPr>
        <w:t xml:space="preserve"> poca voz, me animo a sostener que: cuanto más se ensanche y ramifique la grieta económica, laboral, educativa, sanitaria y social, más difícil será enderezar y acordar el rumbo de la economía para los próximos años. No estoy hablando de años perdidos, sino de parte de un siglo de retroceso (cincuenta años, o más). Si eso no es un fracaso flagrante del modelo económico de la globalización, que venga Dios y lo vea.</w:t>
      </w:r>
    </w:p>
    <w:p w:rsidR="009F63A5" w:rsidRPr="006C6A7B" w:rsidRDefault="009F63A5" w:rsidP="008272F7">
      <w:pPr>
        <w:pStyle w:val="NormalWeb"/>
        <w:shd w:val="clear" w:color="auto" w:fill="FFFFFF"/>
        <w:spacing w:before="0" w:beforeAutospacing="0" w:after="0" w:afterAutospacing="0"/>
        <w:jc w:val="both"/>
        <w:rPr>
          <w:shd w:val="clear" w:color="auto" w:fill="FFFFFF"/>
        </w:rPr>
      </w:pPr>
    </w:p>
    <w:p w:rsidR="009F63A5" w:rsidRPr="006C6A7B" w:rsidRDefault="009F63A5" w:rsidP="008272F7">
      <w:pPr>
        <w:pStyle w:val="NormalWeb"/>
        <w:shd w:val="clear" w:color="auto" w:fill="FFFFFF"/>
        <w:spacing w:before="0" w:beforeAutospacing="0" w:after="0" w:afterAutospacing="0"/>
        <w:jc w:val="both"/>
        <w:rPr>
          <w:shd w:val="clear" w:color="auto" w:fill="FFFFFF"/>
        </w:rPr>
      </w:pPr>
      <w:r w:rsidRPr="006C6A7B">
        <w:rPr>
          <w:shd w:val="clear" w:color="auto" w:fill="FFFFFF"/>
        </w:rPr>
        <w:t>Las bolsas de marginalidad crecientes en países avanzados, a los que antes se veía como ajenos al mundo de la pobreza severa, la imposibilidad de garantizar empleos de calidad para mantener la competitividad, la precariedad laboral, los empleos de usar y tirar, los falsos autónomos, los becarios eternos, el aumento de la pobreza… son cuentas (negativas) en el balance de una economía de casino (Wall Street) y entretenimiento (Silicon Valley), que son los “únicos” sectores económicos (no productivos) que les dejaron a los países avanzados después del proceso de deslocalización, desregulación y privatización, llevado adelante en Occidente desde el año 1980 (Reagan, Thatcher &amp; Co.) en adelante.</w:t>
      </w:r>
    </w:p>
    <w:p w:rsidR="000C0FAB" w:rsidRPr="006C6A7B" w:rsidRDefault="000C0FAB" w:rsidP="008272F7">
      <w:pPr>
        <w:pStyle w:val="NormalWeb"/>
        <w:shd w:val="clear" w:color="auto" w:fill="FFFFFF"/>
        <w:spacing w:before="0" w:beforeAutospacing="0" w:after="0" w:afterAutospacing="0"/>
        <w:jc w:val="both"/>
        <w:rPr>
          <w:shd w:val="clear" w:color="auto" w:fill="FFFFFF"/>
        </w:rPr>
      </w:pPr>
    </w:p>
    <w:p w:rsidR="009F63A5" w:rsidRPr="006C6A7B" w:rsidRDefault="009F63A5" w:rsidP="008272F7">
      <w:pPr>
        <w:pStyle w:val="NormalWeb"/>
        <w:shd w:val="clear" w:color="auto" w:fill="FFFFFF"/>
        <w:spacing w:before="0" w:beforeAutospacing="0" w:after="0" w:afterAutospacing="0"/>
        <w:jc w:val="both"/>
        <w:rPr>
          <w:shd w:val="clear" w:color="auto" w:fill="FFFFFF"/>
        </w:rPr>
      </w:pPr>
      <w:r w:rsidRPr="006C6A7B">
        <w:rPr>
          <w:shd w:val="clear" w:color="auto" w:fill="FFFFFF"/>
        </w:rPr>
        <w:t>El empleo, de hecho, es la principal causa del ensanchamiento de la desigualdad en las últimas décadas. No es, por lo tanto, un fenómeno vinculado exclusivamente a la crisis financiera (pasada), la sanitaria (presente) y la económica (</w:t>
      </w:r>
      <w:r w:rsidR="000C0FAB" w:rsidRPr="006C6A7B">
        <w:rPr>
          <w:shd w:val="clear" w:color="auto" w:fill="FFFFFF"/>
        </w:rPr>
        <w:t xml:space="preserve">pasada y </w:t>
      </w:r>
      <w:r w:rsidRPr="006C6A7B">
        <w:rPr>
          <w:shd w:val="clear" w:color="auto" w:fill="FFFFFF"/>
        </w:rPr>
        <w:t>por venir), ni siquiera a los recortes del estado de bienestar, sino a </w:t>
      </w:r>
      <w:r w:rsidRPr="006C6A7B">
        <w:rPr>
          <w:rStyle w:val="Textoennegrita"/>
          <w:bdr w:val="none" w:sz="0" w:space="0" w:color="auto" w:frame="1"/>
          <w:shd w:val="clear" w:color="auto" w:fill="FFFFFF"/>
        </w:rPr>
        <w:t>la creciente precarización del mercado laboral</w:t>
      </w:r>
      <w:r w:rsidRPr="006C6A7B">
        <w:rPr>
          <w:shd w:val="clear" w:color="auto" w:fill="FFFFFF"/>
        </w:rPr>
        <w:t>, y que, necesariamente, hay que vincular a la </w:t>
      </w:r>
      <w:hyperlink r:id="rId434" w:history="1">
        <w:r w:rsidRPr="006C6A7B">
          <w:rPr>
            <w:rStyle w:val="Hipervnculo"/>
            <w:rFonts w:eastAsiaTheme="majorEastAsia"/>
            <w:color w:val="auto"/>
            <w:u w:val="none"/>
            <w:shd w:val="clear" w:color="auto" w:fill="FFFFFF"/>
          </w:rPr>
          <w:t>globalización</w:t>
        </w:r>
      </w:hyperlink>
      <w:r w:rsidRPr="006C6A7B">
        <w:rPr>
          <w:shd w:val="clear" w:color="auto" w:fill="FFFFFF"/>
        </w:rPr>
        <w:t xml:space="preserve"> y a la división internacional del trabajo, que hace recaer en los trabajadores menos cualificados y en los más expuestos a la competencia exterior los efectos negativos de la caída desequilibrada de las barreras arancelarias. Esos mismos trabajadores que son, además, más vulnerables a la acelerada maquinización del trabajo.  </w:t>
      </w:r>
    </w:p>
    <w:p w:rsidR="009F63A5" w:rsidRPr="006C6A7B" w:rsidRDefault="009F63A5" w:rsidP="008272F7">
      <w:pPr>
        <w:pStyle w:val="NormalWeb"/>
        <w:shd w:val="clear" w:color="auto" w:fill="FFFFFF"/>
        <w:spacing w:before="0" w:beforeAutospacing="0" w:after="0" w:afterAutospacing="0"/>
        <w:jc w:val="both"/>
        <w:rPr>
          <w:shd w:val="clear" w:color="auto" w:fill="FFFFFF"/>
        </w:rPr>
      </w:pPr>
    </w:p>
    <w:p w:rsidR="009F63A5" w:rsidRPr="006C6A7B" w:rsidRDefault="009F63A5" w:rsidP="008272F7">
      <w:pPr>
        <w:pStyle w:val="NormalWeb"/>
        <w:shd w:val="clear" w:color="auto" w:fill="FFFFFF"/>
        <w:spacing w:before="0" w:beforeAutospacing="0" w:after="0" w:afterAutospacing="0"/>
        <w:jc w:val="both"/>
        <w:rPr>
          <w:shd w:val="clear" w:color="auto" w:fill="FFFFFF"/>
        </w:rPr>
      </w:pPr>
      <w:r w:rsidRPr="006C6A7B">
        <w:rPr>
          <w:shd w:val="clear" w:color="auto" w:fill="FFFFFF"/>
        </w:rPr>
        <w:t xml:space="preserve">Ante semejante </w:t>
      </w:r>
      <w:r w:rsidRPr="006C6A7B">
        <w:rPr>
          <w:rStyle w:val="Textoennegrita"/>
          <w:bdr w:val="none" w:sz="0" w:space="0" w:color="auto" w:frame="1"/>
          <w:shd w:val="clear" w:color="auto" w:fill="FFFFFF"/>
        </w:rPr>
        <w:t>desigualdad de oportunidades</w:t>
      </w:r>
      <w:r w:rsidRPr="006C6A7B">
        <w:rPr>
          <w:shd w:val="clear" w:color="auto" w:fill="FFFFFF"/>
        </w:rPr>
        <w:t xml:space="preserve">, en las últimas décadas, consecuencia directa de un determinado modelo económico librecambista, me animo a sostener que: la globalización es un “anacronismo”. Lo dejo por escrito, y me hago cargo de ello. El tiempo dará o quitará razones. </w:t>
      </w:r>
    </w:p>
    <w:p w:rsidR="00ED2A21" w:rsidRPr="006C6A7B" w:rsidRDefault="00ED2A21" w:rsidP="008272F7">
      <w:pPr>
        <w:pStyle w:val="NormalWeb"/>
        <w:shd w:val="clear" w:color="auto" w:fill="FFFFFF"/>
        <w:spacing w:before="0" w:beforeAutospacing="0" w:after="0" w:afterAutospacing="0"/>
        <w:jc w:val="both"/>
        <w:rPr>
          <w:shd w:val="clear" w:color="auto" w:fill="FFFFFF"/>
        </w:rPr>
      </w:pPr>
    </w:p>
    <w:p w:rsidR="009F63A5" w:rsidRPr="006C6A7B" w:rsidRDefault="009F63A5" w:rsidP="008272F7">
      <w:pPr>
        <w:pStyle w:val="NormalWeb"/>
        <w:shd w:val="clear" w:color="auto" w:fill="FFFFFF"/>
        <w:spacing w:before="0" w:beforeAutospacing="0" w:after="0" w:afterAutospacing="0"/>
        <w:jc w:val="both"/>
        <w:rPr>
          <w:shd w:val="clear" w:color="auto" w:fill="FFFFFF"/>
        </w:rPr>
      </w:pPr>
      <w:r w:rsidRPr="006C6A7B">
        <w:rPr>
          <w:shd w:val="clear" w:color="auto" w:fill="FFFFFF"/>
        </w:rPr>
        <w:t>En vez de seguir intentando resolver (tarde y mal) las “consecuencias” sociales (con subvenciones públicas, ingreso mínimo vital, prestaciones sociales…), habría que resolver las “causas” económicas que generan la precariedad laboral, el desempleo y la pobreza (globalización, financierización, deslocalización, tercerización, librecambio, desregulación, privatización…)</w:t>
      </w:r>
    </w:p>
    <w:p w:rsidR="009F63A5" w:rsidRPr="006C6A7B" w:rsidRDefault="009F63A5" w:rsidP="008272F7">
      <w:pPr>
        <w:pStyle w:val="NormalWeb"/>
        <w:shd w:val="clear" w:color="auto" w:fill="FFFFFF"/>
        <w:spacing w:before="0" w:beforeAutospacing="0" w:after="0" w:afterAutospacing="0"/>
        <w:jc w:val="both"/>
        <w:rPr>
          <w:shd w:val="clear" w:color="auto" w:fill="FFFFFF"/>
        </w:rPr>
      </w:pPr>
    </w:p>
    <w:p w:rsidR="00DB3CF7" w:rsidRPr="006C6A7B" w:rsidRDefault="009F63A5" w:rsidP="008272F7">
      <w:pPr>
        <w:pStyle w:val="NormalWeb"/>
        <w:shd w:val="clear" w:color="auto" w:fill="FFFFFF"/>
        <w:spacing w:before="0" w:beforeAutospacing="0" w:after="0" w:afterAutospacing="0"/>
        <w:jc w:val="both"/>
        <w:rPr>
          <w:shd w:val="clear" w:color="auto" w:fill="FFFFFF"/>
        </w:rPr>
      </w:pPr>
      <w:r w:rsidRPr="006C6A7B">
        <w:rPr>
          <w:shd w:val="clear" w:color="auto" w:fill="FFFFFF"/>
        </w:rPr>
        <w:t>“Cuando los hechos cambian, yo cambio de opinión… Y ¿usted qué hace?”, respondió el gran econ</w:t>
      </w:r>
      <w:r w:rsidR="00782036" w:rsidRPr="006C6A7B">
        <w:rPr>
          <w:shd w:val="clear" w:color="auto" w:fill="FFFFFF"/>
        </w:rPr>
        <w:t xml:space="preserve">omista </w:t>
      </w:r>
      <w:r w:rsidR="00782036" w:rsidRPr="006C6A7B">
        <w:rPr>
          <w:shd w:val="clear" w:color="auto" w:fill="FFFFFF"/>
        </w:rPr>
        <w:softHyphen/>
        <w:t xml:space="preserve">británico John Maynard. Espero </w:t>
      </w:r>
      <w:r w:rsidRPr="006C6A7B">
        <w:rPr>
          <w:shd w:val="clear" w:color="auto" w:fill="FFFFFF"/>
        </w:rPr>
        <w:t>que los grandes maestros de la economía</w:t>
      </w:r>
      <w:r w:rsidR="00782036" w:rsidRPr="006C6A7B">
        <w:rPr>
          <w:shd w:val="clear" w:color="auto" w:fill="FFFFFF"/>
        </w:rPr>
        <w:t>, en la actualidad,</w:t>
      </w:r>
      <w:r w:rsidRPr="006C6A7B">
        <w:rPr>
          <w:shd w:val="clear" w:color="auto" w:fill="FFFFFF"/>
        </w:rPr>
        <w:t xml:space="preserve"> hagan lo mismo.</w:t>
      </w:r>
    </w:p>
    <w:p w:rsidR="009F63A5" w:rsidRPr="006C6A7B" w:rsidRDefault="009F63A5" w:rsidP="008272F7">
      <w:pPr>
        <w:pStyle w:val="NormalWeb"/>
        <w:shd w:val="clear" w:color="auto" w:fill="FFFFFF"/>
        <w:spacing w:before="0" w:beforeAutospacing="0" w:after="0" w:afterAutospacing="0"/>
        <w:jc w:val="both"/>
        <w:rPr>
          <w:shd w:val="clear" w:color="auto" w:fill="FFFFFF"/>
        </w:rPr>
      </w:pPr>
      <w:r w:rsidRPr="006C6A7B">
        <w:rPr>
          <w:shd w:val="clear" w:color="auto" w:fill="FFFFFF"/>
        </w:rPr>
        <w:t xml:space="preserve"> </w:t>
      </w:r>
    </w:p>
    <w:p w:rsidR="009F63A5" w:rsidRPr="006C6A7B" w:rsidRDefault="009F63A5" w:rsidP="008272F7">
      <w:pPr>
        <w:pStyle w:val="NormalWeb"/>
        <w:shd w:val="clear" w:color="auto" w:fill="FFFFFF"/>
        <w:spacing w:before="0" w:beforeAutospacing="0" w:after="0" w:afterAutospacing="0"/>
        <w:jc w:val="both"/>
        <w:rPr>
          <w:shd w:val="clear" w:color="auto" w:fill="FFFFFF"/>
        </w:rPr>
      </w:pPr>
      <w:r w:rsidRPr="006C6A7B">
        <w:rPr>
          <w:shd w:val="clear" w:color="auto" w:fill="FFFFFF"/>
        </w:rPr>
        <w:t>La globalización económica es un instrumento que utilizaron las empresas de los países avanzados e impusieron a los Estados soberanos, y no un conjunto de leyes naturales.  No estamos ante una disciplina científica desapasionada que descubre leyes inquebrantables, sino ante un conjunto de posiciones que reflejan cómo los seres humanos, y las estructuras de las que se dotan, arreglan los asuntos comunes.</w:t>
      </w:r>
    </w:p>
    <w:p w:rsidR="00782036" w:rsidRPr="006C6A7B" w:rsidRDefault="00782036" w:rsidP="00782036">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lastRenderedPageBreak/>
        <w:t>En definitiva, el “gran problema” no es la connivencia pretérita y contemporánea entre las grandes empresas y el poder político (que va de suyo), sino la “gran paradoja” (absurdo económico y social) que ese contubernio haya sido utilizado para la creación (y en beneficio) de una clase media (tal vez, 300/400 millones de personas) en los países emergentes (China, más, e India, menos), en detrimento de la clase media (ahora, casi en extinción) en los países desarrollados (ahora, en vías de subdesarrollo). Han desvestido al Santo propio, para vestir a un Santo ajeno. Una interpretación del</w:t>
      </w:r>
      <w:r w:rsidR="00630B53">
        <w:rPr>
          <w:rFonts w:ascii="Times New Roman" w:hAnsi="Times New Roman" w:cs="Times New Roman"/>
          <w:sz w:val="24"/>
          <w:szCs w:val="24"/>
        </w:rPr>
        <w:t xml:space="preserve"> librecambio, un tanto surrealista</w:t>
      </w:r>
      <w:r w:rsidRPr="006C6A7B">
        <w:rPr>
          <w:rFonts w:ascii="Times New Roman" w:hAnsi="Times New Roman" w:cs="Times New Roman"/>
          <w:sz w:val="24"/>
          <w:szCs w:val="24"/>
        </w:rPr>
        <w:t>.</w:t>
      </w:r>
    </w:p>
    <w:p w:rsidR="00782036" w:rsidRPr="006C6A7B" w:rsidRDefault="00782036" w:rsidP="00782036">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Los mayúsculos benefi</w:t>
      </w:r>
      <w:r w:rsidR="00C94860">
        <w:rPr>
          <w:rFonts w:ascii="Times New Roman" w:hAnsi="Times New Roman" w:cs="Times New Roman"/>
          <w:sz w:val="24"/>
          <w:szCs w:val="24"/>
        </w:rPr>
        <w:t>cios alcanzados por las grandes corporaciones</w:t>
      </w:r>
      <w:r w:rsidRPr="006C6A7B">
        <w:rPr>
          <w:rFonts w:ascii="Times New Roman" w:hAnsi="Times New Roman" w:cs="Times New Roman"/>
          <w:sz w:val="24"/>
          <w:szCs w:val="24"/>
        </w:rPr>
        <w:t xml:space="preserve"> estadounidenses (más) y europeas (menos), en virtud de la globalización, no resultan equivalentes al enorme perjuicio económico y social, causado a la población de sus propios países a consecuencia de la globalización (empleo, temporalidad, precariedad, distribución de los ingresos, servicio público, educación, sanidad, pensiones… igualdad de oportunidades, confianza en las instituciones… ).</w:t>
      </w:r>
    </w:p>
    <w:p w:rsidR="00782036" w:rsidRPr="006C6A7B" w:rsidRDefault="00782036" w:rsidP="00782036">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La codicia, la avaricia, la arrogancia, la fatuidad, la connivencia, la corrupción, la indiferencia, la irresponsabilidad, la hipocresía, el cinismo… (y podría seguir) de estos empresarios de casino</w:t>
      </w:r>
      <w:r w:rsidR="00C94860">
        <w:rPr>
          <w:rFonts w:ascii="Times New Roman" w:hAnsi="Times New Roman" w:cs="Times New Roman"/>
          <w:sz w:val="24"/>
          <w:szCs w:val="24"/>
        </w:rPr>
        <w:t>,</w:t>
      </w:r>
      <w:r w:rsidR="00630B53">
        <w:rPr>
          <w:rFonts w:ascii="Times New Roman" w:hAnsi="Times New Roman" w:cs="Times New Roman"/>
          <w:sz w:val="24"/>
          <w:szCs w:val="24"/>
        </w:rPr>
        <w:t xml:space="preserve"> y </w:t>
      </w:r>
      <w:r w:rsidRPr="006C6A7B">
        <w:rPr>
          <w:rFonts w:ascii="Times New Roman" w:hAnsi="Times New Roman" w:cs="Times New Roman"/>
          <w:sz w:val="24"/>
          <w:szCs w:val="24"/>
        </w:rPr>
        <w:t>de estos políticos de plastilina, ha terminado perjudicando al mismo capitalismo liberal, que dicen defender. Se están ahogando en la hoguera de las incorreciones.</w:t>
      </w:r>
    </w:p>
    <w:p w:rsidR="009F63A5" w:rsidRPr="006C6A7B" w:rsidRDefault="00782036" w:rsidP="00782036">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 xml:space="preserve">Las consecuencias económicas y geopolíticas, son ya evidentes. Las consecuencias políticas están en ciernes. Las consecuencias judiciales tienen que concretarse. Es pronto aún, pero vamos por buen camino. Los amos de universo pueden pasar de la gloria a la nada, en cuanto los “consumidores” (la manada, los corderos) se den cuenta de su auténtico “poder” (hacer boicot a ciertas marcas, romper en silencio). Con un “clic” pueden hacer quebrar a Apple, Facebook, </w:t>
      </w:r>
      <w:r w:rsidR="00C93CC1" w:rsidRPr="006C6A7B">
        <w:rPr>
          <w:rFonts w:ascii="Times New Roman" w:hAnsi="Times New Roman" w:cs="Times New Roman"/>
          <w:sz w:val="24"/>
          <w:szCs w:val="24"/>
        </w:rPr>
        <w:t>YouTube</w:t>
      </w:r>
      <w:r w:rsidRPr="006C6A7B">
        <w:rPr>
          <w:rFonts w:ascii="Times New Roman" w:hAnsi="Times New Roman" w:cs="Times New Roman"/>
          <w:sz w:val="24"/>
          <w:szCs w:val="24"/>
        </w:rPr>
        <w:t xml:space="preserve">, Amazon, Google, Instagram, Netflix, u otros trileros de Silicon Valley. </w:t>
      </w:r>
    </w:p>
    <w:p w:rsidR="009F63A5" w:rsidRPr="006C6A7B" w:rsidRDefault="009F63A5" w:rsidP="008272F7">
      <w:pPr>
        <w:pStyle w:val="NormalWeb"/>
        <w:shd w:val="clear" w:color="auto" w:fill="FFFFFF"/>
        <w:spacing w:before="0" w:beforeAutospacing="0" w:after="0" w:afterAutospacing="0"/>
        <w:jc w:val="both"/>
        <w:rPr>
          <w:shd w:val="clear" w:color="auto" w:fill="FFFFFF"/>
        </w:rPr>
      </w:pPr>
      <w:r w:rsidRPr="006C6A7B">
        <w:rPr>
          <w:shd w:val="clear" w:color="auto" w:fill="FFFFFF"/>
        </w:rPr>
        <w:t>Con toda humildad, en mi opinión, se trata de crear prosperidad mediante el aprovechamiento de las capacidades productivas de una sociedad, y eso admite instrumentos diferentes según la situación y el momento. Hoy, la globalización constituye el mayor problema para que la economía de los países avanzados funcione.</w:t>
      </w:r>
      <w:r w:rsidR="00F2217E">
        <w:rPr>
          <w:shd w:val="clear" w:color="auto" w:fill="FFFFFF"/>
        </w:rPr>
        <w:t xml:space="preserve"> Un sistema disfuncional y ruinoso, insoportable.</w:t>
      </w:r>
    </w:p>
    <w:p w:rsidR="009F63A5" w:rsidRPr="006C6A7B" w:rsidRDefault="009F63A5" w:rsidP="008272F7">
      <w:pPr>
        <w:pStyle w:val="NormalWeb"/>
        <w:shd w:val="clear" w:color="auto" w:fill="FFFFFF"/>
        <w:spacing w:before="0" w:beforeAutospacing="0" w:after="0" w:afterAutospacing="0"/>
        <w:jc w:val="both"/>
        <w:rPr>
          <w:shd w:val="clear" w:color="auto" w:fill="FFFFFF"/>
        </w:rPr>
      </w:pPr>
    </w:p>
    <w:p w:rsidR="009F63A5" w:rsidRPr="006C6A7B" w:rsidRDefault="009F63A5" w:rsidP="008272F7">
      <w:pPr>
        <w:pStyle w:val="NormalWeb"/>
        <w:shd w:val="clear" w:color="auto" w:fill="FFFFFF"/>
        <w:spacing w:before="0" w:beforeAutospacing="0" w:after="0" w:afterAutospacing="0"/>
        <w:jc w:val="both"/>
        <w:rPr>
          <w:shd w:val="clear" w:color="auto" w:fill="FFFFFF"/>
        </w:rPr>
      </w:pPr>
      <w:r w:rsidRPr="006C6A7B">
        <w:rPr>
          <w:shd w:val="clear" w:color="auto" w:fill="FFFFFF"/>
        </w:rPr>
        <w:t xml:space="preserve">Es llamativo el anclaje de las élites económicas, de los países desarrollados, en un sistema que no funciona, en especial cuando los malos momentos que estamos viviendo están exigiendo que se abandone (al menos, temporalmente) esa perspectiva. Por favor, basta ya de ideas preconcebidas, que se convierten en una interpretación (sesgada) de la economía. Por favor, no destruyan (más) lo que no comprenden, o no saben cómo tratar (o no quieren, lo que es peor aún, si cabe). </w:t>
      </w:r>
      <w:r w:rsidR="00C0006F">
        <w:rPr>
          <w:shd w:val="clear" w:color="auto" w:fill="FFFFFF"/>
        </w:rPr>
        <w:t xml:space="preserve">El “gran reinicio” no puede ser más de lo mismo. </w:t>
      </w:r>
    </w:p>
    <w:p w:rsidR="009F63A5" w:rsidRPr="006C6A7B" w:rsidRDefault="009F63A5" w:rsidP="008272F7">
      <w:pPr>
        <w:pStyle w:val="NormalWeb"/>
        <w:shd w:val="clear" w:color="auto" w:fill="FFFFFF"/>
        <w:spacing w:before="0" w:beforeAutospacing="0" w:after="0" w:afterAutospacing="0"/>
        <w:jc w:val="both"/>
        <w:rPr>
          <w:shd w:val="clear" w:color="auto" w:fill="FFFFFF"/>
        </w:rPr>
      </w:pPr>
    </w:p>
    <w:p w:rsidR="009F63A5" w:rsidRPr="006C6A7B" w:rsidRDefault="009F63A5" w:rsidP="008272F7">
      <w:pPr>
        <w:pStyle w:val="NormalWeb"/>
        <w:shd w:val="clear" w:color="auto" w:fill="FFFFFF"/>
        <w:spacing w:before="0" w:beforeAutospacing="0" w:after="0" w:afterAutospacing="0"/>
        <w:jc w:val="both"/>
        <w:rPr>
          <w:shd w:val="clear" w:color="auto" w:fill="FFFFFF"/>
        </w:rPr>
      </w:pPr>
      <w:r w:rsidRPr="006C6A7B">
        <w:rPr>
          <w:shd w:val="clear" w:color="auto" w:fill="FFFFFF"/>
        </w:rPr>
        <w:t>¿Puede sostener alguno de los encumbrados consejeros de las corporaciones multinacionales, alguno de los prestigiosos académicos de las más importantes universidades de economía y negocios, o alguno de los</w:t>
      </w:r>
      <w:r w:rsidR="00C94860">
        <w:rPr>
          <w:shd w:val="clear" w:color="auto" w:fill="FFFFFF"/>
        </w:rPr>
        <w:t xml:space="preserve"> líderes políticos de utilería</w:t>
      </w:r>
      <w:r w:rsidRPr="006C6A7B">
        <w:rPr>
          <w:shd w:val="clear" w:color="auto" w:fill="FFFFFF"/>
        </w:rPr>
        <w:t>, de los países avanzados, que la globalización no ha sido una “fábrica de pobreza” para los trabajadores</w:t>
      </w:r>
      <w:r w:rsidR="00630B53">
        <w:rPr>
          <w:shd w:val="clear" w:color="auto" w:fill="FFFFFF"/>
        </w:rPr>
        <w:t>,</w:t>
      </w:r>
      <w:r w:rsidRPr="006C6A7B">
        <w:rPr>
          <w:shd w:val="clear" w:color="auto" w:fill="FFFFFF"/>
        </w:rPr>
        <w:t xml:space="preserve"> y no ha terminado fomentando la “destrucción industrial”, sin que se les caiga la cara de vergüenza?</w:t>
      </w:r>
    </w:p>
    <w:p w:rsidR="000C0FAB" w:rsidRPr="006C6A7B" w:rsidRDefault="000C0FAB" w:rsidP="008272F7">
      <w:pPr>
        <w:pStyle w:val="NormalWeb"/>
        <w:shd w:val="clear" w:color="auto" w:fill="FFFFFF"/>
        <w:spacing w:before="0" w:beforeAutospacing="0" w:after="0" w:afterAutospacing="0"/>
        <w:jc w:val="both"/>
        <w:rPr>
          <w:shd w:val="clear" w:color="auto" w:fill="FFFFFF"/>
        </w:rPr>
      </w:pPr>
    </w:p>
    <w:p w:rsidR="00142FE0" w:rsidRPr="00AD12B1" w:rsidRDefault="009F63A5" w:rsidP="006C6A7B">
      <w:pPr>
        <w:pStyle w:val="NormalWeb"/>
        <w:spacing w:before="0" w:beforeAutospacing="0" w:after="420" w:afterAutospacing="0"/>
        <w:jc w:val="both"/>
        <w:textAlignment w:val="baseline"/>
        <w:rPr>
          <w:b/>
        </w:rPr>
      </w:pPr>
      <w:r w:rsidRPr="00AD12B1">
        <w:rPr>
          <w:b/>
          <w:shd w:val="clear" w:color="auto" w:fill="FFFFFF"/>
        </w:rPr>
        <w:t>Espero, y deseo, que aparezca una nueva generación de líderes</w:t>
      </w:r>
      <w:r w:rsidR="00C94860" w:rsidRPr="00AD12B1">
        <w:rPr>
          <w:b/>
          <w:shd w:val="clear" w:color="auto" w:fill="FFFFFF"/>
        </w:rPr>
        <w:t xml:space="preserve"> (empresariales, políticos e intelectuales</w:t>
      </w:r>
      <w:r w:rsidRPr="00AD12B1">
        <w:rPr>
          <w:b/>
          <w:shd w:val="clear" w:color="auto" w:fill="FFFFFF"/>
        </w:rPr>
        <w:t>), capaz de hacer políticamente posible lo que es económicamente necesario</w:t>
      </w:r>
      <w:r w:rsidR="00AD12B1">
        <w:rPr>
          <w:b/>
          <w:shd w:val="clear" w:color="auto" w:fill="FFFFFF"/>
        </w:rPr>
        <w:t>,</w:t>
      </w:r>
      <w:r w:rsidRPr="00AD12B1">
        <w:rPr>
          <w:b/>
          <w:shd w:val="clear" w:color="auto" w:fill="FFFFFF"/>
        </w:rPr>
        <w:t xml:space="preserve"> antes de que las circunstancias lo impongan. De los pres</w:t>
      </w:r>
      <w:r w:rsidR="00197D01" w:rsidRPr="00AD12B1">
        <w:rPr>
          <w:b/>
          <w:shd w:val="clear" w:color="auto" w:fill="FFFFFF"/>
        </w:rPr>
        <w:t>entes (empre</w:t>
      </w:r>
      <w:r w:rsidR="00AD12B1">
        <w:rPr>
          <w:b/>
          <w:shd w:val="clear" w:color="auto" w:fill="FFFFFF"/>
        </w:rPr>
        <w:t>sarios</w:t>
      </w:r>
      <w:r w:rsidR="00197D01" w:rsidRPr="00AD12B1">
        <w:rPr>
          <w:b/>
          <w:shd w:val="clear" w:color="auto" w:fill="FFFFFF"/>
        </w:rPr>
        <w:t xml:space="preserve">, </w:t>
      </w:r>
      <w:r w:rsidRPr="00AD12B1">
        <w:rPr>
          <w:b/>
          <w:shd w:val="clear" w:color="auto" w:fill="FFFFFF"/>
        </w:rPr>
        <w:t>políticos</w:t>
      </w:r>
      <w:r w:rsidR="00197D01" w:rsidRPr="00AD12B1">
        <w:rPr>
          <w:b/>
          <w:shd w:val="clear" w:color="auto" w:fill="FFFFFF"/>
        </w:rPr>
        <w:t xml:space="preserve"> e intelectuales</w:t>
      </w:r>
      <w:r w:rsidRPr="00AD12B1">
        <w:rPr>
          <w:b/>
          <w:shd w:val="clear" w:color="auto" w:fill="FFFFFF"/>
        </w:rPr>
        <w:t xml:space="preserve">), poco puede esperarse ya, </w:t>
      </w:r>
      <w:r w:rsidRPr="00AD12B1">
        <w:rPr>
          <w:b/>
        </w:rPr>
        <w:t>cuando los embusteros empezaron a engañarse a sí mismos.</w:t>
      </w:r>
      <w:r w:rsidR="0012226B">
        <w:rPr>
          <w:b/>
        </w:rPr>
        <w:t xml:space="preserve"> Más allá de los like, o los retuit, la nueva (a)normalidad</w:t>
      </w:r>
      <w:r w:rsidR="00197D01" w:rsidRPr="00AD12B1">
        <w:rPr>
          <w:b/>
        </w:rPr>
        <w:t xml:space="preserve"> es… la miseria.</w:t>
      </w:r>
      <w:r w:rsidR="0012226B">
        <w:rPr>
          <w:b/>
        </w:rPr>
        <w:t xml:space="preserve"> Aceptar como normal ese detritus es un síntoma de complejo de inferioridad.</w:t>
      </w:r>
    </w:p>
    <w:sectPr w:rsidR="00142FE0" w:rsidRPr="00AD12B1" w:rsidSect="0073604C">
      <w:pgSz w:w="11906" w:h="16838"/>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Open Sans">
    <w:panose1 w:val="020B0606030504020204"/>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150004"/>
    <w:multiLevelType w:val="multilevel"/>
    <w:tmpl w:val="8CC61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8916E6A"/>
    <w:multiLevelType w:val="hybridMultilevel"/>
    <w:tmpl w:val="8E6681EA"/>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443C7110"/>
    <w:multiLevelType w:val="multilevel"/>
    <w:tmpl w:val="79AC5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E3A5FAB"/>
    <w:multiLevelType w:val="hybridMultilevel"/>
    <w:tmpl w:val="276E07D4"/>
    <w:lvl w:ilvl="0" w:tplc="610A5206">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500A436F"/>
    <w:multiLevelType w:val="hybridMultilevel"/>
    <w:tmpl w:val="60181540"/>
    <w:lvl w:ilvl="0" w:tplc="BF04B312">
      <w:start w:val="15"/>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52AD7C9C"/>
    <w:multiLevelType w:val="multilevel"/>
    <w:tmpl w:val="6E6C8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5D10AE3"/>
    <w:multiLevelType w:val="hybridMultilevel"/>
    <w:tmpl w:val="FA46FEDE"/>
    <w:lvl w:ilvl="0" w:tplc="A8D8162C">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5C7367BA"/>
    <w:multiLevelType w:val="multilevel"/>
    <w:tmpl w:val="3620E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7A745DC"/>
    <w:multiLevelType w:val="hybridMultilevel"/>
    <w:tmpl w:val="D720890C"/>
    <w:lvl w:ilvl="0" w:tplc="099020C6">
      <w:start w:val="1"/>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6AB62620"/>
    <w:multiLevelType w:val="hybridMultilevel"/>
    <w:tmpl w:val="8AAA03E2"/>
    <w:lvl w:ilvl="0" w:tplc="C242DED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6E8E03A7"/>
    <w:multiLevelType w:val="multilevel"/>
    <w:tmpl w:val="11983E2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F07392D"/>
    <w:multiLevelType w:val="multilevel"/>
    <w:tmpl w:val="6E0C6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BBD4806"/>
    <w:multiLevelType w:val="hybridMultilevel"/>
    <w:tmpl w:val="B6045EEA"/>
    <w:lvl w:ilvl="0" w:tplc="A2947C3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3"/>
  </w:num>
  <w:num w:numId="2">
    <w:abstractNumId w:val="9"/>
  </w:num>
  <w:num w:numId="3">
    <w:abstractNumId w:val="5"/>
  </w:num>
  <w:num w:numId="4">
    <w:abstractNumId w:val="0"/>
  </w:num>
  <w:num w:numId="5">
    <w:abstractNumId w:val="10"/>
  </w:num>
  <w:num w:numId="6">
    <w:abstractNumId w:val="11"/>
  </w:num>
  <w:num w:numId="7">
    <w:abstractNumId w:val="6"/>
  </w:num>
  <w:num w:numId="8">
    <w:abstractNumId w:val="4"/>
  </w:num>
  <w:num w:numId="9">
    <w:abstractNumId w:val="7"/>
  </w:num>
  <w:num w:numId="10">
    <w:abstractNumId w:val="12"/>
  </w:num>
  <w:num w:numId="11">
    <w:abstractNumId w:val="2"/>
  </w:num>
  <w:num w:numId="12">
    <w:abstractNumId w:val="1"/>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2"/>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C602C"/>
    <w:rsid w:val="00005D29"/>
    <w:rsid w:val="00023EFE"/>
    <w:rsid w:val="00031FDE"/>
    <w:rsid w:val="00032C2A"/>
    <w:rsid w:val="00055BB0"/>
    <w:rsid w:val="000579C8"/>
    <w:rsid w:val="00063E70"/>
    <w:rsid w:val="000A286E"/>
    <w:rsid w:val="000C0FAB"/>
    <w:rsid w:val="000C469E"/>
    <w:rsid w:val="000E4E0C"/>
    <w:rsid w:val="001140DB"/>
    <w:rsid w:val="0012226B"/>
    <w:rsid w:val="0013791B"/>
    <w:rsid w:val="00142FE0"/>
    <w:rsid w:val="00151BFC"/>
    <w:rsid w:val="00197D01"/>
    <w:rsid w:val="001A7931"/>
    <w:rsid w:val="001B1C33"/>
    <w:rsid w:val="001B4A1E"/>
    <w:rsid w:val="001B4ACC"/>
    <w:rsid w:val="001D149A"/>
    <w:rsid w:val="001E6FAE"/>
    <w:rsid w:val="001F38CD"/>
    <w:rsid w:val="00202F97"/>
    <w:rsid w:val="00207AF6"/>
    <w:rsid w:val="00233637"/>
    <w:rsid w:val="00257E9F"/>
    <w:rsid w:val="002837C6"/>
    <w:rsid w:val="0029502A"/>
    <w:rsid w:val="002B0655"/>
    <w:rsid w:val="002E231A"/>
    <w:rsid w:val="00301B12"/>
    <w:rsid w:val="00302769"/>
    <w:rsid w:val="00302A77"/>
    <w:rsid w:val="00313DDF"/>
    <w:rsid w:val="00317DCF"/>
    <w:rsid w:val="00325A5C"/>
    <w:rsid w:val="00331198"/>
    <w:rsid w:val="00344F06"/>
    <w:rsid w:val="00345DC9"/>
    <w:rsid w:val="00347CD3"/>
    <w:rsid w:val="003607D4"/>
    <w:rsid w:val="00367D12"/>
    <w:rsid w:val="003737CD"/>
    <w:rsid w:val="00373DFF"/>
    <w:rsid w:val="00395121"/>
    <w:rsid w:val="003B038D"/>
    <w:rsid w:val="003D4652"/>
    <w:rsid w:val="003E12E8"/>
    <w:rsid w:val="003E1A80"/>
    <w:rsid w:val="003E72ED"/>
    <w:rsid w:val="004115C1"/>
    <w:rsid w:val="00421106"/>
    <w:rsid w:val="004411D5"/>
    <w:rsid w:val="00472A71"/>
    <w:rsid w:val="00492C9F"/>
    <w:rsid w:val="004942F1"/>
    <w:rsid w:val="004C332E"/>
    <w:rsid w:val="004C4244"/>
    <w:rsid w:val="004C62D2"/>
    <w:rsid w:val="004C6D62"/>
    <w:rsid w:val="004D4534"/>
    <w:rsid w:val="004E3107"/>
    <w:rsid w:val="0051622F"/>
    <w:rsid w:val="0053075D"/>
    <w:rsid w:val="0053737A"/>
    <w:rsid w:val="00546485"/>
    <w:rsid w:val="00556EA7"/>
    <w:rsid w:val="0056784F"/>
    <w:rsid w:val="00575E06"/>
    <w:rsid w:val="0058493C"/>
    <w:rsid w:val="00587B7A"/>
    <w:rsid w:val="0059481C"/>
    <w:rsid w:val="005C1112"/>
    <w:rsid w:val="005C6A66"/>
    <w:rsid w:val="005D6C08"/>
    <w:rsid w:val="005D760C"/>
    <w:rsid w:val="005F6F82"/>
    <w:rsid w:val="00612EEA"/>
    <w:rsid w:val="006306DF"/>
    <w:rsid w:val="00630B53"/>
    <w:rsid w:val="006370B2"/>
    <w:rsid w:val="00642E5A"/>
    <w:rsid w:val="00646BDA"/>
    <w:rsid w:val="00653483"/>
    <w:rsid w:val="00660406"/>
    <w:rsid w:val="00692BCA"/>
    <w:rsid w:val="006C4FA1"/>
    <w:rsid w:val="006C6A7B"/>
    <w:rsid w:val="007005A3"/>
    <w:rsid w:val="0073604C"/>
    <w:rsid w:val="00736E56"/>
    <w:rsid w:val="00740DCD"/>
    <w:rsid w:val="00752F7B"/>
    <w:rsid w:val="007637DA"/>
    <w:rsid w:val="00782036"/>
    <w:rsid w:val="007A42D5"/>
    <w:rsid w:val="007D7C53"/>
    <w:rsid w:val="0080504D"/>
    <w:rsid w:val="008272F7"/>
    <w:rsid w:val="0083022B"/>
    <w:rsid w:val="00834301"/>
    <w:rsid w:val="008557EA"/>
    <w:rsid w:val="0087105D"/>
    <w:rsid w:val="0087418D"/>
    <w:rsid w:val="00897B8A"/>
    <w:rsid w:val="008B0EFC"/>
    <w:rsid w:val="008B1366"/>
    <w:rsid w:val="008D2AD8"/>
    <w:rsid w:val="008D47DC"/>
    <w:rsid w:val="008E0762"/>
    <w:rsid w:val="00907D2E"/>
    <w:rsid w:val="00915A9A"/>
    <w:rsid w:val="009361EE"/>
    <w:rsid w:val="00951729"/>
    <w:rsid w:val="009B368E"/>
    <w:rsid w:val="009B6F3E"/>
    <w:rsid w:val="009C185E"/>
    <w:rsid w:val="009D023F"/>
    <w:rsid w:val="009D0DA6"/>
    <w:rsid w:val="009D7634"/>
    <w:rsid w:val="009F63A5"/>
    <w:rsid w:val="00A05845"/>
    <w:rsid w:val="00A07BBD"/>
    <w:rsid w:val="00A23520"/>
    <w:rsid w:val="00A72828"/>
    <w:rsid w:val="00AB1BB0"/>
    <w:rsid w:val="00AC602C"/>
    <w:rsid w:val="00AD12B1"/>
    <w:rsid w:val="00AD769F"/>
    <w:rsid w:val="00B074FC"/>
    <w:rsid w:val="00B30422"/>
    <w:rsid w:val="00B54D85"/>
    <w:rsid w:val="00B56EAE"/>
    <w:rsid w:val="00B728DE"/>
    <w:rsid w:val="00B849A0"/>
    <w:rsid w:val="00BA1B4A"/>
    <w:rsid w:val="00BE003C"/>
    <w:rsid w:val="00C0006F"/>
    <w:rsid w:val="00C13757"/>
    <w:rsid w:val="00C42F2F"/>
    <w:rsid w:val="00C45DE5"/>
    <w:rsid w:val="00C63754"/>
    <w:rsid w:val="00C655CF"/>
    <w:rsid w:val="00C7040B"/>
    <w:rsid w:val="00C73630"/>
    <w:rsid w:val="00C74531"/>
    <w:rsid w:val="00C917EE"/>
    <w:rsid w:val="00C93CC1"/>
    <w:rsid w:val="00C94860"/>
    <w:rsid w:val="00CB5908"/>
    <w:rsid w:val="00CC265C"/>
    <w:rsid w:val="00CD1787"/>
    <w:rsid w:val="00CD2FEF"/>
    <w:rsid w:val="00CD7D96"/>
    <w:rsid w:val="00CF72DF"/>
    <w:rsid w:val="00D111F3"/>
    <w:rsid w:val="00D40965"/>
    <w:rsid w:val="00D523ED"/>
    <w:rsid w:val="00D645EB"/>
    <w:rsid w:val="00D7645D"/>
    <w:rsid w:val="00D82C9A"/>
    <w:rsid w:val="00D87818"/>
    <w:rsid w:val="00DA16C6"/>
    <w:rsid w:val="00DA4F73"/>
    <w:rsid w:val="00DA69C3"/>
    <w:rsid w:val="00DA7E1F"/>
    <w:rsid w:val="00DB3CF7"/>
    <w:rsid w:val="00DC2E5D"/>
    <w:rsid w:val="00E26C0C"/>
    <w:rsid w:val="00E26FD8"/>
    <w:rsid w:val="00E3686F"/>
    <w:rsid w:val="00E4582B"/>
    <w:rsid w:val="00E46610"/>
    <w:rsid w:val="00E46FC8"/>
    <w:rsid w:val="00E82E59"/>
    <w:rsid w:val="00EB02F3"/>
    <w:rsid w:val="00EC35A5"/>
    <w:rsid w:val="00ED2A21"/>
    <w:rsid w:val="00F2217E"/>
    <w:rsid w:val="00F3013E"/>
    <w:rsid w:val="00F35EB4"/>
    <w:rsid w:val="00F9177E"/>
    <w:rsid w:val="00FA150C"/>
    <w:rsid w:val="00FA3B42"/>
    <w:rsid w:val="00FA411F"/>
    <w:rsid w:val="00FB4B04"/>
    <w:rsid w:val="00FC1CBD"/>
    <w:rsid w:val="00FD5328"/>
    <w:rsid w:val="00FE130B"/>
    <w:rsid w:val="00FF3C6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B849A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B849A0"/>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semiHidden/>
    <w:unhideWhenUsed/>
    <w:qFormat/>
    <w:rsid w:val="000E4E0C"/>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unhideWhenUsed/>
    <w:qFormat/>
    <w:rsid w:val="00B849A0"/>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AC602C"/>
    <w:pPr>
      <w:ind w:left="720"/>
      <w:contextualSpacing/>
    </w:pPr>
  </w:style>
  <w:style w:type="paragraph" w:styleId="Textodeglobo">
    <w:name w:val="Balloon Text"/>
    <w:basedOn w:val="Normal"/>
    <w:link w:val="TextodegloboCar"/>
    <w:uiPriority w:val="99"/>
    <w:semiHidden/>
    <w:unhideWhenUsed/>
    <w:rsid w:val="00AC602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C602C"/>
    <w:rPr>
      <w:rFonts w:ascii="Tahoma" w:hAnsi="Tahoma" w:cs="Tahoma"/>
      <w:sz w:val="16"/>
      <w:szCs w:val="16"/>
    </w:rPr>
  </w:style>
  <w:style w:type="paragraph" w:styleId="NormalWeb">
    <w:name w:val="Normal (Web)"/>
    <w:basedOn w:val="Normal"/>
    <w:uiPriority w:val="99"/>
    <w:unhideWhenUsed/>
    <w:rsid w:val="00CD2FE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estern">
    <w:name w:val="western"/>
    <w:basedOn w:val="Normal"/>
    <w:rsid w:val="00D645E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B849A0"/>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B849A0"/>
    <w:rPr>
      <w:rFonts w:asciiTheme="majorHAnsi" w:eastAsiaTheme="majorEastAsia" w:hAnsiTheme="majorHAnsi" w:cstheme="majorBidi"/>
      <w:b/>
      <w:bCs/>
      <w:color w:val="4F81BD" w:themeColor="accent1"/>
      <w:sz w:val="26"/>
      <w:szCs w:val="26"/>
      <w:lang w:eastAsia="es-ES"/>
    </w:rPr>
  </w:style>
  <w:style w:type="character" w:customStyle="1" w:styleId="Ttulo4Car">
    <w:name w:val="Título 4 Car"/>
    <w:basedOn w:val="Fuentedeprrafopredeter"/>
    <w:link w:val="Ttulo4"/>
    <w:uiPriority w:val="9"/>
    <w:rsid w:val="00B849A0"/>
    <w:rPr>
      <w:rFonts w:asciiTheme="majorHAnsi" w:eastAsiaTheme="majorEastAsia" w:hAnsiTheme="majorHAnsi" w:cstheme="majorBidi"/>
      <w:b/>
      <w:bCs/>
      <w:i/>
      <w:iCs/>
      <w:color w:val="4F81BD" w:themeColor="accent1"/>
      <w:lang w:eastAsia="es-ES"/>
    </w:rPr>
  </w:style>
  <w:style w:type="character" w:styleId="Hipervnculo">
    <w:name w:val="Hyperlink"/>
    <w:basedOn w:val="Fuentedeprrafopredeter"/>
    <w:uiPriority w:val="99"/>
    <w:unhideWhenUsed/>
    <w:rsid w:val="00B849A0"/>
    <w:rPr>
      <w:color w:val="0000FF"/>
      <w:u w:val="single"/>
    </w:rPr>
  </w:style>
  <w:style w:type="character" w:styleId="Textoennegrita">
    <w:name w:val="Strong"/>
    <w:basedOn w:val="Fuentedeprrafopredeter"/>
    <w:uiPriority w:val="22"/>
    <w:qFormat/>
    <w:rsid w:val="00B849A0"/>
    <w:rPr>
      <w:b/>
      <w:bCs/>
    </w:rPr>
  </w:style>
  <w:style w:type="character" w:styleId="nfasis">
    <w:name w:val="Emphasis"/>
    <w:basedOn w:val="Fuentedeprrafopredeter"/>
    <w:uiPriority w:val="20"/>
    <w:qFormat/>
    <w:rsid w:val="00B849A0"/>
    <w:rPr>
      <w:i/>
      <w:iCs/>
    </w:rPr>
  </w:style>
  <w:style w:type="paragraph" w:customStyle="1" w:styleId="pre-header">
    <w:name w:val="pre-header"/>
    <w:basedOn w:val="Normal"/>
    <w:rsid w:val="00B849A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tory-bodyintroduction">
    <w:name w:val="story-body__introduction"/>
    <w:basedOn w:val="Normal"/>
    <w:rsid w:val="00B849A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intro">
    <w:name w:val="intro"/>
    <w:basedOn w:val="Normal"/>
    <w:rsid w:val="00DA4F7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semiHidden/>
    <w:rsid w:val="000E4E0C"/>
    <w:rPr>
      <w:rFonts w:asciiTheme="majorHAnsi" w:eastAsiaTheme="majorEastAsia" w:hAnsiTheme="majorHAnsi" w:cstheme="majorBidi"/>
      <w:b/>
      <w:bCs/>
      <w:color w:val="4F81BD" w:themeColor="accent1"/>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B849A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B849A0"/>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semiHidden/>
    <w:unhideWhenUsed/>
    <w:qFormat/>
    <w:rsid w:val="000E4E0C"/>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unhideWhenUsed/>
    <w:qFormat/>
    <w:rsid w:val="00B849A0"/>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AC602C"/>
    <w:pPr>
      <w:ind w:left="720"/>
      <w:contextualSpacing/>
    </w:pPr>
  </w:style>
  <w:style w:type="paragraph" w:styleId="Textodeglobo">
    <w:name w:val="Balloon Text"/>
    <w:basedOn w:val="Normal"/>
    <w:link w:val="TextodegloboCar"/>
    <w:uiPriority w:val="99"/>
    <w:semiHidden/>
    <w:unhideWhenUsed/>
    <w:rsid w:val="00AC602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C602C"/>
    <w:rPr>
      <w:rFonts w:ascii="Tahoma" w:hAnsi="Tahoma" w:cs="Tahoma"/>
      <w:sz w:val="16"/>
      <w:szCs w:val="16"/>
    </w:rPr>
  </w:style>
  <w:style w:type="paragraph" w:styleId="NormalWeb">
    <w:name w:val="Normal (Web)"/>
    <w:basedOn w:val="Normal"/>
    <w:uiPriority w:val="99"/>
    <w:unhideWhenUsed/>
    <w:rsid w:val="00CD2FE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estern">
    <w:name w:val="western"/>
    <w:basedOn w:val="Normal"/>
    <w:rsid w:val="00D645E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B849A0"/>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B849A0"/>
    <w:rPr>
      <w:rFonts w:asciiTheme="majorHAnsi" w:eastAsiaTheme="majorEastAsia" w:hAnsiTheme="majorHAnsi" w:cstheme="majorBidi"/>
      <w:b/>
      <w:bCs/>
      <w:color w:val="4F81BD" w:themeColor="accent1"/>
      <w:sz w:val="26"/>
      <w:szCs w:val="26"/>
      <w:lang w:eastAsia="es-ES"/>
    </w:rPr>
  </w:style>
  <w:style w:type="character" w:customStyle="1" w:styleId="Ttulo4Car">
    <w:name w:val="Título 4 Car"/>
    <w:basedOn w:val="Fuentedeprrafopredeter"/>
    <w:link w:val="Ttulo4"/>
    <w:uiPriority w:val="9"/>
    <w:rsid w:val="00B849A0"/>
    <w:rPr>
      <w:rFonts w:asciiTheme="majorHAnsi" w:eastAsiaTheme="majorEastAsia" w:hAnsiTheme="majorHAnsi" w:cstheme="majorBidi"/>
      <w:b/>
      <w:bCs/>
      <w:i/>
      <w:iCs/>
      <w:color w:val="4F81BD" w:themeColor="accent1"/>
      <w:lang w:eastAsia="es-ES"/>
    </w:rPr>
  </w:style>
  <w:style w:type="character" w:styleId="Hipervnculo">
    <w:name w:val="Hyperlink"/>
    <w:basedOn w:val="Fuentedeprrafopredeter"/>
    <w:uiPriority w:val="99"/>
    <w:unhideWhenUsed/>
    <w:rsid w:val="00B849A0"/>
    <w:rPr>
      <w:color w:val="0000FF"/>
      <w:u w:val="single"/>
    </w:rPr>
  </w:style>
  <w:style w:type="character" w:styleId="Textoennegrita">
    <w:name w:val="Strong"/>
    <w:basedOn w:val="Fuentedeprrafopredeter"/>
    <w:uiPriority w:val="22"/>
    <w:qFormat/>
    <w:rsid w:val="00B849A0"/>
    <w:rPr>
      <w:b/>
      <w:bCs/>
    </w:rPr>
  </w:style>
  <w:style w:type="character" w:styleId="nfasis">
    <w:name w:val="Emphasis"/>
    <w:basedOn w:val="Fuentedeprrafopredeter"/>
    <w:uiPriority w:val="20"/>
    <w:qFormat/>
    <w:rsid w:val="00B849A0"/>
    <w:rPr>
      <w:i/>
      <w:iCs/>
    </w:rPr>
  </w:style>
  <w:style w:type="paragraph" w:customStyle="1" w:styleId="pre-header">
    <w:name w:val="pre-header"/>
    <w:basedOn w:val="Normal"/>
    <w:rsid w:val="00B849A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tory-bodyintroduction">
    <w:name w:val="story-body__introduction"/>
    <w:basedOn w:val="Normal"/>
    <w:rsid w:val="00B849A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intro">
    <w:name w:val="intro"/>
    <w:basedOn w:val="Normal"/>
    <w:rsid w:val="00DA4F73"/>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semiHidden/>
    <w:rsid w:val="000E4E0C"/>
    <w:rPr>
      <w:rFonts w:asciiTheme="majorHAnsi" w:eastAsiaTheme="majorEastAsia" w:hAnsiTheme="majorHAnsi" w:cstheme="majorBidi"/>
      <w:b/>
      <w:bCs/>
      <w:color w:val="4F81BD" w:themeColor="accent1"/>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2166509">
      <w:bodyDiv w:val="1"/>
      <w:marLeft w:val="0"/>
      <w:marRight w:val="0"/>
      <w:marTop w:val="0"/>
      <w:marBottom w:val="0"/>
      <w:divBdr>
        <w:top w:val="none" w:sz="0" w:space="0" w:color="auto"/>
        <w:left w:val="none" w:sz="0" w:space="0" w:color="auto"/>
        <w:bottom w:val="none" w:sz="0" w:space="0" w:color="auto"/>
        <w:right w:val="none" w:sz="0" w:space="0" w:color="auto"/>
      </w:divBdr>
      <w:divsChild>
        <w:div w:id="285091433">
          <w:marLeft w:val="0"/>
          <w:marRight w:val="0"/>
          <w:marTop w:val="0"/>
          <w:marBottom w:val="0"/>
          <w:divBdr>
            <w:top w:val="none" w:sz="0" w:space="0" w:color="auto"/>
            <w:left w:val="none" w:sz="0" w:space="0" w:color="auto"/>
            <w:bottom w:val="none" w:sz="0" w:space="0" w:color="auto"/>
            <w:right w:val="none" w:sz="0" w:space="0" w:color="auto"/>
          </w:divBdr>
          <w:divsChild>
            <w:div w:id="1234386329">
              <w:marLeft w:val="0"/>
              <w:marRight w:val="0"/>
              <w:marTop w:val="0"/>
              <w:marBottom w:val="0"/>
              <w:divBdr>
                <w:top w:val="single" w:sz="6" w:space="16" w:color="D5E0E8"/>
                <w:left w:val="none" w:sz="0" w:space="0" w:color="auto"/>
                <w:bottom w:val="single" w:sz="6" w:space="16" w:color="D5E0E8"/>
                <w:right w:val="none" w:sz="0" w:space="0" w:color="auto"/>
              </w:divBdr>
            </w:div>
            <w:div w:id="727000593">
              <w:marLeft w:val="0"/>
              <w:marRight w:val="0"/>
              <w:marTop w:val="0"/>
              <w:marBottom w:val="0"/>
              <w:divBdr>
                <w:top w:val="single" w:sz="6" w:space="16" w:color="D5E0E8"/>
                <w:left w:val="none" w:sz="0" w:space="0" w:color="auto"/>
                <w:bottom w:val="single" w:sz="6" w:space="16" w:color="D5E0E8"/>
                <w:right w:val="none" w:sz="0" w:space="0" w:color="auto"/>
              </w:divBdr>
            </w:div>
            <w:div w:id="2061632914">
              <w:marLeft w:val="0"/>
              <w:marRight w:val="0"/>
              <w:marTop w:val="0"/>
              <w:marBottom w:val="0"/>
              <w:divBdr>
                <w:top w:val="single" w:sz="6" w:space="16" w:color="D5E0E8"/>
                <w:left w:val="none" w:sz="0" w:space="0" w:color="auto"/>
                <w:bottom w:val="single" w:sz="6" w:space="16" w:color="D5E0E8"/>
                <w:right w:val="none" w:sz="0" w:space="0" w:color="auto"/>
              </w:divBdr>
            </w:div>
            <w:div w:id="726025690">
              <w:marLeft w:val="0"/>
              <w:marRight w:val="0"/>
              <w:marTop w:val="0"/>
              <w:marBottom w:val="0"/>
              <w:divBdr>
                <w:top w:val="single" w:sz="6" w:space="16" w:color="D5E0E8"/>
                <w:left w:val="none" w:sz="0" w:space="0" w:color="auto"/>
                <w:bottom w:val="single" w:sz="6" w:space="16" w:color="D5E0E8"/>
                <w:right w:val="none" w:sz="0" w:space="0" w:color="auto"/>
              </w:divBdr>
            </w:div>
            <w:div w:id="1404334966">
              <w:marLeft w:val="0"/>
              <w:marRight w:val="0"/>
              <w:marTop w:val="0"/>
              <w:marBottom w:val="0"/>
              <w:divBdr>
                <w:top w:val="single" w:sz="6" w:space="16" w:color="D5E0E8"/>
                <w:left w:val="none" w:sz="0" w:space="0" w:color="auto"/>
                <w:bottom w:val="single" w:sz="6" w:space="16" w:color="D5E0E8"/>
                <w:right w:val="none" w:sz="0" w:space="0" w:color="auto"/>
              </w:divBdr>
            </w:div>
            <w:div w:id="489909376">
              <w:marLeft w:val="0"/>
              <w:marRight w:val="0"/>
              <w:marTop w:val="0"/>
              <w:marBottom w:val="0"/>
              <w:divBdr>
                <w:top w:val="single" w:sz="6" w:space="16" w:color="D5E0E8"/>
                <w:left w:val="none" w:sz="0" w:space="0" w:color="auto"/>
                <w:bottom w:val="single" w:sz="6" w:space="16" w:color="D5E0E8"/>
                <w:right w:val="none" w:sz="0" w:space="0" w:color="auto"/>
              </w:divBdr>
            </w:div>
            <w:div w:id="72358927">
              <w:marLeft w:val="0"/>
              <w:marRight w:val="0"/>
              <w:marTop w:val="0"/>
              <w:marBottom w:val="0"/>
              <w:divBdr>
                <w:top w:val="single" w:sz="6" w:space="16" w:color="D5E0E8"/>
                <w:left w:val="none" w:sz="0" w:space="0" w:color="auto"/>
                <w:bottom w:val="single" w:sz="6" w:space="16" w:color="D5E0E8"/>
                <w:right w:val="none" w:sz="0" w:space="0" w:color="auto"/>
              </w:divBdr>
            </w:div>
            <w:div w:id="2038695277">
              <w:marLeft w:val="0"/>
              <w:marRight w:val="0"/>
              <w:marTop w:val="0"/>
              <w:marBottom w:val="0"/>
              <w:divBdr>
                <w:top w:val="single" w:sz="6" w:space="16" w:color="D5E0E8"/>
                <w:left w:val="none" w:sz="0" w:space="0" w:color="auto"/>
                <w:bottom w:val="single" w:sz="6" w:space="16" w:color="D5E0E8"/>
                <w:right w:val="none" w:sz="0" w:space="0" w:color="auto"/>
              </w:divBdr>
            </w:div>
            <w:div w:id="1038745975">
              <w:marLeft w:val="0"/>
              <w:marRight w:val="0"/>
              <w:marTop w:val="0"/>
              <w:marBottom w:val="0"/>
              <w:divBdr>
                <w:top w:val="single" w:sz="6" w:space="16" w:color="D5E0E8"/>
                <w:left w:val="none" w:sz="0" w:space="0" w:color="auto"/>
                <w:bottom w:val="single" w:sz="6" w:space="16" w:color="D5E0E8"/>
                <w:right w:val="none" w:sz="0" w:space="0" w:color="auto"/>
              </w:divBdr>
            </w:div>
            <w:div w:id="921064029">
              <w:marLeft w:val="0"/>
              <w:marRight w:val="0"/>
              <w:marTop w:val="0"/>
              <w:marBottom w:val="0"/>
              <w:divBdr>
                <w:top w:val="single" w:sz="6" w:space="16" w:color="D5E0E8"/>
                <w:left w:val="none" w:sz="0" w:space="0" w:color="auto"/>
                <w:bottom w:val="single" w:sz="6" w:space="16" w:color="D5E0E8"/>
                <w:right w:val="none" w:sz="0" w:space="0" w:color="auto"/>
              </w:divBdr>
            </w:div>
            <w:div w:id="1775402210">
              <w:marLeft w:val="0"/>
              <w:marRight w:val="0"/>
              <w:marTop w:val="0"/>
              <w:marBottom w:val="0"/>
              <w:divBdr>
                <w:top w:val="single" w:sz="6" w:space="16" w:color="D5E0E8"/>
                <w:left w:val="none" w:sz="0" w:space="0" w:color="auto"/>
                <w:bottom w:val="single" w:sz="6" w:space="16" w:color="D5E0E8"/>
                <w:right w:val="none" w:sz="0" w:space="0" w:color="auto"/>
              </w:divBdr>
            </w:div>
            <w:div w:id="477189079">
              <w:marLeft w:val="0"/>
              <w:marRight w:val="0"/>
              <w:marTop w:val="0"/>
              <w:marBottom w:val="0"/>
              <w:divBdr>
                <w:top w:val="single" w:sz="6" w:space="16" w:color="D5E0E8"/>
                <w:left w:val="none" w:sz="0" w:space="0" w:color="auto"/>
                <w:bottom w:val="single" w:sz="6" w:space="16" w:color="D5E0E8"/>
                <w:right w:val="none" w:sz="0" w:space="0" w:color="auto"/>
              </w:divBdr>
            </w:div>
            <w:div w:id="1898735349">
              <w:marLeft w:val="0"/>
              <w:marRight w:val="0"/>
              <w:marTop w:val="0"/>
              <w:marBottom w:val="0"/>
              <w:divBdr>
                <w:top w:val="single" w:sz="6" w:space="16" w:color="D5E0E8"/>
                <w:left w:val="none" w:sz="0" w:space="0" w:color="auto"/>
                <w:bottom w:val="single" w:sz="6" w:space="16" w:color="D5E0E8"/>
                <w:right w:val="none" w:sz="0" w:space="0" w:color="auto"/>
              </w:divBdr>
            </w:div>
            <w:div w:id="1789080396">
              <w:marLeft w:val="0"/>
              <w:marRight w:val="0"/>
              <w:marTop w:val="0"/>
              <w:marBottom w:val="0"/>
              <w:divBdr>
                <w:top w:val="single" w:sz="6" w:space="16" w:color="D5E0E8"/>
                <w:left w:val="none" w:sz="0" w:space="0" w:color="auto"/>
                <w:bottom w:val="single" w:sz="6" w:space="16" w:color="D5E0E8"/>
                <w:right w:val="none" w:sz="0" w:space="0" w:color="auto"/>
              </w:divBdr>
            </w:div>
          </w:divsChild>
        </w:div>
      </w:divsChild>
    </w:div>
    <w:div w:id="1460881314">
      <w:bodyDiv w:val="1"/>
      <w:marLeft w:val="0"/>
      <w:marRight w:val="0"/>
      <w:marTop w:val="0"/>
      <w:marBottom w:val="0"/>
      <w:divBdr>
        <w:top w:val="none" w:sz="0" w:space="0" w:color="auto"/>
        <w:left w:val="none" w:sz="0" w:space="0" w:color="auto"/>
        <w:bottom w:val="none" w:sz="0" w:space="0" w:color="auto"/>
        <w:right w:val="none" w:sz="0" w:space="0" w:color="auto"/>
      </w:divBdr>
    </w:div>
    <w:div w:id="1913657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Excel_Worksheet1.xlsx"/><Relationship Id="rId299" Type="http://schemas.openxmlformats.org/officeDocument/2006/relationships/image" Target="media/image251.png"/><Relationship Id="rId21" Type="http://schemas.openxmlformats.org/officeDocument/2006/relationships/image" Target="media/image11.jpeg"/><Relationship Id="rId63" Type="http://schemas.openxmlformats.org/officeDocument/2006/relationships/image" Target="media/image32.jpeg"/><Relationship Id="rId159" Type="http://schemas.openxmlformats.org/officeDocument/2006/relationships/image" Target="media/image119.png"/><Relationship Id="rId324" Type="http://schemas.openxmlformats.org/officeDocument/2006/relationships/image" Target="media/image276.png"/><Relationship Id="rId366" Type="http://schemas.openxmlformats.org/officeDocument/2006/relationships/image" Target="media/image316.png"/><Relationship Id="rId170" Type="http://schemas.openxmlformats.org/officeDocument/2006/relationships/image" Target="media/image130.png"/><Relationship Id="rId226" Type="http://schemas.openxmlformats.org/officeDocument/2006/relationships/image" Target="media/image186.png"/><Relationship Id="rId433" Type="http://schemas.openxmlformats.org/officeDocument/2006/relationships/image" Target="media/image383.jpeg"/><Relationship Id="rId268" Type="http://schemas.openxmlformats.org/officeDocument/2006/relationships/image" Target="media/image228.png"/><Relationship Id="rId32" Type="http://schemas.openxmlformats.org/officeDocument/2006/relationships/image" Target="media/image14.jpeg"/><Relationship Id="rId74" Type="http://schemas.openxmlformats.org/officeDocument/2006/relationships/image" Target="media/image43.jpeg"/><Relationship Id="rId128" Type="http://schemas.openxmlformats.org/officeDocument/2006/relationships/image" Target="media/image88.png"/><Relationship Id="rId335" Type="http://schemas.openxmlformats.org/officeDocument/2006/relationships/image" Target="media/image287.png"/><Relationship Id="rId377" Type="http://schemas.openxmlformats.org/officeDocument/2006/relationships/image" Target="media/image327.png"/><Relationship Id="rId5" Type="http://schemas.openxmlformats.org/officeDocument/2006/relationships/settings" Target="settings.xml"/><Relationship Id="rId181" Type="http://schemas.openxmlformats.org/officeDocument/2006/relationships/image" Target="media/image141.png"/><Relationship Id="rId237" Type="http://schemas.openxmlformats.org/officeDocument/2006/relationships/image" Target="media/image197.png"/><Relationship Id="rId402" Type="http://schemas.openxmlformats.org/officeDocument/2006/relationships/image" Target="media/image352.png"/><Relationship Id="rId279" Type="http://schemas.openxmlformats.org/officeDocument/2006/relationships/hyperlink" Target="http://www.scielo.org.mx/scielo.php?script=sci_arttext&amp;pid=S0187-69612015000200009#Cuadro4b" TargetMode="External"/><Relationship Id="rId43" Type="http://schemas.openxmlformats.org/officeDocument/2006/relationships/image" Target="media/image17.jpeg"/><Relationship Id="rId139" Type="http://schemas.openxmlformats.org/officeDocument/2006/relationships/image" Target="media/image99.png"/><Relationship Id="rId290" Type="http://schemas.openxmlformats.org/officeDocument/2006/relationships/image" Target="media/image242.png"/><Relationship Id="rId304" Type="http://schemas.openxmlformats.org/officeDocument/2006/relationships/image" Target="media/image256.png"/><Relationship Id="rId346" Type="http://schemas.openxmlformats.org/officeDocument/2006/relationships/image" Target="media/image296.png"/><Relationship Id="rId388" Type="http://schemas.openxmlformats.org/officeDocument/2006/relationships/image" Target="media/image338.png"/><Relationship Id="rId85" Type="http://schemas.openxmlformats.org/officeDocument/2006/relationships/image" Target="media/image54.jpeg"/><Relationship Id="rId150" Type="http://schemas.openxmlformats.org/officeDocument/2006/relationships/image" Target="media/image110.png"/><Relationship Id="rId192" Type="http://schemas.openxmlformats.org/officeDocument/2006/relationships/image" Target="media/image152.png"/><Relationship Id="rId206" Type="http://schemas.openxmlformats.org/officeDocument/2006/relationships/image" Target="media/image166.emf"/><Relationship Id="rId413" Type="http://schemas.openxmlformats.org/officeDocument/2006/relationships/image" Target="media/image363.jpeg"/><Relationship Id="rId248" Type="http://schemas.openxmlformats.org/officeDocument/2006/relationships/image" Target="media/image208.png"/><Relationship Id="rId12" Type="http://schemas.openxmlformats.org/officeDocument/2006/relationships/image" Target="media/image6.jpeg"/><Relationship Id="rId108" Type="http://schemas.openxmlformats.org/officeDocument/2006/relationships/image" Target="media/image73.png"/><Relationship Id="rId315" Type="http://schemas.openxmlformats.org/officeDocument/2006/relationships/image" Target="media/image267.png"/><Relationship Id="rId357" Type="http://schemas.openxmlformats.org/officeDocument/2006/relationships/image" Target="media/image307.png"/><Relationship Id="rId54" Type="http://schemas.openxmlformats.org/officeDocument/2006/relationships/image" Target="media/image23.png"/><Relationship Id="rId96" Type="http://schemas.openxmlformats.org/officeDocument/2006/relationships/image" Target="media/image61.png"/><Relationship Id="rId161" Type="http://schemas.openxmlformats.org/officeDocument/2006/relationships/image" Target="media/image121.png"/><Relationship Id="rId217" Type="http://schemas.openxmlformats.org/officeDocument/2006/relationships/image" Target="media/image177.png"/><Relationship Id="rId399" Type="http://schemas.openxmlformats.org/officeDocument/2006/relationships/image" Target="media/image349.png"/><Relationship Id="rId259" Type="http://schemas.openxmlformats.org/officeDocument/2006/relationships/image" Target="media/image219.png"/><Relationship Id="rId424" Type="http://schemas.openxmlformats.org/officeDocument/2006/relationships/image" Target="media/image374.jpeg"/><Relationship Id="rId23" Type="http://schemas.openxmlformats.org/officeDocument/2006/relationships/image" Target="media/image12.jpeg"/><Relationship Id="rId119" Type="http://schemas.openxmlformats.org/officeDocument/2006/relationships/image" Target="media/image83.png"/><Relationship Id="rId270" Type="http://schemas.openxmlformats.org/officeDocument/2006/relationships/image" Target="media/image230.png"/><Relationship Id="rId326" Type="http://schemas.openxmlformats.org/officeDocument/2006/relationships/image" Target="media/image278.png"/><Relationship Id="rId65" Type="http://schemas.openxmlformats.org/officeDocument/2006/relationships/image" Target="media/image34.png"/><Relationship Id="rId130" Type="http://schemas.openxmlformats.org/officeDocument/2006/relationships/image" Target="media/image90.png"/><Relationship Id="rId368" Type="http://schemas.openxmlformats.org/officeDocument/2006/relationships/image" Target="media/image318.png"/><Relationship Id="rId172" Type="http://schemas.openxmlformats.org/officeDocument/2006/relationships/image" Target="media/image132.png"/><Relationship Id="rId228" Type="http://schemas.openxmlformats.org/officeDocument/2006/relationships/image" Target="media/image188.jpeg"/><Relationship Id="rId435" Type="http://schemas.openxmlformats.org/officeDocument/2006/relationships/fontTable" Target="fontTable.xml"/><Relationship Id="rId281" Type="http://schemas.openxmlformats.org/officeDocument/2006/relationships/hyperlink" Target="http://www.scielo.org.mx/scielo.php?script=sci_arttext&amp;pid=S0187-69612015000200009" TargetMode="External"/><Relationship Id="rId337" Type="http://schemas.openxmlformats.org/officeDocument/2006/relationships/hyperlink" Target="https://www.ilo.org/global/topics/coronavirus/lang--es/index.htm" TargetMode="External"/><Relationship Id="rId34" Type="http://schemas.openxmlformats.org/officeDocument/2006/relationships/hyperlink" Target="https://www.lanacion.com.ar/economia/el-fmi-dijo-argentina-necesita-alivio-deuda-nid2345706" TargetMode="External"/><Relationship Id="rId76" Type="http://schemas.openxmlformats.org/officeDocument/2006/relationships/image" Target="media/image45.jpeg"/><Relationship Id="rId141" Type="http://schemas.openxmlformats.org/officeDocument/2006/relationships/image" Target="media/image101.png"/><Relationship Id="rId379" Type="http://schemas.openxmlformats.org/officeDocument/2006/relationships/image" Target="media/image329.png"/><Relationship Id="rId7" Type="http://schemas.openxmlformats.org/officeDocument/2006/relationships/image" Target="media/image1.jpeg"/><Relationship Id="rId183" Type="http://schemas.openxmlformats.org/officeDocument/2006/relationships/image" Target="media/image143.png"/><Relationship Id="rId239" Type="http://schemas.openxmlformats.org/officeDocument/2006/relationships/image" Target="media/image199.jpeg"/><Relationship Id="rId390" Type="http://schemas.openxmlformats.org/officeDocument/2006/relationships/image" Target="media/image340.png"/><Relationship Id="rId404" Type="http://schemas.openxmlformats.org/officeDocument/2006/relationships/image" Target="media/image354.png"/><Relationship Id="rId250" Type="http://schemas.openxmlformats.org/officeDocument/2006/relationships/image" Target="media/image210.png"/><Relationship Id="rId292" Type="http://schemas.openxmlformats.org/officeDocument/2006/relationships/image" Target="media/image244.png"/><Relationship Id="rId306" Type="http://schemas.openxmlformats.org/officeDocument/2006/relationships/image" Target="media/image258.png"/><Relationship Id="rId45" Type="http://schemas.openxmlformats.org/officeDocument/2006/relationships/hyperlink" Target="https://www.elconfidencial.com/empresas/2020-04-02/erte-coronavirus-que-es-derechos-trabajadores_2481679/" TargetMode="External"/><Relationship Id="rId87" Type="http://schemas.openxmlformats.org/officeDocument/2006/relationships/hyperlink" Target="https://nadaesgratis.es/wp-content/uploads/medidas-fiscales-25-de-mayo-2020.jpg" TargetMode="External"/><Relationship Id="rId110" Type="http://schemas.openxmlformats.org/officeDocument/2006/relationships/image" Target="media/image75.png"/><Relationship Id="rId348" Type="http://schemas.openxmlformats.org/officeDocument/2006/relationships/image" Target="media/image298.png"/><Relationship Id="rId152" Type="http://schemas.openxmlformats.org/officeDocument/2006/relationships/image" Target="media/image112.png"/><Relationship Id="rId194" Type="http://schemas.openxmlformats.org/officeDocument/2006/relationships/image" Target="media/image154.png"/><Relationship Id="rId208" Type="http://schemas.openxmlformats.org/officeDocument/2006/relationships/image" Target="media/image168.png"/><Relationship Id="rId415" Type="http://schemas.openxmlformats.org/officeDocument/2006/relationships/image" Target="media/image365.jpeg"/><Relationship Id="rId261" Type="http://schemas.openxmlformats.org/officeDocument/2006/relationships/image" Target="media/image221.png"/><Relationship Id="rId14" Type="http://schemas.openxmlformats.org/officeDocument/2006/relationships/image" Target="media/image8.jpeg"/><Relationship Id="rId56" Type="http://schemas.openxmlformats.org/officeDocument/2006/relationships/image" Target="media/image25.png"/><Relationship Id="rId317" Type="http://schemas.openxmlformats.org/officeDocument/2006/relationships/image" Target="media/image269.png"/><Relationship Id="rId359" Type="http://schemas.openxmlformats.org/officeDocument/2006/relationships/image" Target="media/image309.png"/><Relationship Id="rId98" Type="http://schemas.openxmlformats.org/officeDocument/2006/relationships/image" Target="media/image63.png"/><Relationship Id="rId121" Type="http://schemas.openxmlformats.org/officeDocument/2006/relationships/hyperlink" Target="https://www.oecd.org/trade/topics/trade-facilitation/" TargetMode="External"/><Relationship Id="rId163" Type="http://schemas.openxmlformats.org/officeDocument/2006/relationships/image" Target="media/image123.png"/><Relationship Id="rId219" Type="http://schemas.openxmlformats.org/officeDocument/2006/relationships/image" Target="media/image179.png"/><Relationship Id="rId370" Type="http://schemas.openxmlformats.org/officeDocument/2006/relationships/image" Target="media/image320.png"/><Relationship Id="rId426" Type="http://schemas.openxmlformats.org/officeDocument/2006/relationships/image" Target="media/image376.jpeg"/><Relationship Id="rId230" Type="http://schemas.openxmlformats.org/officeDocument/2006/relationships/image" Target="media/image190.png"/><Relationship Id="rId25" Type="http://schemas.openxmlformats.org/officeDocument/2006/relationships/hyperlink" Target="https://www.elconfidencial.com/economia/2019-02-25/deuda-empresas-record-ocde-impagos_1846950/" TargetMode="External"/><Relationship Id="rId67" Type="http://schemas.openxmlformats.org/officeDocument/2006/relationships/image" Target="media/image36.png"/><Relationship Id="rId272" Type="http://schemas.openxmlformats.org/officeDocument/2006/relationships/image" Target="media/image232.png"/><Relationship Id="rId328" Type="http://schemas.openxmlformats.org/officeDocument/2006/relationships/image" Target="media/image280.png"/><Relationship Id="rId132" Type="http://schemas.openxmlformats.org/officeDocument/2006/relationships/image" Target="media/image92.png"/><Relationship Id="rId174" Type="http://schemas.openxmlformats.org/officeDocument/2006/relationships/image" Target="media/image134.png"/><Relationship Id="rId381" Type="http://schemas.openxmlformats.org/officeDocument/2006/relationships/image" Target="media/image331.png"/><Relationship Id="rId241" Type="http://schemas.openxmlformats.org/officeDocument/2006/relationships/image" Target="media/image201.png"/><Relationship Id="rId36" Type="http://schemas.openxmlformats.org/officeDocument/2006/relationships/hyperlink" Target="https://www.elconfidencial.com/tags/temas/noticias-de-deutsche-bank-3858/" TargetMode="External"/><Relationship Id="rId283" Type="http://schemas.openxmlformats.org/officeDocument/2006/relationships/hyperlink" Target="http://www.scielo.org.mx/scielo.php?script=sci_arttext&amp;pid=S0187-69612015000200009#Figura1a" TargetMode="External"/><Relationship Id="rId339" Type="http://schemas.openxmlformats.org/officeDocument/2006/relationships/image" Target="media/image289.png"/><Relationship Id="rId78" Type="http://schemas.openxmlformats.org/officeDocument/2006/relationships/image" Target="media/image47.jpeg"/><Relationship Id="rId101" Type="http://schemas.openxmlformats.org/officeDocument/2006/relationships/image" Target="media/image66.png"/><Relationship Id="rId143" Type="http://schemas.openxmlformats.org/officeDocument/2006/relationships/image" Target="media/image103.png"/><Relationship Id="rId185" Type="http://schemas.openxmlformats.org/officeDocument/2006/relationships/image" Target="media/image145.png"/><Relationship Id="rId350" Type="http://schemas.openxmlformats.org/officeDocument/2006/relationships/image" Target="media/image300.png"/><Relationship Id="rId406" Type="http://schemas.openxmlformats.org/officeDocument/2006/relationships/image" Target="media/image356.png"/><Relationship Id="rId9" Type="http://schemas.openxmlformats.org/officeDocument/2006/relationships/image" Target="media/image3.png"/><Relationship Id="rId210" Type="http://schemas.openxmlformats.org/officeDocument/2006/relationships/image" Target="media/image170.png"/><Relationship Id="rId392" Type="http://schemas.openxmlformats.org/officeDocument/2006/relationships/image" Target="media/image342.png"/><Relationship Id="rId252" Type="http://schemas.openxmlformats.org/officeDocument/2006/relationships/image" Target="media/image212.png"/><Relationship Id="rId294" Type="http://schemas.openxmlformats.org/officeDocument/2006/relationships/image" Target="media/image246.png"/><Relationship Id="rId308" Type="http://schemas.openxmlformats.org/officeDocument/2006/relationships/image" Target="media/image260.png"/><Relationship Id="rId47" Type="http://schemas.openxmlformats.org/officeDocument/2006/relationships/hyperlink" Target="https://www.elconfidencial.com/economia/2019-10-23/mario-draghi-loco-visionario_2295092/" TargetMode="External"/><Relationship Id="rId89" Type="http://schemas.openxmlformats.org/officeDocument/2006/relationships/image" Target="media/image57.jpeg"/><Relationship Id="rId112" Type="http://schemas.openxmlformats.org/officeDocument/2006/relationships/image" Target="media/image77.png"/><Relationship Id="rId154" Type="http://schemas.openxmlformats.org/officeDocument/2006/relationships/image" Target="media/image114.png"/><Relationship Id="rId361" Type="http://schemas.openxmlformats.org/officeDocument/2006/relationships/image" Target="media/image311.png"/><Relationship Id="rId196" Type="http://schemas.openxmlformats.org/officeDocument/2006/relationships/image" Target="media/image156.png"/><Relationship Id="rId417" Type="http://schemas.openxmlformats.org/officeDocument/2006/relationships/image" Target="media/image367.jpeg"/><Relationship Id="rId16" Type="http://schemas.openxmlformats.org/officeDocument/2006/relationships/hyperlink" Target="https://www.eleconomista.es/economia/noticias/10215289/11/19/Quien-es-el-culpable-del-colapso-de-los-tipos-de-interes-en-la-Eurozona.html" TargetMode="External"/><Relationship Id="rId221" Type="http://schemas.openxmlformats.org/officeDocument/2006/relationships/image" Target="media/image181.png"/><Relationship Id="rId263" Type="http://schemas.openxmlformats.org/officeDocument/2006/relationships/image" Target="media/image223.png"/><Relationship Id="rId319" Type="http://schemas.openxmlformats.org/officeDocument/2006/relationships/image" Target="media/image271.png"/><Relationship Id="rId58" Type="http://schemas.openxmlformats.org/officeDocument/2006/relationships/image" Target="media/image27.jpeg"/><Relationship Id="rId123" Type="http://schemas.openxmlformats.org/officeDocument/2006/relationships/hyperlink" Target="https://stats.oecd.org/index.aspx?queryid=75537" TargetMode="External"/><Relationship Id="rId330" Type="http://schemas.openxmlformats.org/officeDocument/2006/relationships/image" Target="media/image282.png"/><Relationship Id="rId165" Type="http://schemas.openxmlformats.org/officeDocument/2006/relationships/image" Target="media/image125.png"/><Relationship Id="rId372" Type="http://schemas.openxmlformats.org/officeDocument/2006/relationships/image" Target="media/image322.png"/><Relationship Id="rId428" Type="http://schemas.openxmlformats.org/officeDocument/2006/relationships/image" Target="media/image378.jpeg"/><Relationship Id="rId232" Type="http://schemas.openxmlformats.org/officeDocument/2006/relationships/image" Target="media/image192.jpeg"/><Relationship Id="rId274" Type="http://schemas.openxmlformats.org/officeDocument/2006/relationships/image" Target="media/image234.png"/><Relationship Id="rId27" Type="http://schemas.openxmlformats.org/officeDocument/2006/relationships/hyperlink" Target="https://www.elconfidencial.com/economia/2020-04-01/montana-deuda-publica-impagable_2528160/" TargetMode="External"/><Relationship Id="rId69" Type="http://schemas.openxmlformats.org/officeDocument/2006/relationships/image" Target="media/image38.png"/><Relationship Id="rId134" Type="http://schemas.openxmlformats.org/officeDocument/2006/relationships/image" Target="media/image94.png"/><Relationship Id="rId80" Type="http://schemas.openxmlformats.org/officeDocument/2006/relationships/image" Target="media/image49.jpeg"/><Relationship Id="rId176" Type="http://schemas.openxmlformats.org/officeDocument/2006/relationships/image" Target="media/image136.png"/><Relationship Id="rId341" Type="http://schemas.openxmlformats.org/officeDocument/2006/relationships/image" Target="media/image291.png"/><Relationship Id="rId383" Type="http://schemas.openxmlformats.org/officeDocument/2006/relationships/image" Target="media/image333.png"/><Relationship Id="rId201" Type="http://schemas.openxmlformats.org/officeDocument/2006/relationships/image" Target="media/image161.png"/><Relationship Id="rId243" Type="http://schemas.openxmlformats.org/officeDocument/2006/relationships/image" Target="media/image203.png"/><Relationship Id="rId285" Type="http://schemas.openxmlformats.org/officeDocument/2006/relationships/hyperlink" Target="http://www.scielo.org.mx/scielo.php?script=sci_arttext&amp;pid=S0187-69612015000200009" TargetMode="External"/><Relationship Id="rId38" Type="http://schemas.openxmlformats.org/officeDocument/2006/relationships/hyperlink" Target="https://www.elconfidencial.com/economia/2020-04-08/covid-factura-mundo-endeudo-billones-marzo_2539075/" TargetMode="External"/><Relationship Id="rId103" Type="http://schemas.openxmlformats.org/officeDocument/2006/relationships/image" Target="media/image68.png"/><Relationship Id="rId310" Type="http://schemas.openxmlformats.org/officeDocument/2006/relationships/image" Target="media/image262.png"/><Relationship Id="rId91" Type="http://schemas.openxmlformats.org/officeDocument/2006/relationships/image" Target="media/image59.jpeg"/><Relationship Id="rId145" Type="http://schemas.openxmlformats.org/officeDocument/2006/relationships/image" Target="media/image105.png"/><Relationship Id="rId187" Type="http://schemas.openxmlformats.org/officeDocument/2006/relationships/image" Target="media/image147.png"/><Relationship Id="rId352" Type="http://schemas.openxmlformats.org/officeDocument/2006/relationships/image" Target="media/image302.png"/><Relationship Id="rId394" Type="http://schemas.openxmlformats.org/officeDocument/2006/relationships/image" Target="media/image344.png"/><Relationship Id="rId408" Type="http://schemas.openxmlformats.org/officeDocument/2006/relationships/image" Target="media/image358.png"/><Relationship Id="rId212" Type="http://schemas.openxmlformats.org/officeDocument/2006/relationships/image" Target="media/image172.png"/><Relationship Id="rId254" Type="http://schemas.openxmlformats.org/officeDocument/2006/relationships/image" Target="media/image214.png"/><Relationship Id="rId28" Type="http://schemas.openxmlformats.org/officeDocument/2006/relationships/image" Target="media/image13.jpeg"/><Relationship Id="rId49" Type="http://schemas.openxmlformats.org/officeDocument/2006/relationships/hyperlink" Target="https://www.elconfidencial.com/economia/2020-04-07/espana-aleja-italia-eurogrupo-condiciones-mede_2538608/" TargetMode="External"/><Relationship Id="rId114" Type="http://schemas.openxmlformats.org/officeDocument/2006/relationships/image" Target="media/image79.png"/><Relationship Id="rId275" Type="http://schemas.openxmlformats.org/officeDocument/2006/relationships/hyperlink" Target="http://iresearch.worldbank.org/PovcalNet/index.htm" TargetMode="External"/><Relationship Id="rId296" Type="http://schemas.openxmlformats.org/officeDocument/2006/relationships/image" Target="media/image248.png"/><Relationship Id="rId300" Type="http://schemas.openxmlformats.org/officeDocument/2006/relationships/image" Target="media/image252.png"/><Relationship Id="rId60" Type="http://schemas.openxmlformats.org/officeDocument/2006/relationships/image" Target="media/image29.gif"/><Relationship Id="rId81" Type="http://schemas.openxmlformats.org/officeDocument/2006/relationships/image" Target="media/image50.jpeg"/><Relationship Id="rId135" Type="http://schemas.openxmlformats.org/officeDocument/2006/relationships/image" Target="media/image95.png"/><Relationship Id="rId156" Type="http://schemas.openxmlformats.org/officeDocument/2006/relationships/image" Target="media/image116.png"/><Relationship Id="rId177" Type="http://schemas.openxmlformats.org/officeDocument/2006/relationships/image" Target="media/image137.png"/><Relationship Id="rId198" Type="http://schemas.openxmlformats.org/officeDocument/2006/relationships/image" Target="media/image158.png"/><Relationship Id="rId321" Type="http://schemas.openxmlformats.org/officeDocument/2006/relationships/image" Target="media/image273.png"/><Relationship Id="rId342" Type="http://schemas.openxmlformats.org/officeDocument/2006/relationships/image" Target="media/image292.png"/><Relationship Id="rId363" Type="http://schemas.openxmlformats.org/officeDocument/2006/relationships/image" Target="media/image313.png"/><Relationship Id="rId384" Type="http://schemas.openxmlformats.org/officeDocument/2006/relationships/image" Target="media/image334.png"/><Relationship Id="rId419" Type="http://schemas.openxmlformats.org/officeDocument/2006/relationships/image" Target="media/image369.jpeg"/><Relationship Id="rId202" Type="http://schemas.openxmlformats.org/officeDocument/2006/relationships/image" Target="media/image162.png"/><Relationship Id="rId223" Type="http://schemas.openxmlformats.org/officeDocument/2006/relationships/image" Target="media/image183.png"/><Relationship Id="rId244" Type="http://schemas.openxmlformats.org/officeDocument/2006/relationships/image" Target="media/image204.png"/><Relationship Id="rId430" Type="http://schemas.openxmlformats.org/officeDocument/2006/relationships/image" Target="media/image380.jpeg"/><Relationship Id="rId18" Type="http://schemas.openxmlformats.org/officeDocument/2006/relationships/image" Target="media/image9.jpeg"/><Relationship Id="rId39" Type="http://schemas.openxmlformats.org/officeDocument/2006/relationships/hyperlink" Target="https://www.elconfidencial.com/espana/comunidad-valenciana/2020-04-08/gobierno-test-confinamiento-economico-coronavirus_2540532/" TargetMode="External"/><Relationship Id="rId265" Type="http://schemas.openxmlformats.org/officeDocument/2006/relationships/image" Target="media/image225.png"/><Relationship Id="rId286" Type="http://schemas.openxmlformats.org/officeDocument/2006/relationships/hyperlink" Target="http://www.scielo.org.mx/scielo.php?script=sci_arttext&amp;pid=S0187-69612015000200009#Figura2a" TargetMode="External"/><Relationship Id="rId50" Type="http://schemas.openxmlformats.org/officeDocument/2006/relationships/image" Target="media/image19.png"/><Relationship Id="rId104" Type="http://schemas.openxmlformats.org/officeDocument/2006/relationships/image" Target="media/image69.png"/><Relationship Id="rId125" Type="http://schemas.openxmlformats.org/officeDocument/2006/relationships/image" Target="media/image85.png"/><Relationship Id="rId146" Type="http://schemas.openxmlformats.org/officeDocument/2006/relationships/image" Target="media/image106.png"/><Relationship Id="rId167" Type="http://schemas.openxmlformats.org/officeDocument/2006/relationships/image" Target="media/image127.png"/><Relationship Id="rId188" Type="http://schemas.openxmlformats.org/officeDocument/2006/relationships/image" Target="media/image148.png"/><Relationship Id="rId311" Type="http://schemas.openxmlformats.org/officeDocument/2006/relationships/image" Target="media/image263.png"/><Relationship Id="rId332" Type="http://schemas.openxmlformats.org/officeDocument/2006/relationships/image" Target="media/image284.png"/><Relationship Id="rId353" Type="http://schemas.openxmlformats.org/officeDocument/2006/relationships/image" Target="media/image303.png"/><Relationship Id="rId374" Type="http://schemas.openxmlformats.org/officeDocument/2006/relationships/image" Target="media/image324.png"/><Relationship Id="rId395" Type="http://schemas.openxmlformats.org/officeDocument/2006/relationships/image" Target="media/image345.png"/><Relationship Id="rId409" Type="http://schemas.openxmlformats.org/officeDocument/2006/relationships/image" Target="media/image359.png"/><Relationship Id="rId71" Type="http://schemas.openxmlformats.org/officeDocument/2006/relationships/image" Target="media/image40.png"/><Relationship Id="rId92" Type="http://schemas.openxmlformats.org/officeDocument/2006/relationships/hyperlink" Target="https://www.elconfidencial.com/mercados/the-wall-street-journal/2020-05-03/globalizacion-tocada-no-hundida_2574748/" TargetMode="External"/><Relationship Id="rId213" Type="http://schemas.openxmlformats.org/officeDocument/2006/relationships/image" Target="media/image173.png"/><Relationship Id="rId234" Type="http://schemas.openxmlformats.org/officeDocument/2006/relationships/image" Target="media/image194.jpeg"/><Relationship Id="rId420" Type="http://schemas.openxmlformats.org/officeDocument/2006/relationships/image" Target="media/image370.jpeg"/><Relationship Id="rId2" Type="http://schemas.openxmlformats.org/officeDocument/2006/relationships/numbering" Target="numbering.xml"/><Relationship Id="rId29" Type="http://schemas.openxmlformats.org/officeDocument/2006/relationships/hyperlink" Target="https://www.elconfidencial.com/economia/2019-10-11/boom-deuda-empresarial-dispara-alarmas-supervisores_2278008/" TargetMode="External"/><Relationship Id="rId255" Type="http://schemas.openxmlformats.org/officeDocument/2006/relationships/image" Target="media/image215.png"/><Relationship Id="rId276" Type="http://schemas.openxmlformats.org/officeDocument/2006/relationships/image" Target="media/image235.png"/><Relationship Id="rId297" Type="http://schemas.openxmlformats.org/officeDocument/2006/relationships/image" Target="media/image249.png"/><Relationship Id="rId40" Type="http://schemas.openxmlformats.org/officeDocument/2006/relationships/hyperlink" Target="https://www.elconfidencial.com/economia/2020-04-08/ceoe-desplome-pib-espanol-superuir-francia_2539763/" TargetMode="External"/><Relationship Id="rId115" Type="http://schemas.openxmlformats.org/officeDocument/2006/relationships/image" Target="media/image80.png"/><Relationship Id="rId136" Type="http://schemas.openxmlformats.org/officeDocument/2006/relationships/image" Target="media/image96.png"/><Relationship Id="rId157" Type="http://schemas.openxmlformats.org/officeDocument/2006/relationships/image" Target="media/image117.png"/><Relationship Id="rId178" Type="http://schemas.openxmlformats.org/officeDocument/2006/relationships/image" Target="media/image138.png"/><Relationship Id="rId301" Type="http://schemas.openxmlformats.org/officeDocument/2006/relationships/image" Target="media/image253.png"/><Relationship Id="rId322" Type="http://schemas.openxmlformats.org/officeDocument/2006/relationships/image" Target="media/image274.png"/><Relationship Id="rId343" Type="http://schemas.openxmlformats.org/officeDocument/2006/relationships/image" Target="media/image293.png"/><Relationship Id="rId364" Type="http://schemas.openxmlformats.org/officeDocument/2006/relationships/image" Target="media/image314.png"/><Relationship Id="rId61" Type="http://schemas.openxmlformats.org/officeDocument/2006/relationships/image" Target="media/image30.jpeg"/><Relationship Id="rId82" Type="http://schemas.openxmlformats.org/officeDocument/2006/relationships/image" Target="media/image51.jpeg"/><Relationship Id="rId199" Type="http://schemas.openxmlformats.org/officeDocument/2006/relationships/image" Target="media/image159.png"/><Relationship Id="rId203" Type="http://schemas.openxmlformats.org/officeDocument/2006/relationships/image" Target="media/image163.png"/><Relationship Id="rId385" Type="http://schemas.openxmlformats.org/officeDocument/2006/relationships/image" Target="media/image335.png"/><Relationship Id="rId19" Type="http://schemas.openxmlformats.org/officeDocument/2006/relationships/hyperlink" Target="https://www.eleconomista.es/economia/noticias/10452602/03/20/Deutsche-Bank-anticipa-un-colapso-de-la-economia-espanola-del-20-sera-la-potencia-europea-mas-castigada.html" TargetMode="External"/><Relationship Id="rId224" Type="http://schemas.openxmlformats.org/officeDocument/2006/relationships/image" Target="media/image184.png"/><Relationship Id="rId245" Type="http://schemas.openxmlformats.org/officeDocument/2006/relationships/image" Target="media/image205.png"/><Relationship Id="rId266" Type="http://schemas.openxmlformats.org/officeDocument/2006/relationships/image" Target="media/image226.png"/><Relationship Id="rId287" Type="http://schemas.openxmlformats.org/officeDocument/2006/relationships/image" Target="media/image239.jpeg"/><Relationship Id="rId410" Type="http://schemas.openxmlformats.org/officeDocument/2006/relationships/image" Target="media/image360.jpeg"/><Relationship Id="rId431" Type="http://schemas.openxmlformats.org/officeDocument/2006/relationships/image" Target="media/image381.jpeg"/><Relationship Id="rId30" Type="http://schemas.openxmlformats.org/officeDocument/2006/relationships/hyperlink" Target="https://www.elconfidencial.com/economia/2020-04-07/peor-crisis-ii-guerra-mundial-empleo-perdido-millones-coronavirus_2537852/" TargetMode="External"/><Relationship Id="rId105" Type="http://schemas.openxmlformats.org/officeDocument/2006/relationships/image" Target="media/image70.png"/><Relationship Id="rId126" Type="http://schemas.openxmlformats.org/officeDocument/2006/relationships/image" Target="media/image86.png"/><Relationship Id="rId147" Type="http://schemas.openxmlformats.org/officeDocument/2006/relationships/image" Target="media/image107.png"/><Relationship Id="rId168" Type="http://schemas.openxmlformats.org/officeDocument/2006/relationships/image" Target="media/image128.png"/><Relationship Id="rId312" Type="http://schemas.openxmlformats.org/officeDocument/2006/relationships/image" Target="media/image264.png"/><Relationship Id="rId333" Type="http://schemas.openxmlformats.org/officeDocument/2006/relationships/image" Target="media/image285.png"/><Relationship Id="rId354" Type="http://schemas.openxmlformats.org/officeDocument/2006/relationships/image" Target="media/image304.png"/><Relationship Id="rId51" Type="http://schemas.openxmlformats.org/officeDocument/2006/relationships/image" Target="media/image20.jpeg"/><Relationship Id="rId72" Type="http://schemas.openxmlformats.org/officeDocument/2006/relationships/image" Target="media/image41.png"/><Relationship Id="rId93" Type="http://schemas.openxmlformats.org/officeDocument/2006/relationships/hyperlink" Target="https://www.elconfidencial.com/espana/2020-05-23/consejeros-veronica-casado-jesus-fernandez-hemos-llorado-covid_2607364/" TargetMode="External"/><Relationship Id="rId189" Type="http://schemas.openxmlformats.org/officeDocument/2006/relationships/image" Target="media/image149.png"/><Relationship Id="rId375" Type="http://schemas.openxmlformats.org/officeDocument/2006/relationships/image" Target="media/image325.png"/><Relationship Id="rId396" Type="http://schemas.openxmlformats.org/officeDocument/2006/relationships/image" Target="media/image346.png"/><Relationship Id="rId3" Type="http://schemas.openxmlformats.org/officeDocument/2006/relationships/styles" Target="styles.xml"/><Relationship Id="rId214" Type="http://schemas.openxmlformats.org/officeDocument/2006/relationships/image" Target="media/image174.png"/><Relationship Id="rId235" Type="http://schemas.openxmlformats.org/officeDocument/2006/relationships/image" Target="media/image195.jpeg"/><Relationship Id="rId256" Type="http://schemas.openxmlformats.org/officeDocument/2006/relationships/image" Target="media/image216.png"/><Relationship Id="rId277" Type="http://schemas.openxmlformats.org/officeDocument/2006/relationships/hyperlink" Target="http://www.scielo.org.mx/scielo.php?script=sci_arttext&amp;pid=S0187-69612015000200009#Cuadro3b" TargetMode="External"/><Relationship Id="rId298" Type="http://schemas.openxmlformats.org/officeDocument/2006/relationships/image" Target="media/image250.png"/><Relationship Id="rId400" Type="http://schemas.openxmlformats.org/officeDocument/2006/relationships/image" Target="media/image350.png"/><Relationship Id="rId421" Type="http://schemas.openxmlformats.org/officeDocument/2006/relationships/image" Target="media/image371.jpeg"/><Relationship Id="rId116" Type="http://schemas.openxmlformats.org/officeDocument/2006/relationships/image" Target="media/image81.emf"/><Relationship Id="rId137" Type="http://schemas.openxmlformats.org/officeDocument/2006/relationships/image" Target="media/image97.png"/><Relationship Id="rId158" Type="http://schemas.openxmlformats.org/officeDocument/2006/relationships/image" Target="media/image118.png"/><Relationship Id="rId302" Type="http://schemas.openxmlformats.org/officeDocument/2006/relationships/image" Target="media/image254.png"/><Relationship Id="rId323" Type="http://schemas.openxmlformats.org/officeDocument/2006/relationships/image" Target="media/image275.png"/><Relationship Id="rId344" Type="http://schemas.openxmlformats.org/officeDocument/2006/relationships/image" Target="media/image294.png"/><Relationship Id="rId20" Type="http://schemas.openxmlformats.org/officeDocument/2006/relationships/image" Target="media/image10.jpeg"/><Relationship Id="rId41" Type="http://schemas.openxmlformats.org/officeDocument/2006/relationships/image" Target="media/image16.jpeg"/><Relationship Id="rId62" Type="http://schemas.openxmlformats.org/officeDocument/2006/relationships/image" Target="media/image31.jpeg"/><Relationship Id="rId83" Type="http://schemas.openxmlformats.org/officeDocument/2006/relationships/image" Target="media/image52.gif"/><Relationship Id="rId179" Type="http://schemas.openxmlformats.org/officeDocument/2006/relationships/image" Target="media/image139.png"/><Relationship Id="rId365" Type="http://schemas.openxmlformats.org/officeDocument/2006/relationships/image" Target="media/image315.png"/><Relationship Id="rId386" Type="http://schemas.openxmlformats.org/officeDocument/2006/relationships/image" Target="media/image336.png"/><Relationship Id="rId190" Type="http://schemas.openxmlformats.org/officeDocument/2006/relationships/image" Target="media/image150.png"/><Relationship Id="rId204" Type="http://schemas.openxmlformats.org/officeDocument/2006/relationships/image" Target="media/image164.png"/><Relationship Id="rId225" Type="http://schemas.openxmlformats.org/officeDocument/2006/relationships/image" Target="media/image185.png"/><Relationship Id="rId246" Type="http://schemas.openxmlformats.org/officeDocument/2006/relationships/image" Target="media/image206.png"/><Relationship Id="rId267" Type="http://schemas.openxmlformats.org/officeDocument/2006/relationships/image" Target="media/image227.png"/><Relationship Id="rId288" Type="http://schemas.openxmlformats.org/officeDocument/2006/relationships/image" Target="media/image240.png"/><Relationship Id="rId411" Type="http://schemas.openxmlformats.org/officeDocument/2006/relationships/image" Target="media/image361.jpeg"/><Relationship Id="rId432" Type="http://schemas.openxmlformats.org/officeDocument/2006/relationships/image" Target="media/image382.jpeg"/><Relationship Id="rId106" Type="http://schemas.openxmlformats.org/officeDocument/2006/relationships/image" Target="media/image71.png"/><Relationship Id="rId127" Type="http://schemas.openxmlformats.org/officeDocument/2006/relationships/image" Target="media/image87.png"/><Relationship Id="rId313" Type="http://schemas.openxmlformats.org/officeDocument/2006/relationships/image" Target="media/image265.png"/><Relationship Id="rId10" Type="http://schemas.openxmlformats.org/officeDocument/2006/relationships/image" Target="media/image4.png"/><Relationship Id="rId31" Type="http://schemas.openxmlformats.org/officeDocument/2006/relationships/hyperlink" Target="https://www.elconfidencial.com/economia/2020-04-05/economia-sumergida-coronavirus-pandemia-negro-hosteleria_2534287/" TargetMode="External"/><Relationship Id="rId52" Type="http://schemas.openxmlformats.org/officeDocument/2006/relationships/image" Target="media/image21.jpeg"/><Relationship Id="rId73" Type="http://schemas.openxmlformats.org/officeDocument/2006/relationships/image" Target="media/image42.gif"/><Relationship Id="rId94" Type="http://schemas.openxmlformats.org/officeDocument/2006/relationships/hyperlink" Target="https://blogs.elconfidencial.com/espana/mientras-tanto/2020-03-29/coronavirus-liberalismo-fmi-presupuestos-china_2523451/" TargetMode="External"/><Relationship Id="rId148" Type="http://schemas.openxmlformats.org/officeDocument/2006/relationships/image" Target="media/image108.png"/><Relationship Id="rId169" Type="http://schemas.openxmlformats.org/officeDocument/2006/relationships/image" Target="media/image129.png"/><Relationship Id="rId334" Type="http://schemas.openxmlformats.org/officeDocument/2006/relationships/image" Target="media/image286.png"/><Relationship Id="rId355" Type="http://schemas.openxmlformats.org/officeDocument/2006/relationships/image" Target="media/image305.png"/><Relationship Id="rId376" Type="http://schemas.openxmlformats.org/officeDocument/2006/relationships/image" Target="media/image326.png"/><Relationship Id="rId397" Type="http://schemas.openxmlformats.org/officeDocument/2006/relationships/image" Target="media/image347.png"/><Relationship Id="rId4" Type="http://schemas.microsoft.com/office/2007/relationships/stylesWithEffects" Target="stylesWithEffects.xml"/><Relationship Id="rId180" Type="http://schemas.openxmlformats.org/officeDocument/2006/relationships/image" Target="media/image140.png"/><Relationship Id="rId215" Type="http://schemas.openxmlformats.org/officeDocument/2006/relationships/image" Target="media/image175.png"/><Relationship Id="rId236" Type="http://schemas.openxmlformats.org/officeDocument/2006/relationships/image" Target="media/image196.jpeg"/><Relationship Id="rId257" Type="http://schemas.openxmlformats.org/officeDocument/2006/relationships/image" Target="media/image217.png"/><Relationship Id="rId278" Type="http://schemas.openxmlformats.org/officeDocument/2006/relationships/image" Target="media/image236.jpeg"/><Relationship Id="rId401" Type="http://schemas.openxmlformats.org/officeDocument/2006/relationships/image" Target="media/image351.jpeg"/><Relationship Id="rId422" Type="http://schemas.openxmlformats.org/officeDocument/2006/relationships/image" Target="media/image372.jpeg"/><Relationship Id="rId303" Type="http://schemas.openxmlformats.org/officeDocument/2006/relationships/image" Target="media/image255.png"/><Relationship Id="rId42" Type="http://schemas.openxmlformats.org/officeDocument/2006/relationships/hyperlink" Target="https://www.elconfidencial.com/economia/2020-01-08/estrategia-financiacion-tesoro-2020-presupuesto-gobierno_2402843/" TargetMode="External"/><Relationship Id="rId84" Type="http://schemas.openxmlformats.org/officeDocument/2006/relationships/image" Target="media/image53.jpeg"/><Relationship Id="rId138" Type="http://schemas.openxmlformats.org/officeDocument/2006/relationships/image" Target="media/image98.png"/><Relationship Id="rId345" Type="http://schemas.openxmlformats.org/officeDocument/2006/relationships/image" Target="media/image295.png"/><Relationship Id="rId387" Type="http://schemas.openxmlformats.org/officeDocument/2006/relationships/image" Target="media/image337.png"/><Relationship Id="rId191" Type="http://schemas.openxmlformats.org/officeDocument/2006/relationships/image" Target="media/image151.png"/><Relationship Id="rId205" Type="http://schemas.openxmlformats.org/officeDocument/2006/relationships/image" Target="media/image165.png"/><Relationship Id="rId247" Type="http://schemas.openxmlformats.org/officeDocument/2006/relationships/image" Target="media/image207.png"/><Relationship Id="rId412" Type="http://schemas.openxmlformats.org/officeDocument/2006/relationships/image" Target="media/image362.png"/><Relationship Id="rId107" Type="http://schemas.openxmlformats.org/officeDocument/2006/relationships/image" Target="media/image72.png"/><Relationship Id="rId289" Type="http://schemas.openxmlformats.org/officeDocument/2006/relationships/image" Target="media/image241.png"/><Relationship Id="rId11" Type="http://schemas.openxmlformats.org/officeDocument/2006/relationships/image" Target="media/image5.jpeg"/><Relationship Id="rId53" Type="http://schemas.openxmlformats.org/officeDocument/2006/relationships/image" Target="media/image22.jpeg"/><Relationship Id="rId149" Type="http://schemas.openxmlformats.org/officeDocument/2006/relationships/image" Target="media/image109.png"/><Relationship Id="rId314" Type="http://schemas.openxmlformats.org/officeDocument/2006/relationships/image" Target="media/image266.png"/><Relationship Id="rId356" Type="http://schemas.openxmlformats.org/officeDocument/2006/relationships/image" Target="media/image306.png"/><Relationship Id="rId398" Type="http://schemas.openxmlformats.org/officeDocument/2006/relationships/image" Target="media/image348.png"/><Relationship Id="rId95" Type="http://schemas.openxmlformats.org/officeDocument/2006/relationships/image" Target="media/image60.png"/><Relationship Id="rId160" Type="http://schemas.openxmlformats.org/officeDocument/2006/relationships/image" Target="media/image120.png"/><Relationship Id="rId216" Type="http://schemas.openxmlformats.org/officeDocument/2006/relationships/image" Target="media/image176.png"/><Relationship Id="rId423" Type="http://schemas.openxmlformats.org/officeDocument/2006/relationships/image" Target="media/image373.jpeg"/><Relationship Id="rId258" Type="http://schemas.openxmlformats.org/officeDocument/2006/relationships/image" Target="media/image218.png"/><Relationship Id="rId22" Type="http://schemas.openxmlformats.org/officeDocument/2006/relationships/hyperlink" Target="https://www.eleconomista.es/economia/noticias/10120249/10/19/La-paradoja-del-ahorro-y-el-curioso-comportamiento-de-las-familias-esterilizan-los-estimulos-del-BCE.html" TargetMode="External"/><Relationship Id="rId64" Type="http://schemas.openxmlformats.org/officeDocument/2006/relationships/image" Target="media/image33.png"/><Relationship Id="rId118" Type="http://schemas.openxmlformats.org/officeDocument/2006/relationships/image" Target="media/image82.png"/><Relationship Id="rId325" Type="http://schemas.openxmlformats.org/officeDocument/2006/relationships/image" Target="media/image277.png"/><Relationship Id="rId367" Type="http://schemas.openxmlformats.org/officeDocument/2006/relationships/image" Target="media/image317.png"/><Relationship Id="rId171" Type="http://schemas.openxmlformats.org/officeDocument/2006/relationships/image" Target="media/image131.png"/><Relationship Id="rId227" Type="http://schemas.openxmlformats.org/officeDocument/2006/relationships/image" Target="media/image187.png"/><Relationship Id="rId269" Type="http://schemas.openxmlformats.org/officeDocument/2006/relationships/image" Target="media/image229.png"/><Relationship Id="rId434" Type="http://schemas.openxmlformats.org/officeDocument/2006/relationships/hyperlink" Target="https://blogs.elconfidencial.com/espana/mientras-tanto/2020-03-29/coronavirus-liberalismo-fmi-presupuestos-china_2523451/" TargetMode="External"/><Relationship Id="rId33" Type="http://schemas.openxmlformats.org/officeDocument/2006/relationships/hyperlink" Target="https://www.elconfidencial.com/mercados/indice/divisas/" TargetMode="External"/><Relationship Id="rId129" Type="http://schemas.openxmlformats.org/officeDocument/2006/relationships/image" Target="media/image89.png"/><Relationship Id="rId280" Type="http://schemas.openxmlformats.org/officeDocument/2006/relationships/image" Target="media/image237.jpeg"/><Relationship Id="rId336" Type="http://schemas.openxmlformats.org/officeDocument/2006/relationships/image" Target="media/image288.png"/><Relationship Id="rId75" Type="http://schemas.openxmlformats.org/officeDocument/2006/relationships/image" Target="media/image44.jpeg"/><Relationship Id="rId140" Type="http://schemas.openxmlformats.org/officeDocument/2006/relationships/image" Target="media/image100.png"/><Relationship Id="rId182" Type="http://schemas.openxmlformats.org/officeDocument/2006/relationships/image" Target="media/image142.png"/><Relationship Id="rId378" Type="http://schemas.openxmlformats.org/officeDocument/2006/relationships/image" Target="media/image328.png"/><Relationship Id="rId403" Type="http://schemas.openxmlformats.org/officeDocument/2006/relationships/image" Target="media/image353.png"/><Relationship Id="rId6" Type="http://schemas.openxmlformats.org/officeDocument/2006/relationships/webSettings" Target="webSettings.xml"/><Relationship Id="rId238" Type="http://schemas.openxmlformats.org/officeDocument/2006/relationships/image" Target="media/image198.jpeg"/><Relationship Id="rId291" Type="http://schemas.openxmlformats.org/officeDocument/2006/relationships/image" Target="media/image243.png"/><Relationship Id="rId305" Type="http://schemas.openxmlformats.org/officeDocument/2006/relationships/image" Target="media/image257.png"/><Relationship Id="rId347" Type="http://schemas.openxmlformats.org/officeDocument/2006/relationships/image" Target="media/image297.png"/><Relationship Id="rId44" Type="http://schemas.openxmlformats.org/officeDocument/2006/relationships/hyperlink" Target="https://www.elconfidencial.com/economia/2020-04-07/peor-crisis-ii-guerra-mundial-empleo-perdido-millones-coronavirus_2537852/" TargetMode="External"/><Relationship Id="rId86" Type="http://schemas.openxmlformats.org/officeDocument/2006/relationships/image" Target="media/image55.jpeg"/><Relationship Id="rId151" Type="http://schemas.openxmlformats.org/officeDocument/2006/relationships/image" Target="media/image111.png"/><Relationship Id="rId389" Type="http://schemas.openxmlformats.org/officeDocument/2006/relationships/image" Target="media/image339.png"/><Relationship Id="rId193" Type="http://schemas.openxmlformats.org/officeDocument/2006/relationships/image" Target="media/image153.png"/><Relationship Id="rId207" Type="http://schemas.openxmlformats.org/officeDocument/2006/relationships/image" Target="media/image167.png"/><Relationship Id="rId249" Type="http://schemas.openxmlformats.org/officeDocument/2006/relationships/image" Target="media/image209.png"/><Relationship Id="rId414" Type="http://schemas.openxmlformats.org/officeDocument/2006/relationships/image" Target="media/image364.gif"/><Relationship Id="rId13" Type="http://schemas.openxmlformats.org/officeDocument/2006/relationships/image" Target="media/image7.png"/><Relationship Id="rId109" Type="http://schemas.openxmlformats.org/officeDocument/2006/relationships/image" Target="media/image74.png"/><Relationship Id="rId260" Type="http://schemas.openxmlformats.org/officeDocument/2006/relationships/image" Target="media/image220.png"/><Relationship Id="rId316" Type="http://schemas.openxmlformats.org/officeDocument/2006/relationships/image" Target="media/image268.png"/><Relationship Id="rId55" Type="http://schemas.openxmlformats.org/officeDocument/2006/relationships/image" Target="media/image24.jpeg"/><Relationship Id="rId97" Type="http://schemas.openxmlformats.org/officeDocument/2006/relationships/image" Target="media/image62.png"/><Relationship Id="rId120" Type="http://schemas.openxmlformats.org/officeDocument/2006/relationships/hyperlink" Target="https://www.oecd.org/trade/topics/trade-and-jobs/" TargetMode="External"/><Relationship Id="rId358" Type="http://schemas.openxmlformats.org/officeDocument/2006/relationships/image" Target="media/image308.png"/><Relationship Id="rId162" Type="http://schemas.openxmlformats.org/officeDocument/2006/relationships/image" Target="media/image122.png"/><Relationship Id="rId218" Type="http://schemas.openxmlformats.org/officeDocument/2006/relationships/image" Target="media/image178.png"/><Relationship Id="rId425" Type="http://schemas.openxmlformats.org/officeDocument/2006/relationships/image" Target="media/image375.jpeg"/><Relationship Id="rId271" Type="http://schemas.openxmlformats.org/officeDocument/2006/relationships/image" Target="media/image231.png"/><Relationship Id="rId24" Type="http://schemas.openxmlformats.org/officeDocument/2006/relationships/hyperlink" Target="https://blogs.elconfidencial.com/espana/mientras-tanto/2020-04-05/deuda-condonacion-covid-sanchez-gasto-publico-italia_2534628/" TargetMode="External"/><Relationship Id="rId66" Type="http://schemas.openxmlformats.org/officeDocument/2006/relationships/image" Target="media/image35.png"/><Relationship Id="rId131" Type="http://schemas.openxmlformats.org/officeDocument/2006/relationships/image" Target="media/image91.png"/><Relationship Id="rId327" Type="http://schemas.openxmlformats.org/officeDocument/2006/relationships/image" Target="media/image279.png"/><Relationship Id="rId369" Type="http://schemas.openxmlformats.org/officeDocument/2006/relationships/image" Target="media/image319.png"/><Relationship Id="rId173" Type="http://schemas.openxmlformats.org/officeDocument/2006/relationships/image" Target="media/image133.png"/><Relationship Id="rId229" Type="http://schemas.openxmlformats.org/officeDocument/2006/relationships/image" Target="media/image189.jpeg"/><Relationship Id="rId380" Type="http://schemas.openxmlformats.org/officeDocument/2006/relationships/image" Target="media/image330.png"/><Relationship Id="rId436" Type="http://schemas.openxmlformats.org/officeDocument/2006/relationships/theme" Target="theme/theme1.xml"/><Relationship Id="rId240" Type="http://schemas.openxmlformats.org/officeDocument/2006/relationships/image" Target="media/image200.gif"/><Relationship Id="rId35" Type="http://schemas.openxmlformats.org/officeDocument/2006/relationships/image" Target="media/image15.jpeg"/><Relationship Id="rId77" Type="http://schemas.openxmlformats.org/officeDocument/2006/relationships/image" Target="media/image46.jpeg"/><Relationship Id="rId100" Type="http://schemas.openxmlformats.org/officeDocument/2006/relationships/image" Target="media/image65.png"/><Relationship Id="rId282" Type="http://schemas.openxmlformats.org/officeDocument/2006/relationships/hyperlink" Target="http://www.scielo.org.mx/scielo.php?script=sci_arttext&amp;pid=S0187-69612015000200009" TargetMode="External"/><Relationship Id="rId338" Type="http://schemas.openxmlformats.org/officeDocument/2006/relationships/hyperlink" Target="https://www.ilo.org/wcmsp5/groups/public/---dgreports/---dcomm/documents/briefingnote/wcms_740981.pdf" TargetMode="External"/><Relationship Id="rId8" Type="http://schemas.openxmlformats.org/officeDocument/2006/relationships/image" Target="media/image2.jpeg"/><Relationship Id="rId142" Type="http://schemas.openxmlformats.org/officeDocument/2006/relationships/image" Target="media/image102.png"/><Relationship Id="rId184" Type="http://schemas.openxmlformats.org/officeDocument/2006/relationships/image" Target="media/image144.png"/><Relationship Id="rId391" Type="http://schemas.openxmlformats.org/officeDocument/2006/relationships/image" Target="media/image341.png"/><Relationship Id="rId405" Type="http://schemas.openxmlformats.org/officeDocument/2006/relationships/image" Target="media/image355.png"/><Relationship Id="rId251" Type="http://schemas.openxmlformats.org/officeDocument/2006/relationships/image" Target="media/image211.png"/><Relationship Id="rId46" Type="http://schemas.openxmlformats.org/officeDocument/2006/relationships/image" Target="media/image18.jpeg"/><Relationship Id="rId293" Type="http://schemas.openxmlformats.org/officeDocument/2006/relationships/image" Target="media/image245.png"/><Relationship Id="rId307" Type="http://schemas.openxmlformats.org/officeDocument/2006/relationships/image" Target="media/image259.png"/><Relationship Id="rId349" Type="http://schemas.openxmlformats.org/officeDocument/2006/relationships/image" Target="media/image299.png"/><Relationship Id="rId88" Type="http://schemas.openxmlformats.org/officeDocument/2006/relationships/image" Target="media/image56.jpeg"/><Relationship Id="rId111" Type="http://schemas.openxmlformats.org/officeDocument/2006/relationships/image" Target="media/image76.png"/><Relationship Id="rId153" Type="http://schemas.openxmlformats.org/officeDocument/2006/relationships/image" Target="media/image113.png"/><Relationship Id="rId195" Type="http://schemas.openxmlformats.org/officeDocument/2006/relationships/image" Target="media/image155.png"/><Relationship Id="rId209" Type="http://schemas.openxmlformats.org/officeDocument/2006/relationships/image" Target="media/image169.png"/><Relationship Id="rId360" Type="http://schemas.openxmlformats.org/officeDocument/2006/relationships/image" Target="media/image310.png"/><Relationship Id="rId416" Type="http://schemas.openxmlformats.org/officeDocument/2006/relationships/image" Target="media/image366.jpeg"/><Relationship Id="rId220" Type="http://schemas.openxmlformats.org/officeDocument/2006/relationships/image" Target="media/image180.png"/><Relationship Id="rId15" Type="http://schemas.openxmlformats.org/officeDocument/2006/relationships/hyperlink" Target="https://www.eleconomista.es/autor/Francisco-S-Jimenez" TargetMode="External"/><Relationship Id="rId57" Type="http://schemas.openxmlformats.org/officeDocument/2006/relationships/image" Target="media/image26.jpeg"/><Relationship Id="rId262" Type="http://schemas.openxmlformats.org/officeDocument/2006/relationships/image" Target="media/image222.png"/><Relationship Id="rId318" Type="http://schemas.openxmlformats.org/officeDocument/2006/relationships/image" Target="media/image270.png"/><Relationship Id="rId99" Type="http://schemas.openxmlformats.org/officeDocument/2006/relationships/image" Target="media/image64.png"/><Relationship Id="rId122" Type="http://schemas.openxmlformats.org/officeDocument/2006/relationships/hyperlink" Target="https://www.oecd.org/sti/ind/measuring-trade-in-value-added.htm" TargetMode="External"/><Relationship Id="rId164" Type="http://schemas.openxmlformats.org/officeDocument/2006/relationships/image" Target="media/image124.png"/><Relationship Id="rId371" Type="http://schemas.openxmlformats.org/officeDocument/2006/relationships/image" Target="media/image321.png"/><Relationship Id="rId427" Type="http://schemas.openxmlformats.org/officeDocument/2006/relationships/image" Target="media/image377.jpeg"/><Relationship Id="rId26" Type="http://schemas.openxmlformats.org/officeDocument/2006/relationships/hyperlink" Target="https://www.elconfidencial.com/economia/2020-04-07/espana-aleja-italia-eurogrupo-condiciones-mede_2538608/" TargetMode="External"/><Relationship Id="rId231" Type="http://schemas.openxmlformats.org/officeDocument/2006/relationships/image" Target="media/image191.jpeg"/><Relationship Id="rId273" Type="http://schemas.openxmlformats.org/officeDocument/2006/relationships/image" Target="media/image233.png"/><Relationship Id="rId329" Type="http://schemas.openxmlformats.org/officeDocument/2006/relationships/image" Target="media/image281.png"/><Relationship Id="rId68" Type="http://schemas.openxmlformats.org/officeDocument/2006/relationships/image" Target="media/image37.png"/><Relationship Id="rId133" Type="http://schemas.openxmlformats.org/officeDocument/2006/relationships/image" Target="media/image93.png"/><Relationship Id="rId175" Type="http://schemas.openxmlformats.org/officeDocument/2006/relationships/image" Target="media/image135.png"/><Relationship Id="rId340" Type="http://schemas.openxmlformats.org/officeDocument/2006/relationships/image" Target="media/image290.png"/><Relationship Id="rId200" Type="http://schemas.openxmlformats.org/officeDocument/2006/relationships/image" Target="media/image160.png"/><Relationship Id="rId382" Type="http://schemas.openxmlformats.org/officeDocument/2006/relationships/image" Target="media/image332.png"/><Relationship Id="rId242" Type="http://schemas.openxmlformats.org/officeDocument/2006/relationships/image" Target="media/image202.png"/><Relationship Id="rId284" Type="http://schemas.openxmlformats.org/officeDocument/2006/relationships/image" Target="media/image238.jpeg"/><Relationship Id="rId37" Type="http://schemas.openxmlformats.org/officeDocument/2006/relationships/hyperlink" Target="https://www.elconfidencial.com/tags/organismos/banco-central-europeo-bce-12375/" TargetMode="External"/><Relationship Id="rId79" Type="http://schemas.openxmlformats.org/officeDocument/2006/relationships/image" Target="media/image48.jpeg"/><Relationship Id="rId102" Type="http://schemas.openxmlformats.org/officeDocument/2006/relationships/image" Target="media/image67.png"/><Relationship Id="rId144" Type="http://schemas.openxmlformats.org/officeDocument/2006/relationships/image" Target="media/image104.png"/><Relationship Id="rId90" Type="http://schemas.openxmlformats.org/officeDocument/2006/relationships/image" Target="media/image58.gif"/><Relationship Id="rId186" Type="http://schemas.openxmlformats.org/officeDocument/2006/relationships/image" Target="media/image146.png"/><Relationship Id="rId351" Type="http://schemas.openxmlformats.org/officeDocument/2006/relationships/image" Target="media/image301.png"/><Relationship Id="rId393" Type="http://schemas.openxmlformats.org/officeDocument/2006/relationships/image" Target="media/image343.png"/><Relationship Id="rId407" Type="http://schemas.openxmlformats.org/officeDocument/2006/relationships/image" Target="media/image357.png"/><Relationship Id="rId211" Type="http://schemas.openxmlformats.org/officeDocument/2006/relationships/image" Target="media/image171.png"/><Relationship Id="rId253" Type="http://schemas.openxmlformats.org/officeDocument/2006/relationships/image" Target="media/image213.png"/><Relationship Id="rId295" Type="http://schemas.openxmlformats.org/officeDocument/2006/relationships/image" Target="media/image247.png"/><Relationship Id="rId309" Type="http://schemas.openxmlformats.org/officeDocument/2006/relationships/image" Target="media/image261.png"/><Relationship Id="rId48" Type="http://schemas.openxmlformats.org/officeDocument/2006/relationships/hyperlink" Target="https://www.elconfidencial.com/mercados/2020-03-12/lagarde-bce-coronavirus-crisis-mercados_2494415/" TargetMode="External"/><Relationship Id="rId113" Type="http://schemas.openxmlformats.org/officeDocument/2006/relationships/image" Target="media/image78.png"/><Relationship Id="rId320" Type="http://schemas.openxmlformats.org/officeDocument/2006/relationships/image" Target="media/image272.png"/><Relationship Id="rId155" Type="http://schemas.openxmlformats.org/officeDocument/2006/relationships/image" Target="media/image115.png"/><Relationship Id="rId197" Type="http://schemas.openxmlformats.org/officeDocument/2006/relationships/image" Target="media/image157.png"/><Relationship Id="rId362" Type="http://schemas.openxmlformats.org/officeDocument/2006/relationships/image" Target="media/image312.png"/><Relationship Id="rId418" Type="http://schemas.openxmlformats.org/officeDocument/2006/relationships/image" Target="media/image368.jpeg"/><Relationship Id="rId222" Type="http://schemas.openxmlformats.org/officeDocument/2006/relationships/image" Target="media/image182.png"/><Relationship Id="rId264" Type="http://schemas.openxmlformats.org/officeDocument/2006/relationships/image" Target="media/image224.png"/><Relationship Id="rId17" Type="http://schemas.openxmlformats.org/officeDocument/2006/relationships/hyperlink" Target="https://www.frbsf.org/economic-research/files/wp2020-09.pdf" TargetMode="External"/><Relationship Id="rId59" Type="http://schemas.openxmlformats.org/officeDocument/2006/relationships/image" Target="media/image28.png"/><Relationship Id="rId124" Type="http://schemas.openxmlformats.org/officeDocument/2006/relationships/image" Target="media/image84.png"/><Relationship Id="rId70" Type="http://schemas.openxmlformats.org/officeDocument/2006/relationships/image" Target="media/image39.png"/><Relationship Id="rId166" Type="http://schemas.openxmlformats.org/officeDocument/2006/relationships/image" Target="media/image126.png"/><Relationship Id="rId331" Type="http://schemas.openxmlformats.org/officeDocument/2006/relationships/image" Target="media/image283.png"/><Relationship Id="rId373" Type="http://schemas.openxmlformats.org/officeDocument/2006/relationships/image" Target="media/image323.png"/><Relationship Id="rId429" Type="http://schemas.openxmlformats.org/officeDocument/2006/relationships/image" Target="media/image379.jpeg"/><Relationship Id="rId1" Type="http://schemas.openxmlformats.org/officeDocument/2006/relationships/customXml" Target="../customXml/item1.xml"/><Relationship Id="rId233" Type="http://schemas.openxmlformats.org/officeDocument/2006/relationships/image" Target="media/image19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F6F6A9-F7D7-408F-9284-652B319517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288</Pages>
  <Words>69619</Words>
  <Characters>382907</Characters>
  <Application>Microsoft Office Word</Application>
  <DocSecurity>0</DocSecurity>
  <Lines>3190</Lines>
  <Paragraphs>903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451623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2020-07-03T11:47:00Z</dcterms:created>
  <dcterms:modified xsi:type="dcterms:W3CDTF">2020-07-03T11:47:00Z</dcterms:modified>
</cp:coreProperties>
</file>