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552AD" w:rsidRPr="007552AD" w:rsidRDefault="002D2980" w:rsidP="00FA4DA9">
      <w:pPr>
        <w:spacing w:line="240" w:lineRule="auto"/>
        <w:jc w:val="both"/>
        <w:rPr>
          <w:rFonts w:ascii="Times New Roman" w:hAnsi="Times New Roman" w:cs="Times New Roman"/>
          <w:b/>
          <w:sz w:val="24"/>
          <w:szCs w:val="24"/>
        </w:rPr>
      </w:pPr>
      <w:r w:rsidRPr="002D2980">
        <w:rPr>
          <w:rFonts w:ascii="Times New Roman" w:hAnsi="Times New Roman" w:cs="Times New Roman"/>
          <w:b/>
          <w:sz w:val="24"/>
          <w:szCs w:val="24"/>
        </w:rPr>
        <w:t xml:space="preserve">Paper - </w:t>
      </w:r>
      <w:r w:rsidR="007552AD">
        <w:rPr>
          <w:rFonts w:ascii="Times New Roman" w:hAnsi="Times New Roman" w:cs="Times New Roman"/>
          <w:b/>
          <w:sz w:val="24"/>
          <w:szCs w:val="24"/>
        </w:rPr>
        <w:t>La “metamorfosis”</w:t>
      </w:r>
      <w:r>
        <w:rPr>
          <w:rFonts w:ascii="Times New Roman" w:hAnsi="Times New Roman" w:cs="Times New Roman"/>
          <w:b/>
          <w:sz w:val="24"/>
          <w:szCs w:val="24"/>
        </w:rPr>
        <w:t xml:space="preserve"> de los Bancos Centrales</w:t>
      </w:r>
      <w:r w:rsidR="003E18A2">
        <w:rPr>
          <w:rFonts w:ascii="Times New Roman" w:hAnsi="Times New Roman" w:cs="Times New Roman"/>
          <w:b/>
          <w:sz w:val="24"/>
          <w:szCs w:val="24"/>
        </w:rPr>
        <w:t xml:space="preserve"> de los países avanzados: </w:t>
      </w:r>
      <w:r>
        <w:rPr>
          <w:rFonts w:ascii="Times New Roman" w:hAnsi="Times New Roman" w:cs="Times New Roman"/>
          <w:b/>
          <w:sz w:val="24"/>
          <w:szCs w:val="24"/>
        </w:rPr>
        <w:t>de guardianes de la ortodoxi</w:t>
      </w:r>
      <w:r w:rsidR="007552AD">
        <w:rPr>
          <w:rFonts w:ascii="Times New Roman" w:hAnsi="Times New Roman" w:cs="Times New Roman"/>
          <w:b/>
          <w:sz w:val="24"/>
          <w:szCs w:val="24"/>
        </w:rPr>
        <w:t>a monetaria, a</w:t>
      </w:r>
      <w:r w:rsidR="004228E9">
        <w:rPr>
          <w:rFonts w:ascii="Times New Roman" w:hAnsi="Times New Roman" w:cs="Times New Roman"/>
          <w:b/>
          <w:sz w:val="24"/>
          <w:szCs w:val="24"/>
        </w:rPr>
        <w:t xml:space="preserve"> practicar políticas acomodaticias</w:t>
      </w:r>
      <w:r w:rsidR="006D2378">
        <w:rPr>
          <w:rFonts w:ascii="Times New Roman" w:hAnsi="Times New Roman" w:cs="Times New Roman"/>
          <w:b/>
          <w:sz w:val="24"/>
          <w:szCs w:val="24"/>
        </w:rPr>
        <w:t xml:space="preserve"> </w:t>
      </w:r>
      <w:r w:rsidR="0009592D">
        <w:rPr>
          <w:rFonts w:ascii="Times New Roman" w:hAnsi="Times New Roman" w:cs="Times New Roman"/>
          <w:b/>
          <w:sz w:val="24"/>
          <w:szCs w:val="24"/>
        </w:rPr>
        <w:t>-creando</w:t>
      </w:r>
      <w:r w:rsidR="007552AD" w:rsidRPr="007552AD">
        <w:rPr>
          <w:rFonts w:ascii="Times New Roman" w:hAnsi="Times New Roman" w:cs="Times New Roman"/>
          <w:b/>
          <w:sz w:val="24"/>
          <w:szCs w:val="24"/>
        </w:rPr>
        <w:t xml:space="preserve"> dinero</w:t>
      </w:r>
      <w:r w:rsidR="004228E9">
        <w:rPr>
          <w:rFonts w:ascii="Times New Roman" w:hAnsi="Times New Roman" w:cs="Times New Roman"/>
          <w:b/>
          <w:sz w:val="24"/>
          <w:szCs w:val="24"/>
        </w:rPr>
        <w:t>-</w:t>
      </w:r>
      <w:r w:rsidR="006D2378">
        <w:rPr>
          <w:rFonts w:ascii="Times New Roman" w:hAnsi="Times New Roman" w:cs="Times New Roman"/>
          <w:b/>
          <w:sz w:val="24"/>
          <w:szCs w:val="24"/>
        </w:rPr>
        <w:t xml:space="preserve">, para “financiar” la emisión de deuda, </w:t>
      </w:r>
      <w:r w:rsidR="002177AA">
        <w:rPr>
          <w:rFonts w:ascii="Times New Roman" w:hAnsi="Times New Roman" w:cs="Times New Roman"/>
          <w:b/>
          <w:sz w:val="24"/>
          <w:szCs w:val="24"/>
        </w:rPr>
        <w:t>y</w:t>
      </w:r>
      <w:r w:rsidR="003E18A2">
        <w:rPr>
          <w:rFonts w:ascii="Times New Roman" w:hAnsi="Times New Roman" w:cs="Times New Roman"/>
          <w:b/>
          <w:sz w:val="24"/>
          <w:szCs w:val="24"/>
        </w:rPr>
        <w:t xml:space="preserve"> bajar</w:t>
      </w:r>
      <w:r w:rsidR="004228E9">
        <w:rPr>
          <w:rFonts w:ascii="Times New Roman" w:hAnsi="Times New Roman" w:cs="Times New Roman"/>
          <w:b/>
          <w:sz w:val="24"/>
          <w:szCs w:val="24"/>
        </w:rPr>
        <w:t xml:space="preserve"> artificialmente</w:t>
      </w:r>
      <w:r w:rsidR="006D2378">
        <w:rPr>
          <w:rFonts w:ascii="Times New Roman" w:hAnsi="Times New Roman" w:cs="Times New Roman"/>
          <w:b/>
          <w:sz w:val="24"/>
          <w:szCs w:val="24"/>
        </w:rPr>
        <w:t xml:space="preserve"> los tipos de </w:t>
      </w:r>
      <w:r w:rsidR="002177AA">
        <w:rPr>
          <w:rFonts w:ascii="Times New Roman" w:hAnsi="Times New Roman" w:cs="Times New Roman"/>
          <w:b/>
          <w:sz w:val="24"/>
          <w:szCs w:val="24"/>
        </w:rPr>
        <w:t>interés, para</w:t>
      </w:r>
      <w:r w:rsidR="006D2378">
        <w:rPr>
          <w:rFonts w:ascii="Times New Roman" w:hAnsi="Times New Roman" w:cs="Times New Roman"/>
          <w:b/>
          <w:sz w:val="24"/>
          <w:szCs w:val="24"/>
        </w:rPr>
        <w:t xml:space="preserve"> “</w:t>
      </w:r>
      <w:r w:rsidR="002177AA">
        <w:rPr>
          <w:rFonts w:ascii="Times New Roman" w:hAnsi="Times New Roman" w:cs="Times New Roman"/>
          <w:b/>
          <w:sz w:val="24"/>
          <w:szCs w:val="24"/>
        </w:rPr>
        <w:t>dopar</w:t>
      </w:r>
      <w:r w:rsidR="006D2378">
        <w:rPr>
          <w:rFonts w:ascii="Times New Roman" w:hAnsi="Times New Roman" w:cs="Times New Roman"/>
          <w:b/>
          <w:sz w:val="24"/>
          <w:szCs w:val="24"/>
        </w:rPr>
        <w:t>”</w:t>
      </w:r>
      <w:r w:rsidR="002177AA">
        <w:rPr>
          <w:rFonts w:ascii="Times New Roman" w:hAnsi="Times New Roman" w:cs="Times New Roman"/>
          <w:b/>
          <w:sz w:val="24"/>
          <w:szCs w:val="24"/>
        </w:rPr>
        <w:t xml:space="preserve"> a los</w:t>
      </w:r>
      <w:r w:rsidR="006D2378">
        <w:rPr>
          <w:rFonts w:ascii="Times New Roman" w:hAnsi="Times New Roman" w:cs="Times New Roman"/>
          <w:b/>
          <w:sz w:val="24"/>
          <w:szCs w:val="24"/>
        </w:rPr>
        <w:t xml:space="preserve"> mercado</w:t>
      </w:r>
      <w:r w:rsidR="002177AA">
        <w:rPr>
          <w:rFonts w:ascii="Times New Roman" w:hAnsi="Times New Roman" w:cs="Times New Roman"/>
          <w:b/>
          <w:sz w:val="24"/>
          <w:szCs w:val="24"/>
        </w:rPr>
        <w:t>s</w:t>
      </w:r>
      <w:r w:rsidR="006D2378">
        <w:rPr>
          <w:rFonts w:ascii="Times New Roman" w:hAnsi="Times New Roman" w:cs="Times New Roman"/>
          <w:b/>
          <w:sz w:val="24"/>
          <w:szCs w:val="24"/>
        </w:rPr>
        <w:t xml:space="preserve">) </w:t>
      </w:r>
    </w:p>
    <w:p w:rsidR="00AC0525" w:rsidRDefault="002D2980" w:rsidP="00FA4DA9">
      <w:pPr>
        <w:spacing w:line="240" w:lineRule="auto"/>
        <w:jc w:val="both"/>
        <w:rPr>
          <w:rFonts w:ascii="Times New Roman" w:hAnsi="Times New Roman" w:cs="Times New Roman"/>
          <w:b/>
          <w:sz w:val="24"/>
          <w:szCs w:val="24"/>
        </w:rPr>
      </w:pPr>
      <w:r>
        <w:rPr>
          <w:noProof/>
          <w:lang w:eastAsia="es-ES"/>
        </w:rPr>
        <w:drawing>
          <wp:inline distT="0" distB="0" distL="0" distR="0" wp14:anchorId="1A7E3638" wp14:editId="76F2CF4B">
            <wp:extent cx="5734050" cy="3143250"/>
            <wp:effectExtent l="0" t="0" r="0" b="0"/>
            <wp:docPr id="2" name="Imagen 2" descr="Alejandro on Twitter: &amp;quot;–Ahora sí ofrezcanme la hipoteca inversa,  gonorreas.… &amp;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lejandro on Twitter: &amp;quot;–Ahora sí ofrezcanme la hipoteca inversa,  gonorreas.… &amp;quot;"/>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1510" cy="3141858"/>
                    </a:xfrm>
                    <a:prstGeom prst="rect">
                      <a:avLst/>
                    </a:prstGeom>
                    <a:noFill/>
                    <a:ln>
                      <a:noFill/>
                    </a:ln>
                  </pic:spPr>
                </pic:pic>
              </a:graphicData>
            </a:graphic>
          </wp:inline>
        </w:drawing>
      </w:r>
    </w:p>
    <w:p w:rsidR="00934E9D" w:rsidRDefault="002D2980" w:rsidP="00FA4DA9">
      <w:pPr>
        <w:spacing w:line="240" w:lineRule="auto"/>
        <w:jc w:val="both"/>
        <w:rPr>
          <w:rFonts w:ascii="Times New Roman" w:hAnsi="Times New Roman" w:cs="Times New Roman"/>
          <w:b/>
          <w:sz w:val="24"/>
          <w:szCs w:val="24"/>
        </w:rPr>
      </w:pPr>
      <w:r>
        <w:rPr>
          <w:rFonts w:ascii="Times New Roman" w:hAnsi="Times New Roman" w:cs="Times New Roman"/>
          <w:b/>
          <w:sz w:val="24"/>
          <w:szCs w:val="24"/>
        </w:rPr>
        <w:t>- Introducción - La inflación a la sombra de la deuda</w:t>
      </w:r>
      <w:r w:rsidR="00163E76">
        <w:rPr>
          <w:rFonts w:ascii="Times New Roman" w:hAnsi="Times New Roman" w:cs="Times New Roman"/>
          <w:b/>
          <w:sz w:val="24"/>
          <w:szCs w:val="24"/>
        </w:rPr>
        <w:t xml:space="preserve"> (el gran riesgo de la complacencia)</w:t>
      </w:r>
    </w:p>
    <w:p w:rsidR="002D2980" w:rsidRDefault="00FF112C" w:rsidP="00FA4DA9">
      <w:pPr>
        <w:spacing w:line="240" w:lineRule="auto"/>
        <w:jc w:val="both"/>
        <w:rPr>
          <w:rFonts w:ascii="Times New Roman" w:hAnsi="Times New Roman" w:cs="Times New Roman"/>
          <w:b/>
          <w:sz w:val="24"/>
          <w:szCs w:val="24"/>
        </w:rPr>
      </w:pPr>
      <w:r>
        <w:rPr>
          <w:noProof/>
          <w:lang w:eastAsia="es-ES"/>
        </w:rPr>
        <w:drawing>
          <wp:inline distT="0" distB="0" distL="0" distR="0" wp14:anchorId="5C075EFD" wp14:editId="21D3FBBC">
            <wp:extent cx="5731510" cy="1693885"/>
            <wp:effectExtent l="0" t="0" r="2540" b="1905"/>
            <wp:docPr id="3" name="Imagen 3" descr="Mafalda on Twitter: &amp;quot;Inflación #MafaldaQuotes… &amp;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falda on Twitter: &amp;quot;Inflación #MafaldaQuotes… &amp;quo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1510" cy="1693885"/>
                    </a:xfrm>
                    <a:prstGeom prst="rect">
                      <a:avLst/>
                    </a:prstGeom>
                    <a:noFill/>
                    <a:ln>
                      <a:noFill/>
                    </a:ln>
                  </pic:spPr>
                </pic:pic>
              </a:graphicData>
            </a:graphic>
          </wp:inline>
        </w:drawing>
      </w:r>
    </w:p>
    <w:p w:rsidR="00911B35" w:rsidRDefault="00911B35" w:rsidP="00FA4DA9">
      <w:pPr>
        <w:spacing w:line="240" w:lineRule="auto"/>
        <w:jc w:val="both"/>
        <w:rPr>
          <w:rFonts w:ascii="Times New Roman" w:hAnsi="Times New Roman" w:cs="Times New Roman"/>
          <w:sz w:val="24"/>
          <w:szCs w:val="24"/>
        </w:rPr>
      </w:pPr>
      <w:r w:rsidRPr="00911B35">
        <w:rPr>
          <w:rFonts w:ascii="Times New Roman" w:hAnsi="Times New Roman" w:cs="Times New Roman"/>
          <w:sz w:val="24"/>
          <w:szCs w:val="24"/>
        </w:rPr>
        <w:t>Es muy difícil</w:t>
      </w:r>
      <w:r>
        <w:rPr>
          <w:rFonts w:ascii="Times New Roman" w:hAnsi="Times New Roman" w:cs="Times New Roman"/>
          <w:sz w:val="24"/>
          <w:szCs w:val="24"/>
        </w:rPr>
        <w:t xml:space="preserve"> que alguien que no haya vivido las experiencias inflacionarias</w:t>
      </w:r>
      <w:r w:rsidR="00AC0525">
        <w:rPr>
          <w:rFonts w:ascii="Times New Roman" w:hAnsi="Times New Roman" w:cs="Times New Roman"/>
          <w:sz w:val="24"/>
          <w:szCs w:val="24"/>
        </w:rPr>
        <w:t xml:space="preserve"> extremas</w:t>
      </w:r>
      <w:r>
        <w:rPr>
          <w:rFonts w:ascii="Times New Roman" w:hAnsi="Times New Roman" w:cs="Times New Roman"/>
          <w:sz w:val="24"/>
          <w:szCs w:val="24"/>
        </w:rPr>
        <w:t xml:space="preserve"> de </w:t>
      </w:r>
      <w:r w:rsidRPr="00A92B2F">
        <w:rPr>
          <w:rFonts w:ascii="Times New Roman" w:hAnsi="Times New Roman" w:cs="Times New Roman"/>
          <w:b/>
          <w:sz w:val="24"/>
          <w:szCs w:val="24"/>
        </w:rPr>
        <w:t>Alemania</w:t>
      </w:r>
      <w:r>
        <w:rPr>
          <w:rFonts w:ascii="Times New Roman" w:hAnsi="Times New Roman" w:cs="Times New Roman"/>
          <w:sz w:val="24"/>
          <w:szCs w:val="24"/>
        </w:rPr>
        <w:t xml:space="preserve"> (en 1922-24), de </w:t>
      </w:r>
      <w:r w:rsidRPr="00A92B2F">
        <w:rPr>
          <w:rFonts w:ascii="Times New Roman" w:hAnsi="Times New Roman" w:cs="Times New Roman"/>
          <w:b/>
          <w:sz w:val="24"/>
          <w:szCs w:val="24"/>
        </w:rPr>
        <w:t>Argentina</w:t>
      </w:r>
      <w:r>
        <w:rPr>
          <w:rFonts w:ascii="Times New Roman" w:hAnsi="Times New Roman" w:cs="Times New Roman"/>
          <w:sz w:val="24"/>
          <w:szCs w:val="24"/>
        </w:rPr>
        <w:t xml:space="preserve"> (desde 1944, en adelante), o de </w:t>
      </w:r>
      <w:r w:rsidRPr="00A92B2F">
        <w:rPr>
          <w:rFonts w:ascii="Times New Roman" w:hAnsi="Times New Roman" w:cs="Times New Roman"/>
          <w:b/>
          <w:sz w:val="24"/>
          <w:szCs w:val="24"/>
        </w:rPr>
        <w:t>Zimbabue</w:t>
      </w:r>
      <w:r>
        <w:rPr>
          <w:rFonts w:ascii="Times New Roman" w:hAnsi="Times New Roman" w:cs="Times New Roman"/>
          <w:sz w:val="24"/>
          <w:szCs w:val="24"/>
        </w:rPr>
        <w:t xml:space="preserve"> (desde 2008, en adelante), </w:t>
      </w:r>
      <w:r w:rsidR="00AC0525">
        <w:rPr>
          <w:rFonts w:ascii="Times New Roman" w:hAnsi="Times New Roman" w:cs="Times New Roman"/>
          <w:sz w:val="24"/>
          <w:szCs w:val="24"/>
        </w:rPr>
        <w:t xml:space="preserve">pueda entender el </w:t>
      </w:r>
      <w:r w:rsidR="00D57FA1">
        <w:rPr>
          <w:rFonts w:ascii="Times New Roman" w:hAnsi="Times New Roman" w:cs="Times New Roman"/>
          <w:sz w:val="24"/>
          <w:szCs w:val="24"/>
        </w:rPr>
        <w:t>“terror” que sienten</w:t>
      </w:r>
      <w:r>
        <w:rPr>
          <w:rFonts w:ascii="Times New Roman" w:hAnsi="Times New Roman" w:cs="Times New Roman"/>
          <w:sz w:val="24"/>
          <w:szCs w:val="24"/>
        </w:rPr>
        <w:t xml:space="preserve"> los alemanes, los argentinos o los zimbabuenses</w:t>
      </w:r>
      <w:r w:rsidR="00D57FA1">
        <w:rPr>
          <w:rFonts w:ascii="Times New Roman" w:hAnsi="Times New Roman" w:cs="Times New Roman"/>
          <w:sz w:val="24"/>
          <w:szCs w:val="24"/>
        </w:rPr>
        <w:t>,</w:t>
      </w:r>
      <w:r>
        <w:rPr>
          <w:rFonts w:ascii="Times New Roman" w:hAnsi="Times New Roman" w:cs="Times New Roman"/>
          <w:sz w:val="24"/>
          <w:szCs w:val="24"/>
        </w:rPr>
        <w:t xml:space="preserve"> al aumento descontrolado de los precios. </w:t>
      </w:r>
    </w:p>
    <w:p w:rsidR="008E5805" w:rsidRDefault="00911B35" w:rsidP="00FA4DA9">
      <w:pPr>
        <w:spacing w:line="240" w:lineRule="auto"/>
        <w:jc w:val="both"/>
        <w:rPr>
          <w:rFonts w:ascii="Times New Roman" w:hAnsi="Times New Roman" w:cs="Times New Roman"/>
          <w:sz w:val="24"/>
          <w:szCs w:val="24"/>
        </w:rPr>
      </w:pPr>
      <w:r w:rsidRPr="00911B35">
        <w:rPr>
          <w:rFonts w:ascii="Times New Roman" w:hAnsi="Times New Roman" w:cs="Times New Roman"/>
          <w:sz w:val="24"/>
          <w:szCs w:val="24"/>
        </w:rPr>
        <w:t>La Hiperinflación es el resultado de un largo periodo de elevada inflación, en la que los precios aumentan sin contr</w:t>
      </w:r>
      <w:r w:rsidR="00AC0525">
        <w:rPr>
          <w:rFonts w:ascii="Times New Roman" w:hAnsi="Times New Roman" w:cs="Times New Roman"/>
          <w:sz w:val="24"/>
          <w:szCs w:val="24"/>
        </w:rPr>
        <w:t>ol y la moneda pierde su valor</w:t>
      </w:r>
      <w:r w:rsidRPr="00911B35">
        <w:rPr>
          <w:rFonts w:ascii="Times New Roman" w:hAnsi="Times New Roman" w:cs="Times New Roman"/>
          <w:sz w:val="24"/>
          <w:szCs w:val="24"/>
        </w:rPr>
        <w:t>... A lo largo de la historia la hiperinflación se ha asociado a conflictos bélicos o sus consecuencias, crisis de divisas o desestabilización política o social de un país.</w:t>
      </w:r>
    </w:p>
    <w:p w:rsidR="00AC0525" w:rsidRDefault="00AC0525" w:rsidP="00FA4DA9">
      <w:pPr>
        <w:spacing w:line="240" w:lineRule="auto"/>
        <w:jc w:val="both"/>
        <w:rPr>
          <w:rFonts w:ascii="Times New Roman" w:hAnsi="Times New Roman" w:cs="Times New Roman"/>
          <w:sz w:val="24"/>
          <w:szCs w:val="24"/>
        </w:rPr>
      </w:pPr>
    </w:p>
    <w:p w:rsidR="008E5805" w:rsidRDefault="008E5805" w:rsidP="00FA4DA9">
      <w:pPr>
        <w:spacing w:line="240" w:lineRule="auto"/>
        <w:jc w:val="both"/>
        <w:rPr>
          <w:rFonts w:ascii="Times New Roman" w:hAnsi="Times New Roman" w:cs="Times New Roman"/>
          <w:sz w:val="24"/>
          <w:szCs w:val="24"/>
        </w:rPr>
      </w:pPr>
      <w:r w:rsidRPr="008E5805">
        <w:rPr>
          <w:rFonts w:ascii="Times New Roman" w:hAnsi="Times New Roman" w:cs="Times New Roman"/>
          <w:sz w:val="24"/>
          <w:szCs w:val="24"/>
        </w:rPr>
        <w:t xml:space="preserve">Durante el período 1922-1924 </w:t>
      </w:r>
      <w:r w:rsidRPr="00AC0525">
        <w:rPr>
          <w:rFonts w:ascii="Times New Roman" w:hAnsi="Times New Roman" w:cs="Times New Roman"/>
          <w:b/>
          <w:sz w:val="24"/>
          <w:szCs w:val="24"/>
        </w:rPr>
        <w:t>Alemania</w:t>
      </w:r>
      <w:r w:rsidRPr="008E5805">
        <w:rPr>
          <w:rFonts w:ascii="Times New Roman" w:hAnsi="Times New Roman" w:cs="Times New Roman"/>
          <w:sz w:val="24"/>
          <w:szCs w:val="24"/>
        </w:rPr>
        <w:t xml:space="preserve"> fue presa de este fenómeno. La principal causa imputable a tal hecho fue la necesidad que tenía la República de Weimar de hacer frente a las indemnizaciones fijadas por los vencedores de la Gran Guerra (Tratado de Versalles).</w:t>
      </w:r>
    </w:p>
    <w:p w:rsidR="008E5805" w:rsidRPr="008E5805" w:rsidRDefault="00AC0525"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8E5805" w:rsidRPr="008E5805">
        <w:rPr>
          <w:rFonts w:ascii="Times New Roman" w:hAnsi="Times New Roman" w:cs="Times New Roman"/>
          <w:noProof/>
          <w:sz w:val="24"/>
          <w:szCs w:val="24"/>
          <w:lang w:eastAsia="es-ES"/>
        </w:rPr>
        <w:drawing>
          <wp:inline distT="0" distB="0" distL="0" distR="0" wp14:anchorId="5C6D1D62" wp14:editId="610D1A62">
            <wp:extent cx="4439270" cy="2610214"/>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4439270" cy="2610214"/>
                    </a:xfrm>
                    <a:prstGeom prst="rect">
                      <a:avLst/>
                    </a:prstGeom>
                  </pic:spPr>
                </pic:pic>
              </a:graphicData>
            </a:graphic>
          </wp:inline>
        </w:drawing>
      </w:r>
    </w:p>
    <w:p w:rsidR="008E5805" w:rsidRPr="008E5805" w:rsidRDefault="008E5805" w:rsidP="00FA4DA9">
      <w:pPr>
        <w:spacing w:line="240" w:lineRule="auto"/>
        <w:jc w:val="both"/>
        <w:rPr>
          <w:rFonts w:ascii="Times New Roman" w:hAnsi="Times New Roman" w:cs="Times New Roman"/>
          <w:sz w:val="24"/>
          <w:szCs w:val="24"/>
        </w:rPr>
      </w:pPr>
      <w:r w:rsidRPr="008E5805">
        <w:rPr>
          <w:rFonts w:ascii="Times New Roman" w:hAnsi="Times New Roman" w:cs="Times New Roman"/>
          <w:sz w:val="24"/>
          <w:szCs w:val="24"/>
        </w:rPr>
        <w:t>Evolución del índice de precios al por mayor en Alemania</w:t>
      </w:r>
    </w:p>
    <w:p w:rsidR="002D2980" w:rsidRDefault="008E5805" w:rsidP="00FA4DA9">
      <w:pPr>
        <w:spacing w:line="240" w:lineRule="auto"/>
        <w:jc w:val="both"/>
        <w:rPr>
          <w:rFonts w:ascii="Times New Roman" w:hAnsi="Times New Roman" w:cs="Times New Roman"/>
          <w:sz w:val="24"/>
          <w:szCs w:val="24"/>
        </w:rPr>
      </w:pPr>
      <w:r w:rsidRPr="008E5805">
        <w:rPr>
          <w:rFonts w:ascii="Times New Roman" w:hAnsi="Times New Roman" w:cs="Times New Roman"/>
          <w:sz w:val="24"/>
          <w:szCs w:val="24"/>
        </w:rPr>
        <w:t xml:space="preserve">La mayor parte de los pagos se efectuaron emitiendo dinero sin límite. En 1923 franceses y belgas invadieron el Ruhr, una de las zonas más industrializadas de </w:t>
      </w:r>
      <w:r w:rsidRPr="00AC0525">
        <w:rPr>
          <w:rFonts w:ascii="Times New Roman" w:hAnsi="Times New Roman" w:cs="Times New Roman"/>
          <w:sz w:val="24"/>
          <w:szCs w:val="24"/>
        </w:rPr>
        <w:t>Alemania</w:t>
      </w:r>
      <w:r w:rsidRPr="008E5805">
        <w:rPr>
          <w:rFonts w:ascii="Times New Roman" w:hAnsi="Times New Roman" w:cs="Times New Roman"/>
          <w:sz w:val="24"/>
          <w:szCs w:val="24"/>
        </w:rPr>
        <w:t xml:space="preserve"> como medida de presión para que ésta reiniciase los pagos que había suspendido unilateralmente. El gobierno alemán incitó a la resistencia pasiva y como compensación a los industriales alemanes que se habían visto obligados a paralizar su producción, se emitió gran cantidad de moneda. Los billetes puestos en circulación por el Estado hicieron subir los precios y la moneda sufrió un incremento de su valor nominal sin la menor correspondencia con su poder de compra real. En 1923 se llegaron a emitir billetes con un valor teórico de cientos de millones de marcos. </w:t>
      </w:r>
    </w:p>
    <w:p w:rsidR="00AC0525" w:rsidRDefault="00AC0525" w:rsidP="00FA4DA9">
      <w:pPr>
        <w:spacing w:line="240" w:lineRule="auto"/>
        <w:jc w:val="both"/>
        <w:rPr>
          <w:rFonts w:ascii="Times New Roman" w:hAnsi="Times New Roman" w:cs="Times New Roman"/>
          <w:sz w:val="24"/>
          <w:szCs w:val="24"/>
        </w:rPr>
      </w:pPr>
    </w:p>
    <w:p w:rsidR="008E5805" w:rsidRDefault="008E5805"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911B35">
        <w:rPr>
          <w:rFonts w:ascii="Times New Roman" w:hAnsi="Times New Roman" w:cs="Times New Roman"/>
          <w:b/>
          <w:sz w:val="24"/>
          <w:szCs w:val="24"/>
        </w:rPr>
        <w:t>Argentina</w:t>
      </w:r>
      <w:r w:rsidRPr="008E5805">
        <w:rPr>
          <w:rFonts w:ascii="Times New Roman" w:hAnsi="Times New Roman" w:cs="Times New Roman"/>
          <w:sz w:val="24"/>
          <w:szCs w:val="24"/>
        </w:rPr>
        <w:t xml:space="preserve"> tuvo inflación baja hasta 1944. En promedio, entre 1810 y 1944, fue del 2,7% anual. Hubo algunos años particulares como 1838 donde fue de casi 100% por el bloqueo del puerto de Buenos Aires, pero al cabo de tres años hubo deflación, cuando el bloqueo se</w:t>
      </w:r>
      <w:r>
        <w:rPr>
          <w:rFonts w:ascii="Times New Roman" w:hAnsi="Times New Roman" w:cs="Times New Roman"/>
          <w:sz w:val="24"/>
          <w:szCs w:val="24"/>
        </w:rPr>
        <w:t xml:space="preserve"> acabó”</w:t>
      </w:r>
      <w:r w:rsidRPr="008E5805">
        <w:rPr>
          <w:rFonts w:ascii="Times New Roman" w:hAnsi="Times New Roman" w:cs="Times New Roman"/>
          <w:sz w:val="24"/>
          <w:szCs w:val="24"/>
        </w:rPr>
        <w:t>, detalla el economista Fausto Spotorno, quien realizó el cálculo para la tercera edición de “Dos siglos de economía argentina”, un libro de 1.100 páginas</w:t>
      </w:r>
      <w:r w:rsidR="00EB7692">
        <w:rPr>
          <w:rFonts w:ascii="Times New Roman" w:hAnsi="Times New Roman" w:cs="Times New Roman"/>
          <w:sz w:val="24"/>
          <w:szCs w:val="24"/>
        </w:rPr>
        <w:t>.</w:t>
      </w:r>
    </w:p>
    <w:p w:rsidR="008E5805" w:rsidRPr="008E5805" w:rsidRDefault="008E5805" w:rsidP="00FA4DA9">
      <w:pPr>
        <w:spacing w:line="240" w:lineRule="auto"/>
        <w:jc w:val="both"/>
        <w:rPr>
          <w:rFonts w:ascii="Times New Roman" w:hAnsi="Times New Roman" w:cs="Times New Roman"/>
          <w:sz w:val="24"/>
          <w:szCs w:val="24"/>
        </w:rPr>
      </w:pPr>
      <w:r w:rsidRPr="008E5805">
        <w:rPr>
          <w:rFonts w:ascii="Times New Roman" w:hAnsi="Times New Roman" w:cs="Times New Roman"/>
          <w:sz w:val="24"/>
          <w:szCs w:val="24"/>
        </w:rPr>
        <w:t>“Incluso durante la crisis del 30 hubo deflación en Argentina. La inflación empieza a ser un problema en el año 1945. Esa es la primera vez que salta a casi 20% y se mantiene elevada de forma consistente por 7 años, con un promedio de inflación anual de 24%”, explica Spotorno, director del Centro de Estudios Económicos de la consultora Orlando J. Ferreres y vicepresidente de la Fundación Norte y Sur, que edita el libro. “Luego baja muy brevemente, pero vuelve a subir hasta superar el 100% por primera vez en 1959”, agrega.</w:t>
      </w:r>
    </w:p>
    <w:p w:rsidR="00911B35" w:rsidRDefault="008E5805" w:rsidP="00FA4DA9">
      <w:pPr>
        <w:spacing w:line="240" w:lineRule="auto"/>
        <w:jc w:val="both"/>
        <w:rPr>
          <w:rFonts w:ascii="Times New Roman" w:hAnsi="Times New Roman" w:cs="Times New Roman"/>
          <w:sz w:val="24"/>
          <w:szCs w:val="24"/>
        </w:rPr>
      </w:pPr>
      <w:r w:rsidRPr="008E5805">
        <w:rPr>
          <w:rFonts w:ascii="Times New Roman" w:hAnsi="Times New Roman" w:cs="Times New Roman"/>
          <w:sz w:val="24"/>
          <w:szCs w:val="24"/>
        </w:rPr>
        <w:t>Para el cálculo del índice promedio se usó el promedio anual porque no hay datos mensuales de la primera parte del período. La media anual histórica ronda el 20%, menos de la mitad de la inflación prevista para este año.</w:t>
      </w:r>
    </w:p>
    <w:p w:rsidR="008E5805" w:rsidRPr="008E5805" w:rsidRDefault="008E5805" w:rsidP="00FA4DA9">
      <w:pPr>
        <w:spacing w:line="240" w:lineRule="auto"/>
        <w:jc w:val="both"/>
        <w:rPr>
          <w:rFonts w:ascii="Times New Roman" w:hAnsi="Times New Roman" w:cs="Times New Roman"/>
          <w:sz w:val="24"/>
          <w:szCs w:val="24"/>
        </w:rPr>
      </w:pPr>
      <w:r w:rsidRPr="008E5805">
        <w:rPr>
          <w:rFonts w:ascii="Times New Roman" w:hAnsi="Times New Roman" w:cs="Times New Roman"/>
          <w:sz w:val="24"/>
          <w:szCs w:val="24"/>
        </w:rPr>
        <w:t>Después de 1945</w:t>
      </w:r>
    </w:p>
    <w:p w:rsidR="008E5805" w:rsidRPr="008E5805" w:rsidRDefault="008E5805" w:rsidP="00FA4DA9">
      <w:pPr>
        <w:spacing w:line="240" w:lineRule="auto"/>
        <w:jc w:val="both"/>
        <w:rPr>
          <w:rFonts w:ascii="Times New Roman" w:hAnsi="Times New Roman" w:cs="Times New Roman"/>
          <w:sz w:val="24"/>
          <w:szCs w:val="24"/>
        </w:rPr>
      </w:pPr>
      <w:r w:rsidRPr="008E5805">
        <w:rPr>
          <w:rFonts w:ascii="Times New Roman" w:hAnsi="Times New Roman" w:cs="Times New Roman"/>
          <w:sz w:val="24"/>
          <w:szCs w:val="24"/>
        </w:rPr>
        <w:t xml:space="preserve">El trabajo histórico indica que hay datos de inflación desde 1868. Entre la declaración de la libertad y ese año se calculó en base a algunos registros y libros de historiadores con información de la época colonial con la que se armó una canasta de vida que permitió </w:t>
      </w:r>
      <w:r w:rsidRPr="008E5805">
        <w:rPr>
          <w:rFonts w:ascii="Times New Roman" w:hAnsi="Times New Roman" w:cs="Times New Roman"/>
          <w:sz w:val="24"/>
          <w:szCs w:val="24"/>
        </w:rPr>
        <w:lastRenderedPageBreak/>
        <w:t>establecer el índice de ese periodo. “En el 45 salta 20% y a partir de ahí no paró. En rigor, en 1953/4 hubo dos años de 4%, pero luego de e</w:t>
      </w:r>
      <w:r>
        <w:rPr>
          <w:rFonts w:ascii="Times New Roman" w:hAnsi="Times New Roman" w:cs="Times New Roman"/>
          <w:sz w:val="24"/>
          <w:szCs w:val="24"/>
        </w:rPr>
        <w:t>so, sin frenos”, dice Spotorno.</w:t>
      </w:r>
    </w:p>
    <w:p w:rsidR="008E5805" w:rsidRPr="008E5805" w:rsidRDefault="008E5805"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¿Qué pasó?</w:t>
      </w:r>
    </w:p>
    <w:p w:rsidR="008E5805" w:rsidRDefault="008E5805" w:rsidP="00FA4DA9">
      <w:pPr>
        <w:spacing w:line="240" w:lineRule="auto"/>
        <w:jc w:val="both"/>
        <w:rPr>
          <w:rFonts w:ascii="Times New Roman" w:hAnsi="Times New Roman" w:cs="Times New Roman"/>
          <w:sz w:val="24"/>
          <w:szCs w:val="24"/>
        </w:rPr>
      </w:pPr>
      <w:r w:rsidRPr="008E5805">
        <w:rPr>
          <w:rFonts w:ascii="Times New Roman" w:hAnsi="Times New Roman" w:cs="Times New Roman"/>
          <w:sz w:val="24"/>
          <w:szCs w:val="24"/>
        </w:rPr>
        <w:t>En 1946 se estatizó el Banco Central, pero en la década del 30 ya se venía emitiendo mucho para frenar los precios. También hubo impacto de la Segunda Guerra que generó falta de bienes a escala global y unos años locales de falta de cobro de exportaciones. Había condiciones especiales, preexistentes, y también impactaron medidas que fue tomando Perón. Pero la suba viene de un poco antes, desde 1941, con fuerte aumento de la cantidad de dinero. Luego fue todo para arriba: el primer año de los militares subió 444% y hasta el Plan Austral estuvimos por encima de 100%. El Austral la bajó sólo a 90% y el Plan Primavera ni la movió. Luego, la hiperinflación.</w:t>
      </w:r>
    </w:p>
    <w:p w:rsidR="008E5805" w:rsidRDefault="008E5805" w:rsidP="00FA4DA9">
      <w:pPr>
        <w:spacing w:line="240" w:lineRule="auto"/>
        <w:jc w:val="both"/>
        <w:rPr>
          <w:rFonts w:ascii="Times New Roman" w:hAnsi="Times New Roman" w:cs="Times New Roman"/>
          <w:sz w:val="24"/>
          <w:szCs w:val="24"/>
        </w:rPr>
      </w:pPr>
      <w:r w:rsidRPr="008E5805">
        <w:rPr>
          <w:rFonts w:ascii="Times New Roman" w:hAnsi="Times New Roman" w:cs="Times New Roman"/>
          <w:noProof/>
          <w:sz w:val="24"/>
          <w:szCs w:val="24"/>
          <w:lang w:eastAsia="es-ES"/>
        </w:rPr>
        <w:drawing>
          <wp:inline distT="0" distB="0" distL="0" distR="0" wp14:anchorId="4EB9FD03" wp14:editId="502C4D02">
            <wp:extent cx="5729274" cy="3721100"/>
            <wp:effectExtent l="0" t="0" r="508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731510" cy="3722552"/>
                    </a:xfrm>
                    <a:prstGeom prst="rect">
                      <a:avLst/>
                    </a:prstGeom>
                  </pic:spPr>
                </pic:pic>
              </a:graphicData>
            </a:graphic>
          </wp:inline>
        </w:drawing>
      </w:r>
    </w:p>
    <w:p w:rsidR="008E5805" w:rsidRPr="008E5805" w:rsidRDefault="008E5805" w:rsidP="00FA4DA9">
      <w:pPr>
        <w:spacing w:line="240" w:lineRule="auto"/>
        <w:jc w:val="both"/>
        <w:rPr>
          <w:rFonts w:ascii="Times New Roman" w:hAnsi="Times New Roman" w:cs="Times New Roman"/>
          <w:sz w:val="24"/>
          <w:szCs w:val="24"/>
        </w:rPr>
      </w:pPr>
      <w:r w:rsidRPr="008E5805">
        <w:rPr>
          <w:rFonts w:ascii="Times New Roman" w:hAnsi="Times New Roman" w:cs="Times New Roman"/>
          <w:sz w:val="24"/>
          <w:szCs w:val="24"/>
        </w:rPr>
        <w:t xml:space="preserve">En una columna </w:t>
      </w:r>
      <w:r>
        <w:rPr>
          <w:rFonts w:ascii="Times New Roman" w:hAnsi="Times New Roman" w:cs="Times New Roman"/>
          <w:sz w:val="24"/>
          <w:szCs w:val="24"/>
        </w:rPr>
        <w:t>publicada a fines del año 2019</w:t>
      </w:r>
      <w:r w:rsidRPr="008E5805">
        <w:rPr>
          <w:rFonts w:ascii="Times New Roman" w:hAnsi="Times New Roman" w:cs="Times New Roman"/>
          <w:sz w:val="24"/>
          <w:szCs w:val="24"/>
        </w:rPr>
        <w:t xml:space="preserve"> en Infobae por Roberto Cachanosky, en la que se toma el cálculo desde que se creó el Banco Central, en 1935, se destaca que en esa franja “se destruyeron: 1) el peso moneda nacional, 2) el peso ley 18.188. 3) el peso argentino, 4) el austral y 5) éste, que está agonizando. Un peso actual es igual a 10.000.000.000.000 de pesos moneda nacional, es decir, 10 billones de pesos moneda nacional</w:t>
      </w:r>
      <w:r>
        <w:rPr>
          <w:rFonts w:ascii="Times New Roman" w:hAnsi="Times New Roman" w:cs="Times New Roman"/>
          <w:sz w:val="24"/>
          <w:szCs w:val="24"/>
        </w:rPr>
        <w:t>”.</w:t>
      </w:r>
    </w:p>
    <w:p w:rsidR="008E5805" w:rsidRDefault="008E5805" w:rsidP="00FA4DA9">
      <w:pPr>
        <w:spacing w:line="240" w:lineRule="auto"/>
        <w:jc w:val="both"/>
        <w:rPr>
          <w:rFonts w:ascii="Times New Roman" w:hAnsi="Times New Roman" w:cs="Times New Roman"/>
          <w:sz w:val="24"/>
          <w:szCs w:val="24"/>
        </w:rPr>
      </w:pPr>
      <w:r w:rsidRPr="008E5805">
        <w:rPr>
          <w:rFonts w:ascii="Times New Roman" w:hAnsi="Times New Roman" w:cs="Times New Roman"/>
          <w:sz w:val="24"/>
          <w:szCs w:val="24"/>
        </w:rPr>
        <w:t>Y se compara la inflación de esos años con las de otros países: Estados Unidos tuvo una inflación promedio anual del 3,5%, o sea que la de la Argentina fue 15 veces más grande por año, y la acumulada en esos 83 años fue del 1.732%; en Canadá fue similar, 1.740%; y en Irlanda 6.134%, según la serie de datos del Bank for International Settlements (BIS).</w:t>
      </w:r>
    </w:p>
    <w:p w:rsidR="008E5805" w:rsidRDefault="008E5805" w:rsidP="00FA4DA9">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4E93154D" wp14:editId="7BA50110">
            <wp:extent cx="5727700" cy="3009900"/>
            <wp:effectExtent l="0" t="0" r="6350" b="0"/>
            <wp:docPr id="8" name="Imagen 8" descr="Argentina y la inflación: ″Los argentinos no tienen confianza en su propia  moneda″ | Argentina | DW | 01.12.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rgentina y la inflación: ″Los argentinos no tienen confianza en su propia  moneda″ | Argentina | DW | 01.12.202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31510" cy="3011902"/>
                    </a:xfrm>
                    <a:prstGeom prst="rect">
                      <a:avLst/>
                    </a:prstGeom>
                    <a:noFill/>
                    <a:ln>
                      <a:noFill/>
                    </a:ln>
                  </pic:spPr>
                </pic:pic>
              </a:graphicData>
            </a:graphic>
          </wp:inline>
        </w:drawing>
      </w:r>
    </w:p>
    <w:p w:rsidR="001277C1" w:rsidRDefault="001277C1" w:rsidP="00FA4DA9">
      <w:pPr>
        <w:spacing w:line="240" w:lineRule="auto"/>
        <w:jc w:val="both"/>
        <w:rPr>
          <w:rFonts w:ascii="Times New Roman" w:hAnsi="Times New Roman" w:cs="Times New Roman"/>
          <w:sz w:val="24"/>
          <w:szCs w:val="24"/>
        </w:rPr>
      </w:pPr>
      <w:r w:rsidRPr="001277C1">
        <w:rPr>
          <w:rFonts w:ascii="Times New Roman" w:hAnsi="Times New Roman" w:cs="Times New Roman"/>
          <w:noProof/>
          <w:sz w:val="24"/>
          <w:szCs w:val="24"/>
          <w:lang w:eastAsia="es-ES"/>
        </w:rPr>
        <w:drawing>
          <wp:inline distT="0" distB="0" distL="0" distR="0" wp14:anchorId="0426B7B4" wp14:editId="5C6235A7">
            <wp:extent cx="5726666" cy="3727450"/>
            <wp:effectExtent l="0" t="0" r="7620" b="635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31510" cy="3730603"/>
                    </a:xfrm>
                    <a:prstGeom prst="rect">
                      <a:avLst/>
                    </a:prstGeom>
                  </pic:spPr>
                </pic:pic>
              </a:graphicData>
            </a:graphic>
          </wp:inline>
        </w:drawing>
      </w:r>
    </w:p>
    <w:p w:rsidR="00430E83" w:rsidRDefault="00430E83" w:rsidP="00FA4DA9">
      <w:pPr>
        <w:spacing w:line="240" w:lineRule="auto"/>
        <w:jc w:val="both"/>
        <w:rPr>
          <w:rFonts w:ascii="Times New Roman" w:hAnsi="Times New Roman" w:cs="Times New Roman"/>
          <w:sz w:val="24"/>
          <w:szCs w:val="24"/>
        </w:rPr>
      </w:pPr>
    </w:p>
    <w:p w:rsidR="00430E83" w:rsidRPr="00430E83" w:rsidRDefault="00A92B2F"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Una década después </w:t>
      </w:r>
      <w:r w:rsidR="00430E83" w:rsidRPr="00430E83">
        <w:rPr>
          <w:rFonts w:ascii="Times New Roman" w:hAnsi="Times New Roman" w:cs="Times New Roman"/>
          <w:sz w:val="24"/>
          <w:szCs w:val="24"/>
        </w:rPr>
        <w:t xml:space="preserve">que la hiperinflación alcanzara su punto álgido en </w:t>
      </w:r>
      <w:r w:rsidR="00430E83" w:rsidRPr="00911B35">
        <w:rPr>
          <w:rFonts w:ascii="Times New Roman" w:hAnsi="Times New Roman" w:cs="Times New Roman"/>
          <w:b/>
          <w:sz w:val="24"/>
          <w:szCs w:val="24"/>
        </w:rPr>
        <w:t>Zimbabue</w:t>
      </w:r>
      <w:r w:rsidR="00430E83" w:rsidRPr="00430E83">
        <w:rPr>
          <w:rFonts w:ascii="Times New Roman" w:hAnsi="Times New Roman" w:cs="Times New Roman"/>
          <w:sz w:val="24"/>
          <w:szCs w:val="24"/>
        </w:rPr>
        <w:t>, con un estimado de 500 mil millones</w:t>
      </w:r>
      <w:r w:rsidR="00911B35">
        <w:rPr>
          <w:rFonts w:ascii="Times New Roman" w:hAnsi="Times New Roman" w:cs="Times New Roman"/>
          <w:sz w:val="24"/>
          <w:szCs w:val="24"/>
        </w:rPr>
        <w:t xml:space="preserve"> </w:t>
      </w:r>
      <w:r w:rsidR="00430E83" w:rsidRPr="00430E83">
        <w:rPr>
          <w:rFonts w:ascii="Times New Roman" w:hAnsi="Times New Roman" w:cs="Times New Roman"/>
          <w:sz w:val="24"/>
          <w:szCs w:val="24"/>
        </w:rPr>
        <w:t>%, la economía del país todavía sigue en ruinas, siendo el país incapaz de financiar los servicios públicos básicos, con una enorme tasa de desempleo y emigración.</w:t>
      </w:r>
      <w:r w:rsidR="00430E83">
        <w:rPr>
          <w:rFonts w:ascii="Times New Roman" w:hAnsi="Times New Roman" w:cs="Times New Roman"/>
          <w:sz w:val="24"/>
          <w:szCs w:val="24"/>
        </w:rPr>
        <w:t xml:space="preserve"> (swissinfo.ch - 20/8/</w:t>
      </w:r>
      <w:r w:rsidR="00430E83" w:rsidRPr="00430E83">
        <w:rPr>
          <w:rFonts w:ascii="Times New Roman" w:hAnsi="Times New Roman" w:cs="Times New Roman"/>
          <w:sz w:val="24"/>
          <w:szCs w:val="24"/>
        </w:rPr>
        <w:t>2018</w:t>
      </w:r>
      <w:r w:rsidR="00430E83">
        <w:rPr>
          <w:rFonts w:ascii="Times New Roman" w:hAnsi="Times New Roman" w:cs="Times New Roman"/>
          <w:sz w:val="24"/>
          <w:szCs w:val="24"/>
        </w:rPr>
        <w:t>)</w:t>
      </w:r>
    </w:p>
    <w:p w:rsidR="00430E83" w:rsidRPr="00430E83" w:rsidRDefault="00430E83" w:rsidP="00FA4DA9">
      <w:pPr>
        <w:spacing w:line="240" w:lineRule="auto"/>
        <w:jc w:val="both"/>
        <w:rPr>
          <w:rFonts w:ascii="Times New Roman" w:hAnsi="Times New Roman" w:cs="Times New Roman"/>
          <w:sz w:val="24"/>
          <w:szCs w:val="24"/>
        </w:rPr>
      </w:pPr>
      <w:r w:rsidRPr="00430E83">
        <w:rPr>
          <w:rFonts w:ascii="Times New Roman" w:hAnsi="Times New Roman" w:cs="Times New Roman"/>
          <w:sz w:val="24"/>
          <w:szCs w:val="24"/>
        </w:rPr>
        <w:t>Los precios al consumo en Zimbabue se descontrolaron en una espiral entre 2008 y 2009, cuando el dólar local perdió valor, algo provocado en parte por la expropiación de granjas que eran propiedad de blancos.</w:t>
      </w:r>
    </w:p>
    <w:p w:rsidR="00430E83" w:rsidRPr="00430E83" w:rsidRDefault="00430E83" w:rsidP="00FA4DA9">
      <w:pPr>
        <w:spacing w:line="240" w:lineRule="auto"/>
        <w:jc w:val="both"/>
        <w:rPr>
          <w:rFonts w:ascii="Times New Roman" w:hAnsi="Times New Roman" w:cs="Times New Roman"/>
          <w:sz w:val="24"/>
          <w:szCs w:val="24"/>
        </w:rPr>
      </w:pPr>
      <w:r w:rsidRPr="00430E83">
        <w:rPr>
          <w:rFonts w:ascii="Times New Roman" w:hAnsi="Times New Roman" w:cs="Times New Roman"/>
          <w:sz w:val="24"/>
          <w:szCs w:val="24"/>
        </w:rPr>
        <w:lastRenderedPageBreak/>
        <w:t>Según la producción agrícola caía en picado, el gobierno de Robert Mugabe imprimía enormes cantidades de dólares zimbabuenses, en un intento fallido de zafar de la crisis.</w:t>
      </w:r>
    </w:p>
    <w:p w:rsidR="00430E83" w:rsidRPr="00430E83" w:rsidRDefault="00430E83" w:rsidP="00FA4DA9">
      <w:pPr>
        <w:spacing w:line="240" w:lineRule="auto"/>
        <w:jc w:val="both"/>
        <w:rPr>
          <w:rFonts w:ascii="Times New Roman" w:hAnsi="Times New Roman" w:cs="Times New Roman"/>
          <w:sz w:val="24"/>
          <w:szCs w:val="24"/>
        </w:rPr>
      </w:pPr>
      <w:r w:rsidRPr="00430E83">
        <w:rPr>
          <w:rFonts w:ascii="Times New Roman" w:hAnsi="Times New Roman" w:cs="Times New Roman"/>
          <w:sz w:val="24"/>
          <w:szCs w:val="24"/>
        </w:rPr>
        <w:t>Las tiendas subían los precios de los artículos varias veces al día y, en 2008, se creó un billete de 100 billones de dólares, aunque apenas se podía comprar una barra de pan ya que los suministros se agotaron y la economía sufrió una implosión.</w:t>
      </w:r>
    </w:p>
    <w:p w:rsidR="00430E83" w:rsidRPr="00430E83" w:rsidRDefault="00430E83" w:rsidP="00FA4DA9">
      <w:pPr>
        <w:spacing w:line="240" w:lineRule="auto"/>
        <w:jc w:val="both"/>
        <w:rPr>
          <w:rFonts w:ascii="Times New Roman" w:hAnsi="Times New Roman" w:cs="Times New Roman"/>
          <w:sz w:val="24"/>
          <w:szCs w:val="24"/>
        </w:rPr>
      </w:pPr>
      <w:r w:rsidRPr="00430E83">
        <w:rPr>
          <w:rFonts w:ascii="Times New Roman" w:hAnsi="Times New Roman" w:cs="Times New Roman"/>
          <w:sz w:val="24"/>
          <w:szCs w:val="24"/>
        </w:rPr>
        <w:t xml:space="preserve">Después de varias drásticas devaluaciones, Zimbabue abandonó su moneda en 2009 y </w:t>
      </w:r>
      <w:r>
        <w:rPr>
          <w:rFonts w:ascii="Times New Roman" w:hAnsi="Times New Roman" w:cs="Times New Roman"/>
          <w:sz w:val="24"/>
          <w:szCs w:val="24"/>
        </w:rPr>
        <w:t>adoptó el dólar estadounidense.</w:t>
      </w:r>
    </w:p>
    <w:p w:rsidR="00430E83" w:rsidRPr="00430E83" w:rsidRDefault="00430E83" w:rsidP="00FA4DA9">
      <w:pPr>
        <w:spacing w:line="240" w:lineRule="auto"/>
        <w:jc w:val="both"/>
        <w:rPr>
          <w:rFonts w:ascii="Times New Roman" w:hAnsi="Times New Roman" w:cs="Times New Roman"/>
          <w:sz w:val="24"/>
          <w:szCs w:val="24"/>
        </w:rPr>
      </w:pPr>
      <w:r w:rsidRPr="00430E83">
        <w:rPr>
          <w:rFonts w:ascii="Times New Roman" w:hAnsi="Times New Roman" w:cs="Times New Roman"/>
          <w:sz w:val="24"/>
          <w:szCs w:val="24"/>
        </w:rPr>
        <w:t>Los ahorros, las inversiones, las jubilaciones y pensiones de los zimbabuenses desaparecieron, millones de personas emigraron al exterior y la i</w:t>
      </w:r>
      <w:r>
        <w:rPr>
          <w:rFonts w:ascii="Times New Roman" w:hAnsi="Times New Roman" w:cs="Times New Roman"/>
          <w:sz w:val="24"/>
          <w:szCs w:val="24"/>
        </w:rPr>
        <w:t>nversión extranjera se evaporó.</w:t>
      </w:r>
    </w:p>
    <w:p w:rsidR="00430E83" w:rsidRPr="00430E83" w:rsidRDefault="00430E83" w:rsidP="00FA4DA9">
      <w:pPr>
        <w:spacing w:line="240" w:lineRule="auto"/>
        <w:jc w:val="both"/>
        <w:rPr>
          <w:rFonts w:ascii="Times New Roman" w:hAnsi="Times New Roman" w:cs="Times New Roman"/>
          <w:sz w:val="24"/>
          <w:szCs w:val="24"/>
        </w:rPr>
      </w:pPr>
      <w:r w:rsidRPr="00430E83">
        <w:rPr>
          <w:rFonts w:ascii="Times New Roman" w:hAnsi="Times New Roman" w:cs="Times New Roman"/>
          <w:sz w:val="24"/>
          <w:szCs w:val="24"/>
        </w:rPr>
        <w:t>Los habitantes del país luchaban para hacer rendir sus pocos dólares estadounidenses, aunque la débil actividad económica a menudo se realizaba a través del trueque o en el comercio infor</w:t>
      </w:r>
      <w:r>
        <w:rPr>
          <w:rFonts w:ascii="Times New Roman" w:hAnsi="Times New Roman" w:cs="Times New Roman"/>
          <w:sz w:val="24"/>
          <w:szCs w:val="24"/>
        </w:rPr>
        <w:t>mal.</w:t>
      </w:r>
    </w:p>
    <w:p w:rsidR="00430E83" w:rsidRPr="00430E83" w:rsidRDefault="00430E83" w:rsidP="00FA4DA9">
      <w:pPr>
        <w:spacing w:line="240" w:lineRule="auto"/>
        <w:jc w:val="both"/>
        <w:rPr>
          <w:rFonts w:ascii="Times New Roman" w:hAnsi="Times New Roman" w:cs="Times New Roman"/>
          <w:sz w:val="24"/>
          <w:szCs w:val="24"/>
        </w:rPr>
      </w:pPr>
      <w:r w:rsidRPr="00430E83">
        <w:rPr>
          <w:rFonts w:ascii="Times New Roman" w:hAnsi="Times New Roman" w:cs="Times New Roman"/>
          <w:sz w:val="24"/>
          <w:szCs w:val="24"/>
        </w:rPr>
        <w:t>En 2016, el gobierno intentó abordar la escasez crónica de dólares estadounidenses introduciendo una moneda paralela l</w:t>
      </w:r>
      <w:r w:rsidR="00AC0525">
        <w:rPr>
          <w:rFonts w:ascii="Times New Roman" w:hAnsi="Times New Roman" w:cs="Times New Roman"/>
          <w:sz w:val="24"/>
          <w:szCs w:val="24"/>
        </w:rPr>
        <w:t>lamada “</w:t>
      </w:r>
      <w:r w:rsidR="001A1DDA">
        <w:rPr>
          <w:rFonts w:ascii="Times New Roman" w:hAnsi="Times New Roman" w:cs="Times New Roman"/>
          <w:sz w:val="24"/>
          <w:szCs w:val="24"/>
        </w:rPr>
        <w:t>billetes de bonos”</w:t>
      </w:r>
      <w:r w:rsidRPr="00430E83">
        <w:rPr>
          <w:rFonts w:ascii="Times New Roman" w:hAnsi="Times New Roman" w:cs="Times New Roman"/>
          <w:sz w:val="24"/>
          <w:szCs w:val="24"/>
        </w:rPr>
        <w:t>, que en teoría tiene el mi</w:t>
      </w:r>
      <w:r>
        <w:rPr>
          <w:rFonts w:ascii="Times New Roman" w:hAnsi="Times New Roman" w:cs="Times New Roman"/>
          <w:sz w:val="24"/>
          <w:szCs w:val="24"/>
        </w:rPr>
        <w:t>smo valor que un dólar de EEUU.</w:t>
      </w:r>
    </w:p>
    <w:p w:rsidR="00430E83" w:rsidRDefault="00430E83" w:rsidP="00FA4DA9">
      <w:pPr>
        <w:spacing w:line="240" w:lineRule="auto"/>
        <w:jc w:val="both"/>
        <w:rPr>
          <w:rFonts w:ascii="Times New Roman" w:hAnsi="Times New Roman" w:cs="Times New Roman"/>
          <w:sz w:val="24"/>
          <w:szCs w:val="24"/>
        </w:rPr>
      </w:pPr>
      <w:r w:rsidRPr="00430E83">
        <w:rPr>
          <w:rFonts w:ascii="Times New Roman" w:hAnsi="Times New Roman" w:cs="Times New Roman"/>
          <w:sz w:val="24"/>
          <w:szCs w:val="24"/>
        </w:rPr>
        <w:t>Los billetes de bonos en la realidad cotizan mucho menos que el dólar estadounidense, y muchos zimbabuenses temen que esta moneda pueda volverse inservible tras otra tormenta de hiperinflación.</w:t>
      </w:r>
    </w:p>
    <w:p w:rsidR="001277C1" w:rsidRDefault="001277C1" w:rsidP="00FA4DA9">
      <w:pPr>
        <w:spacing w:line="240" w:lineRule="auto"/>
        <w:jc w:val="both"/>
        <w:rPr>
          <w:rFonts w:ascii="Times New Roman" w:hAnsi="Times New Roman" w:cs="Times New Roman"/>
          <w:sz w:val="24"/>
          <w:szCs w:val="24"/>
        </w:rPr>
      </w:pPr>
      <w:r w:rsidRPr="001277C1">
        <w:rPr>
          <w:rFonts w:ascii="Times New Roman" w:hAnsi="Times New Roman" w:cs="Times New Roman"/>
          <w:noProof/>
          <w:sz w:val="24"/>
          <w:szCs w:val="24"/>
          <w:lang w:eastAsia="es-ES"/>
        </w:rPr>
        <w:drawing>
          <wp:inline distT="0" distB="0" distL="0" distR="0" wp14:anchorId="3EB12986" wp14:editId="2D92DC10">
            <wp:extent cx="5727700" cy="3835400"/>
            <wp:effectExtent l="0" t="0" r="635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731510" cy="3837951"/>
                    </a:xfrm>
                    <a:prstGeom prst="rect">
                      <a:avLst/>
                    </a:prstGeom>
                  </pic:spPr>
                </pic:pic>
              </a:graphicData>
            </a:graphic>
          </wp:inline>
        </w:drawing>
      </w:r>
    </w:p>
    <w:p w:rsidR="001277C1" w:rsidRDefault="001277C1"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Nota: en</w:t>
      </w:r>
      <w:r w:rsidR="00430E83">
        <w:rPr>
          <w:rFonts w:ascii="Times New Roman" w:hAnsi="Times New Roman" w:cs="Times New Roman"/>
          <w:sz w:val="24"/>
          <w:szCs w:val="24"/>
        </w:rPr>
        <w:t xml:space="preserve"> el año</w:t>
      </w:r>
      <w:r>
        <w:rPr>
          <w:rFonts w:ascii="Times New Roman" w:hAnsi="Times New Roman" w:cs="Times New Roman"/>
          <w:sz w:val="24"/>
          <w:szCs w:val="24"/>
        </w:rPr>
        <w:t xml:space="preserve"> 2018 el índice de inflación (precios al consumidor) alcanzó el 10.619%</w:t>
      </w:r>
      <w:r w:rsidR="00430E83">
        <w:rPr>
          <w:rFonts w:ascii="Times New Roman" w:hAnsi="Times New Roman" w:cs="Times New Roman"/>
          <w:sz w:val="24"/>
          <w:szCs w:val="24"/>
        </w:rPr>
        <w:t>.</w:t>
      </w:r>
    </w:p>
    <w:p w:rsidR="00430E83" w:rsidRDefault="00430E83" w:rsidP="00FA4DA9">
      <w:pPr>
        <w:spacing w:line="240" w:lineRule="auto"/>
        <w:jc w:val="both"/>
        <w:rPr>
          <w:rFonts w:ascii="Times New Roman" w:hAnsi="Times New Roman" w:cs="Times New Roman"/>
          <w:sz w:val="24"/>
          <w:szCs w:val="24"/>
        </w:rPr>
      </w:pPr>
    </w:p>
    <w:p w:rsidR="00AC0525" w:rsidRPr="00D57FA1" w:rsidRDefault="00430E83" w:rsidP="00FA4DA9">
      <w:pPr>
        <w:spacing w:line="240" w:lineRule="auto"/>
        <w:jc w:val="both"/>
        <w:rPr>
          <w:rFonts w:ascii="Times New Roman" w:hAnsi="Times New Roman" w:cs="Times New Roman"/>
          <w:sz w:val="24"/>
          <w:szCs w:val="24"/>
        </w:rPr>
      </w:pPr>
      <w:r w:rsidRPr="00430E83">
        <w:rPr>
          <w:rFonts w:ascii="Times New Roman" w:hAnsi="Times New Roman" w:cs="Times New Roman"/>
          <w:noProof/>
          <w:sz w:val="24"/>
          <w:szCs w:val="24"/>
          <w:lang w:eastAsia="es-ES"/>
        </w:rPr>
        <w:lastRenderedPageBreak/>
        <w:drawing>
          <wp:inline distT="0" distB="0" distL="0" distR="0" wp14:anchorId="7611183E" wp14:editId="08DBF8D7">
            <wp:extent cx="5731510" cy="4972207"/>
            <wp:effectExtent l="0" t="0" r="254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31510" cy="4972207"/>
                    </a:xfrm>
                    <a:prstGeom prst="rect">
                      <a:avLst/>
                    </a:prstGeom>
                  </pic:spPr>
                </pic:pic>
              </a:graphicData>
            </a:graphic>
          </wp:inline>
        </w:drawing>
      </w:r>
    </w:p>
    <w:p w:rsidR="00551761" w:rsidRPr="00551761" w:rsidRDefault="00551761" w:rsidP="00FA4DA9">
      <w:pPr>
        <w:pStyle w:val="selectionshareable"/>
        <w:shd w:val="clear" w:color="auto" w:fill="FFFFFF"/>
        <w:spacing w:after="300"/>
        <w:jc w:val="both"/>
        <w:textAlignment w:val="baseline"/>
        <w:rPr>
          <w:b/>
          <w:color w:val="333333"/>
          <w:shd w:val="clear" w:color="auto" w:fill="FFFFFF"/>
        </w:rPr>
      </w:pPr>
      <w:r>
        <w:rPr>
          <w:b/>
          <w:color w:val="333333"/>
          <w:shd w:val="clear" w:color="auto" w:fill="FFFFFF"/>
        </w:rPr>
        <w:t>La era del financiamiento inflaci</w:t>
      </w:r>
      <w:r w:rsidR="0009592D">
        <w:rPr>
          <w:b/>
          <w:color w:val="333333"/>
          <w:shd w:val="clear" w:color="auto" w:fill="FFFFFF"/>
        </w:rPr>
        <w:t>onario (¿están los BCs “dopando</w:t>
      </w:r>
      <w:r>
        <w:rPr>
          <w:b/>
          <w:color w:val="333333"/>
          <w:shd w:val="clear" w:color="auto" w:fill="FFFFFF"/>
        </w:rPr>
        <w:t>” a los mercados?</w:t>
      </w:r>
      <w:r w:rsidR="0009592D">
        <w:rPr>
          <w:b/>
          <w:color w:val="333333"/>
          <w:shd w:val="clear" w:color="auto" w:fill="FFFFFF"/>
        </w:rPr>
        <w:t>)</w:t>
      </w:r>
    </w:p>
    <w:p w:rsidR="00551761" w:rsidRPr="003E18A2" w:rsidRDefault="00551761" w:rsidP="00FA4DA9">
      <w:pPr>
        <w:pStyle w:val="selectionshareable"/>
        <w:shd w:val="clear" w:color="auto" w:fill="FFFFFF"/>
        <w:spacing w:after="300"/>
        <w:jc w:val="both"/>
        <w:textAlignment w:val="baseline"/>
        <w:rPr>
          <w:b/>
          <w:color w:val="333333"/>
          <w:shd w:val="clear" w:color="auto" w:fill="FFFFFF"/>
        </w:rPr>
      </w:pPr>
      <w:r w:rsidRPr="003E18A2">
        <w:rPr>
          <w:b/>
          <w:color w:val="333333"/>
          <w:shd w:val="clear" w:color="auto" w:fill="FFFFFF"/>
        </w:rPr>
        <w:t>Para “tranquilizar a los mercados” (sic), los bancos centrales (de los países avanzados, y de los demás, en la medida de sus “temeridades”), antes (2008)</w:t>
      </w:r>
      <w:r w:rsidR="00A92B2F" w:rsidRPr="003E18A2">
        <w:rPr>
          <w:b/>
          <w:color w:val="333333"/>
          <w:shd w:val="clear" w:color="auto" w:fill="FFFFFF"/>
        </w:rPr>
        <w:t>,</w:t>
      </w:r>
      <w:r w:rsidRPr="003E18A2">
        <w:rPr>
          <w:b/>
          <w:color w:val="333333"/>
          <w:shd w:val="clear" w:color="auto" w:fill="FFFFFF"/>
        </w:rPr>
        <w:t xml:space="preserve"> y ahora (2020-2021)</w:t>
      </w:r>
      <w:r w:rsidR="00A92B2F" w:rsidRPr="003E18A2">
        <w:rPr>
          <w:b/>
          <w:color w:val="333333"/>
          <w:shd w:val="clear" w:color="auto" w:fill="FFFFFF"/>
        </w:rPr>
        <w:t>,</w:t>
      </w:r>
      <w:r w:rsidRPr="003E18A2">
        <w:rPr>
          <w:b/>
          <w:color w:val="333333"/>
          <w:shd w:val="clear" w:color="auto" w:fill="FFFFFF"/>
        </w:rPr>
        <w:t xml:space="preserve"> están fabricando dos cosas: billetes a mansalva y una bomba que ellos mismos deberán desactivar con grandes posibilidades de ser alcanzados por las esquirlas. Ninguno de nosotros (vivamos en el lado bueno, o en el lado malo, de las vías del tren) estará a salvo de ellas. La pregunta del momento es entonces qué harán realmente los bancos centrales “el día después”, cuánto pesará en su decisión la  pesadísima e inmovilizante armadura de plomo que los protege, y cuánto podrán maniobrar sin “irritar” a los “amos del universo” (principales beneficiarios del relajamiento monetario), y “fastidiar” al poder político (cómplices necesarios, de la gran estafa inflacionaria).</w:t>
      </w:r>
    </w:p>
    <w:p w:rsidR="00551761" w:rsidRPr="003E18A2" w:rsidRDefault="00551761" w:rsidP="00FA4DA9">
      <w:pPr>
        <w:pStyle w:val="selectionshareable"/>
        <w:shd w:val="clear" w:color="auto" w:fill="FFFFFF"/>
        <w:spacing w:after="300"/>
        <w:jc w:val="both"/>
        <w:textAlignment w:val="baseline"/>
        <w:rPr>
          <w:b/>
          <w:color w:val="333333"/>
          <w:shd w:val="clear" w:color="auto" w:fill="FFFFFF"/>
        </w:rPr>
      </w:pPr>
      <w:r w:rsidRPr="003E18A2">
        <w:rPr>
          <w:b/>
          <w:color w:val="333333"/>
          <w:shd w:val="clear" w:color="auto" w:fill="FFFFFF"/>
        </w:rPr>
        <w:t xml:space="preserve">Analizando sus actuaciones anteriores (desde el año 2008 en adelante), es más que probable, que lo hagan con el concurso, de esos mecanismos medianamente sinceros de la mala fe. Si no fuera tan infantil creeríamos que esta gente se ha vuelto idiota. Meros “burócratas megalómanos”, asentados en una anodina posmodernidad. Resultan tan previsibles </w:t>
      </w:r>
      <w:r w:rsidRPr="003E18A2">
        <w:rPr>
          <w:b/>
          <w:color w:val="404040"/>
          <w:shd w:val="clear" w:color="auto" w:fill="FFFFFF"/>
        </w:rPr>
        <w:t>como los matasuegras en las fiestas: algo inventado para alegrar pero que da grima.</w:t>
      </w:r>
    </w:p>
    <w:p w:rsidR="00551761" w:rsidRPr="0009592D" w:rsidRDefault="0009592D" w:rsidP="00FA4DA9">
      <w:pPr>
        <w:pStyle w:val="selectionshareable"/>
        <w:shd w:val="clear" w:color="auto" w:fill="FFFFFF"/>
        <w:spacing w:after="300"/>
        <w:jc w:val="both"/>
        <w:textAlignment w:val="baseline"/>
        <w:rPr>
          <w:rFonts w:eastAsiaTheme="minorHAnsi"/>
          <w:b/>
          <w:lang w:eastAsia="en-US"/>
        </w:rPr>
      </w:pPr>
      <w:r w:rsidRPr="0009592D">
        <w:rPr>
          <w:rFonts w:eastAsiaTheme="minorHAnsi"/>
          <w:b/>
          <w:lang w:eastAsia="en-US"/>
        </w:rPr>
        <w:t>¿Se animarán los</w:t>
      </w:r>
      <w:r>
        <w:rPr>
          <w:rFonts w:eastAsiaTheme="minorHAnsi"/>
          <w:b/>
          <w:lang w:eastAsia="en-US"/>
        </w:rPr>
        <w:t xml:space="preserve"> “</w:t>
      </w:r>
      <w:r w:rsidRPr="0009592D">
        <w:rPr>
          <w:rFonts w:eastAsiaTheme="minorHAnsi"/>
          <w:b/>
          <w:lang w:eastAsia="en-US"/>
        </w:rPr>
        <w:t>chicos del coro</w:t>
      </w:r>
      <w:r>
        <w:rPr>
          <w:rFonts w:eastAsiaTheme="minorHAnsi"/>
          <w:b/>
          <w:lang w:eastAsia="en-US"/>
        </w:rPr>
        <w:t>”</w:t>
      </w:r>
      <w:r w:rsidRPr="0009592D">
        <w:rPr>
          <w:rFonts w:eastAsiaTheme="minorHAnsi"/>
          <w:b/>
          <w:lang w:eastAsia="en-US"/>
        </w:rPr>
        <w:t xml:space="preserve">, a </w:t>
      </w:r>
      <w:r>
        <w:rPr>
          <w:rFonts w:eastAsiaTheme="minorHAnsi"/>
          <w:b/>
          <w:lang w:eastAsia="en-US"/>
        </w:rPr>
        <w:t>“</w:t>
      </w:r>
      <w:r w:rsidRPr="0009592D">
        <w:rPr>
          <w:rFonts w:eastAsiaTheme="minorHAnsi"/>
          <w:b/>
          <w:lang w:eastAsia="en-US"/>
        </w:rPr>
        <w:t>retirar la ponchera</w:t>
      </w:r>
      <w:r>
        <w:rPr>
          <w:rFonts w:eastAsiaTheme="minorHAnsi"/>
          <w:b/>
          <w:lang w:eastAsia="en-US"/>
        </w:rPr>
        <w:t>”</w:t>
      </w:r>
      <w:r w:rsidR="0022268B">
        <w:rPr>
          <w:rFonts w:eastAsiaTheme="minorHAnsi"/>
          <w:b/>
          <w:lang w:eastAsia="en-US"/>
        </w:rPr>
        <w:t xml:space="preserve"> (cortar</w:t>
      </w:r>
      <w:r w:rsidRPr="0009592D">
        <w:rPr>
          <w:rFonts w:eastAsiaTheme="minorHAnsi"/>
          <w:b/>
          <w:lang w:eastAsia="en-US"/>
        </w:rPr>
        <w:t xml:space="preserve"> el </w:t>
      </w:r>
      <w:r>
        <w:rPr>
          <w:rFonts w:eastAsiaTheme="minorHAnsi"/>
          <w:b/>
          <w:lang w:eastAsia="en-US"/>
        </w:rPr>
        <w:t>“</w:t>
      </w:r>
      <w:r w:rsidRPr="0009592D">
        <w:rPr>
          <w:rFonts w:eastAsiaTheme="minorHAnsi"/>
          <w:b/>
          <w:lang w:eastAsia="en-US"/>
        </w:rPr>
        <w:t>gas de la risa</w:t>
      </w:r>
      <w:r>
        <w:rPr>
          <w:rFonts w:eastAsiaTheme="minorHAnsi"/>
          <w:b/>
          <w:lang w:eastAsia="en-US"/>
        </w:rPr>
        <w:t>”</w:t>
      </w:r>
      <w:r w:rsidRPr="0009592D">
        <w:rPr>
          <w:rFonts w:eastAsiaTheme="minorHAnsi"/>
          <w:b/>
          <w:lang w:eastAsia="en-US"/>
        </w:rPr>
        <w:t>)?</w:t>
      </w:r>
    </w:p>
    <w:p w:rsidR="001A1DDA" w:rsidRDefault="001A1DDA" w:rsidP="00FA4DA9">
      <w:pPr>
        <w:pStyle w:val="selectionshareable"/>
        <w:shd w:val="clear" w:color="auto" w:fill="FFFFFF"/>
        <w:spacing w:after="300"/>
        <w:jc w:val="both"/>
        <w:textAlignment w:val="baseline"/>
        <w:rPr>
          <w:b/>
        </w:rPr>
      </w:pPr>
      <w:r w:rsidRPr="00FF7534">
        <w:rPr>
          <w:b/>
        </w:rPr>
        <w:lastRenderedPageBreak/>
        <w:t>Anexo</w:t>
      </w:r>
      <w:r>
        <w:rPr>
          <w:b/>
        </w:rPr>
        <w:t xml:space="preserve"> I</w:t>
      </w:r>
      <w:r w:rsidRPr="00FF7534">
        <w:rPr>
          <w:b/>
        </w:rPr>
        <w:t xml:space="preserve">: Economía para </w:t>
      </w:r>
      <w:r>
        <w:rPr>
          <w:b/>
        </w:rPr>
        <w:t>“</w:t>
      </w:r>
      <w:r w:rsidRPr="00FF7534">
        <w:rPr>
          <w:b/>
        </w:rPr>
        <w:t>amas de casa</w:t>
      </w:r>
      <w:r w:rsidR="0009592D">
        <w:rPr>
          <w:b/>
        </w:rPr>
        <w:t>” (o “amos de casa”, al gusto de</w:t>
      </w:r>
      <w:r>
        <w:rPr>
          <w:b/>
        </w:rPr>
        <w:t xml:space="preserve"> las feministas)</w:t>
      </w:r>
    </w:p>
    <w:p w:rsidR="001A1DDA" w:rsidRDefault="001A1DDA" w:rsidP="00FA4DA9">
      <w:pPr>
        <w:pStyle w:val="selectionshareable"/>
        <w:shd w:val="clear" w:color="auto" w:fill="FFFFFF"/>
        <w:spacing w:after="300"/>
        <w:jc w:val="both"/>
        <w:textAlignment w:val="baseline"/>
      </w:pPr>
      <w:r>
        <w:rPr>
          <w:noProof/>
        </w:rPr>
        <w:drawing>
          <wp:inline distT="0" distB="0" distL="0" distR="0" wp14:anchorId="79E5FC63" wp14:editId="07104938">
            <wp:extent cx="5728017" cy="2895600"/>
            <wp:effectExtent l="0" t="0" r="6350" b="0"/>
            <wp:docPr id="15" name="Imagen 15" descr="https://s03.s3c.es/imag/_v0/770x420/3/7/f/marinus-cuadr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03.s3c.es/imag/_v0/770x420/3/7/f/marinus-cuadros.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1510" cy="2897366"/>
                    </a:xfrm>
                    <a:prstGeom prst="rect">
                      <a:avLst/>
                    </a:prstGeom>
                    <a:noFill/>
                    <a:ln>
                      <a:noFill/>
                    </a:ln>
                  </pic:spPr>
                </pic:pic>
              </a:graphicData>
            </a:graphic>
          </wp:inline>
        </w:drawing>
      </w:r>
      <w:r>
        <w:t>“Dos recaudadores de impuestos”</w:t>
      </w:r>
      <w:r w:rsidRPr="00DC3AC6">
        <w:t>, en dos</w:t>
      </w:r>
      <w:r>
        <w:t xml:space="preserve"> versiones revestidas de sátira - </w:t>
      </w:r>
      <w:r w:rsidRPr="00DC3AC6">
        <w:t>Marinus van Reymerswale (hacia 1489-1556)</w:t>
      </w:r>
    </w:p>
    <w:p w:rsidR="001A1DDA" w:rsidRPr="00FF7534" w:rsidRDefault="001A1DDA" w:rsidP="00FA4DA9">
      <w:pPr>
        <w:pStyle w:val="selectionshareable"/>
        <w:shd w:val="clear" w:color="auto" w:fill="FFFFFF"/>
        <w:spacing w:after="300"/>
        <w:jc w:val="both"/>
        <w:textAlignment w:val="baseline"/>
      </w:pPr>
      <w:r>
        <w:t>(Una explicación sencilla de lo que significa un proceso inflacionario. Los que</w:t>
      </w:r>
      <w:r w:rsidR="003E18A2">
        <w:t xml:space="preserve"> tienen conocimientos de economía, pueden saltear este A</w:t>
      </w:r>
      <w:r>
        <w:t xml:space="preserve">partado.) </w:t>
      </w:r>
    </w:p>
    <w:p w:rsidR="001A1DDA" w:rsidRDefault="001A1DDA" w:rsidP="00FA4DA9">
      <w:pPr>
        <w:pStyle w:val="selectionshareable"/>
        <w:shd w:val="clear" w:color="auto" w:fill="FFFFFF"/>
        <w:spacing w:after="300"/>
        <w:jc w:val="both"/>
        <w:textAlignment w:val="baseline"/>
      </w:pPr>
      <w:r>
        <w:t>Según la página web del Banco Central Europeo (octubre 2021):</w:t>
      </w:r>
    </w:p>
    <w:p w:rsidR="001A1DDA" w:rsidRPr="001A1DDA" w:rsidRDefault="001A1DDA" w:rsidP="00FA4DA9">
      <w:pPr>
        <w:pStyle w:val="selectionshareable"/>
        <w:shd w:val="clear" w:color="auto" w:fill="FFFFFF"/>
        <w:spacing w:after="300"/>
        <w:jc w:val="both"/>
        <w:textAlignment w:val="baseline"/>
        <w:rPr>
          <w:b/>
        </w:rPr>
      </w:pPr>
      <w:r w:rsidRPr="001A1DDA">
        <w:rPr>
          <w:b/>
        </w:rPr>
        <w:t>¿Qué es la inflación?</w:t>
      </w:r>
    </w:p>
    <w:p w:rsidR="001A1DDA" w:rsidRDefault="001A1DDA" w:rsidP="00FA4DA9">
      <w:pPr>
        <w:pStyle w:val="selectionshareable"/>
        <w:shd w:val="clear" w:color="auto" w:fill="FFFFFF"/>
        <w:spacing w:after="300"/>
        <w:jc w:val="both"/>
        <w:textAlignment w:val="baseline"/>
      </w:pPr>
      <w:r>
        <w:t>Aumento general de los precios</w:t>
      </w:r>
    </w:p>
    <w:p w:rsidR="001A1DDA" w:rsidRDefault="001A1DDA" w:rsidP="00FA4DA9">
      <w:pPr>
        <w:pStyle w:val="selectionshareable"/>
        <w:shd w:val="clear" w:color="auto" w:fill="FFFFFF"/>
        <w:spacing w:after="300"/>
        <w:jc w:val="both"/>
        <w:textAlignment w:val="baseline"/>
      </w:pPr>
      <w:r>
        <w:t>En una economía de mercado los precios de los bienes y de los servicios están sujetos a cambios. Algunos aumentan y otros disminuyen. Existe inflación cuando se produce un aumento general de los precios, no solo de artículos individuales, que da como resultado que por cada euro puedan adquirirse hoy menos bienes y servicios que ayer. Es decir, la inflación reduce el valor de la moneda con el tiempo.</w:t>
      </w:r>
    </w:p>
    <w:p w:rsidR="001A1DDA" w:rsidRDefault="001A1DDA" w:rsidP="00FA4DA9">
      <w:pPr>
        <w:pStyle w:val="selectionshareable"/>
        <w:shd w:val="clear" w:color="auto" w:fill="FFFFFF"/>
        <w:spacing w:after="300"/>
        <w:jc w:val="both"/>
        <w:textAlignment w:val="baseline"/>
      </w:pPr>
      <w:r>
        <w:t>Algunas variaciones de precios son más importantes que otras</w:t>
      </w:r>
    </w:p>
    <w:p w:rsidR="001A1DDA" w:rsidRDefault="001A1DDA" w:rsidP="00FA4DA9">
      <w:pPr>
        <w:pStyle w:val="selectionshareable"/>
        <w:shd w:val="clear" w:color="auto" w:fill="FFFFFF"/>
        <w:spacing w:after="300"/>
        <w:jc w:val="both"/>
        <w:textAlignment w:val="baseline"/>
      </w:pPr>
      <w:r>
        <w:t>En el cálculo del aumento medio de los precios, algunos artículos en los que se gasta más -como la electricidad- tienen un peso mayor que otros en los que se gasta menos -como el azúcar o los sellos-.</w:t>
      </w:r>
    </w:p>
    <w:p w:rsidR="001A1DDA" w:rsidRDefault="001A1DDA" w:rsidP="00FA4DA9">
      <w:pPr>
        <w:pStyle w:val="selectionshareable"/>
        <w:shd w:val="clear" w:color="auto" w:fill="FFFFFF"/>
        <w:spacing w:after="300"/>
        <w:jc w:val="both"/>
        <w:textAlignment w:val="baseline"/>
      </w:pPr>
      <w:r>
        <w:t>Cada persona compra cosas distintas</w:t>
      </w:r>
    </w:p>
    <w:p w:rsidR="001A1DDA" w:rsidRDefault="001A1DDA" w:rsidP="00FA4DA9">
      <w:pPr>
        <w:pStyle w:val="selectionshareable"/>
        <w:shd w:val="clear" w:color="auto" w:fill="FFFFFF"/>
        <w:spacing w:after="300"/>
        <w:jc w:val="both"/>
        <w:textAlignment w:val="baseline"/>
      </w:pPr>
      <w:r>
        <w:t>Las familias tienen hábitos de consumo distintos: algunas disponen de automóvil y comen carne, y otras solo viajan en transporte público y son vegetarianas. Los hábitos de consumo medios del conjunto de las familias determinan el peso de los distintos bienes y servicios en el cálculo de la inflación.</w:t>
      </w:r>
    </w:p>
    <w:p w:rsidR="001A1DDA" w:rsidRDefault="001A1DDA" w:rsidP="00FA4DA9">
      <w:pPr>
        <w:pStyle w:val="selectionshareable"/>
        <w:shd w:val="clear" w:color="auto" w:fill="FFFFFF"/>
        <w:spacing w:after="300"/>
        <w:jc w:val="both"/>
        <w:textAlignment w:val="baseline"/>
      </w:pPr>
      <w:r>
        <w:lastRenderedPageBreak/>
        <w:t>Para calcular la inflación se tienen en cuenta todos los bienes y servicios que consumen las familias, incluidos:</w:t>
      </w:r>
    </w:p>
    <w:p w:rsidR="001A1DDA" w:rsidRDefault="001A1DDA" w:rsidP="00FA4DA9">
      <w:pPr>
        <w:pStyle w:val="selectionshareable"/>
        <w:shd w:val="clear" w:color="auto" w:fill="FFFFFF"/>
        <w:spacing w:after="300"/>
        <w:jc w:val="both"/>
        <w:textAlignment w:val="baseline"/>
      </w:pPr>
      <w:r>
        <w:t>-artículos de consumo diario (como alimentos, periódico o gasolina)</w:t>
      </w:r>
    </w:p>
    <w:p w:rsidR="001A1DDA" w:rsidRDefault="001A1DDA" w:rsidP="00FA4DA9">
      <w:pPr>
        <w:pStyle w:val="selectionshareable"/>
        <w:shd w:val="clear" w:color="auto" w:fill="FFFFFF"/>
        <w:spacing w:after="300"/>
        <w:jc w:val="both"/>
        <w:textAlignment w:val="baseline"/>
      </w:pPr>
      <w:r>
        <w:t>-bienes de consumo duradero (como prendas de vestir, ordenadores o lavadoras)</w:t>
      </w:r>
    </w:p>
    <w:p w:rsidR="001A1DDA" w:rsidRDefault="001A1DDA" w:rsidP="00FA4DA9">
      <w:pPr>
        <w:pStyle w:val="selectionshareable"/>
        <w:shd w:val="clear" w:color="auto" w:fill="FFFFFF"/>
        <w:spacing w:after="300"/>
        <w:jc w:val="both"/>
        <w:textAlignment w:val="baseline"/>
      </w:pPr>
      <w:r>
        <w:t>-servicios (como peluquería, seguros o alquiler de vivienda)</w:t>
      </w:r>
    </w:p>
    <w:p w:rsidR="001A1DDA" w:rsidRPr="00D33CE8" w:rsidRDefault="001A1DDA" w:rsidP="00FA4DA9">
      <w:pPr>
        <w:pStyle w:val="selectionshareable"/>
        <w:shd w:val="clear" w:color="auto" w:fill="FFFFFF"/>
        <w:spacing w:after="300"/>
        <w:jc w:val="both"/>
        <w:textAlignment w:val="baseline"/>
      </w:pPr>
      <w:r>
        <w:t>La cesta de la compra representa todos los bienes y servicios que consumen las familias durante un año. Cada uno tiene un precio, que puede variar a lo largo del tiempo. La tasa de inflación interanual se calcula comparando el precio de la cesta en un determinado mes con el precio de esa misma cesta el mismo mes del año anterior.</w:t>
      </w:r>
    </w:p>
    <w:p w:rsidR="001A1DDA" w:rsidRPr="003A34D5" w:rsidRDefault="001A1DDA" w:rsidP="00FA4DA9">
      <w:pPr>
        <w:pStyle w:val="Ttulo2"/>
        <w:shd w:val="clear" w:color="auto" w:fill="FFFFFF"/>
        <w:spacing w:before="0" w:after="300" w:line="240" w:lineRule="auto"/>
        <w:jc w:val="both"/>
        <w:rPr>
          <w:rFonts w:ascii="Times New Roman" w:hAnsi="Times New Roman" w:cs="Times New Roman"/>
          <w:color w:val="auto"/>
          <w:sz w:val="24"/>
          <w:szCs w:val="24"/>
        </w:rPr>
      </w:pPr>
      <w:r w:rsidRPr="003A34D5">
        <w:rPr>
          <w:rFonts w:ascii="Times New Roman" w:hAnsi="Times New Roman" w:cs="Times New Roman"/>
          <w:color w:val="auto"/>
          <w:sz w:val="24"/>
          <w:szCs w:val="24"/>
        </w:rPr>
        <w:t>Causas de la inflación</w:t>
      </w:r>
    </w:p>
    <w:p w:rsidR="001A1DDA" w:rsidRPr="003A34D5" w:rsidRDefault="001A1DDA" w:rsidP="00FA4DA9">
      <w:pPr>
        <w:pStyle w:val="NormalWeb"/>
        <w:shd w:val="clear" w:color="auto" w:fill="FFFFFF"/>
        <w:spacing w:before="0" w:beforeAutospacing="0" w:after="300" w:afterAutospacing="0"/>
        <w:jc w:val="both"/>
      </w:pPr>
      <w:r w:rsidRPr="003A34D5">
        <w:t>Entre las principales causas de la inflación destacan:</w:t>
      </w:r>
    </w:p>
    <w:p w:rsidR="001A1DDA" w:rsidRPr="003A34D5" w:rsidRDefault="001A1DDA" w:rsidP="00FA4DA9">
      <w:pPr>
        <w:numPr>
          <w:ilvl w:val="0"/>
          <w:numId w:val="1"/>
        </w:numPr>
        <w:shd w:val="clear" w:color="auto" w:fill="FFFFFF"/>
        <w:spacing w:before="100" w:beforeAutospacing="1" w:after="100" w:afterAutospacing="1" w:line="240" w:lineRule="auto"/>
        <w:ind w:left="0"/>
        <w:jc w:val="both"/>
        <w:rPr>
          <w:rFonts w:ascii="Times New Roman" w:hAnsi="Times New Roman" w:cs="Times New Roman"/>
          <w:sz w:val="24"/>
          <w:szCs w:val="24"/>
        </w:rPr>
      </w:pPr>
      <w:r w:rsidRPr="003A34D5">
        <w:rPr>
          <w:rStyle w:val="Textoennegrita"/>
          <w:rFonts w:ascii="Times New Roman" w:hAnsi="Times New Roman" w:cs="Times New Roman"/>
          <w:sz w:val="24"/>
          <w:szCs w:val="24"/>
        </w:rPr>
        <w:t>La inflación por </w:t>
      </w:r>
      <w:hyperlink r:id="rId16" w:history="1">
        <w:r w:rsidRPr="001A1DDA">
          <w:rPr>
            <w:rStyle w:val="Hipervnculo"/>
            <w:rFonts w:ascii="Times New Roman" w:hAnsi="Times New Roman" w:cs="Times New Roman"/>
            <w:b/>
            <w:bCs/>
            <w:color w:val="auto"/>
            <w:sz w:val="24"/>
            <w:szCs w:val="24"/>
            <w:u w:val="none"/>
          </w:rPr>
          <w:t>demanda</w:t>
        </w:r>
      </w:hyperlink>
      <w:r w:rsidRPr="003A34D5">
        <w:rPr>
          <w:rStyle w:val="Textoennegrita"/>
          <w:rFonts w:ascii="Times New Roman" w:hAnsi="Times New Roman" w:cs="Times New Roman"/>
          <w:sz w:val="24"/>
          <w:szCs w:val="24"/>
        </w:rPr>
        <w:t>:</w:t>
      </w:r>
      <w:r w:rsidRPr="003A34D5">
        <w:rPr>
          <w:rFonts w:ascii="Times New Roman" w:hAnsi="Times New Roman" w:cs="Times New Roman"/>
          <w:sz w:val="24"/>
          <w:szCs w:val="24"/>
        </w:rPr>
        <w:t> Aparece cuando aumenta la demanda general y la oferta del sector productivo no es capaz de hacer frente a esa demanda, por lo que suben los precios. Por ejemplo, cuando se pone de moda una marca de ropa, sus precios suelen acabar subiendo.</w:t>
      </w:r>
    </w:p>
    <w:p w:rsidR="001A1DDA" w:rsidRPr="003A34D5" w:rsidRDefault="001A1DDA" w:rsidP="00FA4DA9">
      <w:pPr>
        <w:numPr>
          <w:ilvl w:val="0"/>
          <w:numId w:val="1"/>
        </w:numPr>
        <w:shd w:val="clear" w:color="auto" w:fill="FFFFFF"/>
        <w:spacing w:before="100" w:beforeAutospacing="1" w:after="100" w:afterAutospacing="1" w:line="240" w:lineRule="auto"/>
        <w:ind w:left="0"/>
        <w:jc w:val="both"/>
        <w:rPr>
          <w:rFonts w:ascii="Times New Roman" w:hAnsi="Times New Roman" w:cs="Times New Roman"/>
          <w:sz w:val="24"/>
          <w:szCs w:val="24"/>
        </w:rPr>
      </w:pPr>
      <w:r w:rsidRPr="003A34D5">
        <w:rPr>
          <w:rStyle w:val="Textoennegrita"/>
          <w:rFonts w:ascii="Times New Roman" w:hAnsi="Times New Roman" w:cs="Times New Roman"/>
          <w:sz w:val="24"/>
          <w:szCs w:val="24"/>
        </w:rPr>
        <w:t>La inflación por costes:</w:t>
      </w:r>
      <w:r w:rsidRPr="003A34D5">
        <w:rPr>
          <w:rFonts w:ascii="Times New Roman" w:hAnsi="Times New Roman" w:cs="Times New Roman"/>
          <w:sz w:val="24"/>
          <w:szCs w:val="24"/>
        </w:rPr>
        <w:t> Se produce cuando aumentan los costes de producción, ya sea porque aumentan los precios de las materias primas, de la mano de obra o bien, porque suben los impuestos, lo cual provoca que los productores suban el precio final del producto o servicio para compensar dicha subida.</w:t>
      </w:r>
    </w:p>
    <w:p w:rsidR="001A1DDA" w:rsidRPr="003A34D5" w:rsidRDefault="001A1DDA" w:rsidP="00FA4DA9">
      <w:pPr>
        <w:numPr>
          <w:ilvl w:val="0"/>
          <w:numId w:val="1"/>
        </w:numPr>
        <w:shd w:val="clear" w:color="auto" w:fill="FFFFFF"/>
        <w:spacing w:before="100" w:beforeAutospacing="1" w:after="100" w:afterAutospacing="1" w:line="240" w:lineRule="auto"/>
        <w:ind w:left="0"/>
        <w:jc w:val="both"/>
        <w:rPr>
          <w:rFonts w:ascii="Times New Roman" w:hAnsi="Times New Roman" w:cs="Times New Roman"/>
          <w:sz w:val="24"/>
          <w:szCs w:val="24"/>
        </w:rPr>
      </w:pPr>
      <w:r w:rsidRPr="003A34D5">
        <w:rPr>
          <w:rStyle w:val="Textoennegrita"/>
          <w:rFonts w:ascii="Times New Roman" w:hAnsi="Times New Roman" w:cs="Times New Roman"/>
          <w:sz w:val="24"/>
          <w:szCs w:val="24"/>
        </w:rPr>
        <w:t>La inflación autoconstruida:</w:t>
      </w:r>
      <w:r w:rsidRPr="003A34D5">
        <w:rPr>
          <w:rFonts w:ascii="Times New Roman" w:hAnsi="Times New Roman" w:cs="Times New Roman"/>
          <w:sz w:val="24"/>
          <w:szCs w:val="24"/>
        </w:rPr>
        <w:t> Surge ante expectativas de los productores de que van a subir los precios en el futuro y buscan anticiparse a ellos subiendo los precios primero, provocando que al final se cumplan sus predicciones por haber subido los precios.</w:t>
      </w:r>
    </w:p>
    <w:p w:rsidR="001A1DDA" w:rsidRPr="00190EFB" w:rsidRDefault="001A1DDA" w:rsidP="00FA4DA9">
      <w:pPr>
        <w:numPr>
          <w:ilvl w:val="0"/>
          <w:numId w:val="1"/>
        </w:numPr>
        <w:shd w:val="clear" w:color="auto" w:fill="FFFFFF"/>
        <w:spacing w:after="300" w:line="240" w:lineRule="auto"/>
        <w:ind w:left="0"/>
        <w:jc w:val="both"/>
      </w:pPr>
      <w:r w:rsidRPr="003A34D5">
        <w:rPr>
          <w:rStyle w:val="Textoennegrita"/>
          <w:rFonts w:ascii="Times New Roman" w:hAnsi="Times New Roman" w:cs="Times New Roman"/>
          <w:sz w:val="24"/>
          <w:szCs w:val="24"/>
        </w:rPr>
        <w:t>Por el aumento de la base monetaria: </w:t>
      </w:r>
      <w:r w:rsidRPr="003A34D5">
        <w:rPr>
          <w:rFonts w:ascii="Times New Roman" w:hAnsi="Times New Roman" w:cs="Times New Roman"/>
          <w:sz w:val="24"/>
          <w:szCs w:val="24"/>
        </w:rPr>
        <w:t>Cuando aumenta la base monetaria (cantidad de dinero que hay en una economía) provoca que aumente la demanda (D) de productos más rápido que el suministro de los bienes y servicios de la oferta (S) y ello provoca que aumenten los precios (P). En la siguiente fórmula vemos como cuando la demanda tiene un aumento mayor en relac</w:t>
      </w:r>
      <w:r>
        <w:rPr>
          <w:rFonts w:ascii="Times New Roman" w:hAnsi="Times New Roman" w:cs="Times New Roman"/>
          <w:sz w:val="24"/>
          <w:szCs w:val="24"/>
        </w:rPr>
        <w:t>ión con el suministro de bienes</w:t>
      </w:r>
      <w:r w:rsidRPr="003A34D5">
        <w:rPr>
          <w:rFonts w:ascii="Times New Roman" w:hAnsi="Times New Roman" w:cs="Times New Roman"/>
          <w:sz w:val="24"/>
          <w:szCs w:val="24"/>
        </w:rPr>
        <w:t>, los precios suben.</w:t>
      </w:r>
      <w:r>
        <w:rPr>
          <w:rFonts w:ascii="Times New Roman" w:hAnsi="Times New Roman" w:cs="Times New Roman"/>
          <w:sz w:val="24"/>
          <w:szCs w:val="24"/>
        </w:rPr>
        <w:t xml:space="preserve"> </w:t>
      </w:r>
    </w:p>
    <w:p w:rsidR="001A1DDA" w:rsidRPr="00190EFB" w:rsidRDefault="001A1DDA" w:rsidP="00FA4DA9">
      <w:pPr>
        <w:numPr>
          <w:ilvl w:val="0"/>
          <w:numId w:val="1"/>
        </w:numPr>
        <w:shd w:val="clear" w:color="auto" w:fill="FFFFFF"/>
        <w:spacing w:after="300" w:line="240" w:lineRule="auto"/>
        <w:ind w:left="0"/>
        <w:jc w:val="both"/>
      </w:pPr>
      <w:r w:rsidRPr="003A34D5">
        <w:rPr>
          <w:rFonts w:ascii="Times New Roman" w:hAnsi="Times New Roman" w:cs="Times New Roman"/>
          <w:sz w:val="24"/>
          <w:szCs w:val="24"/>
        </w:rPr>
        <w:t>Las tres primeras causas de la inflación son explicadas por la teoría </w:t>
      </w:r>
      <w:hyperlink r:id="rId17" w:history="1">
        <w:r w:rsidRPr="00190EFB">
          <w:rPr>
            <w:rStyle w:val="Hipervnculo"/>
            <w:rFonts w:ascii="Times New Roman" w:eastAsiaTheme="majorEastAsia" w:hAnsi="Times New Roman" w:cs="Times New Roman"/>
            <w:bCs/>
            <w:color w:val="auto"/>
            <w:sz w:val="24"/>
            <w:szCs w:val="24"/>
            <w:u w:val="none"/>
          </w:rPr>
          <w:t>keynesiana</w:t>
        </w:r>
      </w:hyperlink>
      <w:r w:rsidRPr="003A34D5">
        <w:rPr>
          <w:rFonts w:ascii="Times New Roman" w:hAnsi="Times New Roman" w:cs="Times New Roman"/>
          <w:sz w:val="24"/>
          <w:szCs w:val="24"/>
        </w:rPr>
        <w:t>, mientras que la última procede de los monetaristas y la </w:t>
      </w:r>
      <w:hyperlink r:id="rId18" w:history="1">
        <w:r w:rsidRPr="00190EFB">
          <w:rPr>
            <w:rStyle w:val="Hipervnculo"/>
            <w:rFonts w:ascii="Times New Roman" w:eastAsiaTheme="majorEastAsia" w:hAnsi="Times New Roman" w:cs="Times New Roman"/>
            <w:bCs/>
            <w:color w:val="auto"/>
            <w:sz w:val="24"/>
            <w:szCs w:val="24"/>
            <w:u w:val="none"/>
          </w:rPr>
          <w:t>teoría cuantitativa del dinero</w:t>
        </w:r>
      </w:hyperlink>
      <w:r w:rsidRPr="00190EFB">
        <w:rPr>
          <w:rFonts w:ascii="Times New Roman" w:hAnsi="Times New Roman" w:cs="Times New Roman"/>
          <w:sz w:val="24"/>
          <w:szCs w:val="24"/>
        </w:rPr>
        <w:t>.</w:t>
      </w:r>
    </w:p>
    <w:p w:rsidR="001A1DDA" w:rsidRPr="00DA3540" w:rsidRDefault="001A1DDA" w:rsidP="00FA4DA9">
      <w:pPr>
        <w:pStyle w:val="NormalWeb"/>
        <w:shd w:val="clear" w:color="auto" w:fill="FFFFFF"/>
        <w:spacing w:before="0" w:beforeAutospacing="0" w:after="300" w:afterAutospacing="0"/>
        <w:jc w:val="both"/>
      </w:pPr>
      <w:r w:rsidRPr="00DA3540">
        <w:t>Nota breve (I): el keynesianismo se basa en estimular la demanda para provocar un aumento del consumo y el empleo en momentos de crisis. ¿Y cómo se estimula la demanda? Mediante políticas monetarias y fiscales. Keynes fue partidario de utilizar las políticas fiscales. Aunque a finales del siglo XX, las deudas de los países occidentales comenzaron a crecer de tal manera que los keynesianistas pasaron a recomendar las políticas monetarias como mecanismo para estimular la demanda.</w:t>
      </w:r>
    </w:p>
    <w:p w:rsidR="001A1DDA" w:rsidRPr="00DA3540" w:rsidRDefault="001A1DDA" w:rsidP="00FA4DA9">
      <w:pPr>
        <w:spacing w:line="240" w:lineRule="auto"/>
        <w:jc w:val="both"/>
        <w:rPr>
          <w:rFonts w:ascii="Times New Roman" w:eastAsia="Times New Roman" w:hAnsi="Times New Roman" w:cs="Times New Roman"/>
          <w:sz w:val="24"/>
          <w:szCs w:val="24"/>
        </w:rPr>
      </w:pPr>
      <w:r w:rsidRPr="00DA3540">
        <w:rPr>
          <w:rFonts w:ascii="Times New Roman" w:eastAsia="Times New Roman" w:hAnsi="Times New Roman" w:cs="Times New Roman"/>
          <w:sz w:val="24"/>
          <w:szCs w:val="24"/>
        </w:rPr>
        <w:t>Nota breve (II): para explicar la inflación, la teoría cuantitativa del dinero relaciona la oferta monetaria con el nivel general de precios. La oferta monetaria es la cantidad de dinero que existe en la economía. Se puede estimar ya que son los bancos centrales lo que controlan la liquidez de la economía.</w:t>
      </w:r>
    </w:p>
    <w:p w:rsidR="001A1DDA" w:rsidRPr="00DA3540" w:rsidRDefault="001A1DDA" w:rsidP="00FA4DA9">
      <w:pPr>
        <w:pStyle w:val="NormalWeb"/>
        <w:shd w:val="clear" w:color="auto" w:fill="FFFFFF"/>
        <w:spacing w:before="0" w:beforeAutospacing="0" w:after="300" w:afterAutospacing="0"/>
        <w:jc w:val="both"/>
      </w:pPr>
      <w:r w:rsidRPr="00DA3540">
        <w:lastRenderedPageBreak/>
        <w:t>En 1556, Martín de Azpilicueta, de la </w:t>
      </w:r>
      <w:hyperlink r:id="rId19" w:history="1">
        <w:r w:rsidRPr="00DA3540">
          <w:rPr>
            <w:rStyle w:val="Hipervnculo"/>
            <w:bCs/>
            <w:color w:val="auto"/>
            <w:u w:val="none"/>
          </w:rPr>
          <w:t>escuela de Salamanca</w:t>
        </w:r>
      </w:hyperlink>
      <w:r w:rsidRPr="00DA3540">
        <w:t>, fue el primer economista en asociar el aumento de los precios al incremento de metales preciosos en la economía (la oferta monetaria de entonces). Azpilicueta dedujo que cuando los metales provenientes de América comenzaron a intercambiarse por bienes en Europa, el valor de esos metales cayó. Dando lugar a una subida de los precios de los bienes. Su explicación fue que la cantidad de oro y plata crecía más rápido que la cantidad de bienes, por lo que los precios se debían ajustar. Poco después incluyó a su teoría cuantitativa la velocidad de circulación del dinero, dado que el incremento de transacciones comerciales también influía en el aumento de los precios. La teoría económica del pensador español pronto se extendió por Europa. En el año 1568 el francés Jean Bodin argumentó también que “al aumentar la cantidad de dinero en circulación sin que haya un aumento comparable del suministro de mercancías, los precios tienden a reaccionar al alza”.</w:t>
      </w:r>
    </w:p>
    <w:p w:rsidR="001A1DDA" w:rsidRPr="00DA3540" w:rsidRDefault="001A1DDA" w:rsidP="00FA4DA9">
      <w:pPr>
        <w:pStyle w:val="NormalWeb"/>
        <w:shd w:val="clear" w:color="auto" w:fill="FFFFFF"/>
        <w:spacing w:before="0" w:beforeAutospacing="0" w:after="300" w:afterAutospacing="0"/>
        <w:jc w:val="both"/>
      </w:pPr>
      <w:r w:rsidRPr="00DA3540">
        <w:t>Varios siglos después, Irving Fisher plasmó estas teorías en una fórmula en su libro “el poder adquisitivo del dinero”, siendo la forma más moderna y elaborada de este teoría. La teoría cuantitativa del dinero a veces se conoce por ello teoría de Fisher.</w:t>
      </w:r>
    </w:p>
    <w:p w:rsidR="001A1DDA" w:rsidRPr="00DA3540" w:rsidRDefault="001A1DDA" w:rsidP="00FA4DA9">
      <w:pPr>
        <w:pStyle w:val="Ttulo2"/>
        <w:shd w:val="clear" w:color="auto" w:fill="FFFFFF"/>
        <w:spacing w:before="0" w:after="300" w:line="240" w:lineRule="auto"/>
        <w:jc w:val="both"/>
        <w:rPr>
          <w:rFonts w:ascii="Times New Roman" w:hAnsi="Times New Roman" w:cs="Times New Roman"/>
          <w:color w:val="auto"/>
          <w:sz w:val="24"/>
          <w:szCs w:val="24"/>
        </w:rPr>
      </w:pPr>
      <w:r w:rsidRPr="00DA3540">
        <w:rPr>
          <w:rFonts w:ascii="Times New Roman" w:hAnsi="Times New Roman" w:cs="Times New Roman"/>
          <w:color w:val="auto"/>
          <w:sz w:val="24"/>
          <w:szCs w:val="24"/>
        </w:rPr>
        <w:t>Cálculo de la teoría cuantitativa del dinero por Fisher</w:t>
      </w:r>
    </w:p>
    <w:p w:rsidR="001A1DDA" w:rsidRPr="00DA3540" w:rsidRDefault="001A1DDA" w:rsidP="00FA4DA9">
      <w:pPr>
        <w:pStyle w:val="NormalWeb"/>
        <w:shd w:val="clear" w:color="auto" w:fill="FFFFFF"/>
        <w:spacing w:before="0" w:beforeAutospacing="0" w:after="300" w:afterAutospacing="0"/>
        <w:jc w:val="both"/>
      </w:pPr>
      <w:r w:rsidRPr="00DA3540">
        <w:t>Para calcular el valor del dinero Fisher parte de la premisa de que el valor de las cosas vendidas es igual al valor de las cosas compradas. Que estableció la siguiente fórmula:</w:t>
      </w:r>
    </w:p>
    <w:p w:rsidR="001A1DDA" w:rsidRPr="00DA3540" w:rsidRDefault="001A1DDA" w:rsidP="00FA4DA9">
      <w:pPr>
        <w:pStyle w:val="NormalWeb"/>
        <w:shd w:val="clear" w:color="auto" w:fill="FFFFFF"/>
        <w:spacing w:before="0" w:beforeAutospacing="0" w:after="300" w:afterAutospacing="0"/>
        <w:jc w:val="both"/>
      </w:pPr>
      <w:r w:rsidRPr="00DA3540">
        <w:t>M*V = P *T</w:t>
      </w:r>
    </w:p>
    <w:p w:rsidR="001A1DDA" w:rsidRPr="00DA3540" w:rsidRDefault="001A1DDA" w:rsidP="00FA4DA9">
      <w:pPr>
        <w:pStyle w:val="NormalWeb"/>
        <w:shd w:val="clear" w:color="auto" w:fill="FFFFFF"/>
        <w:spacing w:before="0" w:beforeAutospacing="0" w:after="300" w:afterAutospacing="0"/>
        <w:jc w:val="both"/>
      </w:pPr>
      <w:r w:rsidRPr="00DA3540">
        <w:t>Donde M es la masa monetaria, V, la velocidad de circulación del dinero, P, el nivel de precios y T son las transacciones realizadas, que se podría sustituir por la renta de un país (Y):</w:t>
      </w:r>
    </w:p>
    <w:p w:rsidR="001A1DDA" w:rsidRPr="00DA3540" w:rsidRDefault="001A1DDA" w:rsidP="00FA4DA9">
      <w:pPr>
        <w:pStyle w:val="NormalWeb"/>
        <w:shd w:val="clear" w:color="auto" w:fill="FFFFFF"/>
        <w:spacing w:before="0" w:beforeAutospacing="0" w:after="300" w:afterAutospacing="0"/>
        <w:jc w:val="both"/>
      </w:pPr>
      <w:r w:rsidRPr="00DA3540">
        <w:t>M*V = P *Y</w:t>
      </w:r>
    </w:p>
    <w:p w:rsidR="001A1DDA" w:rsidRPr="00DA3540" w:rsidRDefault="001A1DDA" w:rsidP="00FA4DA9">
      <w:pPr>
        <w:pStyle w:val="NormalWeb"/>
        <w:shd w:val="clear" w:color="auto" w:fill="FFFFFF"/>
        <w:spacing w:before="0" w:beforeAutospacing="0" w:after="300" w:afterAutospacing="0"/>
        <w:jc w:val="both"/>
      </w:pPr>
      <w:r w:rsidRPr="00DA3540">
        <w:t>De esta ecuación conviene saber:</w:t>
      </w:r>
    </w:p>
    <w:p w:rsidR="001A1DDA" w:rsidRPr="00DA3540" w:rsidRDefault="001A1DDA" w:rsidP="00FA4DA9">
      <w:pPr>
        <w:numPr>
          <w:ilvl w:val="0"/>
          <w:numId w:val="2"/>
        </w:numPr>
        <w:shd w:val="clear" w:color="auto" w:fill="FFFFFF"/>
        <w:spacing w:before="100" w:beforeAutospacing="1" w:after="100" w:afterAutospacing="1" w:line="240" w:lineRule="auto"/>
        <w:ind w:left="0"/>
        <w:jc w:val="both"/>
        <w:rPr>
          <w:rFonts w:ascii="Times New Roman" w:hAnsi="Times New Roman" w:cs="Times New Roman"/>
          <w:sz w:val="24"/>
          <w:szCs w:val="24"/>
        </w:rPr>
      </w:pPr>
      <w:r w:rsidRPr="00DA3540">
        <w:rPr>
          <w:rFonts w:ascii="Times New Roman" w:hAnsi="Times New Roman" w:cs="Times New Roman"/>
          <w:sz w:val="24"/>
          <w:szCs w:val="24"/>
        </w:rPr>
        <w:t>V, velocidad de circulación del dinero, a corto plazo es bastante constante ya que depende de los hábitos de los individuos que son incluidos por las instituciones, a largo plazo puede cambiar.</w:t>
      </w:r>
    </w:p>
    <w:p w:rsidR="001A1DDA" w:rsidRPr="00DA3540" w:rsidRDefault="001A1DDA" w:rsidP="00FA4DA9">
      <w:pPr>
        <w:numPr>
          <w:ilvl w:val="0"/>
          <w:numId w:val="2"/>
        </w:numPr>
        <w:shd w:val="clear" w:color="auto" w:fill="FFFFFF"/>
        <w:spacing w:before="100" w:beforeAutospacing="1" w:after="100" w:afterAutospacing="1" w:line="240" w:lineRule="auto"/>
        <w:ind w:left="0"/>
        <w:jc w:val="both"/>
        <w:rPr>
          <w:rFonts w:ascii="Times New Roman" w:hAnsi="Times New Roman" w:cs="Times New Roman"/>
          <w:sz w:val="24"/>
          <w:szCs w:val="24"/>
        </w:rPr>
      </w:pPr>
      <w:r w:rsidRPr="00DA3540">
        <w:rPr>
          <w:rFonts w:ascii="Times New Roman" w:hAnsi="Times New Roman" w:cs="Times New Roman"/>
          <w:sz w:val="24"/>
          <w:szCs w:val="24"/>
        </w:rPr>
        <w:t>Y, al formularse en un concepto neoclásico, la renta es de pleno empleo, es decir, es la renta del país utilizando todos los factores de producción, por lo que se considera constante.</w:t>
      </w:r>
    </w:p>
    <w:p w:rsidR="001A1DDA" w:rsidRPr="00DA3540" w:rsidRDefault="001A1DDA" w:rsidP="00FA4DA9">
      <w:pPr>
        <w:pStyle w:val="NormalWeb"/>
        <w:shd w:val="clear" w:color="auto" w:fill="FFFFFF"/>
        <w:spacing w:before="0" w:beforeAutospacing="0" w:after="300" w:afterAutospacing="0"/>
        <w:jc w:val="both"/>
      </w:pPr>
      <w:r w:rsidRPr="00DA3540">
        <w:t>Por lo que podemos concluir que cualquier variación en M provoca variaciones en la misma proporción y dirección que P.</w:t>
      </w:r>
    </w:p>
    <w:p w:rsidR="001A1DDA" w:rsidRPr="00DA3540" w:rsidRDefault="001A1DDA" w:rsidP="00FA4DA9">
      <w:pPr>
        <w:pStyle w:val="Ttulo2"/>
        <w:shd w:val="clear" w:color="auto" w:fill="FFFFFF"/>
        <w:spacing w:before="0" w:after="300" w:line="240" w:lineRule="auto"/>
        <w:jc w:val="both"/>
        <w:rPr>
          <w:rFonts w:ascii="Times New Roman" w:hAnsi="Times New Roman" w:cs="Times New Roman"/>
          <w:color w:val="auto"/>
          <w:sz w:val="24"/>
          <w:szCs w:val="24"/>
        </w:rPr>
      </w:pPr>
      <w:r w:rsidRPr="00DA3540">
        <w:rPr>
          <w:rFonts w:ascii="Times New Roman" w:hAnsi="Times New Roman" w:cs="Times New Roman"/>
          <w:color w:val="auto"/>
          <w:sz w:val="24"/>
          <w:szCs w:val="24"/>
        </w:rPr>
        <w:t>Teoría de David Ricardo</w:t>
      </w:r>
    </w:p>
    <w:p w:rsidR="001A1DDA" w:rsidRPr="00DA3540" w:rsidRDefault="001A1DDA" w:rsidP="00FA4DA9">
      <w:pPr>
        <w:pStyle w:val="NormalWeb"/>
        <w:shd w:val="clear" w:color="auto" w:fill="FFFFFF"/>
        <w:spacing w:before="0" w:beforeAutospacing="0" w:after="300" w:afterAutospacing="0"/>
        <w:jc w:val="both"/>
      </w:pPr>
      <w:r w:rsidRPr="00DA3540">
        <w:t>David Ricardo también intentó explicar el comportamiento de la inflación mediante una ecuación, conocida como teoría de David Ricardo:</w:t>
      </w:r>
    </w:p>
    <w:p w:rsidR="001A1DDA" w:rsidRPr="00DA3540" w:rsidRDefault="001A1DDA" w:rsidP="00FA4DA9">
      <w:pPr>
        <w:pStyle w:val="NormalWeb"/>
        <w:shd w:val="clear" w:color="auto" w:fill="FFFFFF"/>
        <w:spacing w:before="0" w:beforeAutospacing="0" w:after="300" w:afterAutospacing="0"/>
        <w:jc w:val="both"/>
      </w:pPr>
      <w:r w:rsidRPr="00DA3540">
        <w:t>P = k * M</w:t>
      </w:r>
    </w:p>
    <w:p w:rsidR="001A1DDA" w:rsidRPr="00DA3540" w:rsidRDefault="001A1DDA" w:rsidP="00FA4DA9">
      <w:pPr>
        <w:pStyle w:val="NormalWeb"/>
        <w:shd w:val="clear" w:color="auto" w:fill="FFFFFF"/>
        <w:spacing w:before="0" w:beforeAutospacing="0" w:after="300" w:afterAutospacing="0"/>
        <w:jc w:val="both"/>
      </w:pPr>
      <w:r w:rsidRPr="00DA3540">
        <w:lastRenderedPageBreak/>
        <w:t>Siendo k el porcentaje de dinero que se utiliza para las transacciones. Si M aumenta los precios (P) también aumentan.</w:t>
      </w:r>
    </w:p>
    <w:p w:rsidR="001A1DDA" w:rsidRPr="00DA3540" w:rsidRDefault="001A1DDA" w:rsidP="00FA4DA9">
      <w:pPr>
        <w:pStyle w:val="NormalWeb"/>
        <w:shd w:val="clear" w:color="auto" w:fill="FFFFFF"/>
        <w:spacing w:before="0" w:beforeAutospacing="0" w:after="300" w:afterAutospacing="0"/>
        <w:jc w:val="both"/>
      </w:pPr>
      <w:r w:rsidRPr="00DA3540">
        <w:t>Críticas a la teoría cuantitativa del dinero</w:t>
      </w:r>
    </w:p>
    <w:p w:rsidR="001A1DDA" w:rsidRPr="00DA3540" w:rsidRDefault="001A1DDA" w:rsidP="00FA4DA9">
      <w:pPr>
        <w:pStyle w:val="NormalWeb"/>
        <w:shd w:val="clear" w:color="auto" w:fill="FFFFFF"/>
        <w:spacing w:before="0" w:beforeAutospacing="0" w:after="300" w:afterAutospacing="0"/>
        <w:jc w:val="both"/>
      </w:pPr>
      <w:r w:rsidRPr="00DA3540">
        <w:t>Existen críticas a la teoría cuantitativa del dinero desde muchos ámbitos. La principal crítica viene por ser un modelo demasiado simple como para explicar la variación de los precios por sí sola.</w:t>
      </w:r>
    </w:p>
    <w:p w:rsidR="001A1DDA" w:rsidRPr="00DA3540" w:rsidRDefault="001A1DDA" w:rsidP="00FA4DA9">
      <w:pPr>
        <w:pStyle w:val="NormalWeb"/>
        <w:shd w:val="clear" w:color="auto" w:fill="FFFFFF"/>
        <w:spacing w:before="0" w:beforeAutospacing="0" w:after="300" w:afterAutospacing="0"/>
        <w:jc w:val="both"/>
      </w:pPr>
      <w:r w:rsidRPr="00DA3540">
        <w:t>Tanto el intervencionista J.M. Keynes como el liberal Ludwig Von Mises compartían que existe algo de verdad en la teoría pero que son simplemente unas variables más que afectan al cambio de precios. Son una causa más de la variación de los precios y no explican estrictamente por sí solas esta variación.</w:t>
      </w:r>
    </w:p>
    <w:p w:rsidR="001A1DDA" w:rsidRPr="00DA3540" w:rsidRDefault="001A1DDA" w:rsidP="00FA4DA9">
      <w:pPr>
        <w:pStyle w:val="NormalWeb"/>
        <w:shd w:val="clear" w:color="auto" w:fill="FFFFFF"/>
        <w:spacing w:before="0" w:beforeAutospacing="0" w:after="300" w:afterAutospacing="0"/>
        <w:jc w:val="both"/>
      </w:pPr>
      <w:r w:rsidRPr="00DA3540">
        <w:t>Paul Krugman demostró empíricamente una situación donde no funciona la teoría cuantitativa del dinero. Esta situación se conoce como trampa de la liquidez.</w:t>
      </w:r>
    </w:p>
    <w:p w:rsidR="001A1DDA" w:rsidRPr="00DA3540" w:rsidRDefault="001A1DDA" w:rsidP="00FA4DA9">
      <w:pPr>
        <w:spacing w:line="240" w:lineRule="auto"/>
        <w:jc w:val="both"/>
        <w:rPr>
          <w:rFonts w:ascii="Times New Roman" w:eastAsia="Times New Roman" w:hAnsi="Times New Roman" w:cs="Times New Roman"/>
          <w:sz w:val="24"/>
          <w:szCs w:val="24"/>
        </w:rPr>
      </w:pPr>
      <w:r w:rsidRPr="00DA3540">
        <w:rPr>
          <w:rFonts w:ascii="Times New Roman" w:eastAsia="Times New Roman" w:hAnsi="Times New Roman" w:cs="Times New Roman"/>
          <w:sz w:val="24"/>
          <w:szCs w:val="24"/>
        </w:rPr>
        <w:t>(Fuente: economipedia.com)</w:t>
      </w:r>
    </w:p>
    <w:p w:rsidR="001A1DDA" w:rsidRPr="00DA3540" w:rsidRDefault="001A1DDA" w:rsidP="00FA4DA9">
      <w:pPr>
        <w:pStyle w:val="selectionshareable"/>
        <w:shd w:val="clear" w:color="auto" w:fill="FFFFFF"/>
        <w:spacing w:after="300"/>
        <w:jc w:val="both"/>
        <w:textAlignment w:val="baseline"/>
        <w:rPr>
          <w:b/>
        </w:rPr>
      </w:pPr>
      <w:r w:rsidRPr="00DA3540">
        <w:rPr>
          <w:b/>
        </w:rPr>
        <w:t xml:space="preserve">Conociendo al </w:t>
      </w:r>
      <w:r w:rsidR="00A92B2F" w:rsidRPr="00DA3540">
        <w:rPr>
          <w:b/>
        </w:rPr>
        <w:t>“</w:t>
      </w:r>
      <w:r w:rsidRPr="00DA3540">
        <w:rPr>
          <w:b/>
        </w:rPr>
        <w:t>monstruo</w:t>
      </w:r>
      <w:r w:rsidR="00A92B2F" w:rsidRPr="00DA3540">
        <w:rPr>
          <w:b/>
        </w:rPr>
        <w:t>”</w:t>
      </w:r>
      <w:r w:rsidRPr="00DA3540">
        <w:rPr>
          <w:b/>
        </w:rPr>
        <w:t xml:space="preserve"> de la inflación (tipos de inflación según su magnitud)</w:t>
      </w:r>
    </w:p>
    <w:p w:rsidR="001A1DDA" w:rsidRPr="00DA3540" w:rsidRDefault="001A1DDA" w:rsidP="00FA4DA9">
      <w:pPr>
        <w:pStyle w:val="NormalWeb"/>
        <w:shd w:val="clear" w:color="auto" w:fill="FFFFFF"/>
        <w:spacing w:before="0" w:beforeAutospacing="0" w:after="300" w:afterAutospacing="0"/>
        <w:jc w:val="both"/>
      </w:pPr>
      <w:r w:rsidRPr="00DA3540">
        <w:t>La inflación también se denomina de diferentes maneras según el porcentaje de aumento:</w:t>
      </w:r>
    </w:p>
    <w:p w:rsidR="001A1DDA" w:rsidRPr="00DA3540" w:rsidRDefault="004C6999" w:rsidP="00FA4DA9">
      <w:pPr>
        <w:numPr>
          <w:ilvl w:val="0"/>
          <w:numId w:val="3"/>
        </w:numPr>
        <w:shd w:val="clear" w:color="auto" w:fill="FFFFFF"/>
        <w:spacing w:before="100" w:beforeAutospacing="1" w:after="100" w:afterAutospacing="1" w:line="240" w:lineRule="auto"/>
        <w:ind w:left="0"/>
        <w:jc w:val="both"/>
        <w:rPr>
          <w:rFonts w:ascii="Times New Roman" w:hAnsi="Times New Roman" w:cs="Times New Roman"/>
          <w:sz w:val="24"/>
          <w:szCs w:val="24"/>
        </w:rPr>
      </w:pPr>
      <w:hyperlink r:id="rId20" w:tgtFrame="_blank" w:history="1">
        <w:r w:rsidR="001A1DDA" w:rsidRPr="00DA3540">
          <w:rPr>
            <w:rStyle w:val="Hipervnculo"/>
            <w:rFonts w:ascii="Times New Roman" w:hAnsi="Times New Roman" w:cs="Times New Roman"/>
            <w:b/>
            <w:bCs/>
            <w:color w:val="auto"/>
            <w:sz w:val="24"/>
            <w:szCs w:val="24"/>
            <w:u w:val="none"/>
          </w:rPr>
          <w:t>Deflación</w:t>
        </w:r>
      </w:hyperlink>
      <w:r w:rsidR="001A1DDA" w:rsidRPr="00DA3540">
        <w:rPr>
          <w:rStyle w:val="Textoennegrita"/>
          <w:rFonts w:ascii="Times New Roman" w:hAnsi="Times New Roman" w:cs="Times New Roman"/>
          <w:sz w:val="24"/>
          <w:szCs w:val="24"/>
        </w:rPr>
        <w:t>:</w:t>
      </w:r>
      <w:r w:rsidR="001A1DDA" w:rsidRPr="00DA3540">
        <w:rPr>
          <w:rFonts w:ascii="Times New Roman" w:hAnsi="Times New Roman" w:cs="Times New Roman"/>
          <w:sz w:val="24"/>
          <w:szCs w:val="24"/>
        </w:rPr>
        <w:t> Es la disminución de los precios. Es decir, inflación negativa.</w:t>
      </w:r>
    </w:p>
    <w:p w:rsidR="001A1DDA" w:rsidRPr="00DA3540" w:rsidRDefault="001A1DDA" w:rsidP="00FA4DA9">
      <w:pPr>
        <w:numPr>
          <w:ilvl w:val="0"/>
          <w:numId w:val="3"/>
        </w:numPr>
        <w:shd w:val="clear" w:color="auto" w:fill="FFFFFF"/>
        <w:spacing w:before="100" w:beforeAutospacing="1" w:after="100" w:afterAutospacing="1" w:line="240" w:lineRule="auto"/>
        <w:ind w:left="0"/>
        <w:jc w:val="both"/>
        <w:rPr>
          <w:rFonts w:ascii="Times New Roman" w:hAnsi="Times New Roman" w:cs="Times New Roman"/>
          <w:sz w:val="24"/>
          <w:szCs w:val="24"/>
        </w:rPr>
      </w:pPr>
      <w:r w:rsidRPr="00DA3540">
        <w:rPr>
          <w:rStyle w:val="Textoennegrita"/>
          <w:rFonts w:ascii="Times New Roman" w:hAnsi="Times New Roman" w:cs="Times New Roman"/>
          <w:sz w:val="24"/>
          <w:szCs w:val="24"/>
        </w:rPr>
        <w:t>Inflación moderada:</w:t>
      </w:r>
      <w:r w:rsidRPr="00DA3540">
        <w:rPr>
          <w:rFonts w:ascii="Times New Roman" w:hAnsi="Times New Roman" w:cs="Times New Roman"/>
          <w:sz w:val="24"/>
          <w:szCs w:val="24"/>
        </w:rPr>
        <w:t> Elevación lenta de los precios, los precios se mantienen estables, con aumentos que no llegan al 10% anual.</w:t>
      </w:r>
    </w:p>
    <w:p w:rsidR="001A1DDA" w:rsidRPr="00DA3540" w:rsidRDefault="004C6999" w:rsidP="00FA4DA9">
      <w:pPr>
        <w:numPr>
          <w:ilvl w:val="0"/>
          <w:numId w:val="3"/>
        </w:numPr>
        <w:shd w:val="clear" w:color="auto" w:fill="FFFFFF"/>
        <w:spacing w:before="100" w:beforeAutospacing="1" w:after="100" w:afterAutospacing="1" w:line="240" w:lineRule="auto"/>
        <w:ind w:left="0"/>
        <w:jc w:val="both"/>
        <w:rPr>
          <w:rFonts w:ascii="Times New Roman" w:hAnsi="Times New Roman" w:cs="Times New Roman"/>
          <w:sz w:val="24"/>
          <w:szCs w:val="24"/>
        </w:rPr>
      </w:pPr>
      <w:hyperlink r:id="rId21" w:history="1">
        <w:r w:rsidR="001A1DDA" w:rsidRPr="00DA3540">
          <w:rPr>
            <w:rStyle w:val="Hipervnculo"/>
            <w:rFonts w:ascii="Times New Roman" w:hAnsi="Times New Roman" w:cs="Times New Roman"/>
            <w:b/>
            <w:bCs/>
            <w:color w:val="auto"/>
            <w:sz w:val="24"/>
            <w:szCs w:val="24"/>
            <w:u w:val="none"/>
          </w:rPr>
          <w:t>Inflación galopante:</w:t>
        </w:r>
      </w:hyperlink>
      <w:r w:rsidR="001A1DDA" w:rsidRPr="00DA3540">
        <w:rPr>
          <w:rFonts w:ascii="Times New Roman" w:hAnsi="Times New Roman" w:cs="Times New Roman"/>
          <w:sz w:val="24"/>
          <w:szCs w:val="24"/>
        </w:rPr>
        <w:t> Niveles de inflación de dos o tres dígitos en el plazo de un año, es decir, un producto puede triplicar su precio en apenas un año, provocando una pérdida tremenda de poder adquisitivo. Suelen ser provocados por grandes cambios económicos en un país.</w:t>
      </w:r>
    </w:p>
    <w:p w:rsidR="001A1DDA" w:rsidRPr="00DA3540" w:rsidRDefault="004C6999" w:rsidP="00FA4DA9">
      <w:pPr>
        <w:numPr>
          <w:ilvl w:val="0"/>
          <w:numId w:val="3"/>
        </w:numPr>
        <w:shd w:val="clear" w:color="auto" w:fill="FFFFFF"/>
        <w:spacing w:before="100" w:beforeAutospacing="1" w:after="100" w:afterAutospacing="1" w:line="240" w:lineRule="auto"/>
        <w:ind w:left="0"/>
        <w:jc w:val="both"/>
        <w:rPr>
          <w:rFonts w:ascii="Times New Roman" w:hAnsi="Times New Roman" w:cs="Times New Roman"/>
          <w:sz w:val="24"/>
          <w:szCs w:val="24"/>
        </w:rPr>
      </w:pPr>
      <w:hyperlink r:id="rId22" w:tgtFrame="_blank" w:history="1">
        <w:r w:rsidR="001A1DDA" w:rsidRPr="00DA3540">
          <w:rPr>
            <w:rStyle w:val="Hipervnculo"/>
            <w:rFonts w:ascii="Times New Roman" w:hAnsi="Times New Roman" w:cs="Times New Roman"/>
            <w:b/>
            <w:bCs/>
            <w:color w:val="auto"/>
            <w:sz w:val="24"/>
            <w:szCs w:val="24"/>
            <w:u w:val="none"/>
          </w:rPr>
          <w:t>Hiperinflación</w:t>
        </w:r>
      </w:hyperlink>
      <w:r w:rsidR="001A1DDA" w:rsidRPr="00DA3540">
        <w:rPr>
          <w:rStyle w:val="Textoennegrita"/>
          <w:rFonts w:ascii="Times New Roman" w:hAnsi="Times New Roman" w:cs="Times New Roman"/>
          <w:sz w:val="24"/>
          <w:szCs w:val="24"/>
        </w:rPr>
        <w:t>:</w:t>
      </w:r>
      <w:r w:rsidR="001A1DDA" w:rsidRPr="00DA3540">
        <w:rPr>
          <w:rFonts w:ascii="Times New Roman" w:hAnsi="Times New Roman" w:cs="Times New Roman"/>
          <w:sz w:val="24"/>
          <w:szCs w:val="24"/>
        </w:rPr>
        <w:t> Son aumentos de precios de más del 1000% anual. Provocan graves crisis económicas, ya que el dinero no acaba valiendo prácticamente nada y el precio de los bienes y servicios resulta excesivo. En ocasiones puede ocurrir que el valor del dinero llegue a ser menor que el coste del propio papel del que está impreso.</w:t>
      </w:r>
    </w:p>
    <w:p w:rsidR="001A1DDA" w:rsidRPr="00DA3540" w:rsidRDefault="001A1DDA" w:rsidP="00FA4DA9">
      <w:pPr>
        <w:pStyle w:val="NormalWeb"/>
        <w:shd w:val="clear" w:color="auto" w:fill="FFFFFF"/>
        <w:spacing w:before="0" w:beforeAutospacing="0" w:after="150" w:afterAutospacing="0"/>
        <w:jc w:val="both"/>
      </w:pPr>
      <w:r w:rsidRPr="00DA3540">
        <w:t>La inflación refleja los aumentos de precios en toda la economía. Entonces, con una inflación alta, es posible que las personas cuyos ingresos no aumentan junto con el costo de vida ya no puedan pagar su estilo de vida.</w:t>
      </w:r>
    </w:p>
    <w:p w:rsidR="001A1DDA" w:rsidRPr="00DA3540" w:rsidRDefault="001A1DDA" w:rsidP="00FA4DA9">
      <w:pPr>
        <w:pStyle w:val="NormalWeb"/>
        <w:shd w:val="clear" w:color="auto" w:fill="FFFFFF"/>
        <w:spacing w:before="0" w:beforeAutospacing="0" w:after="150" w:afterAutospacing="0"/>
        <w:jc w:val="both"/>
      </w:pPr>
      <w:r w:rsidRPr="00DA3540">
        <w:t>Prácticamente no ha habido un período en la historia en el que haya ocurrido un cambio significativo en el nivel de precios que no haya sido acompañado simultáneamente por un cambio correspondiente en la oferta de dinero. Esto ha llevado a una opinión generalizada de que, a largo plazo, la inflación es siempre y en todas partes un fenómeno monetario resultante y acompañado de un aumento en la cantidad de dinero en relación con la producción.</w:t>
      </w:r>
    </w:p>
    <w:p w:rsidR="001A1DDA" w:rsidRPr="00DA3540" w:rsidRDefault="001A1DDA" w:rsidP="00FA4DA9">
      <w:pPr>
        <w:pStyle w:val="NormalWeb"/>
        <w:shd w:val="clear" w:color="auto" w:fill="FFFFFF"/>
        <w:spacing w:before="0" w:beforeAutospacing="0" w:after="150" w:afterAutospacing="0"/>
        <w:jc w:val="both"/>
      </w:pPr>
      <w:r w:rsidRPr="00DA3540">
        <w:t>Este punto de vista es consistente con dos puntos de vista bastante diferentes en cuanto a la causa de la inflación: si es causada por factores:</w:t>
      </w:r>
    </w:p>
    <w:p w:rsidR="001A1DDA" w:rsidRPr="00DA3540" w:rsidRDefault="001A1DDA" w:rsidP="00FA4DA9">
      <w:pPr>
        <w:numPr>
          <w:ilvl w:val="0"/>
          <w:numId w:val="4"/>
        </w:numPr>
        <w:shd w:val="clear" w:color="auto" w:fill="FFFFFF"/>
        <w:spacing w:before="100" w:beforeAutospacing="1" w:after="300" w:line="240" w:lineRule="auto"/>
        <w:ind w:left="0"/>
        <w:jc w:val="both"/>
        <w:rPr>
          <w:rFonts w:ascii="Times New Roman" w:hAnsi="Times New Roman" w:cs="Times New Roman"/>
          <w:sz w:val="24"/>
          <w:szCs w:val="24"/>
        </w:rPr>
      </w:pPr>
      <w:r w:rsidRPr="00DA3540">
        <w:rPr>
          <w:rFonts w:ascii="Times New Roman" w:hAnsi="Times New Roman" w:cs="Times New Roman"/>
          <w:sz w:val="24"/>
          <w:szCs w:val="24"/>
        </w:rPr>
        <w:t>Del lado de la demanda: que influyen en el gasto general.</w:t>
      </w:r>
    </w:p>
    <w:p w:rsidR="001A1DDA" w:rsidRPr="00DA3540" w:rsidRDefault="001A1DDA" w:rsidP="00FA4DA9">
      <w:pPr>
        <w:numPr>
          <w:ilvl w:val="0"/>
          <w:numId w:val="4"/>
        </w:numPr>
        <w:shd w:val="clear" w:color="auto" w:fill="FFFFFF"/>
        <w:spacing w:before="100" w:beforeAutospacing="1" w:after="300" w:line="240" w:lineRule="auto"/>
        <w:ind w:left="0"/>
        <w:jc w:val="both"/>
        <w:rPr>
          <w:rFonts w:ascii="Times New Roman" w:hAnsi="Times New Roman" w:cs="Times New Roman"/>
          <w:sz w:val="24"/>
          <w:szCs w:val="24"/>
        </w:rPr>
      </w:pPr>
      <w:r w:rsidRPr="00DA3540">
        <w:rPr>
          <w:rFonts w:ascii="Times New Roman" w:hAnsi="Times New Roman" w:cs="Times New Roman"/>
          <w:sz w:val="24"/>
          <w:szCs w:val="24"/>
        </w:rPr>
        <w:lastRenderedPageBreak/>
        <w:t>Del lado de la oferta: que influyen en la producción general en cualquier momento dado.</w:t>
      </w:r>
    </w:p>
    <w:p w:rsidR="001A1DDA" w:rsidRPr="00DA3540" w:rsidRDefault="001A1DDA" w:rsidP="00FA4DA9">
      <w:pPr>
        <w:pStyle w:val="NormalWeb"/>
        <w:shd w:val="clear" w:color="auto" w:fill="FFFFFF"/>
        <w:spacing w:before="0" w:beforeAutospacing="0" w:after="150" w:afterAutospacing="0"/>
        <w:jc w:val="both"/>
      </w:pPr>
      <w:r w:rsidRPr="00DA3540">
        <w:t>Las presiones inflacionarias comienzan a aumentar cuando el gasto en la economía supera la producción de la economía. La política monetaria se puede utilizar para mantener el gasto en línea con la producción total, aunque de manera imperfecta y con rezagos entre la implementación y los resultados.</w:t>
      </w:r>
    </w:p>
    <w:p w:rsidR="001A1DDA" w:rsidRPr="00DA3540" w:rsidRDefault="001A1DDA" w:rsidP="00FA4DA9">
      <w:pPr>
        <w:pStyle w:val="NormalWeb"/>
        <w:shd w:val="clear" w:color="auto" w:fill="FFFFFF"/>
        <w:spacing w:before="0" w:beforeAutospacing="0" w:after="150" w:afterAutospacing="0"/>
        <w:jc w:val="both"/>
      </w:pPr>
      <w:r w:rsidRPr="00DA3540">
        <w:t>Por lo tanto, una tasa de crecimiento del dinero más rápida juega un papel activo en la inflación y es el resultado de políticas equivocadas, como:</w:t>
      </w:r>
    </w:p>
    <w:p w:rsidR="001A1DDA" w:rsidRPr="00DA3540" w:rsidRDefault="001A1DDA" w:rsidP="00FA4DA9">
      <w:pPr>
        <w:numPr>
          <w:ilvl w:val="0"/>
          <w:numId w:val="5"/>
        </w:numPr>
        <w:shd w:val="clear" w:color="auto" w:fill="FFFFFF"/>
        <w:spacing w:before="100" w:beforeAutospacing="1" w:after="300" w:line="240" w:lineRule="auto"/>
        <w:ind w:left="0"/>
        <w:jc w:val="both"/>
        <w:rPr>
          <w:rFonts w:ascii="Times New Roman" w:hAnsi="Times New Roman" w:cs="Times New Roman"/>
          <w:sz w:val="24"/>
          <w:szCs w:val="24"/>
        </w:rPr>
      </w:pPr>
      <w:r w:rsidRPr="00DA3540">
        <w:rPr>
          <w:rFonts w:ascii="Times New Roman" w:hAnsi="Times New Roman" w:cs="Times New Roman"/>
          <w:sz w:val="24"/>
          <w:szCs w:val="24"/>
        </w:rPr>
        <w:t>Las que fijan tasas de interés demasiado bajas.</w:t>
      </w:r>
    </w:p>
    <w:p w:rsidR="001A1DDA" w:rsidRPr="00DA3540" w:rsidRDefault="001A1DDA" w:rsidP="00FA4DA9">
      <w:pPr>
        <w:numPr>
          <w:ilvl w:val="0"/>
          <w:numId w:val="5"/>
        </w:numPr>
        <w:shd w:val="clear" w:color="auto" w:fill="FFFFFF"/>
        <w:spacing w:before="100" w:beforeAutospacing="1" w:after="300" w:line="240" w:lineRule="auto"/>
        <w:ind w:left="0"/>
        <w:jc w:val="both"/>
        <w:rPr>
          <w:rFonts w:ascii="Times New Roman" w:hAnsi="Times New Roman" w:cs="Times New Roman"/>
          <w:sz w:val="24"/>
          <w:szCs w:val="24"/>
        </w:rPr>
      </w:pPr>
      <w:r w:rsidRPr="00DA3540">
        <w:rPr>
          <w:rFonts w:ascii="Times New Roman" w:hAnsi="Times New Roman" w:cs="Times New Roman"/>
          <w:sz w:val="24"/>
          <w:szCs w:val="24"/>
        </w:rPr>
        <w:t>Las que respaldan valores de cambio de divisas del euro poco realistas.</w:t>
      </w:r>
    </w:p>
    <w:p w:rsidR="001A1DDA" w:rsidRPr="00DA3540" w:rsidRDefault="001A1DDA" w:rsidP="00FA4DA9">
      <w:pPr>
        <w:pStyle w:val="NormalWeb"/>
        <w:shd w:val="clear" w:color="auto" w:fill="FFFFFF"/>
        <w:spacing w:before="0" w:beforeAutospacing="0" w:after="150" w:afterAutospacing="0"/>
        <w:jc w:val="both"/>
      </w:pPr>
      <w:r w:rsidRPr="00DA3540">
        <w:t>Según este punto de vista, el control de la inflación recae en el Gobierno central y depende de su voluntad de limitar el crecimiento de la oferta monetaria.</w:t>
      </w:r>
    </w:p>
    <w:p w:rsidR="001A1DDA" w:rsidRPr="00DA3540" w:rsidRDefault="001A1DDA" w:rsidP="00FA4DA9">
      <w:pPr>
        <w:pStyle w:val="NormalWeb"/>
        <w:shd w:val="clear" w:color="auto" w:fill="FFFFFF"/>
        <w:spacing w:before="0" w:beforeAutospacing="0" w:after="150" w:afterAutospacing="0"/>
        <w:jc w:val="both"/>
      </w:pPr>
      <w:r w:rsidRPr="00DA3540">
        <w:t>Sin embargo, la relación entre los cambios en la oferta monetaria y los cambios en la inflación no es estable. Por lo tanto, en la práctica, los economistas están divididos sobre si las tendencias inflacionarias se pueden predecir mejor al observar la relación entre el gasto y la producción, utilizando medidas como la brecha del producto o analizando medidas de política monetaria, como el crecimiento en la oferta monetaria.</w:t>
      </w:r>
    </w:p>
    <w:p w:rsidR="001A1DDA" w:rsidRPr="00DA3540" w:rsidRDefault="001A1DDA" w:rsidP="00FA4DA9">
      <w:pPr>
        <w:pStyle w:val="NormalWeb"/>
        <w:shd w:val="clear" w:color="auto" w:fill="FFFFFF"/>
        <w:spacing w:before="0" w:beforeAutospacing="0" w:after="150" w:afterAutospacing="0"/>
        <w:jc w:val="both"/>
      </w:pPr>
      <w:r w:rsidRPr="00DA3540">
        <w:t>Las </w:t>
      </w:r>
      <w:r w:rsidRPr="00DA3540">
        <w:rPr>
          <w:rStyle w:val="Textoennegrita"/>
          <w:b w:val="0"/>
        </w:rPr>
        <w:t>causas de la inflación</w:t>
      </w:r>
      <w:r w:rsidRPr="00DA3540">
        <w:t> afectan a la economía y las finanzas de todos. Se trata de las siguientes:</w:t>
      </w:r>
    </w:p>
    <w:p w:rsidR="001A1DDA" w:rsidRPr="00DA3540" w:rsidRDefault="001A1DDA" w:rsidP="00FA4DA9">
      <w:pPr>
        <w:numPr>
          <w:ilvl w:val="0"/>
          <w:numId w:val="6"/>
        </w:numPr>
        <w:shd w:val="clear" w:color="auto" w:fill="FFFFFF"/>
        <w:spacing w:before="100" w:beforeAutospacing="1" w:after="100" w:afterAutospacing="1" w:line="240" w:lineRule="auto"/>
        <w:jc w:val="both"/>
        <w:rPr>
          <w:rFonts w:ascii="Times New Roman" w:hAnsi="Times New Roman" w:cs="Times New Roman"/>
          <w:sz w:val="24"/>
          <w:szCs w:val="24"/>
        </w:rPr>
      </w:pPr>
      <w:r w:rsidRPr="00DA3540">
        <w:rPr>
          <w:rStyle w:val="Textoennegrita"/>
          <w:rFonts w:ascii="Times New Roman" w:hAnsi="Times New Roman" w:cs="Times New Roman"/>
          <w:sz w:val="24"/>
          <w:szCs w:val="24"/>
        </w:rPr>
        <w:t>Economía en crecimiento.</w:t>
      </w:r>
      <w:r w:rsidRPr="00DA3540">
        <w:rPr>
          <w:rFonts w:ascii="Times New Roman" w:hAnsi="Times New Roman" w:cs="Times New Roman"/>
          <w:sz w:val="24"/>
          <w:szCs w:val="24"/>
        </w:rPr>
        <w:t> En una economía en crecimiento o en expansión, el desempleo baja y los salarios suelen subir. Como resultado, más personas se encuentran con más dinero en su bolsillo, que están dispuestos a gastar en lujos y necesidades. Esta mayor demanda permite a los proveedores aumentar los precios, lo que a su vez genera más puestos de trabajo, lo que pone más dinero en circulación y da vueltas y vueltas</w:t>
      </w:r>
      <w:r w:rsidRPr="00DA3540">
        <w:rPr>
          <w:rStyle w:val="Textoennegrita"/>
          <w:rFonts w:ascii="Times New Roman" w:hAnsi="Times New Roman" w:cs="Times New Roman"/>
          <w:sz w:val="24"/>
          <w:szCs w:val="24"/>
        </w:rPr>
        <w:t xml:space="preserve">. </w:t>
      </w:r>
      <w:r w:rsidRPr="00DA3540">
        <w:rPr>
          <w:rStyle w:val="Textoennegrita"/>
          <w:rFonts w:ascii="Times New Roman" w:hAnsi="Times New Roman" w:cs="Times New Roman"/>
          <w:b w:val="0"/>
          <w:sz w:val="24"/>
          <w:szCs w:val="24"/>
        </w:rPr>
        <w:t>En este contexto, las causas de la inflación derivan en algo positivo</w:t>
      </w:r>
      <w:r w:rsidRPr="00DA3540">
        <w:rPr>
          <w:rStyle w:val="Textoennegrita"/>
          <w:rFonts w:ascii="Times New Roman" w:hAnsi="Times New Roman" w:cs="Times New Roman"/>
          <w:sz w:val="24"/>
          <w:szCs w:val="24"/>
        </w:rPr>
        <w:t>.</w:t>
      </w:r>
      <w:r w:rsidRPr="00DA3540">
        <w:rPr>
          <w:rFonts w:ascii="Times New Roman" w:hAnsi="Times New Roman" w:cs="Times New Roman"/>
          <w:sz w:val="24"/>
          <w:szCs w:val="24"/>
        </w:rPr>
        <w:t> Debido a que una economía en crecimiento puede conducir a un aumento en el gasto y la demanda de los consumidores, se considera una forma de inflación de demanda.</w:t>
      </w:r>
    </w:p>
    <w:p w:rsidR="001A1DDA" w:rsidRPr="00DA3540" w:rsidRDefault="001A1DDA" w:rsidP="00FA4DA9">
      <w:pPr>
        <w:numPr>
          <w:ilvl w:val="0"/>
          <w:numId w:val="6"/>
        </w:numPr>
        <w:shd w:val="clear" w:color="auto" w:fill="FFFFFF"/>
        <w:spacing w:before="100" w:beforeAutospacing="1" w:after="100" w:afterAutospacing="1" w:line="240" w:lineRule="auto"/>
        <w:jc w:val="both"/>
        <w:rPr>
          <w:rFonts w:ascii="Times New Roman" w:hAnsi="Times New Roman" w:cs="Times New Roman"/>
          <w:sz w:val="24"/>
          <w:szCs w:val="24"/>
        </w:rPr>
      </w:pPr>
      <w:r w:rsidRPr="00DA3540">
        <w:rPr>
          <w:rStyle w:val="Textoennegrita"/>
          <w:rFonts w:ascii="Times New Roman" w:hAnsi="Times New Roman" w:cs="Times New Roman"/>
          <w:sz w:val="24"/>
          <w:szCs w:val="24"/>
        </w:rPr>
        <w:t>Expansión de la oferta monetaria. </w:t>
      </w:r>
      <w:r w:rsidRPr="00DA3540">
        <w:rPr>
          <w:rFonts w:ascii="Times New Roman" w:hAnsi="Times New Roman" w:cs="Times New Roman"/>
          <w:sz w:val="24"/>
          <w:szCs w:val="24"/>
        </w:rPr>
        <w:t>Una oferta monetaria expandida también puede impulsar la inflación de demanda. Esto sucede cuando el Gobierno imprime dinero a una tasa superior a la tasa de crecimiento de la economía. Con más dinero en circulación, la demanda crece y los precios suben.</w:t>
      </w:r>
    </w:p>
    <w:p w:rsidR="001A1DDA" w:rsidRPr="00DA3540" w:rsidRDefault="001A1DDA" w:rsidP="00FA4DA9">
      <w:pPr>
        <w:numPr>
          <w:ilvl w:val="0"/>
          <w:numId w:val="6"/>
        </w:numPr>
        <w:shd w:val="clear" w:color="auto" w:fill="FFFFFF"/>
        <w:spacing w:before="100" w:beforeAutospacing="1" w:after="100" w:afterAutospacing="1" w:line="240" w:lineRule="auto"/>
        <w:jc w:val="both"/>
        <w:rPr>
          <w:rFonts w:ascii="Times New Roman" w:hAnsi="Times New Roman" w:cs="Times New Roman"/>
          <w:sz w:val="24"/>
          <w:szCs w:val="24"/>
        </w:rPr>
      </w:pPr>
      <w:r w:rsidRPr="00DA3540">
        <w:rPr>
          <w:rStyle w:val="Textoennegrita"/>
          <w:rFonts w:ascii="Times New Roman" w:hAnsi="Times New Roman" w:cs="Times New Roman"/>
          <w:sz w:val="24"/>
          <w:szCs w:val="24"/>
        </w:rPr>
        <w:t>Regulación gubernamental.</w:t>
      </w:r>
      <w:r w:rsidRPr="00DA3540">
        <w:rPr>
          <w:rFonts w:ascii="Times New Roman" w:hAnsi="Times New Roman" w:cs="Times New Roman"/>
          <w:sz w:val="24"/>
          <w:szCs w:val="24"/>
        </w:rPr>
        <w:t> El gobierno puede imponer nuevas leyes o aranceles que encarecen a las empresas la producción o importación de bienes. Transmiten esos gastos más elevados a los consumidores en forma de precios más altos. Esto da como resultado una inflación de costes.</w:t>
      </w:r>
    </w:p>
    <w:p w:rsidR="001A1DDA" w:rsidRPr="00DA3540" w:rsidRDefault="001A1DDA" w:rsidP="00FA4DA9">
      <w:pPr>
        <w:numPr>
          <w:ilvl w:val="0"/>
          <w:numId w:val="6"/>
        </w:numPr>
        <w:shd w:val="clear" w:color="auto" w:fill="FFFFFF"/>
        <w:spacing w:before="100" w:beforeAutospacing="1" w:after="100" w:afterAutospacing="1" w:line="240" w:lineRule="auto"/>
        <w:jc w:val="both"/>
        <w:rPr>
          <w:rFonts w:ascii="Times New Roman" w:hAnsi="Times New Roman" w:cs="Times New Roman"/>
          <w:sz w:val="24"/>
          <w:szCs w:val="24"/>
        </w:rPr>
      </w:pPr>
      <w:r w:rsidRPr="00DA3540">
        <w:rPr>
          <w:rStyle w:val="Textoennegrita"/>
          <w:rFonts w:ascii="Times New Roman" w:hAnsi="Times New Roman" w:cs="Times New Roman"/>
          <w:sz w:val="24"/>
          <w:szCs w:val="24"/>
        </w:rPr>
        <w:t>Gestión de la deuda pública.</w:t>
      </w:r>
      <w:r w:rsidRPr="00DA3540">
        <w:rPr>
          <w:rFonts w:ascii="Times New Roman" w:hAnsi="Times New Roman" w:cs="Times New Roman"/>
          <w:sz w:val="24"/>
          <w:szCs w:val="24"/>
        </w:rPr>
        <w:t> Cuando la deuda nacional se dispara, el gobierno tiene dos opciones principales. Uno es aumentar los impuestos para hacer los pagos de su deuda. Si aumenta los impuestos corporativos, es probable que las empresas trasladen la carga a los consumidores a través de precios más altos. Este es otro escenario de inflación de costes. La otra opción del gobierno, por supuesto, es imprimir más dinero. Como se explicó anteriormente, esto puede resultar en una inflación de demanda. Entonces, si el gobierno usa ambos enfoques para abordar la deuda nacional, puede afectar tanto la inflación de demanda como la inflación de costes.</w:t>
      </w:r>
    </w:p>
    <w:p w:rsidR="001A1DDA" w:rsidRPr="00DA3540" w:rsidRDefault="001A1DDA" w:rsidP="00FA4DA9">
      <w:pPr>
        <w:numPr>
          <w:ilvl w:val="0"/>
          <w:numId w:val="6"/>
        </w:numPr>
        <w:shd w:val="clear" w:color="auto" w:fill="FFFFFF"/>
        <w:spacing w:before="100" w:beforeAutospacing="1" w:after="100" w:afterAutospacing="1" w:line="240" w:lineRule="auto"/>
        <w:jc w:val="both"/>
        <w:rPr>
          <w:rFonts w:ascii="Times New Roman" w:hAnsi="Times New Roman" w:cs="Times New Roman"/>
          <w:sz w:val="24"/>
          <w:szCs w:val="24"/>
        </w:rPr>
      </w:pPr>
      <w:r w:rsidRPr="00DA3540">
        <w:rPr>
          <w:rStyle w:val="Textoennegrita"/>
          <w:rFonts w:ascii="Times New Roman" w:hAnsi="Times New Roman" w:cs="Times New Roman"/>
          <w:sz w:val="24"/>
          <w:szCs w:val="24"/>
        </w:rPr>
        <w:lastRenderedPageBreak/>
        <w:t>Variaciones en el tipo de cambio</w:t>
      </w:r>
      <w:r w:rsidRPr="00DA3540">
        <w:rPr>
          <w:rFonts w:ascii="Times New Roman" w:hAnsi="Times New Roman" w:cs="Times New Roman"/>
          <w:sz w:val="24"/>
          <w:szCs w:val="24"/>
        </w:rPr>
        <w:t>. Cuando el valor del euro cae en relación con la moneda extranjera, se reduce el poder adquisitivo. En otras palabras, los productos importados, la mayoría de los bienes de consumo comprados en España y Europa, se vuelven más caros de comprar. Su coste aumenta. La inflación resultante se considera del tipo de aumento de costes.</w:t>
      </w:r>
    </w:p>
    <w:p w:rsidR="001A1DDA" w:rsidRPr="00DA3540" w:rsidRDefault="001A1DDA" w:rsidP="00FA4DA9">
      <w:pPr>
        <w:pStyle w:val="NormalWeb"/>
        <w:shd w:val="clear" w:color="auto" w:fill="FFFFFF"/>
        <w:spacing w:before="0" w:beforeAutospacing="0" w:after="150" w:afterAutospacing="0"/>
        <w:jc w:val="both"/>
      </w:pPr>
      <w:r w:rsidRPr="00DA3540">
        <w:t>En el peor de los casos, </w:t>
      </w:r>
      <w:r w:rsidRPr="00DA3540">
        <w:rPr>
          <w:rStyle w:val="Textoennegrita"/>
          <w:b w:val="0"/>
        </w:rPr>
        <w:t>una vez que aparecen las causas de la</w:t>
      </w:r>
      <w:r w:rsidRPr="00DA3540">
        <w:rPr>
          <w:rStyle w:val="Textoennegrita"/>
        </w:rPr>
        <w:t> </w:t>
      </w:r>
      <w:hyperlink r:id="rId23" w:history="1">
        <w:r w:rsidRPr="00DA3540">
          <w:rPr>
            <w:rStyle w:val="Hipervnculo"/>
            <w:rFonts w:eastAsiaTheme="majorEastAsia"/>
            <w:bCs/>
            <w:color w:val="auto"/>
            <w:u w:val="none"/>
          </w:rPr>
          <w:t>inflación, sus consecuencias</w:t>
        </w:r>
      </w:hyperlink>
      <w:r w:rsidRPr="00DA3540">
        <w:rPr>
          <w:rStyle w:val="Textoennegrita"/>
        </w:rPr>
        <w:t> </w:t>
      </w:r>
      <w:r w:rsidRPr="00DA3540">
        <w:rPr>
          <w:rStyle w:val="Textoennegrita"/>
          <w:b w:val="0"/>
        </w:rPr>
        <w:t>pueden reducir el valor del dinero que ha invertido y ahorrado por parte de la ciudadanía. También puede desencadenar un círculo vicioso que derive en una recesión</w:t>
      </w:r>
      <w:r w:rsidRPr="00DA3540">
        <w:rPr>
          <w:b/>
        </w:rPr>
        <w:t>.</w:t>
      </w:r>
      <w:r w:rsidRPr="00DA3540">
        <w:t xml:space="preserve"> Con una disminución general del poder adquisitivo, los consumidores recortaron drásticamente el gasto, incluso en lo necesario.</w:t>
      </w:r>
    </w:p>
    <w:p w:rsidR="001A1DDA" w:rsidRPr="00DA3540" w:rsidRDefault="001A1DDA" w:rsidP="00FA4DA9">
      <w:pPr>
        <w:pStyle w:val="NormalWeb"/>
        <w:shd w:val="clear" w:color="auto" w:fill="FFFFFF"/>
        <w:spacing w:before="0" w:beforeAutospacing="0" w:after="150" w:afterAutospacing="0"/>
        <w:jc w:val="both"/>
      </w:pPr>
      <w:r w:rsidRPr="00DA3540">
        <w:t>(Fuente: EAE Business School)</w:t>
      </w:r>
    </w:p>
    <w:p w:rsidR="001A1DDA" w:rsidRPr="00DA3540" w:rsidRDefault="001A1DDA" w:rsidP="00FA4DA9">
      <w:pPr>
        <w:pStyle w:val="NormalWeb"/>
        <w:shd w:val="clear" w:color="auto" w:fill="FFFFFF"/>
        <w:spacing w:after="150"/>
        <w:jc w:val="both"/>
        <w:rPr>
          <w:b/>
        </w:rPr>
      </w:pPr>
      <w:r w:rsidRPr="00DA3540">
        <w:rPr>
          <w:b/>
        </w:rPr>
        <w:t>¿Cuáles son las consecuencias de la inflación?</w:t>
      </w:r>
    </w:p>
    <w:p w:rsidR="001A1DDA" w:rsidRPr="00DA3540" w:rsidRDefault="001A1DDA" w:rsidP="00FA4DA9">
      <w:pPr>
        <w:pStyle w:val="NormalWeb"/>
        <w:shd w:val="clear" w:color="auto" w:fill="FFFFFF"/>
        <w:spacing w:before="0" w:beforeAutospacing="0" w:after="150" w:afterAutospacing="0"/>
        <w:jc w:val="both"/>
      </w:pPr>
      <w:r w:rsidRPr="00DA3540">
        <w:t>Los efectos negativos de la inflación incluyen la disminución del valor real de la moneda a través del tiempo, el desaliento del ahorro y de la inversión debido a la incertidumbre sobre el valor futuro del dinero, y la escasez de bienes.</w:t>
      </w:r>
    </w:p>
    <w:p w:rsidR="001A1DDA" w:rsidRPr="00DA3540" w:rsidRDefault="001A1DDA" w:rsidP="00FA4DA9">
      <w:pPr>
        <w:pStyle w:val="NormalWeb"/>
        <w:shd w:val="clear" w:color="auto" w:fill="FFFFFF"/>
        <w:spacing w:after="150"/>
        <w:jc w:val="both"/>
        <w:rPr>
          <w:b/>
        </w:rPr>
      </w:pPr>
      <w:r w:rsidRPr="00DA3540">
        <w:rPr>
          <w:b/>
        </w:rPr>
        <w:t>¿Cómo afecta la inflación a la sociedad?</w:t>
      </w:r>
    </w:p>
    <w:p w:rsidR="001A1DDA" w:rsidRPr="00DA3540" w:rsidRDefault="001A1DDA" w:rsidP="00FA4DA9">
      <w:pPr>
        <w:pStyle w:val="NormalWeb"/>
        <w:shd w:val="clear" w:color="auto" w:fill="FFFFFF"/>
        <w:spacing w:before="0" w:beforeAutospacing="0" w:after="150" w:afterAutospacing="0"/>
        <w:jc w:val="both"/>
      </w:pPr>
      <w:r w:rsidRPr="00DA3540">
        <w:t>La inflación redistribuye el ingreso y el poder adquisitivo de manera desfavorable. En efecto, la inflación puede considerarse un impuesto regresivo, toda vez que afecta en mayor medida a las familias de menores ingresos... Además, la inflación también reduce el poder de compra de todo tipo de obligaciones contractuales.</w:t>
      </w:r>
    </w:p>
    <w:p w:rsidR="001A1DDA" w:rsidRPr="00DA3540" w:rsidRDefault="001A1DDA" w:rsidP="00FA4DA9">
      <w:pPr>
        <w:pStyle w:val="NormalWeb"/>
        <w:shd w:val="clear" w:color="auto" w:fill="FFFFFF"/>
        <w:spacing w:after="150"/>
        <w:jc w:val="both"/>
        <w:rPr>
          <w:b/>
        </w:rPr>
      </w:pPr>
      <w:r w:rsidRPr="00DA3540">
        <w:rPr>
          <w:b/>
        </w:rPr>
        <w:t>¿Cómo afecta la inflación en la economía?</w:t>
      </w:r>
    </w:p>
    <w:p w:rsidR="001A1DDA" w:rsidRPr="00DA3540" w:rsidRDefault="001A1DDA" w:rsidP="00FA4DA9">
      <w:pPr>
        <w:pStyle w:val="NormalWeb"/>
        <w:shd w:val="clear" w:color="auto" w:fill="FFFFFF"/>
        <w:spacing w:before="0" w:beforeAutospacing="0" w:after="150" w:afterAutospacing="0"/>
        <w:jc w:val="both"/>
      </w:pPr>
      <w:r w:rsidRPr="00DA3540">
        <w:t>Con la inflación los precios de los productos suben y es la moneda del país la más afectada al perder valor. Logrando que el poder adquisitivo de la población se reduzca y que las personas necesiten más dinero para enfrentar los gastos habituales.</w:t>
      </w:r>
    </w:p>
    <w:p w:rsidR="001A1DDA" w:rsidRPr="00DA3540" w:rsidRDefault="001A1DDA" w:rsidP="00FA4DA9">
      <w:pPr>
        <w:pStyle w:val="NormalWeb"/>
        <w:shd w:val="clear" w:color="auto" w:fill="FFFFFF"/>
        <w:spacing w:after="150"/>
        <w:jc w:val="both"/>
      </w:pPr>
      <w:r w:rsidRPr="00DA3540">
        <w:t>Aumento de los salarios</w:t>
      </w:r>
    </w:p>
    <w:p w:rsidR="001A1DDA" w:rsidRPr="00DA3540" w:rsidRDefault="001A1DDA" w:rsidP="00FA4DA9">
      <w:pPr>
        <w:pStyle w:val="NormalWeb"/>
        <w:shd w:val="clear" w:color="auto" w:fill="FFFFFF"/>
        <w:spacing w:after="150"/>
        <w:jc w:val="both"/>
      </w:pPr>
      <w:r w:rsidRPr="00DA3540">
        <w:t xml:space="preserve">En la mayoría de los países desarrollados, los salarios están indizados con el nivel de los precios. Así, si la inflación es del 3 %, los salarios aumentarán también, en teoría, el 3 %. Por tanto, no hay pérdida de poder adquisitivo. </w:t>
      </w:r>
    </w:p>
    <w:p w:rsidR="001A1DDA" w:rsidRPr="00DA3540" w:rsidRDefault="001A1DDA" w:rsidP="00FA4DA9">
      <w:pPr>
        <w:pStyle w:val="NormalWeb"/>
        <w:shd w:val="clear" w:color="auto" w:fill="FFFFFF"/>
        <w:spacing w:after="150"/>
        <w:jc w:val="both"/>
      </w:pPr>
      <w:r w:rsidRPr="00DA3540">
        <w:t>Si los salarios aumentan más rápidamente que los precios, las economías domésticas se enriquecen. A la inversa, si los salarios no aumentan con la misma rapidez, hay una pérdida de poder adquisitivo.</w:t>
      </w:r>
    </w:p>
    <w:p w:rsidR="001A1DDA" w:rsidRPr="00DA3540" w:rsidRDefault="001A1DDA" w:rsidP="00FA4DA9">
      <w:pPr>
        <w:pStyle w:val="NormalWeb"/>
        <w:shd w:val="clear" w:color="auto" w:fill="FFFFFF"/>
        <w:spacing w:after="150"/>
        <w:jc w:val="both"/>
      </w:pPr>
      <w:r w:rsidRPr="00DA3540">
        <w:t xml:space="preserve">Alivio de la deuda para los deudores </w:t>
      </w:r>
    </w:p>
    <w:p w:rsidR="001A1DDA" w:rsidRPr="00DA3540" w:rsidRDefault="001A1DDA" w:rsidP="00FA4DA9">
      <w:pPr>
        <w:pStyle w:val="NormalWeb"/>
        <w:shd w:val="clear" w:color="auto" w:fill="FFFFFF"/>
        <w:spacing w:after="150"/>
        <w:jc w:val="both"/>
      </w:pPr>
      <w:r w:rsidRPr="00DA3540">
        <w:t xml:space="preserve">En caso de inflación, un euro de mañana valdrá menos que un euro de hoy. De este modo, si tiene un préstamo bancario a un tipo fijo, el importe a reembolsar cada mes será idéntico pero representará una parte menor de su presupuesto. Esta es una de las razones que lleva a los Estados Unidos a recurrir con frecuencia a una creación importante de moneda. La inflación </w:t>
      </w:r>
      <w:r w:rsidRPr="00DA3540">
        <w:lastRenderedPageBreak/>
        <w:t>debida a esta creación reduce el peso de la deuda pública que debe pagar el Estado a sus acreedores.</w:t>
      </w:r>
    </w:p>
    <w:p w:rsidR="001A1DDA" w:rsidRPr="00DA3540" w:rsidRDefault="001A1DDA" w:rsidP="00FA4DA9">
      <w:pPr>
        <w:pStyle w:val="NormalWeb"/>
        <w:shd w:val="clear" w:color="auto" w:fill="FFFFFF"/>
        <w:spacing w:after="150"/>
        <w:jc w:val="both"/>
      </w:pPr>
      <w:r w:rsidRPr="00DA3540">
        <w:t>A la inversa, se pierde una parte del valor de la deuda para los acreedores, a los que se reembolsará el importe de sus créditos con una moneda que tendrá menos valor que en el momento en que se realizó la operación de préstamo.</w:t>
      </w:r>
    </w:p>
    <w:p w:rsidR="001A1DDA" w:rsidRPr="00DA3540" w:rsidRDefault="001A1DDA" w:rsidP="00FA4DA9">
      <w:pPr>
        <w:pStyle w:val="NormalWeb"/>
        <w:shd w:val="clear" w:color="auto" w:fill="FFFFFF"/>
        <w:spacing w:after="150"/>
        <w:jc w:val="both"/>
      </w:pPr>
      <w:r w:rsidRPr="00DA3540">
        <w:t>Del mismo modo, las economías domésticas que hayan suscrito un préstamo a tipos variables sufrirán los efectos de una subida del tipo por el banco central si este decide aumentar sus tipos directores. El prestatario a tipo variable tendrá entonces que devolver un porcentaje de interés más elevado que en el momento en que se le concedió el préstamo.</w:t>
      </w:r>
    </w:p>
    <w:p w:rsidR="001A1DDA" w:rsidRPr="00DA3540" w:rsidRDefault="001A1DDA" w:rsidP="00FA4DA9">
      <w:pPr>
        <w:pStyle w:val="NormalWeb"/>
        <w:shd w:val="clear" w:color="auto" w:fill="FFFFFF"/>
        <w:spacing w:after="150"/>
        <w:jc w:val="both"/>
      </w:pPr>
      <w:r w:rsidRPr="00DA3540">
        <w:t>Favorece las exportaciones</w:t>
      </w:r>
    </w:p>
    <w:p w:rsidR="001A1DDA" w:rsidRPr="00DA3540" w:rsidRDefault="001A1DDA" w:rsidP="00FA4DA9">
      <w:pPr>
        <w:pStyle w:val="NormalWeb"/>
        <w:shd w:val="clear" w:color="auto" w:fill="FFFFFF"/>
        <w:spacing w:after="150"/>
        <w:jc w:val="both"/>
      </w:pPr>
      <w:r w:rsidRPr="00DA3540">
        <w:t xml:space="preserve">La inflación puede favorecer la exportación de ciertos productos. De hecho, la inflación hace que el valor de la moneda se deprecie frente a las demás monedas y, por tanto, que a los importadores extranjeros les cueste más barato comprar ciertos productos. </w:t>
      </w:r>
    </w:p>
    <w:p w:rsidR="001A1DDA" w:rsidRPr="00DA3540" w:rsidRDefault="001A1DDA" w:rsidP="00FA4DA9">
      <w:pPr>
        <w:pStyle w:val="NormalWeb"/>
        <w:shd w:val="clear" w:color="auto" w:fill="FFFFFF"/>
        <w:spacing w:after="150"/>
        <w:jc w:val="both"/>
      </w:pPr>
      <w:r w:rsidRPr="00DA3540">
        <w:t xml:space="preserve">A la inversa, la inflación es nefasta para los importadores que pagarán precios más elevados para importar los productos extranjeros debido a la depreciación de la moneda frente a las divisas extranjeras. </w:t>
      </w:r>
    </w:p>
    <w:p w:rsidR="001A1DDA" w:rsidRPr="00DA3540" w:rsidRDefault="001A1DDA" w:rsidP="00FA4DA9">
      <w:pPr>
        <w:pStyle w:val="NormalWeb"/>
        <w:shd w:val="clear" w:color="auto" w:fill="FFFFFF"/>
        <w:spacing w:after="150"/>
        <w:jc w:val="both"/>
      </w:pPr>
      <w:r w:rsidRPr="00DA3540">
        <w:t>Salud económica de un país</w:t>
      </w:r>
    </w:p>
    <w:p w:rsidR="001A1DDA" w:rsidRPr="00DA3540" w:rsidRDefault="001A1DDA" w:rsidP="00FA4DA9">
      <w:pPr>
        <w:pStyle w:val="NormalWeb"/>
        <w:shd w:val="clear" w:color="auto" w:fill="FFFFFF"/>
        <w:spacing w:after="150"/>
        <w:jc w:val="both"/>
      </w:pPr>
      <w:r w:rsidRPr="00DA3540">
        <w:t>La tasa de crecimiento real de un país se calcula de la manera siguiente: tasa de crecimiento del PIB - tasa de crecimiento de la inflación. Si la tasa de inflación es superior a la tasa de crecimiento del PIB, entonces la economía real está en recesión.</w:t>
      </w:r>
    </w:p>
    <w:p w:rsidR="001A1DDA" w:rsidRPr="00DA3540" w:rsidRDefault="001A1DDA" w:rsidP="00FA4DA9">
      <w:pPr>
        <w:pStyle w:val="NormalWeb"/>
        <w:shd w:val="clear" w:color="auto" w:fill="FFFFFF"/>
        <w:spacing w:after="150"/>
        <w:jc w:val="both"/>
      </w:pPr>
      <w:r w:rsidRPr="00DA3540">
        <w:t>La inflación disminuye el poder adquisitivo, es decir, al subir los precios, el dinero vale menos y por lo tanto nos permite adquirir menos bienes y servicios, perjudicando sobre todo a los más pobres. Pero existen diferentes aspectos para medir sus efectos.</w:t>
      </w:r>
    </w:p>
    <w:p w:rsidR="001A1DDA" w:rsidRPr="00DA3540" w:rsidRDefault="001A1DDA" w:rsidP="00FA4DA9">
      <w:pPr>
        <w:pStyle w:val="NormalWeb"/>
        <w:shd w:val="clear" w:color="auto" w:fill="FFFFFF"/>
        <w:spacing w:after="150"/>
        <w:jc w:val="both"/>
      </w:pPr>
      <w:r w:rsidRPr="00DA3540">
        <w:t>Por un lado, al reflejar la disminución del valor real de la moneda de un país, mientras más crezca el índice se desalientan las inversiones y el ahorro debido a una incertidumbre sobre el valor del dinero. Pero, al contrario, si la tasa de inflación se mantiene estable, se fomenta el consumo y así hay una mayor actividad económica que impulsa al crecimiento del país.</w:t>
      </w:r>
    </w:p>
    <w:p w:rsidR="001A1DDA" w:rsidRPr="00DA3540" w:rsidRDefault="001A1DDA" w:rsidP="00FA4DA9">
      <w:pPr>
        <w:pStyle w:val="NormalWeb"/>
        <w:shd w:val="clear" w:color="auto" w:fill="FFFFFF"/>
        <w:spacing w:after="150"/>
        <w:jc w:val="both"/>
      </w:pPr>
      <w:r w:rsidRPr="00DA3540">
        <w:t xml:space="preserve">Favorece a los titulares de activos </w:t>
      </w:r>
    </w:p>
    <w:p w:rsidR="001A1DDA" w:rsidRPr="00DA3540" w:rsidRDefault="001A1DDA" w:rsidP="00FA4DA9">
      <w:pPr>
        <w:pStyle w:val="NormalWeb"/>
        <w:shd w:val="clear" w:color="auto" w:fill="FFFFFF"/>
        <w:spacing w:after="150"/>
        <w:jc w:val="both"/>
        <w:rPr>
          <w:rFonts w:ascii="Tahoma" w:hAnsi="Tahoma" w:cs="Tahoma"/>
        </w:rPr>
      </w:pPr>
      <w:r w:rsidRPr="00DA3540">
        <w:t>La inflación incrementa el valor de sus bienes inmuebles. De hecho, si hay una subida de los precios, esta se generaliza al conjunto de los bienes y servicios y el valor de sus bienes inmuebles será, por consiguiente, más elevado. Para los demás tipos de activos, el principio es el mismo. Por el contrario, los inversores pagarán precios más elevados para adquirir un bien o un activo.</w:t>
      </w:r>
      <w:r w:rsidRPr="00DA3540">
        <w:rPr>
          <w:rFonts w:ascii="Tahoma" w:hAnsi="Tahoma" w:cs="Tahoma"/>
        </w:rPr>
        <w:t>﻿</w:t>
      </w:r>
    </w:p>
    <w:p w:rsidR="001A1DDA" w:rsidRDefault="001A1DDA" w:rsidP="00FA4DA9">
      <w:pPr>
        <w:pStyle w:val="NormalWeb"/>
        <w:shd w:val="clear" w:color="auto" w:fill="FFFFFF"/>
        <w:spacing w:after="150"/>
        <w:jc w:val="both"/>
        <w:rPr>
          <w:rFonts w:ascii="Tahoma" w:hAnsi="Tahoma" w:cs="Tahoma"/>
        </w:rPr>
      </w:pPr>
    </w:p>
    <w:p w:rsidR="001A1DDA" w:rsidRDefault="001A1DDA" w:rsidP="00FA4DA9">
      <w:pPr>
        <w:pStyle w:val="NormalWeb"/>
        <w:shd w:val="clear" w:color="auto" w:fill="FFFFFF"/>
        <w:spacing w:after="150"/>
        <w:jc w:val="both"/>
        <w:rPr>
          <w:rFonts w:ascii="Tahoma" w:hAnsi="Tahoma" w:cs="Tahoma"/>
        </w:rPr>
      </w:pPr>
    </w:p>
    <w:p w:rsidR="001A1DDA" w:rsidRDefault="001A1DDA" w:rsidP="00FA4DA9">
      <w:pPr>
        <w:pStyle w:val="NormalWeb"/>
        <w:shd w:val="clear" w:color="auto" w:fill="FFFFFF"/>
        <w:spacing w:after="150"/>
        <w:jc w:val="both"/>
        <w:rPr>
          <w:rFonts w:ascii="Tahoma" w:hAnsi="Tahoma" w:cs="Tahoma"/>
        </w:rPr>
      </w:pPr>
    </w:p>
    <w:p w:rsidR="001A1DDA" w:rsidRDefault="00074CAC" w:rsidP="00FA4DA9">
      <w:pPr>
        <w:pStyle w:val="NormalWeb"/>
        <w:shd w:val="clear" w:color="auto" w:fill="FFFFFF"/>
        <w:spacing w:after="150"/>
        <w:jc w:val="both"/>
        <w:rPr>
          <w:b/>
        </w:rPr>
      </w:pPr>
      <w:r>
        <w:rPr>
          <w:b/>
        </w:rPr>
        <w:lastRenderedPageBreak/>
        <w:t xml:space="preserve">Anexo II: </w:t>
      </w:r>
      <w:r w:rsidR="001A1DDA" w:rsidRPr="00F73A6A">
        <w:rPr>
          <w:b/>
        </w:rPr>
        <w:t>Cómo funciona la inflación en Argentina</w:t>
      </w:r>
      <w:r w:rsidR="001A1DDA">
        <w:rPr>
          <w:b/>
        </w:rPr>
        <w:t xml:space="preserve"> (</w:t>
      </w:r>
      <w:r w:rsidR="00D57FA1">
        <w:rPr>
          <w:b/>
        </w:rPr>
        <w:t xml:space="preserve">donde </w:t>
      </w:r>
      <w:r w:rsidR="001A1DDA">
        <w:rPr>
          <w:b/>
        </w:rPr>
        <w:t>todo es hoy, no hay mañana)</w:t>
      </w:r>
    </w:p>
    <w:p w:rsidR="00A216BF" w:rsidRDefault="00A216BF" w:rsidP="00FA4DA9">
      <w:pPr>
        <w:pStyle w:val="NormalWeb"/>
        <w:shd w:val="clear" w:color="auto" w:fill="FFFFFF"/>
        <w:spacing w:after="150"/>
        <w:jc w:val="both"/>
        <w:rPr>
          <w:b/>
        </w:rPr>
      </w:pPr>
      <w:r>
        <w:rPr>
          <w:noProof/>
        </w:rPr>
        <w:drawing>
          <wp:inline distT="0" distB="0" distL="0" distR="0" wp14:anchorId="16D5A883" wp14:editId="1DAE61CA">
            <wp:extent cx="5727700" cy="2692400"/>
            <wp:effectExtent l="0" t="0" r="6350" b="0"/>
            <wp:docPr id="13" name="Imagen 13" descr="ola-billetes-euro-inflacion-euro-eurozona-getty-770x4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ola-billetes-euro-inflacion-euro-eurozona-getty-770x420.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1510" cy="2694191"/>
                    </a:xfrm>
                    <a:prstGeom prst="rect">
                      <a:avLst/>
                    </a:prstGeom>
                    <a:noFill/>
                    <a:ln>
                      <a:noFill/>
                    </a:ln>
                  </pic:spPr>
                </pic:pic>
              </a:graphicData>
            </a:graphic>
          </wp:inline>
        </w:drawing>
      </w:r>
    </w:p>
    <w:p w:rsidR="00551761" w:rsidRPr="00551761" w:rsidRDefault="008D46A1" w:rsidP="00FA4DA9">
      <w:pPr>
        <w:pStyle w:val="selectionshareable"/>
        <w:shd w:val="clear" w:color="auto" w:fill="FFFFFF"/>
        <w:spacing w:after="300"/>
        <w:jc w:val="both"/>
        <w:textAlignment w:val="baseline"/>
      </w:pPr>
      <w:r>
        <w:t>(Apartado para interesados en la “economía del absurdo</w:t>
      </w:r>
      <w:r w:rsidR="00A92B2F">
        <w:t>”, o “paleontólogos”</w:t>
      </w:r>
      <w:r w:rsidR="003E18A2">
        <w:t>,</w:t>
      </w:r>
      <w:r w:rsidR="00A92B2F">
        <w:t xml:space="preserve"> que estén buscando</w:t>
      </w:r>
      <w:r>
        <w:t xml:space="preserve"> identificar al </w:t>
      </w:r>
      <w:r w:rsidR="000629AA">
        <w:t>“</w:t>
      </w:r>
      <w:r>
        <w:t>único país del mundo</w:t>
      </w:r>
      <w:r w:rsidR="000629AA">
        <w:t>”</w:t>
      </w:r>
      <w:r>
        <w:t>, que paso de ser muy rico</w:t>
      </w:r>
      <w:r w:rsidR="00A92B2F">
        <w:t>,</w:t>
      </w:r>
      <w:r>
        <w:t xml:space="preserve"> a ser muy pobre)</w:t>
      </w:r>
      <w:r w:rsidR="00551761">
        <w:t xml:space="preserve"> </w:t>
      </w:r>
    </w:p>
    <w:p w:rsidR="00074CAC" w:rsidRDefault="00DD31B1" w:rsidP="00FA4DA9">
      <w:pPr>
        <w:pStyle w:val="NormalWeb"/>
        <w:shd w:val="clear" w:color="auto" w:fill="FFFFFF"/>
        <w:spacing w:after="150"/>
        <w:jc w:val="both"/>
      </w:pPr>
      <w:r>
        <w:t>Como soy</w:t>
      </w:r>
      <w:r w:rsidR="00074CAC">
        <w:t xml:space="preserve"> “nacido y criado” en Argentina, es la experiencia que “me pilla más cerca”</w:t>
      </w:r>
      <w:r w:rsidR="008E792E">
        <w:t xml:space="preserve"> y</w:t>
      </w:r>
      <w:r w:rsidR="00074CAC">
        <w:t>, teniendo en cuenta que he pasado los pr</w:t>
      </w:r>
      <w:r w:rsidR="008E792E">
        <w:t xml:space="preserve">imeros 44 años de vida, </w:t>
      </w:r>
      <w:r w:rsidR="00074CAC">
        <w:t>en</w:t>
      </w:r>
      <w:r w:rsidR="008E792E">
        <w:t xml:space="preserve"> estado de</w:t>
      </w:r>
      <w:r w:rsidR="00A92B2F">
        <w:t xml:space="preserve"> “inflación</w:t>
      </w:r>
      <w:r w:rsidR="008E792E">
        <w:t xml:space="preserve"> permanente</w:t>
      </w:r>
      <w:r w:rsidR="00A92B2F">
        <w:t>”</w:t>
      </w:r>
      <w:r w:rsidR="008E792E">
        <w:t xml:space="preserve"> (que se di</w:t>
      </w:r>
      <w:r w:rsidR="009E062A">
        <w:t>ce fácil), puedo hacer un “forensic” (casi) sin levantar el cadáver.</w:t>
      </w:r>
    </w:p>
    <w:p w:rsidR="00074CAC" w:rsidRDefault="00074CAC" w:rsidP="00FA4DA9">
      <w:pPr>
        <w:pStyle w:val="NormalWeb"/>
        <w:shd w:val="clear" w:color="auto" w:fill="FFFFFF"/>
        <w:spacing w:after="150"/>
        <w:jc w:val="both"/>
      </w:pPr>
      <w:r>
        <w:t xml:space="preserve">Luego inicié, con mi familia, un largo “exilio voluntario” en Europa (España), por lo a partir del año 1989, dejé de padecer el síndrome inflacionario. </w:t>
      </w:r>
      <w:r w:rsidR="00D80387">
        <w:t>Hasta ahora</w:t>
      </w:r>
      <w:r w:rsidR="00A216BF">
        <w:t xml:space="preserve"> (10/21)</w:t>
      </w:r>
      <w:r w:rsidR="00D80387">
        <w:t xml:space="preserve">, debería decir. </w:t>
      </w:r>
    </w:p>
    <w:p w:rsidR="00074CAC" w:rsidRDefault="00074CAC" w:rsidP="00FA4DA9">
      <w:pPr>
        <w:pStyle w:val="NormalWeb"/>
        <w:shd w:val="clear" w:color="auto" w:fill="FFFFFF"/>
        <w:spacing w:after="150"/>
        <w:jc w:val="both"/>
      </w:pPr>
      <w:r>
        <w:t>En los primeros meses de residencia en España (Canarias), lo que más sorprendía a mi esposa era ir al mercado y comprobar que los precios de la</w:t>
      </w:r>
      <w:r w:rsidR="00D80387">
        <w:t>s carnes, frutas, verduras o pes</w:t>
      </w:r>
      <w:r>
        <w:t>cados… era</w:t>
      </w:r>
      <w:r w:rsidR="00D80387">
        <w:t>n</w:t>
      </w:r>
      <w:r>
        <w:t xml:space="preserve"> igual</w:t>
      </w:r>
      <w:r w:rsidR="00D80387">
        <w:t>es a los del día anterior. También le impresionaba recibir al principio del año escolar una nota en la que se fijaban el pago mensual de la matrícula para todo el año.</w:t>
      </w:r>
    </w:p>
    <w:p w:rsidR="00D80387" w:rsidRDefault="00D80387" w:rsidP="00FA4DA9">
      <w:pPr>
        <w:pStyle w:val="NormalWeb"/>
        <w:shd w:val="clear" w:color="auto" w:fill="FFFFFF"/>
        <w:spacing w:after="150"/>
        <w:jc w:val="both"/>
      </w:pPr>
      <w:r>
        <w:t xml:space="preserve">En mi caso, los </w:t>
      </w:r>
      <w:r w:rsidR="009E062A">
        <w:t>profesionales con los que comencé</w:t>
      </w:r>
      <w:r>
        <w:t xml:space="preserve"> a trabajar, se extrañaban que todos los días les preguntara a cuantas pesetas se cotizaba el dólar. ¿Por qué te interesa tanto la cotización de dólar? Nosotros no la miramos, si no vamos a viajar a Estados Unidos, decían.</w:t>
      </w:r>
    </w:p>
    <w:p w:rsidR="008E792E" w:rsidRPr="00074CAC" w:rsidRDefault="008E792E" w:rsidP="00FA4DA9">
      <w:pPr>
        <w:pStyle w:val="NormalWeb"/>
        <w:shd w:val="clear" w:color="auto" w:fill="FFFFFF"/>
        <w:spacing w:after="150"/>
        <w:jc w:val="both"/>
      </w:pPr>
      <w:r>
        <w:t>Difícil me resultaba explicarles que los argentinos vivíamos en un país “sin moneda”, dónde todos los valores, precios, contratos, u operaciones mercantiles</w:t>
      </w:r>
      <w:r w:rsidR="00697BD3">
        <w:t>,</w:t>
      </w:r>
      <w:r>
        <w:t xml:space="preserve"> se fijaban en dólares. Y si no, estabas -económicamente- muerto. Así y todo, había que estar muy “enterado” para que la inflación no te pillara a contrapié (con más cuentas a cobrar</w:t>
      </w:r>
      <w:r w:rsidR="00697BD3">
        <w:t>,</w:t>
      </w:r>
      <w:r>
        <w:t xml:space="preserve"> que a pagar).  </w:t>
      </w:r>
    </w:p>
    <w:p w:rsidR="001A1DDA" w:rsidRPr="00A216BF" w:rsidRDefault="001A1DDA" w:rsidP="00FA4DA9">
      <w:pPr>
        <w:pStyle w:val="NormalWeb"/>
        <w:shd w:val="clear" w:color="auto" w:fill="FFFFFF"/>
        <w:spacing w:after="150"/>
        <w:jc w:val="both"/>
        <w:rPr>
          <w:b/>
        </w:rPr>
      </w:pPr>
      <w:r w:rsidRPr="00A216BF">
        <w:rPr>
          <w:b/>
        </w:rPr>
        <w:t>La crisis perpetua de Argentina</w:t>
      </w:r>
    </w:p>
    <w:p w:rsidR="001A1DDA" w:rsidRDefault="001A1DDA" w:rsidP="00FA4DA9">
      <w:pPr>
        <w:pStyle w:val="NormalWeb"/>
        <w:shd w:val="clear" w:color="auto" w:fill="FFFFFF"/>
        <w:spacing w:after="150"/>
        <w:jc w:val="both"/>
      </w:pPr>
      <w:r>
        <w:t xml:space="preserve">“Desde hace un siglo, cuando era uno de los países más ricos del mundo, ha experimentado una inflación anual media del 105% y ha tenido que cambiar cinco veces de moneda. Hoy es el principal deudor del Fondo Monetario y sufre una de las contracciones más graves de América por la pandemia. ¿Dónde anida la maldición de la economía argentina?” (El País - </w:t>
      </w:r>
      <w:r w:rsidRPr="007F3792">
        <w:rPr>
          <w:b/>
        </w:rPr>
        <w:t>27/2/21</w:t>
      </w:r>
      <w:r>
        <w:t>)</w:t>
      </w:r>
    </w:p>
    <w:p w:rsidR="001A1DDA" w:rsidRDefault="001A1DDA" w:rsidP="00FA4DA9">
      <w:pPr>
        <w:pStyle w:val="NormalWeb"/>
        <w:shd w:val="clear" w:color="auto" w:fill="FFFFFF"/>
        <w:spacing w:after="150"/>
        <w:jc w:val="both"/>
      </w:pPr>
      <w:r w:rsidRPr="008F68BF">
        <w:lastRenderedPageBreak/>
        <w:t>“Es una suma de crisis”, dice Diego Sánchez-Ancochea, profesor de Economía Política para el Desarrollo en la Universidad de Oxford. “Argentina nunca termina de salir de sus crisis: aumentó su deuda en los ochenta, en los noventa trató de resolver el problema por la vía de las privatizaciones, luego llegó la crisis de 2001 y 2002 por la vía del tipo de cambio. Se crean espacios de tranquilidad, pero no se resuelven nunca los problemas estructurales. Las crisis regresan porque nunca se fueron”.</w:t>
      </w:r>
    </w:p>
    <w:p w:rsidR="001A1DDA" w:rsidRPr="007F3792" w:rsidRDefault="001A1DDA" w:rsidP="00FA4DA9">
      <w:pPr>
        <w:pStyle w:val="NormalWeb"/>
        <w:shd w:val="clear" w:color="auto" w:fill="FFFFFF"/>
        <w:spacing w:after="150"/>
        <w:jc w:val="both"/>
      </w:pPr>
      <w:r w:rsidRPr="007F3792">
        <w:t xml:space="preserve">Con la inflación, todo es a corto plazo, porque no hay futuro. </w:t>
      </w:r>
    </w:p>
    <w:p w:rsidR="001A1DDA" w:rsidRDefault="001A1DDA" w:rsidP="00FA4DA9">
      <w:pPr>
        <w:spacing w:line="240" w:lineRule="auto"/>
        <w:jc w:val="both"/>
        <w:rPr>
          <w:rFonts w:ascii="Times New Roman" w:eastAsia="Times New Roman" w:hAnsi="Times New Roman" w:cs="Times New Roman"/>
          <w:sz w:val="24"/>
          <w:szCs w:val="24"/>
        </w:rPr>
      </w:pPr>
      <w:r w:rsidRPr="003A011E">
        <w:rPr>
          <w:rFonts w:ascii="Times New Roman" w:eastAsia="Times New Roman" w:hAnsi="Times New Roman" w:cs="Times New Roman"/>
          <w:sz w:val="24"/>
          <w:szCs w:val="24"/>
        </w:rPr>
        <w:t xml:space="preserve">Sin lugar a dudas, la inflación parece haber sido la gran preocupación económica de los argentinos en </w:t>
      </w:r>
      <w:r>
        <w:rPr>
          <w:rFonts w:ascii="Times New Roman" w:eastAsia="Times New Roman" w:hAnsi="Times New Roman" w:cs="Times New Roman"/>
          <w:sz w:val="24"/>
          <w:szCs w:val="24"/>
        </w:rPr>
        <w:t>los últimos tiempos</w:t>
      </w:r>
      <w:r w:rsidRPr="003A011E">
        <w:rPr>
          <w:rFonts w:ascii="Times New Roman" w:eastAsia="Times New Roman" w:hAnsi="Times New Roman" w:cs="Times New Roman"/>
          <w:sz w:val="24"/>
          <w:szCs w:val="24"/>
        </w:rPr>
        <w:t>. Tod</w:t>
      </w:r>
      <w:r>
        <w:rPr>
          <w:rFonts w:ascii="Times New Roman" w:eastAsia="Times New Roman" w:hAnsi="Times New Roman" w:cs="Times New Roman"/>
          <w:sz w:val="24"/>
          <w:szCs w:val="24"/>
        </w:rPr>
        <w:t>os los problemas que recientemente</w:t>
      </w:r>
      <w:r w:rsidRPr="003A011E">
        <w:rPr>
          <w:rFonts w:ascii="Times New Roman" w:eastAsia="Times New Roman" w:hAnsi="Times New Roman" w:cs="Times New Roman"/>
          <w:sz w:val="24"/>
          <w:szCs w:val="24"/>
        </w:rPr>
        <w:t xml:space="preserve"> han aquejado al país están ligados a ella de manera más o menos directa. Desde el deterioro de la calidad de vida y el aumento de la pobreza hasta la devaluación de la moneda, pasando por las negociaciones laborales, los impuestos y las tarifas de los servicios públicos.</w:t>
      </w:r>
    </w:p>
    <w:p w:rsidR="001A1DDA" w:rsidRPr="003A011E" w:rsidRDefault="001A1DDA" w:rsidP="00FA4DA9">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Resulta</w:t>
      </w:r>
      <w:r w:rsidRPr="003A011E">
        <w:rPr>
          <w:rFonts w:ascii="Times New Roman" w:eastAsia="Times New Roman" w:hAnsi="Times New Roman" w:cs="Times New Roman"/>
          <w:sz w:val="24"/>
          <w:szCs w:val="24"/>
        </w:rPr>
        <w:t xml:space="preserve"> evidente que una aceleración tan fuerte de los precios supone un enorme coste de oportunidad para el país en términos del crecimiento del producto interior bruto (PIB), lo cual explica en parte por qué la renta per cápita argentina lleva 10 años prácticamente estancada.</w:t>
      </w:r>
    </w:p>
    <w:p w:rsidR="001A1DDA" w:rsidRPr="00F73A6A" w:rsidRDefault="001A1DDA" w:rsidP="00FA4DA9">
      <w:pPr>
        <w:pStyle w:val="NormalWeb"/>
        <w:shd w:val="clear" w:color="auto" w:fill="FFFFFF"/>
        <w:spacing w:after="150"/>
        <w:jc w:val="both"/>
      </w:pPr>
      <w:r>
        <w:t xml:space="preserve">Hace muchos años que los argentinos sufren el flagelo de la inflación que les come sus salarios sin que aparentemente puedan hacer nada. A su vez, escuchan todo el tiempo interpretaciones de por qué les llueve esa plaga, que además de la Argentina afecta a un puñado de otros países, como Venezuela, Irán, Malawi y Sudán. Oyen que la inflación se produce por la existencia de empresarios inescrupulosos, un fenómeno que aparentemente parece ser exclusivo de este puñado de países. Debe ser que en otros países emergentes (o en vías de desarrollo), como Brasil, Perú, Indonesia, Tailandia, por citar algunos, los empresarios son buenos y que imbuidos de una gran conciencia social no aumentan los precios aun pudiendo hacerlo. </w:t>
      </w:r>
    </w:p>
    <w:p w:rsidR="001A1DDA" w:rsidRDefault="001A1DDA" w:rsidP="00FA4DA9">
      <w:pPr>
        <w:pStyle w:val="NormalWeb"/>
        <w:shd w:val="clear" w:color="auto" w:fill="FFFFFF"/>
        <w:spacing w:after="150"/>
        <w:jc w:val="both"/>
      </w:pPr>
      <w:r>
        <w:t xml:space="preserve">Pero todo eso no es cierto. </w:t>
      </w:r>
      <w:r w:rsidRPr="00BA766B">
        <w:t>La inflación se produce porque el Gobierno emite dinero para financiar el desequilibrio entre sus gastos y sus ingresos. Esa emisión aumenta la oferta de pesos en la economía, y como cualquier bien c</w:t>
      </w:r>
      <w:r>
        <w:t>uya oferta sube, su precio cae</w:t>
      </w:r>
      <w:r w:rsidRPr="00BA766B">
        <w:t>... Es el resultado directo del uso indiscriminado de la emisión para financiar el gasto.</w:t>
      </w:r>
    </w:p>
    <w:p w:rsidR="001A1DDA" w:rsidRDefault="001A1DDA" w:rsidP="00FA4DA9">
      <w:pPr>
        <w:pStyle w:val="NormalWeb"/>
        <w:shd w:val="clear" w:color="auto" w:fill="FFFFFF"/>
        <w:spacing w:after="150"/>
        <w:jc w:val="both"/>
      </w:pPr>
      <w:r>
        <w:t>En definitiva, el tema de la inflación se produce por una lucha distributiva. Pero no de asalariados y empresarios, sino del Gobierno con los ciudadanos. El primero usa la emisión para apropiarse de recursos del sector privado. La solución tiene dos vertientes: o el Gobierno le saca dinero de otra manera a la gente o decide gastar un poco menos y así castigarla menos con el impuesto inflacionario.</w:t>
      </w:r>
    </w:p>
    <w:p w:rsidR="001A1DDA" w:rsidRDefault="001A1DDA" w:rsidP="00FA4DA9">
      <w:pPr>
        <w:pStyle w:val="NormalWeb"/>
        <w:shd w:val="clear" w:color="auto" w:fill="FFFFFF"/>
        <w:spacing w:after="150"/>
        <w:jc w:val="both"/>
      </w:pPr>
      <w:r w:rsidRPr="007F3792">
        <w:t>Controlar la inflación es clave para restaurar la estabilidad económica tras tres años de recesión, para frenar la crisis social y el au</w:t>
      </w:r>
      <w:r>
        <w:t>mento de los niveles de pobreza.</w:t>
      </w:r>
    </w:p>
    <w:p w:rsidR="001A1DDA" w:rsidRDefault="001A1DDA" w:rsidP="00FA4DA9">
      <w:pPr>
        <w:pStyle w:val="NormalWeb"/>
        <w:shd w:val="clear" w:color="auto" w:fill="FFFFFF"/>
        <w:spacing w:after="150"/>
        <w:jc w:val="both"/>
      </w:pPr>
      <w:r w:rsidRPr="007F3792">
        <w:t>Sin embargo, los argentinos han desconfiado de su moneda durante décadas, asumiendo que la elevada inflación corroerá cualquier ahorro y, por lo tanto, buscan refugio en el dólar, una tendencia que economistas, inversionistas y funcionarios han luchado por explicar, e incluso resolver. Hasta los niños en edad escolar aprenden a estar atentos a los precios.</w:t>
      </w:r>
    </w:p>
    <w:p w:rsidR="001A1DDA" w:rsidRPr="008F68BF" w:rsidRDefault="001A1DDA" w:rsidP="00FA4DA9">
      <w:pPr>
        <w:spacing w:line="240" w:lineRule="auto"/>
        <w:jc w:val="both"/>
        <w:rPr>
          <w:rFonts w:ascii="Times New Roman" w:eastAsia="Times New Roman" w:hAnsi="Times New Roman" w:cs="Times New Roman"/>
          <w:sz w:val="24"/>
          <w:szCs w:val="24"/>
        </w:rPr>
      </w:pPr>
      <w:r w:rsidRPr="008F68BF">
        <w:rPr>
          <w:rFonts w:ascii="Times New Roman" w:eastAsia="Times New Roman" w:hAnsi="Times New Roman" w:cs="Times New Roman"/>
          <w:sz w:val="24"/>
          <w:szCs w:val="24"/>
        </w:rPr>
        <w:t xml:space="preserve">Una crisis endémica es la del peso. Las décadas de alta inflación y de erosión de la moneda, unidas al trauma del “corralito” de 2001-2002 (los argentinos no pudieron acceder a sus </w:t>
      </w:r>
      <w:r w:rsidRPr="008F68BF">
        <w:rPr>
          <w:rFonts w:ascii="Times New Roman" w:eastAsia="Times New Roman" w:hAnsi="Times New Roman" w:cs="Times New Roman"/>
          <w:sz w:val="24"/>
          <w:szCs w:val="24"/>
        </w:rPr>
        <w:lastRenderedPageBreak/>
        <w:t>depósitos bancarios durante casi un año, y cuando pudieron hacerlo encontraron que sus ahorros en dólares se habían transformado en pesos devaluados), han hecho de Argentina un país bimonetario. Los precios del mercado inmobiliario, por ejemplo, se fijan en dólares.</w:t>
      </w:r>
    </w:p>
    <w:p w:rsidR="001A1DDA" w:rsidRDefault="001A1DDA" w:rsidP="00FA4DA9">
      <w:pPr>
        <w:pStyle w:val="NormalWeb"/>
        <w:shd w:val="clear" w:color="auto" w:fill="FFFFFF"/>
        <w:spacing w:after="150"/>
        <w:jc w:val="both"/>
      </w:pPr>
      <w:r w:rsidRPr="008F68BF">
        <w:t>El economista Martín Rapetti estima que, en términos reales, el producto bruto por habitante en Argentina es hoy casi el mismo que en 1974. Con el agravante de que la desigualdad entre ricos y pobres es mucho may</w:t>
      </w:r>
      <w:r w:rsidR="00324F4A">
        <w:t>or. Casi medio siglo perdido. Ra</w:t>
      </w:r>
      <w:r w:rsidRPr="008F68BF">
        <w:t>petti, entrevistado por el diario Clarín, hace un pronóstico sombrío: contando con que la economía argentina crezca un 6% en 2021 y luego siga creciendo a un ritmo ininterrumpido del 4,5% anual, algo bastante improbable, no se recuperará el nivel de vida de 2011 hasta 2027.</w:t>
      </w:r>
      <w:r>
        <w:t xml:space="preserve"> (El País - </w:t>
      </w:r>
      <w:r w:rsidRPr="007F3792">
        <w:rPr>
          <w:b/>
        </w:rPr>
        <w:t>27/2/21</w:t>
      </w:r>
      <w:r>
        <w:t>)</w:t>
      </w:r>
    </w:p>
    <w:p w:rsidR="00DD31B1" w:rsidRPr="00AF1192" w:rsidRDefault="00FD21C8" w:rsidP="00FA4DA9">
      <w:pPr>
        <w:pStyle w:val="NormalWeb"/>
        <w:shd w:val="clear" w:color="auto" w:fill="FFFFFF"/>
        <w:spacing w:after="150"/>
        <w:jc w:val="both"/>
      </w:pPr>
      <w:r w:rsidRPr="00AF1192">
        <w:rPr>
          <w:b/>
        </w:rPr>
        <w:t>Nota</w:t>
      </w:r>
      <w:r w:rsidRPr="00AF1192">
        <w:t>:</w:t>
      </w:r>
      <w:r w:rsidR="00DD31B1" w:rsidRPr="00AF1192">
        <w:t xml:space="preserve"> para tener</w:t>
      </w:r>
      <w:r w:rsidRPr="00AF1192">
        <w:t xml:space="preserve"> un relato más detallado, pueden </w:t>
      </w:r>
      <w:r w:rsidR="00697BD3" w:rsidRPr="00AF1192">
        <w:t>leer</w:t>
      </w:r>
      <w:r w:rsidR="00DD31B1" w:rsidRPr="00AF1192">
        <w:t xml:space="preserve"> un </w:t>
      </w:r>
      <w:r w:rsidR="00DD31B1" w:rsidRPr="00AF1192">
        <w:rPr>
          <w:b/>
        </w:rPr>
        <w:t>Ensayo</w:t>
      </w:r>
      <w:r w:rsidR="00DD31B1" w:rsidRPr="00AF1192">
        <w:t xml:space="preserve"> anterior: </w:t>
      </w:r>
      <w:r w:rsidR="00DD31B1" w:rsidRPr="00AF1192">
        <w:rPr>
          <w:b/>
        </w:rPr>
        <w:t>“La “argentinización” de la economía mundial - Lecciones de la historia: Un amargo despertar (El único modelo económico que transformó a un país rico en uno pobre)</w:t>
      </w:r>
      <w:r w:rsidR="00DD31B1" w:rsidRPr="00AF1192">
        <w:t xml:space="preserve">, publicado en </w:t>
      </w:r>
      <w:r w:rsidR="00DD31B1" w:rsidRPr="009E062A">
        <w:rPr>
          <w:b/>
        </w:rPr>
        <w:t>Noviembre de 2009</w:t>
      </w:r>
      <w:r w:rsidR="00DD31B1" w:rsidRPr="00AF1192">
        <w:t xml:space="preserve">, o una versión más reducida en el </w:t>
      </w:r>
      <w:r w:rsidR="00DD31B1" w:rsidRPr="00AF1192">
        <w:rPr>
          <w:b/>
        </w:rPr>
        <w:t>Paper</w:t>
      </w:r>
      <w:r w:rsidR="00AF1192">
        <w:rPr>
          <w:b/>
        </w:rPr>
        <w:t xml:space="preserve"> </w:t>
      </w:r>
      <w:r w:rsidR="00AF1192" w:rsidRPr="00AF1192">
        <w:t>(del mismo título</w:t>
      </w:r>
      <w:r w:rsidR="00AF1192">
        <w:t>)</w:t>
      </w:r>
      <w:r w:rsidR="00DD31B1" w:rsidRPr="00AF1192">
        <w:t xml:space="preserve">  publicado</w:t>
      </w:r>
      <w:r w:rsidR="00AF1192">
        <w:t xml:space="preserve"> (como anticipo de Ensayo)</w:t>
      </w:r>
      <w:r w:rsidR="00DD31B1" w:rsidRPr="00AF1192">
        <w:t xml:space="preserve"> el </w:t>
      </w:r>
      <w:r w:rsidR="00DD31B1" w:rsidRPr="009E062A">
        <w:rPr>
          <w:b/>
        </w:rPr>
        <w:t>15/6/2009</w:t>
      </w:r>
      <w:r w:rsidR="00DD31B1" w:rsidRPr="00AF1192">
        <w:t xml:space="preserve">. </w:t>
      </w:r>
    </w:p>
    <w:p w:rsidR="00DD31B1" w:rsidRPr="00AF1192" w:rsidRDefault="00DD31B1" w:rsidP="00FA4DA9">
      <w:pPr>
        <w:pStyle w:val="NormalWeb"/>
        <w:shd w:val="clear" w:color="auto" w:fill="FFFFFF"/>
        <w:spacing w:after="150"/>
        <w:jc w:val="both"/>
      </w:pPr>
      <w:r w:rsidRPr="00AF1192">
        <w:t xml:space="preserve">Una prueba más de mi preocupación por la pandemia del virus inflacionario, la pueden encontrar en el Paper: </w:t>
      </w:r>
      <w:r w:rsidRPr="00AF1192">
        <w:rPr>
          <w:b/>
        </w:rPr>
        <w:t>“</w:t>
      </w:r>
      <w:r w:rsidR="00A216BF" w:rsidRPr="00AF1192">
        <w:rPr>
          <w:b/>
        </w:rPr>
        <w:t>La “</w:t>
      </w:r>
      <w:r w:rsidRPr="00AF1192">
        <w:rPr>
          <w:b/>
        </w:rPr>
        <w:t>solución final” (de la Fed) al problema de la deuda: crear inflación (El modelo argentino tantas veces fracasado: peligro de una inflación descomunal)</w:t>
      </w:r>
      <w:r w:rsidR="00A216BF" w:rsidRPr="00AF1192">
        <w:rPr>
          <w:b/>
        </w:rPr>
        <w:t>”</w:t>
      </w:r>
      <w:r w:rsidRPr="00AF1192">
        <w:t xml:space="preserve">, publicado el </w:t>
      </w:r>
      <w:r w:rsidRPr="009E062A">
        <w:rPr>
          <w:b/>
        </w:rPr>
        <w:t>15/10/2011</w:t>
      </w:r>
      <w:r w:rsidRPr="00AF1192">
        <w:t>.</w:t>
      </w:r>
    </w:p>
    <w:p w:rsidR="00697BD3" w:rsidRPr="00AF1192" w:rsidRDefault="009E062A" w:rsidP="00FA4DA9">
      <w:pPr>
        <w:pStyle w:val="NormalWeb"/>
        <w:shd w:val="clear" w:color="auto" w:fill="FFFFFF"/>
        <w:spacing w:after="150"/>
        <w:jc w:val="both"/>
      </w:pPr>
      <w:r>
        <w:t>Desde entonces, 2009-</w:t>
      </w:r>
      <w:r w:rsidR="00697BD3" w:rsidRPr="00AF1192">
        <w:t>2011, los “helicópteros” de los bancos centrales, continuaron lanzando dinero (falso) desde el aire, en beneficio de los mismos que causan las crisis</w:t>
      </w:r>
      <w:r w:rsidR="003E18A2">
        <w:t xml:space="preserve"> (auténticas)</w:t>
      </w:r>
      <w:r w:rsidR="00697BD3" w:rsidRPr="00AF1192">
        <w:t>.</w:t>
      </w:r>
    </w:p>
    <w:p w:rsidR="00A216BF" w:rsidRDefault="00551761" w:rsidP="00FA4DA9">
      <w:pPr>
        <w:pStyle w:val="NormalWeb"/>
        <w:shd w:val="clear" w:color="auto" w:fill="FFFFFF"/>
        <w:spacing w:after="150"/>
        <w:jc w:val="both"/>
        <w:rPr>
          <w:b/>
          <w:color w:val="111111"/>
        </w:rPr>
      </w:pPr>
      <w:r>
        <w:rPr>
          <w:b/>
          <w:color w:val="111111"/>
        </w:rPr>
        <w:t>Moraleja</w:t>
      </w:r>
      <w:r w:rsidR="009E062A">
        <w:rPr>
          <w:b/>
          <w:color w:val="111111"/>
        </w:rPr>
        <w:t xml:space="preserve"> (lección)</w:t>
      </w:r>
      <w:r>
        <w:rPr>
          <w:b/>
          <w:color w:val="111111"/>
        </w:rPr>
        <w:t>: e</w:t>
      </w:r>
      <w:r w:rsidR="00A216BF">
        <w:rPr>
          <w:b/>
          <w:color w:val="111111"/>
        </w:rPr>
        <w:t>l gato que se quema con leche, cuando ve la vaca llora</w:t>
      </w:r>
    </w:p>
    <w:p w:rsidR="00A216BF" w:rsidRPr="00051136" w:rsidRDefault="00A216BF" w:rsidP="00FA4DA9">
      <w:pPr>
        <w:pStyle w:val="NormalWeb"/>
        <w:shd w:val="clear" w:color="auto" w:fill="FFFFFF"/>
        <w:spacing w:after="150"/>
        <w:jc w:val="both"/>
        <w:rPr>
          <w:rFonts w:ascii="Tahoma" w:hAnsi="Tahoma" w:cs="Tahoma"/>
          <w:b/>
        </w:rPr>
      </w:pPr>
      <w:r w:rsidRPr="00051136">
        <w:rPr>
          <w:b/>
          <w:color w:val="111111"/>
        </w:rPr>
        <w:t xml:space="preserve">Los peligros inflacionarios </w:t>
      </w:r>
      <w:r w:rsidR="003626D1">
        <w:rPr>
          <w:b/>
          <w:color w:val="111111"/>
        </w:rPr>
        <w:t>(</w:t>
      </w:r>
      <w:r w:rsidR="00675D3B">
        <w:rPr>
          <w:b/>
          <w:color w:val="111111"/>
        </w:rPr>
        <w:t xml:space="preserve">que la Fed, </w:t>
      </w:r>
      <w:r>
        <w:rPr>
          <w:b/>
          <w:color w:val="111111"/>
        </w:rPr>
        <w:t>el BCE</w:t>
      </w:r>
      <w:r w:rsidR="00675D3B">
        <w:rPr>
          <w:b/>
          <w:color w:val="111111"/>
        </w:rPr>
        <w:t>, y otros BCs</w:t>
      </w:r>
      <w:r>
        <w:rPr>
          <w:b/>
          <w:color w:val="111111"/>
        </w:rPr>
        <w:t>,</w:t>
      </w:r>
      <w:r w:rsidR="003626D1">
        <w:rPr>
          <w:b/>
          <w:color w:val="111111"/>
        </w:rPr>
        <w:t xml:space="preserve"> “aparentan” ignorar</w:t>
      </w:r>
      <w:r>
        <w:rPr>
          <w:b/>
          <w:color w:val="111111"/>
        </w:rPr>
        <w:t>)</w:t>
      </w:r>
    </w:p>
    <w:p w:rsidR="00A216BF" w:rsidRPr="00DA3540" w:rsidRDefault="00A216BF" w:rsidP="00FA4DA9">
      <w:pPr>
        <w:pStyle w:val="NormalWeb"/>
        <w:shd w:val="clear" w:color="auto" w:fill="FFFFFF"/>
        <w:spacing w:before="0" w:beforeAutospacing="0" w:after="286" w:afterAutospacing="0"/>
        <w:jc w:val="both"/>
      </w:pPr>
      <w:r w:rsidRPr="00DA3540">
        <w:t>Ya que se ha olvidado de los peligros de la inflación, hay que repetirlos y </w:t>
      </w:r>
      <w:r w:rsidRPr="00DA3540">
        <w:rPr>
          <w:rStyle w:val="Textoennegrita"/>
          <w:b w:val="0"/>
        </w:rPr>
        <w:t>hay que resaltar que la inflación es mala para la economía, incluso cuando hay poca inflación</w:t>
      </w:r>
      <w:r w:rsidRPr="00DA3540">
        <w:rPr>
          <w:b/>
        </w:rPr>
        <w:t>.</w:t>
      </w:r>
    </w:p>
    <w:p w:rsidR="00A216BF" w:rsidRPr="00DA3540" w:rsidRDefault="00A216BF" w:rsidP="00FA4DA9">
      <w:pPr>
        <w:pStyle w:val="NormalWeb"/>
        <w:shd w:val="clear" w:color="auto" w:fill="FFFFFF"/>
        <w:spacing w:before="0" w:beforeAutospacing="0" w:after="286" w:afterAutospacing="0"/>
        <w:jc w:val="both"/>
      </w:pPr>
      <w:r w:rsidRPr="00DA3540">
        <w:rPr>
          <w:rStyle w:val="Textoennegrita"/>
          <w:b w:val="0"/>
        </w:rPr>
        <w:t>Recordando algunos de los problemas de la inflación</w:t>
      </w:r>
      <w:r w:rsidRPr="00DA3540">
        <w:t>:</w:t>
      </w:r>
    </w:p>
    <w:p w:rsidR="00A216BF" w:rsidRPr="00DA3540" w:rsidRDefault="00A216BF" w:rsidP="00FA4DA9">
      <w:pPr>
        <w:numPr>
          <w:ilvl w:val="0"/>
          <w:numId w:val="7"/>
        </w:numPr>
        <w:shd w:val="clear" w:color="auto" w:fill="FFFFFF"/>
        <w:spacing w:after="210" w:line="240" w:lineRule="auto"/>
        <w:ind w:left="360"/>
        <w:jc w:val="both"/>
        <w:rPr>
          <w:rFonts w:ascii="Times New Roman" w:hAnsi="Times New Roman" w:cs="Times New Roman"/>
          <w:sz w:val="24"/>
          <w:szCs w:val="24"/>
        </w:rPr>
      </w:pPr>
      <w:r w:rsidRPr="00DA3540">
        <w:rPr>
          <w:rStyle w:val="Textoennegrita"/>
          <w:rFonts w:ascii="Times New Roman" w:hAnsi="Times New Roman" w:cs="Times New Roman"/>
          <w:sz w:val="24"/>
          <w:szCs w:val="24"/>
        </w:rPr>
        <w:t>Pérdidas a los ahorradores</w:t>
      </w:r>
      <w:r w:rsidRPr="00DA3540">
        <w:rPr>
          <w:rFonts w:ascii="Times New Roman" w:hAnsi="Times New Roman" w:cs="Times New Roman"/>
          <w:sz w:val="24"/>
          <w:szCs w:val="24"/>
        </w:rPr>
        <w:t xml:space="preserve">. Si tienes unos ahorros o si estás ahorrando para tu retiro, el nivel de estos ahorros puede subir pero el poder adquisitivo por euro baja, y baja mucho. </w:t>
      </w:r>
    </w:p>
    <w:p w:rsidR="00A216BF" w:rsidRPr="00DA3540" w:rsidRDefault="00A216BF" w:rsidP="00FA4DA9">
      <w:pPr>
        <w:numPr>
          <w:ilvl w:val="0"/>
          <w:numId w:val="7"/>
        </w:numPr>
        <w:shd w:val="clear" w:color="auto" w:fill="FFFFFF"/>
        <w:spacing w:after="210" w:line="240" w:lineRule="auto"/>
        <w:ind w:left="360"/>
        <w:jc w:val="both"/>
        <w:rPr>
          <w:rFonts w:ascii="Times New Roman" w:hAnsi="Times New Roman" w:cs="Times New Roman"/>
          <w:sz w:val="24"/>
          <w:szCs w:val="24"/>
        </w:rPr>
      </w:pPr>
      <w:r w:rsidRPr="00DA3540">
        <w:rPr>
          <w:rStyle w:val="Textoennegrita"/>
          <w:rFonts w:ascii="Times New Roman" w:hAnsi="Times New Roman" w:cs="Times New Roman"/>
          <w:sz w:val="24"/>
          <w:szCs w:val="24"/>
        </w:rPr>
        <w:t>Desincentiva los ahorros</w:t>
      </w:r>
      <w:r w:rsidRPr="00DA3540">
        <w:rPr>
          <w:rFonts w:ascii="Times New Roman" w:hAnsi="Times New Roman" w:cs="Times New Roman"/>
          <w:sz w:val="24"/>
          <w:szCs w:val="24"/>
        </w:rPr>
        <w:t>. Si tus ahorros están perdiendo su valor adquisitivo, desincentiva a los que quieren ahorrar. Como el ahorro es mejor que el gasto incluso en tiempos de crisis, esas son malas noticias.</w:t>
      </w:r>
    </w:p>
    <w:p w:rsidR="00A216BF" w:rsidRPr="00DA3540" w:rsidRDefault="00A216BF" w:rsidP="00FA4DA9">
      <w:pPr>
        <w:numPr>
          <w:ilvl w:val="0"/>
          <w:numId w:val="7"/>
        </w:numPr>
        <w:shd w:val="clear" w:color="auto" w:fill="FFFFFF"/>
        <w:spacing w:after="210" w:line="240" w:lineRule="auto"/>
        <w:ind w:left="360"/>
        <w:jc w:val="both"/>
        <w:rPr>
          <w:rFonts w:ascii="Times New Roman" w:hAnsi="Times New Roman" w:cs="Times New Roman"/>
          <w:sz w:val="24"/>
          <w:szCs w:val="24"/>
        </w:rPr>
      </w:pPr>
      <w:r w:rsidRPr="00DA3540">
        <w:rPr>
          <w:rStyle w:val="Textoennegrita"/>
          <w:rFonts w:ascii="Times New Roman" w:hAnsi="Times New Roman" w:cs="Times New Roman"/>
          <w:sz w:val="24"/>
          <w:szCs w:val="24"/>
        </w:rPr>
        <w:t>La inflación actúa injustamente</w:t>
      </w:r>
      <w:r w:rsidRPr="00DA3540">
        <w:rPr>
          <w:rFonts w:ascii="Times New Roman" w:hAnsi="Times New Roman" w:cs="Times New Roman"/>
          <w:sz w:val="24"/>
          <w:szCs w:val="24"/>
        </w:rPr>
        <w:t> penalizando a los que ahorran para su futuro y premiando a los que se sobre-endeudan.</w:t>
      </w:r>
    </w:p>
    <w:p w:rsidR="00A216BF" w:rsidRPr="00DA3540" w:rsidRDefault="00A216BF" w:rsidP="00FA4DA9">
      <w:pPr>
        <w:numPr>
          <w:ilvl w:val="0"/>
          <w:numId w:val="7"/>
        </w:numPr>
        <w:shd w:val="clear" w:color="auto" w:fill="FFFFFF"/>
        <w:spacing w:after="210" w:line="240" w:lineRule="auto"/>
        <w:ind w:left="360"/>
        <w:jc w:val="both"/>
        <w:rPr>
          <w:rFonts w:ascii="Times New Roman" w:hAnsi="Times New Roman" w:cs="Times New Roman"/>
          <w:sz w:val="24"/>
          <w:szCs w:val="24"/>
        </w:rPr>
      </w:pPr>
      <w:r w:rsidRPr="00DA3540">
        <w:rPr>
          <w:rStyle w:val="Textoennegrita"/>
          <w:rFonts w:ascii="Times New Roman" w:hAnsi="Times New Roman" w:cs="Times New Roman"/>
          <w:sz w:val="24"/>
          <w:szCs w:val="24"/>
        </w:rPr>
        <w:t>Falta de claridad para los ahorradores</w:t>
      </w:r>
      <w:r w:rsidRPr="00DA3540">
        <w:rPr>
          <w:rFonts w:ascii="Times New Roman" w:hAnsi="Times New Roman" w:cs="Times New Roman"/>
          <w:sz w:val="24"/>
          <w:szCs w:val="24"/>
        </w:rPr>
        <w:t>. Algunos gastan sus intereses pensando que protegen su principal, sin darse cuenta de la pérdida de valor de su principal.</w:t>
      </w:r>
    </w:p>
    <w:p w:rsidR="00A216BF" w:rsidRPr="00DA3540" w:rsidRDefault="00A216BF" w:rsidP="00FA4DA9">
      <w:pPr>
        <w:numPr>
          <w:ilvl w:val="0"/>
          <w:numId w:val="7"/>
        </w:numPr>
        <w:shd w:val="clear" w:color="auto" w:fill="FFFFFF"/>
        <w:spacing w:after="210" w:line="240" w:lineRule="auto"/>
        <w:ind w:left="360"/>
        <w:jc w:val="both"/>
        <w:rPr>
          <w:rFonts w:ascii="Times New Roman" w:hAnsi="Times New Roman" w:cs="Times New Roman"/>
          <w:sz w:val="24"/>
          <w:szCs w:val="24"/>
        </w:rPr>
      </w:pPr>
      <w:r w:rsidRPr="00DA3540">
        <w:rPr>
          <w:rFonts w:ascii="Times New Roman" w:hAnsi="Times New Roman" w:cs="Times New Roman"/>
          <w:b/>
          <w:sz w:val="24"/>
          <w:szCs w:val="24"/>
        </w:rPr>
        <w:t>Penaliza</w:t>
      </w:r>
      <w:r w:rsidR="00AF1192" w:rsidRPr="00DA3540">
        <w:rPr>
          <w:rFonts w:ascii="Times New Roman" w:hAnsi="Times New Roman" w:cs="Times New Roman"/>
          <w:b/>
          <w:sz w:val="24"/>
          <w:szCs w:val="24"/>
        </w:rPr>
        <w:t xml:space="preserve"> a</w:t>
      </w:r>
      <w:r w:rsidRPr="00DA3540">
        <w:rPr>
          <w:rFonts w:ascii="Times New Roman" w:hAnsi="Times New Roman" w:cs="Times New Roman"/>
          <w:b/>
          <w:sz w:val="24"/>
          <w:szCs w:val="24"/>
        </w:rPr>
        <w:t xml:space="preserve"> las</w:t>
      </w:r>
      <w:r w:rsidRPr="00DA3540">
        <w:rPr>
          <w:rFonts w:ascii="Times New Roman" w:hAnsi="Times New Roman" w:cs="Times New Roman"/>
          <w:sz w:val="24"/>
          <w:szCs w:val="24"/>
        </w:rPr>
        <w:t> </w:t>
      </w:r>
      <w:r w:rsidRPr="00DA3540">
        <w:rPr>
          <w:rStyle w:val="Textoennegrita"/>
          <w:rFonts w:ascii="Times New Roman" w:hAnsi="Times New Roman" w:cs="Times New Roman"/>
          <w:sz w:val="24"/>
          <w:szCs w:val="24"/>
        </w:rPr>
        <w:t>personas con ingresos fijos</w:t>
      </w:r>
      <w:r w:rsidRPr="00DA3540">
        <w:rPr>
          <w:rFonts w:ascii="Times New Roman" w:hAnsi="Times New Roman" w:cs="Times New Roman"/>
          <w:sz w:val="24"/>
          <w:szCs w:val="24"/>
        </w:rPr>
        <w:t>.</w:t>
      </w:r>
    </w:p>
    <w:p w:rsidR="00A216BF" w:rsidRPr="00DA3540" w:rsidRDefault="00A216BF" w:rsidP="00FA4DA9">
      <w:pPr>
        <w:numPr>
          <w:ilvl w:val="0"/>
          <w:numId w:val="7"/>
        </w:numPr>
        <w:shd w:val="clear" w:color="auto" w:fill="FFFFFF"/>
        <w:spacing w:after="210" w:line="240" w:lineRule="auto"/>
        <w:ind w:left="360"/>
        <w:jc w:val="both"/>
        <w:rPr>
          <w:rFonts w:ascii="Times New Roman" w:hAnsi="Times New Roman" w:cs="Times New Roman"/>
          <w:sz w:val="24"/>
          <w:szCs w:val="24"/>
        </w:rPr>
      </w:pPr>
      <w:r w:rsidRPr="00DA3540">
        <w:rPr>
          <w:rStyle w:val="Textoennegrita"/>
          <w:rFonts w:ascii="Times New Roman" w:hAnsi="Times New Roman" w:cs="Times New Roman"/>
          <w:sz w:val="24"/>
          <w:szCs w:val="24"/>
        </w:rPr>
        <w:t>Genera pérdidas para los contribuyentes</w:t>
      </w:r>
      <w:r w:rsidRPr="00DA3540">
        <w:rPr>
          <w:rFonts w:ascii="Times New Roman" w:hAnsi="Times New Roman" w:cs="Times New Roman"/>
          <w:sz w:val="24"/>
          <w:szCs w:val="24"/>
        </w:rPr>
        <w:t xml:space="preserve">. Con el incremento en el monto de sus sueldos, aunque no en su nivel de poder adquisitivo, con sistema de impuestos progresivo, </w:t>
      </w:r>
      <w:r w:rsidRPr="00DA3540">
        <w:rPr>
          <w:rFonts w:ascii="Times New Roman" w:hAnsi="Times New Roman" w:cs="Times New Roman"/>
          <w:sz w:val="24"/>
          <w:szCs w:val="24"/>
        </w:rPr>
        <w:lastRenderedPageBreak/>
        <w:t>donde el porcentaje que se debe pagar sube con el nivel de sueldo, se meten en las siguientes bandas de salario, pagando niveles más altos de impuestos. Algunas veces los gobiernos entienden este impacto e indexan las bandas de impuestos, aunque no siempre y en su caso lo hacen de forma retrasada.</w:t>
      </w:r>
    </w:p>
    <w:p w:rsidR="00A216BF" w:rsidRPr="00DA3540" w:rsidRDefault="00A216BF" w:rsidP="00FA4DA9">
      <w:pPr>
        <w:numPr>
          <w:ilvl w:val="0"/>
          <w:numId w:val="7"/>
        </w:numPr>
        <w:shd w:val="clear" w:color="auto" w:fill="FFFFFF"/>
        <w:spacing w:after="210" w:line="240" w:lineRule="auto"/>
        <w:ind w:left="360"/>
        <w:jc w:val="both"/>
        <w:rPr>
          <w:rFonts w:ascii="Times New Roman" w:hAnsi="Times New Roman" w:cs="Times New Roman"/>
          <w:sz w:val="24"/>
          <w:szCs w:val="24"/>
        </w:rPr>
      </w:pPr>
      <w:r w:rsidRPr="00DA3540">
        <w:rPr>
          <w:rStyle w:val="Textoennegrita"/>
          <w:rFonts w:ascii="Times New Roman" w:hAnsi="Times New Roman" w:cs="Times New Roman"/>
          <w:sz w:val="24"/>
          <w:szCs w:val="24"/>
        </w:rPr>
        <w:t>Confunden las señales de información que dan los precios</w:t>
      </w:r>
      <w:r w:rsidRPr="00DA3540">
        <w:rPr>
          <w:rFonts w:ascii="Times New Roman" w:hAnsi="Times New Roman" w:cs="Times New Roman"/>
          <w:sz w:val="24"/>
          <w:szCs w:val="24"/>
        </w:rPr>
        <w:t>, ya que no todos los precios cambian al mismo tiempo ni al mismo nivel, y esto perjudica la inversión causando la más lenta expansión de las empresas. Lo que menos se necesita.</w:t>
      </w:r>
    </w:p>
    <w:p w:rsidR="00A216BF" w:rsidRPr="00DA3540" w:rsidRDefault="00A216BF" w:rsidP="00FA4DA9">
      <w:pPr>
        <w:numPr>
          <w:ilvl w:val="0"/>
          <w:numId w:val="7"/>
        </w:numPr>
        <w:shd w:val="clear" w:color="auto" w:fill="FFFFFF"/>
        <w:spacing w:after="210" w:line="240" w:lineRule="auto"/>
        <w:ind w:left="360"/>
        <w:jc w:val="both"/>
        <w:rPr>
          <w:rFonts w:ascii="Times New Roman" w:hAnsi="Times New Roman" w:cs="Times New Roman"/>
          <w:sz w:val="24"/>
          <w:szCs w:val="24"/>
        </w:rPr>
      </w:pPr>
      <w:r w:rsidRPr="00DA3540">
        <w:rPr>
          <w:rStyle w:val="Textoennegrita"/>
          <w:rFonts w:ascii="Times New Roman" w:hAnsi="Times New Roman" w:cs="Times New Roman"/>
          <w:sz w:val="24"/>
          <w:szCs w:val="24"/>
        </w:rPr>
        <w:t>La especulación desplaza la producción</w:t>
      </w:r>
      <w:r w:rsidRPr="00DA3540">
        <w:rPr>
          <w:rFonts w:ascii="Times New Roman" w:hAnsi="Times New Roman" w:cs="Times New Roman"/>
          <w:sz w:val="24"/>
          <w:szCs w:val="24"/>
        </w:rPr>
        <w:t>, ya que se puede jugar con el dinero en operaciones financieras, dinero que no se utiliza para invertir.</w:t>
      </w:r>
    </w:p>
    <w:p w:rsidR="00A216BF" w:rsidRPr="00DA3540" w:rsidRDefault="00A216BF" w:rsidP="00FA4DA9">
      <w:pPr>
        <w:numPr>
          <w:ilvl w:val="0"/>
          <w:numId w:val="7"/>
        </w:numPr>
        <w:shd w:val="clear" w:color="auto" w:fill="FFFFFF"/>
        <w:spacing w:after="210" w:line="240" w:lineRule="auto"/>
        <w:ind w:left="360"/>
        <w:jc w:val="both"/>
        <w:rPr>
          <w:rFonts w:ascii="Times New Roman" w:hAnsi="Times New Roman" w:cs="Times New Roman"/>
          <w:sz w:val="24"/>
          <w:szCs w:val="24"/>
        </w:rPr>
      </w:pPr>
      <w:r w:rsidRPr="00DA3540">
        <w:rPr>
          <w:rFonts w:ascii="Times New Roman" w:hAnsi="Times New Roman" w:cs="Times New Roman"/>
          <w:sz w:val="24"/>
          <w:szCs w:val="24"/>
        </w:rPr>
        <w:t>Provoca la </w:t>
      </w:r>
      <w:r w:rsidRPr="00DA3540">
        <w:rPr>
          <w:rStyle w:val="Textoennegrita"/>
          <w:rFonts w:ascii="Times New Roman" w:hAnsi="Times New Roman" w:cs="Times New Roman"/>
          <w:sz w:val="24"/>
          <w:szCs w:val="24"/>
        </w:rPr>
        <w:t>reducción de la productividad</w:t>
      </w:r>
      <w:r w:rsidRPr="00DA3540">
        <w:rPr>
          <w:rFonts w:ascii="Times New Roman" w:hAnsi="Times New Roman" w:cs="Times New Roman"/>
          <w:sz w:val="24"/>
          <w:szCs w:val="24"/>
        </w:rPr>
        <w:t>.</w:t>
      </w:r>
    </w:p>
    <w:p w:rsidR="00A216BF" w:rsidRPr="00DA3540" w:rsidRDefault="00A216BF" w:rsidP="00FA4DA9">
      <w:pPr>
        <w:numPr>
          <w:ilvl w:val="0"/>
          <w:numId w:val="7"/>
        </w:numPr>
        <w:shd w:val="clear" w:color="auto" w:fill="FFFFFF"/>
        <w:spacing w:after="210" w:line="240" w:lineRule="auto"/>
        <w:ind w:left="360"/>
        <w:jc w:val="both"/>
        <w:rPr>
          <w:rFonts w:ascii="Times New Roman" w:hAnsi="Times New Roman" w:cs="Times New Roman"/>
          <w:sz w:val="24"/>
          <w:szCs w:val="24"/>
        </w:rPr>
      </w:pPr>
      <w:r w:rsidRPr="00DA3540">
        <w:rPr>
          <w:rFonts w:ascii="Times New Roman" w:hAnsi="Times New Roman" w:cs="Times New Roman"/>
          <w:sz w:val="24"/>
          <w:szCs w:val="24"/>
        </w:rPr>
        <w:t>Aumenta el </w:t>
      </w:r>
      <w:r w:rsidRPr="00DA3540">
        <w:rPr>
          <w:rStyle w:val="Textoennegrita"/>
          <w:rFonts w:ascii="Times New Roman" w:hAnsi="Times New Roman" w:cs="Times New Roman"/>
          <w:sz w:val="24"/>
          <w:szCs w:val="24"/>
        </w:rPr>
        <w:t>costo de oportunidad de mantener saldos en efectivo</w:t>
      </w:r>
      <w:r w:rsidRPr="00DA3540">
        <w:rPr>
          <w:rFonts w:ascii="Times New Roman" w:hAnsi="Times New Roman" w:cs="Times New Roman"/>
          <w:sz w:val="24"/>
          <w:szCs w:val="24"/>
        </w:rPr>
        <w:t>. El dinero en efectivo compra cada vez menos.</w:t>
      </w:r>
    </w:p>
    <w:p w:rsidR="00A216BF" w:rsidRPr="00DA3540" w:rsidRDefault="00A216BF" w:rsidP="00FA4DA9">
      <w:pPr>
        <w:numPr>
          <w:ilvl w:val="0"/>
          <w:numId w:val="7"/>
        </w:numPr>
        <w:shd w:val="clear" w:color="auto" w:fill="FFFFFF"/>
        <w:spacing w:after="210" w:line="240" w:lineRule="auto"/>
        <w:ind w:left="360"/>
        <w:jc w:val="both"/>
        <w:rPr>
          <w:rFonts w:ascii="Times New Roman" w:hAnsi="Times New Roman" w:cs="Times New Roman"/>
          <w:sz w:val="24"/>
          <w:szCs w:val="24"/>
        </w:rPr>
      </w:pPr>
      <w:r w:rsidRPr="00DA3540">
        <w:rPr>
          <w:rStyle w:val="Textoennegrita"/>
          <w:rFonts w:ascii="Times New Roman" w:hAnsi="Times New Roman" w:cs="Times New Roman"/>
          <w:sz w:val="24"/>
          <w:szCs w:val="24"/>
        </w:rPr>
        <w:t>Premia a los deudores</w:t>
      </w:r>
      <w:r w:rsidRPr="00DA3540">
        <w:rPr>
          <w:rFonts w:ascii="Times New Roman" w:hAnsi="Times New Roman" w:cs="Times New Roman"/>
          <w:sz w:val="24"/>
          <w:szCs w:val="24"/>
        </w:rPr>
        <w:t>, ya que el valor de sus deudas bajan.</w:t>
      </w:r>
    </w:p>
    <w:p w:rsidR="00A216BF" w:rsidRPr="00DA3540" w:rsidRDefault="00A216BF" w:rsidP="00FA4DA9">
      <w:pPr>
        <w:numPr>
          <w:ilvl w:val="0"/>
          <w:numId w:val="7"/>
        </w:numPr>
        <w:shd w:val="clear" w:color="auto" w:fill="FFFFFF"/>
        <w:spacing w:after="210" w:line="240" w:lineRule="auto"/>
        <w:ind w:left="360"/>
        <w:jc w:val="both"/>
        <w:rPr>
          <w:rFonts w:ascii="Times New Roman" w:hAnsi="Times New Roman" w:cs="Times New Roman"/>
          <w:sz w:val="24"/>
          <w:szCs w:val="24"/>
        </w:rPr>
      </w:pPr>
      <w:r w:rsidRPr="00DA3540">
        <w:rPr>
          <w:rStyle w:val="Textoennegrita"/>
          <w:rFonts w:ascii="Times New Roman" w:hAnsi="Times New Roman" w:cs="Times New Roman"/>
          <w:sz w:val="24"/>
          <w:szCs w:val="24"/>
        </w:rPr>
        <w:t>Aleja a los acreedores</w:t>
      </w:r>
      <w:r w:rsidRPr="00DA3540">
        <w:rPr>
          <w:rFonts w:ascii="Times New Roman" w:hAnsi="Times New Roman" w:cs="Times New Roman"/>
          <w:sz w:val="24"/>
          <w:szCs w:val="24"/>
        </w:rPr>
        <w:t> potenciales, ya que pierde el valor de sus préstamos.</w:t>
      </w:r>
    </w:p>
    <w:p w:rsidR="00A216BF" w:rsidRPr="00DA3540" w:rsidRDefault="00A216BF" w:rsidP="00FA4DA9">
      <w:pPr>
        <w:numPr>
          <w:ilvl w:val="0"/>
          <w:numId w:val="7"/>
        </w:numPr>
        <w:shd w:val="clear" w:color="auto" w:fill="FFFFFF"/>
        <w:spacing w:after="210" w:line="240" w:lineRule="auto"/>
        <w:ind w:left="360"/>
        <w:jc w:val="both"/>
        <w:rPr>
          <w:rFonts w:ascii="Times New Roman" w:hAnsi="Times New Roman" w:cs="Times New Roman"/>
          <w:sz w:val="24"/>
          <w:szCs w:val="24"/>
        </w:rPr>
      </w:pPr>
      <w:r w:rsidRPr="00DA3540">
        <w:rPr>
          <w:rStyle w:val="Textoennegrita"/>
          <w:rFonts w:ascii="Times New Roman" w:hAnsi="Times New Roman" w:cs="Times New Roman"/>
          <w:sz w:val="24"/>
          <w:szCs w:val="24"/>
        </w:rPr>
        <w:t>Sube los costes financieros</w:t>
      </w:r>
      <w:r w:rsidRPr="00DA3540">
        <w:rPr>
          <w:rFonts w:ascii="Times New Roman" w:hAnsi="Times New Roman" w:cs="Times New Roman"/>
          <w:sz w:val="24"/>
          <w:szCs w:val="24"/>
        </w:rPr>
        <w:t>, exigidos por los acreedores que no quieren perder.</w:t>
      </w:r>
    </w:p>
    <w:p w:rsidR="00A216BF" w:rsidRPr="00DA3540" w:rsidRDefault="00A216BF" w:rsidP="00FA4DA9">
      <w:pPr>
        <w:numPr>
          <w:ilvl w:val="0"/>
          <w:numId w:val="7"/>
        </w:numPr>
        <w:shd w:val="clear" w:color="auto" w:fill="FFFFFF"/>
        <w:spacing w:after="210" w:line="240" w:lineRule="auto"/>
        <w:ind w:left="360"/>
        <w:jc w:val="both"/>
        <w:rPr>
          <w:rFonts w:ascii="Times New Roman" w:hAnsi="Times New Roman" w:cs="Times New Roman"/>
          <w:sz w:val="24"/>
          <w:szCs w:val="24"/>
        </w:rPr>
      </w:pPr>
      <w:r w:rsidRPr="00DA3540">
        <w:rPr>
          <w:rStyle w:val="Textoennegrita"/>
          <w:rFonts w:ascii="Times New Roman" w:hAnsi="Times New Roman" w:cs="Times New Roman"/>
          <w:sz w:val="24"/>
          <w:szCs w:val="24"/>
        </w:rPr>
        <w:t>Imposible de controlar</w:t>
      </w:r>
      <w:r w:rsidRPr="00DA3540">
        <w:rPr>
          <w:rFonts w:ascii="Times New Roman" w:hAnsi="Times New Roman" w:cs="Times New Roman"/>
          <w:sz w:val="24"/>
          <w:szCs w:val="24"/>
        </w:rPr>
        <w:t>, ya que los actores económicos actúan como si han llegado las subidas y redobla la inflación. Es decir, aceptar el 2% de inflación no es posible, ya que los actores económicos tienen estos incrementos futuros en cuenta en lo que hacen en el presente y la inflación tiene una tendencia de acelerar no de mantenerse estable.</w:t>
      </w:r>
    </w:p>
    <w:p w:rsidR="00A216BF" w:rsidRPr="00DA3540" w:rsidRDefault="00A216BF" w:rsidP="00FA4DA9">
      <w:pPr>
        <w:numPr>
          <w:ilvl w:val="0"/>
          <w:numId w:val="7"/>
        </w:numPr>
        <w:shd w:val="clear" w:color="auto" w:fill="FFFFFF"/>
        <w:spacing w:after="210" w:line="240" w:lineRule="auto"/>
        <w:ind w:left="360"/>
        <w:jc w:val="both"/>
        <w:rPr>
          <w:rFonts w:ascii="Times New Roman" w:hAnsi="Times New Roman" w:cs="Times New Roman"/>
          <w:sz w:val="24"/>
          <w:szCs w:val="24"/>
        </w:rPr>
      </w:pPr>
      <w:r w:rsidRPr="00DA3540">
        <w:rPr>
          <w:rStyle w:val="Textoennegrita"/>
          <w:rFonts w:ascii="Times New Roman" w:hAnsi="Times New Roman" w:cs="Times New Roman"/>
          <w:sz w:val="24"/>
          <w:szCs w:val="24"/>
        </w:rPr>
        <w:t>Crea una ilusión de riqueza</w:t>
      </w:r>
      <w:r w:rsidRPr="00DA3540">
        <w:rPr>
          <w:rFonts w:ascii="Times New Roman" w:hAnsi="Times New Roman" w:cs="Times New Roman"/>
          <w:sz w:val="24"/>
          <w:szCs w:val="24"/>
        </w:rPr>
        <w:t>, con todo subiendo cada vez más, todo menos el poder adquisitivo y la riqueza de verdad.</w:t>
      </w:r>
    </w:p>
    <w:p w:rsidR="00A216BF" w:rsidRPr="00DA3540" w:rsidRDefault="00A216BF" w:rsidP="00FA4DA9">
      <w:pPr>
        <w:numPr>
          <w:ilvl w:val="0"/>
          <w:numId w:val="7"/>
        </w:numPr>
        <w:shd w:val="clear" w:color="auto" w:fill="FFFFFF"/>
        <w:spacing w:after="210" w:line="240" w:lineRule="auto"/>
        <w:ind w:left="360"/>
        <w:jc w:val="both"/>
        <w:rPr>
          <w:rFonts w:ascii="Times New Roman" w:hAnsi="Times New Roman" w:cs="Times New Roman"/>
          <w:sz w:val="24"/>
          <w:szCs w:val="24"/>
        </w:rPr>
      </w:pPr>
      <w:r w:rsidRPr="00DA3540">
        <w:rPr>
          <w:rFonts w:ascii="Times New Roman" w:hAnsi="Times New Roman" w:cs="Times New Roman"/>
          <w:sz w:val="24"/>
          <w:szCs w:val="24"/>
        </w:rPr>
        <w:t>Si la inflación es muy alta, aparte de los mencionados, tiene muchos otros impactos perniciosos para el crecimiento, incluyendo los siguientes:</w:t>
      </w:r>
    </w:p>
    <w:p w:rsidR="00A216BF" w:rsidRPr="00DA3540" w:rsidRDefault="00A216BF" w:rsidP="00FA4DA9">
      <w:pPr>
        <w:numPr>
          <w:ilvl w:val="1"/>
          <w:numId w:val="8"/>
        </w:numPr>
        <w:shd w:val="clear" w:color="auto" w:fill="FFFFFF"/>
        <w:spacing w:after="210" w:line="240" w:lineRule="auto"/>
        <w:ind w:left="720"/>
        <w:jc w:val="both"/>
        <w:rPr>
          <w:rFonts w:ascii="Times New Roman" w:hAnsi="Times New Roman" w:cs="Times New Roman"/>
          <w:sz w:val="24"/>
          <w:szCs w:val="24"/>
        </w:rPr>
      </w:pPr>
      <w:r w:rsidRPr="00DA3540">
        <w:rPr>
          <w:rStyle w:val="Textoennegrita"/>
          <w:rFonts w:ascii="Times New Roman" w:hAnsi="Times New Roman" w:cs="Times New Roman"/>
          <w:sz w:val="24"/>
          <w:szCs w:val="24"/>
        </w:rPr>
        <w:t>Se despilfarran los recursos</w:t>
      </w:r>
      <w:r w:rsidRPr="00DA3540">
        <w:rPr>
          <w:rFonts w:ascii="Times New Roman" w:hAnsi="Times New Roman" w:cs="Times New Roman"/>
          <w:sz w:val="24"/>
          <w:szCs w:val="24"/>
        </w:rPr>
        <w:t>, ya que no se puede asignar recursos de forma eficiente.</w:t>
      </w:r>
    </w:p>
    <w:p w:rsidR="00A216BF" w:rsidRPr="00DA3540" w:rsidRDefault="00A216BF" w:rsidP="00FA4DA9">
      <w:pPr>
        <w:numPr>
          <w:ilvl w:val="1"/>
          <w:numId w:val="8"/>
        </w:numPr>
        <w:shd w:val="clear" w:color="auto" w:fill="FFFFFF"/>
        <w:spacing w:after="210" w:line="240" w:lineRule="auto"/>
        <w:ind w:left="720"/>
        <w:jc w:val="both"/>
        <w:rPr>
          <w:rFonts w:ascii="Times New Roman" w:hAnsi="Times New Roman" w:cs="Times New Roman"/>
          <w:sz w:val="24"/>
          <w:szCs w:val="24"/>
        </w:rPr>
      </w:pPr>
      <w:r w:rsidRPr="00DA3540">
        <w:rPr>
          <w:rStyle w:val="Textoennegrita"/>
          <w:rFonts w:ascii="Times New Roman" w:hAnsi="Times New Roman" w:cs="Times New Roman"/>
          <w:sz w:val="24"/>
          <w:szCs w:val="24"/>
        </w:rPr>
        <w:t>Incentiva el almacenamiento de productos</w:t>
      </w:r>
      <w:r w:rsidRPr="00DA3540">
        <w:rPr>
          <w:rFonts w:ascii="Times New Roman" w:hAnsi="Times New Roman" w:cs="Times New Roman"/>
          <w:sz w:val="24"/>
          <w:szCs w:val="24"/>
        </w:rPr>
        <w:t>, ya que el precio de estos sube mucho.</w:t>
      </w:r>
    </w:p>
    <w:p w:rsidR="00A216BF" w:rsidRPr="00DA3540" w:rsidRDefault="00A216BF" w:rsidP="00FA4DA9">
      <w:pPr>
        <w:numPr>
          <w:ilvl w:val="1"/>
          <w:numId w:val="8"/>
        </w:numPr>
        <w:shd w:val="clear" w:color="auto" w:fill="FFFFFF"/>
        <w:spacing w:after="210" w:line="240" w:lineRule="auto"/>
        <w:ind w:left="720"/>
        <w:jc w:val="both"/>
        <w:rPr>
          <w:rFonts w:ascii="Times New Roman" w:hAnsi="Times New Roman" w:cs="Times New Roman"/>
          <w:sz w:val="24"/>
          <w:szCs w:val="24"/>
        </w:rPr>
      </w:pPr>
      <w:r w:rsidRPr="00DA3540">
        <w:rPr>
          <w:rFonts w:ascii="Times New Roman" w:hAnsi="Times New Roman" w:cs="Times New Roman"/>
          <w:sz w:val="24"/>
          <w:szCs w:val="24"/>
        </w:rPr>
        <w:t>Las </w:t>
      </w:r>
      <w:r w:rsidRPr="00DA3540">
        <w:rPr>
          <w:rStyle w:val="Textoennegrita"/>
          <w:rFonts w:ascii="Times New Roman" w:hAnsi="Times New Roman" w:cs="Times New Roman"/>
          <w:sz w:val="24"/>
          <w:szCs w:val="24"/>
        </w:rPr>
        <w:t>constantes subidas en precios causan dificultades y costes</w:t>
      </w:r>
      <w:r w:rsidRPr="00DA3540">
        <w:rPr>
          <w:rFonts w:ascii="Times New Roman" w:hAnsi="Times New Roman" w:cs="Times New Roman"/>
          <w:sz w:val="24"/>
          <w:szCs w:val="24"/>
        </w:rPr>
        <w:t>, tanto para los compradores como para los vendedores, que se tienen que ajustar correcta y rápidamente.</w:t>
      </w:r>
    </w:p>
    <w:p w:rsidR="00A216BF" w:rsidRPr="00DA3540" w:rsidRDefault="00A216BF" w:rsidP="00FA4DA9">
      <w:pPr>
        <w:numPr>
          <w:ilvl w:val="1"/>
          <w:numId w:val="8"/>
        </w:numPr>
        <w:shd w:val="clear" w:color="auto" w:fill="FFFFFF"/>
        <w:spacing w:after="210" w:line="240" w:lineRule="auto"/>
        <w:ind w:left="720"/>
        <w:jc w:val="both"/>
        <w:rPr>
          <w:rFonts w:ascii="Times New Roman" w:hAnsi="Times New Roman" w:cs="Times New Roman"/>
          <w:sz w:val="24"/>
          <w:szCs w:val="24"/>
        </w:rPr>
      </w:pPr>
      <w:r w:rsidRPr="00DA3540">
        <w:rPr>
          <w:rStyle w:val="Textoennegrita"/>
          <w:rFonts w:ascii="Times New Roman" w:hAnsi="Times New Roman" w:cs="Times New Roman"/>
          <w:sz w:val="24"/>
          <w:szCs w:val="24"/>
        </w:rPr>
        <w:t>Aumenta la tensión y los trastornos sociales</w:t>
      </w:r>
      <w:r w:rsidRPr="00DA3540">
        <w:rPr>
          <w:rFonts w:ascii="Times New Roman" w:hAnsi="Times New Roman" w:cs="Times New Roman"/>
          <w:sz w:val="24"/>
          <w:szCs w:val="24"/>
        </w:rPr>
        <w:t>, ya que hay ganadores, los que saben y pueden especular, y hay perdedores, los que pierden poder adquisitivo, la gran mayoría.</w:t>
      </w:r>
    </w:p>
    <w:p w:rsidR="00A216BF" w:rsidRPr="00DA3540" w:rsidRDefault="00A216BF" w:rsidP="00FA4DA9">
      <w:pPr>
        <w:pStyle w:val="NormalWeb"/>
        <w:shd w:val="clear" w:color="auto" w:fill="FFFFFF"/>
        <w:spacing w:before="0" w:beforeAutospacing="0" w:after="286" w:afterAutospacing="0"/>
        <w:jc w:val="both"/>
      </w:pPr>
      <w:r w:rsidRPr="00DA3540">
        <w:t>El argumento </w:t>
      </w:r>
      <w:r w:rsidRPr="00DA3540">
        <w:rPr>
          <w:rStyle w:val="Textoennegrita"/>
          <w:b w:val="0"/>
        </w:rPr>
        <w:t>que la inflación es buena para los deudores, ya que el poder adquisitivo de sus deudas baja</w:t>
      </w:r>
      <w:r w:rsidRPr="00DA3540">
        <w:t>, es el que más interesa en estos momentos, ya que estamos viviendo con alta y creciente deuda. Esta deuda baja en valor ya que la inflación hace los euros que se devuelven cada vez menos valiosos.</w:t>
      </w:r>
      <w:r w:rsidR="00AF1192" w:rsidRPr="00DA3540">
        <w:t xml:space="preserve"> </w:t>
      </w:r>
      <w:r w:rsidRPr="00DA3540">
        <w:t xml:space="preserve">Este argumento atrae mucho pero supone que los acreedores son tontos y no exigirán mantener sus valores, a través de subir más y más los niveles de intereses. El camino que se está tomando, de permitir y de alabar la inflación, está sembrando futuras subidas en los niveles de intereses. </w:t>
      </w:r>
    </w:p>
    <w:p w:rsidR="00A216BF" w:rsidRPr="00DA3540" w:rsidRDefault="00A216BF" w:rsidP="00FA4DA9">
      <w:pPr>
        <w:pStyle w:val="NormalWeb"/>
        <w:shd w:val="clear" w:color="auto" w:fill="FFFFFF"/>
        <w:spacing w:before="0" w:beforeAutospacing="0" w:after="286" w:afterAutospacing="0"/>
        <w:jc w:val="both"/>
        <w:rPr>
          <w:b/>
        </w:rPr>
      </w:pPr>
      <w:r w:rsidRPr="00DA3540">
        <w:rPr>
          <w:b/>
        </w:rPr>
        <w:lastRenderedPageBreak/>
        <w:t>El impacto es importante</w:t>
      </w:r>
    </w:p>
    <w:p w:rsidR="00A216BF" w:rsidRPr="00DA3540" w:rsidRDefault="00A216BF" w:rsidP="00FA4DA9">
      <w:pPr>
        <w:pStyle w:val="NormalWeb"/>
        <w:shd w:val="clear" w:color="auto" w:fill="FFFFFF"/>
        <w:spacing w:before="0" w:beforeAutospacing="0" w:after="286" w:afterAutospacing="0"/>
        <w:jc w:val="both"/>
      </w:pPr>
      <w:r w:rsidRPr="00DA3540">
        <w:t>Pare tener </w:t>
      </w:r>
      <w:r w:rsidRPr="00DA3540">
        <w:rPr>
          <w:rStyle w:val="Textoennegrita"/>
        </w:rPr>
        <w:t>una idea del impacto negativo de la inflación</w:t>
      </w:r>
      <w:r w:rsidRPr="00DA3540">
        <w:t>, incluso de niveles de inflación bajos, a continuación vemos los impactos. Sin hacer nada con una cantidad de €100.000, con una inflación constante anual del 2%, que es lo que buscan la BCE y otros, el valor de mis ahorros se vería impactada de la siguiente forma:</w:t>
      </w:r>
    </w:p>
    <w:p w:rsidR="00A216BF" w:rsidRPr="00DA3540" w:rsidRDefault="00A216BF" w:rsidP="00FA4DA9">
      <w:pPr>
        <w:numPr>
          <w:ilvl w:val="0"/>
          <w:numId w:val="9"/>
        </w:numPr>
        <w:shd w:val="clear" w:color="auto" w:fill="FFFFFF"/>
        <w:spacing w:after="210" w:line="240" w:lineRule="auto"/>
        <w:ind w:left="360"/>
        <w:jc w:val="both"/>
        <w:rPr>
          <w:rFonts w:ascii="Times New Roman" w:hAnsi="Times New Roman" w:cs="Times New Roman"/>
          <w:sz w:val="24"/>
          <w:szCs w:val="24"/>
        </w:rPr>
      </w:pPr>
      <w:r w:rsidRPr="00DA3540">
        <w:rPr>
          <w:rFonts w:ascii="Times New Roman" w:hAnsi="Times New Roman" w:cs="Times New Roman"/>
          <w:sz w:val="24"/>
          <w:szCs w:val="24"/>
        </w:rPr>
        <w:t>en 5 años valdría €90.392, perdiendo casi €10.000 en poder adquisitivo</w:t>
      </w:r>
    </w:p>
    <w:p w:rsidR="00A216BF" w:rsidRPr="00DA3540" w:rsidRDefault="00A216BF" w:rsidP="00FA4DA9">
      <w:pPr>
        <w:numPr>
          <w:ilvl w:val="0"/>
          <w:numId w:val="9"/>
        </w:numPr>
        <w:shd w:val="clear" w:color="auto" w:fill="FFFFFF"/>
        <w:spacing w:after="210" w:line="240" w:lineRule="auto"/>
        <w:ind w:left="360"/>
        <w:jc w:val="both"/>
        <w:rPr>
          <w:rFonts w:ascii="Times New Roman" w:hAnsi="Times New Roman" w:cs="Times New Roman"/>
          <w:sz w:val="24"/>
          <w:szCs w:val="24"/>
        </w:rPr>
      </w:pPr>
      <w:r w:rsidRPr="00DA3540">
        <w:rPr>
          <w:rFonts w:ascii="Times New Roman" w:hAnsi="Times New Roman" w:cs="Times New Roman"/>
          <w:sz w:val="24"/>
          <w:szCs w:val="24"/>
        </w:rPr>
        <w:t>en 10 años valdría €81.707, perdiendo €18.000</w:t>
      </w:r>
    </w:p>
    <w:p w:rsidR="00A216BF" w:rsidRPr="00DA3540" w:rsidRDefault="00A216BF" w:rsidP="00FA4DA9">
      <w:pPr>
        <w:numPr>
          <w:ilvl w:val="0"/>
          <w:numId w:val="9"/>
        </w:numPr>
        <w:shd w:val="clear" w:color="auto" w:fill="FFFFFF"/>
        <w:spacing w:after="210" w:line="240" w:lineRule="auto"/>
        <w:ind w:left="360"/>
        <w:jc w:val="both"/>
        <w:rPr>
          <w:rFonts w:ascii="Times New Roman" w:hAnsi="Times New Roman" w:cs="Times New Roman"/>
          <w:sz w:val="24"/>
          <w:szCs w:val="24"/>
        </w:rPr>
      </w:pPr>
      <w:r w:rsidRPr="00DA3540">
        <w:rPr>
          <w:rFonts w:ascii="Times New Roman" w:hAnsi="Times New Roman" w:cs="Times New Roman"/>
          <w:sz w:val="24"/>
          <w:szCs w:val="24"/>
        </w:rPr>
        <w:t>en 15 años valdría €73.857, perdiendo €26.000</w:t>
      </w:r>
    </w:p>
    <w:p w:rsidR="00A216BF" w:rsidRPr="00DA3540" w:rsidRDefault="00A216BF" w:rsidP="00FA4DA9">
      <w:pPr>
        <w:numPr>
          <w:ilvl w:val="0"/>
          <w:numId w:val="9"/>
        </w:numPr>
        <w:shd w:val="clear" w:color="auto" w:fill="FFFFFF"/>
        <w:spacing w:after="210" w:line="240" w:lineRule="auto"/>
        <w:ind w:left="360"/>
        <w:jc w:val="both"/>
        <w:rPr>
          <w:rFonts w:ascii="Times New Roman" w:hAnsi="Times New Roman" w:cs="Times New Roman"/>
          <w:sz w:val="24"/>
          <w:szCs w:val="24"/>
        </w:rPr>
      </w:pPr>
      <w:r w:rsidRPr="00DA3540">
        <w:rPr>
          <w:rFonts w:ascii="Times New Roman" w:hAnsi="Times New Roman" w:cs="Times New Roman"/>
          <w:sz w:val="24"/>
          <w:szCs w:val="24"/>
        </w:rPr>
        <w:t>en 20 años valdría €66.761, perdiendo €33.000</w:t>
      </w:r>
    </w:p>
    <w:p w:rsidR="00A216BF" w:rsidRPr="00DA3540" w:rsidRDefault="00A216BF" w:rsidP="00FA4DA9">
      <w:pPr>
        <w:numPr>
          <w:ilvl w:val="0"/>
          <w:numId w:val="9"/>
        </w:numPr>
        <w:shd w:val="clear" w:color="auto" w:fill="FFFFFF"/>
        <w:spacing w:after="210" w:line="240" w:lineRule="auto"/>
        <w:ind w:left="360"/>
        <w:jc w:val="both"/>
        <w:rPr>
          <w:rFonts w:ascii="Times New Roman" w:hAnsi="Times New Roman" w:cs="Times New Roman"/>
          <w:sz w:val="24"/>
          <w:szCs w:val="24"/>
        </w:rPr>
      </w:pPr>
      <w:r w:rsidRPr="00DA3540">
        <w:rPr>
          <w:rFonts w:ascii="Times New Roman" w:hAnsi="Times New Roman" w:cs="Times New Roman"/>
          <w:sz w:val="24"/>
          <w:szCs w:val="24"/>
        </w:rPr>
        <w:t>en 25 años valdría €60.346, perdiendo €40.000</w:t>
      </w:r>
    </w:p>
    <w:p w:rsidR="00A216BF" w:rsidRPr="00DA3540" w:rsidRDefault="00A216BF" w:rsidP="00FA4DA9">
      <w:pPr>
        <w:numPr>
          <w:ilvl w:val="0"/>
          <w:numId w:val="9"/>
        </w:numPr>
        <w:shd w:val="clear" w:color="auto" w:fill="FFFFFF"/>
        <w:spacing w:after="210" w:line="240" w:lineRule="auto"/>
        <w:ind w:left="360"/>
        <w:jc w:val="both"/>
        <w:rPr>
          <w:rFonts w:ascii="Times New Roman" w:hAnsi="Times New Roman" w:cs="Times New Roman"/>
          <w:sz w:val="24"/>
          <w:szCs w:val="24"/>
        </w:rPr>
      </w:pPr>
      <w:r w:rsidRPr="00DA3540">
        <w:rPr>
          <w:rFonts w:ascii="Times New Roman" w:hAnsi="Times New Roman" w:cs="Times New Roman"/>
          <w:sz w:val="24"/>
          <w:szCs w:val="24"/>
        </w:rPr>
        <w:t>en 30 años valdría €54.548, perdiendo €45.500</w:t>
      </w:r>
    </w:p>
    <w:p w:rsidR="00A216BF" w:rsidRPr="00DA3540" w:rsidRDefault="00A216BF" w:rsidP="00FA4DA9">
      <w:pPr>
        <w:numPr>
          <w:ilvl w:val="0"/>
          <w:numId w:val="9"/>
        </w:numPr>
        <w:shd w:val="clear" w:color="auto" w:fill="FFFFFF"/>
        <w:spacing w:after="210" w:line="240" w:lineRule="auto"/>
        <w:ind w:left="360"/>
        <w:jc w:val="both"/>
        <w:rPr>
          <w:rFonts w:ascii="Times New Roman" w:hAnsi="Times New Roman" w:cs="Times New Roman"/>
          <w:sz w:val="24"/>
          <w:szCs w:val="24"/>
        </w:rPr>
      </w:pPr>
      <w:r w:rsidRPr="00DA3540">
        <w:rPr>
          <w:rFonts w:ascii="Times New Roman" w:hAnsi="Times New Roman" w:cs="Times New Roman"/>
          <w:sz w:val="24"/>
          <w:szCs w:val="24"/>
        </w:rPr>
        <w:t>en 35 años valdría €49.307, perdiendo casi €51.000</w:t>
      </w:r>
    </w:p>
    <w:p w:rsidR="00A216BF" w:rsidRPr="00DA3540" w:rsidRDefault="00A216BF" w:rsidP="00FA4DA9">
      <w:pPr>
        <w:numPr>
          <w:ilvl w:val="0"/>
          <w:numId w:val="9"/>
        </w:numPr>
        <w:shd w:val="clear" w:color="auto" w:fill="FFFFFF"/>
        <w:spacing w:after="210" w:line="240" w:lineRule="auto"/>
        <w:ind w:left="360"/>
        <w:jc w:val="both"/>
        <w:rPr>
          <w:rFonts w:ascii="Times New Roman" w:hAnsi="Times New Roman" w:cs="Times New Roman"/>
          <w:sz w:val="24"/>
          <w:szCs w:val="24"/>
        </w:rPr>
      </w:pPr>
      <w:r w:rsidRPr="00DA3540">
        <w:rPr>
          <w:rFonts w:ascii="Times New Roman" w:hAnsi="Times New Roman" w:cs="Times New Roman"/>
          <w:sz w:val="24"/>
          <w:szCs w:val="24"/>
        </w:rPr>
        <w:t>en 40 años valdría €44.570, perdiendo €55.500</w:t>
      </w:r>
    </w:p>
    <w:p w:rsidR="00A216BF" w:rsidRPr="00DA3540" w:rsidRDefault="00A216BF" w:rsidP="00FA4DA9">
      <w:pPr>
        <w:shd w:val="clear" w:color="auto" w:fill="FFFFFF"/>
        <w:spacing w:after="210" w:line="240" w:lineRule="auto"/>
        <w:jc w:val="both"/>
        <w:rPr>
          <w:rFonts w:ascii="Times New Roman" w:hAnsi="Times New Roman" w:cs="Times New Roman"/>
          <w:sz w:val="24"/>
          <w:szCs w:val="24"/>
        </w:rPr>
      </w:pPr>
      <w:r w:rsidRPr="00DA3540">
        <w:rPr>
          <w:rFonts w:ascii="Times New Roman" w:hAnsi="Times New Roman" w:cs="Times New Roman"/>
          <w:sz w:val="24"/>
          <w:szCs w:val="24"/>
        </w:rPr>
        <w:t>La inflación no es la solución</w:t>
      </w:r>
    </w:p>
    <w:p w:rsidR="00A216BF" w:rsidRPr="00DA3540" w:rsidRDefault="00A216BF" w:rsidP="00FA4DA9">
      <w:pPr>
        <w:pStyle w:val="NormalWeb"/>
        <w:shd w:val="clear" w:color="auto" w:fill="FFFFFF"/>
        <w:spacing w:before="0" w:beforeAutospacing="0" w:after="286" w:afterAutospacing="0"/>
        <w:jc w:val="both"/>
        <w:rPr>
          <w:b/>
        </w:rPr>
      </w:pPr>
      <w:r w:rsidRPr="00DA3540">
        <w:t>Un 2% parece que no es nada pero, con el tiempo, su impacto es mucho, penalizando y desincentivando a los ahorradores. Además, cuarenta años puede parecer mucho, pero cuando se habla de ahorros que pueden cubrir las necesidades de pensión, estos impactos son mucho si cada €100.000 que se ahorran permite gastar sólo €55.500. Es verdad que hay que añadir la rentabilidad pero, se genere rentabilidad o no</w:t>
      </w:r>
      <w:r w:rsidRPr="00DA3540">
        <w:rPr>
          <w:b/>
        </w:rPr>
        <w:t>, </w:t>
      </w:r>
      <w:r w:rsidRPr="00DA3540">
        <w:rPr>
          <w:rStyle w:val="Textoennegrita"/>
          <w:b w:val="0"/>
        </w:rPr>
        <w:t>la inflación quita tanto del principal como de esa rentabilidad</w:t>
      </w:r>
      <w:r w:rsidRPr="00DA3540">
        <w:rPr>
          <w:b/>
        </w:rPr>
        <w:t>.</w:t>
      </w:r>
    </w:p>
    <w:p w:rsidR="00A216BF" w:rsidRPr="00DA3540" w:rsidRDefault="00A216BF" w:rsidP="00FA4DA9">
      <w:pPr>
        <w:pStyle w:val="NormalWeb"/>
        <w:shd w:val="clear" w:color="auto" w:fill="FFFFFF"/>
        <w:spacing w:before="0" w:beforeAutospacing="0" w:after="286" w:afterAutospacing="0"/>
        <w:jc w:val="both"/>
      </w:pPr>
      <w:r w:rsidRPr="00DA3540">
        <w:rPr>
          <w:b/>
        </w:rPr>
        <w:t>A pesar de lo que dicen muchos reguladores, y otros, l</w:t>
      </w:r>
      <w:r w:rsidRPr="00DA3540">
        <w:rPr>
          <w:rStyle w:val="Textoennegrita"/>
          <w:b w:val="0"/>
        </w:rPr>
        <w:t xml:space="preserve">a </w:t>
      </w:r>
      <w:r w:rsidRPr="00DA3540">
        <w:rPr>
          <w:rStyle w:val="Textoennegrita"/>
        </w:rPr>
        <w:t>inflación no es la solución ni a la crisis ni a la vuelta al crecimiento sostenible</w:t>
      </w:r>
      <w:r w:rsidRPr="00DA3540">
        <w:t>.</w:t>
      </w:r>
    </w:p>
    <w:p w:rsidR="00A216BF" w:rsidRPr="00DA3540" w:rsidRDefault="00A216BF" w:rsidP="00FA4DA9">
      <w:pPr>
        <w:pStyle w:val="NormalWeb"/>
        <w:shd w:val="clear" w:color="auto" w:fill="FFFFFF"/>
        <w:spacing w:before="0" w:beforeAutospacing="0" w:after="286" w:afterAutospacing="0"/>
        <w:jc w:val="both"/>
        <w:rPr>
          <w:b/>
        </w:rPr>
      </w:pPr>
      <w:r w:rsidRPr="00DA3540">
        <w:rPr>
          <w:b/>
        </w:rPr>
        <w:t>La inflación es un espejismo que parece positivo a muchos pero que </w:t>
      </w:r>
      <w:r w:rsidRPr="00DA3540">
        <w:rPr>
          <w:rStyle w:val="Textoennegrita"/>
        </w:rPr>
        <w:t>perjudica mucho más de lo que beneficia</w:t>
      </w:r>
      <w:r w:rsidRPr="00DA3540">
        <w:t> y</w:t>
      </w:r>
      <w:r w:rsidRPr="00DA3540">
        <w:rPr>
          <w:b/>
        </w:rPr>
        <w:t xml:space="preserve">, además, perjudica a los responsables y premia a los irresponsables. </w:t>
      </w:r>
    </w:p>
    <w:p w:rsidR="00AF1192" w:rsidRPr="00DA3540" w:rsidRDefault="00697BD3" w:rsidP="00FA4DA9">
      <w:pPr>
        <w:pStyle w:val="NormalWeb"/>
        <w:shd w:val="clear" w:color="auto" w:fill="FFFFFF"/>
        <w:spacing w:after="150"/>
        <w:jc w:val="both"/>
      </w:pPr>
      <w:r w:rsidRPr="00DA3540">
        <w:t xml:space="preserve">“El dinero que utilizamos hoy en todo el mundo lo crean los bancos centrales y no lo sustenta nada más que la promesa de reemplazar los billetes viejos por otros nuevos… Para los gobiernos, el dinero fíat es una tentación: si tienen que pagar facturas, sencillamente pueden imprimir más dinero. Y, cuando hay más dinero para comprar la misma cantidad de bienes y servicios, los precios suben. Pronto se demostró que esta tentación era muy difícil de resistir. Pocas décadas después que se inventara, a principios del siglo XI en China, el “jiaozi” (primer ensayo de papel moneda) se devaluó, perdió crédito y acabó con el noventa por ciento de su valor. Desde entonces, a otros países les ha ido mucho peor. La Alemania de Weimar y Zimbabue son dos ejemplos famosos de economías que han caído en el caos porque una excesiva emisión de dinero disparó los precios hasta límites absurdos. En Hungría, en 1946, los precios se triplicaban cada día. En un café de Budapest de aquella época, era mejor pagar el café al llegar, no al marcharse. Estos episodios, raros pero aterradores, han convencido a algunos economistas radicales de que el dinero fíat nunca será </w:t>
      </w:r>
      <w:r w:rsidRPr="00DA3540">
        <w:lastRenderedPageBreak/>
        <w:t>estable: anhelan una vuelta a los días del patrón oro, cuando el dinero se podía canjear por una pieza diminuta de este precioso metal. Pero el pensamiento dominante cree que vincular el dinero en circulación a ese metal precioso es una idea terrible. La mayoría creen que una inflación baja y predecible en absoluto representa un problema, y que quizá sea además un útil lubricante para la actividad económica porque evita la posibilidad de la deflación, que puede ser desastrosa para cualquier economía. Y, aunque no siempre podamos creer que los bancos centrales vayan a emitir la cantidad correcta de dinero nuevo, seguramente tiene más sentido que confiar en que los mineros extraigan la cantidad exacta de oro. La capacidad para aumentar las emisiones de dinero es especialmente útil en las situaciones de crisis. Después de la crisis económica de 2007, la Reserva Federal estadounidense inyectó billones de dólares en la economía sin crear inflación. De hecho, no hicieron falta ni siquiera imprentas: esos billones se crearon pulsando teclas de ordenador en el sistema bancario global. El cándido Marco Polo (que descubrió hace 750 años la existencia en China del papel moneda) podría haber escrito: “El Gran Banco Central consigue que los dígitos de una pantalla de ordenador, hechos de algo parecido a hojas de cálculo, se consideren dinero”. La tecnología ha cambiado, pero aquello que consideramos dinero sigue siendo sorprendente”…  (del libro: “Las cincuenta innovaciones que han cambiado en mundo” de Tim Harford)</w:t>
      </w:r>
    </w:p>
    <w:p w:rsidR="00AF1192" w:rsidRPr="00DA3540" w:rsidRDefault="00AF1192" w:rsidP="00FA4DA9">
      <w:pPr>
        <w:pStyle w:val="NormalWeb"/>
        <w:shd w:val="clear" w:color="auto" w:fill="FFFFFF"/>
        <w:spacing w:after="150"/>
        <w:jc w:val="both"/>
        <w:rPr>
          <w:b/>
        </w:rPr>
      </w:pPr>
      <w:r w:rsidRPr="00DA3540">
        <w:rPr>
          <w:b/>
        </w:rPr>
        <w:t>Aunque la liquidez es esencial para los objetivos a corto plazo y las situaciones de emergencia que se presentan, lo cierto es que en el actual entorno económico el poder adquisitivo del dinero se ve poco a poco erosionado. Ante esta situación, para generar rentas y superar la inflación, los ahorradores tienen que pensar en asumir un mayor nivel de riesgo.</w:t>
      </w:r>
    </w:p>
    <w:p w:rsidR="00AF1192" w:rsidRPr="00DA3540" w:rsidRDefault="00AF1192" w:rsidP="00FA4DA9">
      <w:pPr>
        <w:pStyle w:val="NormalWeb"/>
        <w:shd w:val="clear" w:color="auto" w:fill="FFFFFF"/>
        <w:spacing w:after="150"/>
        <w:jc w:val="both"/>
        <w:rPr>
          <w:b/>
        </w:rPr>
      </w:pPr>
      <w:r w:rsidRPr="00DA3540">
        <w:rPr>
          <w:b/>
        </w:rPr>
        <w:t>En la misma lógica, permitir que la inflación erosione el dinero dejándolo en una cuenta de ahorro con un tipo de interés bajo supone una precaución temeraria.</w:t>
      </w:r>
    </w:p>
    <w:p w:rsidR="00AF1192" w:rsidRPr="00DA3540" w:rsidRDefault="00AF1192" w:rsidP="00FA4DA9">
      <w:pPr>
        <w:pStyle w:val="NormalWeb"/>
        <w:shd w:val="clear" w:color="auto" w:fill="FFFFFF"/>
        <w:spacing w:after="150"/>
        <w:jc w:val="both"/>
        <w:rPr>
          <w:b/>
        </w:rPr>
      </w:pPr>
      <w:r w:rsidRPr="00DA3540">
        <w:rPr>
          <w:b/>
        </w:rPr>
        <w:t>El ahorrador europeo, desafortunadamente, está muy familiarizado con el efecto destructivo que puede tener la inflación cuando los tipos de interés son bajos. De hecho, en los diez últimos años (con datos de Bloomberg a 31 de agosto de 2021) solo ha habido 14 meses en los que los tipos de interés superaron la tasa mensual de inflación. En otras palabras, los ahorradores perdieron dinero, en términos reales, casi todos los meses de este periodo (ver gráfico “El coste de la liquidez”).</w:t>
      </w:r>
    </w:p>
    <w:p w:rsidR="00AF1192" w:rsidRPr="007E2747" w:rsidRDefault="00AF1192" w:rsidP="00FA4DA9">
      <w:pPr>
        <w:pStyle w:val="NormalWeb"/>
        <w:shd w:val="clear" w:color="auto" w:fill="FFFFFF"/>
        <w:spacing w:after="150"/>
        <w:jc w:val="both"/>
        <w:rPr>
          <w:color w:val="FF0000"/>
        </w:rPr>
      </w:pPr>
      <w:r>
        <w:rPr>
          <w:noProof/>
        </w:rPr>
        <w:drawing>
          <wp:inline distT="0" distB="0" distL="0" distR="0" wp14:anchorId="45EA3EB3" wp14:editId="46743B55">
            <wp:extent cx="5730180" cy="2660650"/>
            <wp:effectExtent l="0" t="0" r="4445" b="6350"/>
            <wp:docPr id="5" name="Imagen 5" descr="https://d500.epimg.net/descargables/2021/10/08/a492849dc410f08e3da890bdafc8dc6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d500.epimg.net/descargables/2021/10/08/a492849dc410f08e3da890bdafc8dc6a.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31510" cy="2661267"/>
                    </a:xfrm>
                    <a:prstGeom prst="rect">
                      <a:avLst/>
                    </a:prstGeom>
                    <a:noFill/>
                    <a:ln>
                      <a:noFill/>
                    </a:ln>
                  </pic:spPr>
                </pic:pic>
              </a:graphicData>
            </a:graphic>
          </wp:inline>
        </w:drawing>
      </w:r>
      <w:r w:rsidRPr="007E2747">
        <w:rPr>
          <w:color w:val="FF0000"/>
        </w:rPr>
        <w:t xml:space="preserve"> </w:t>
      </w:r>
    </w:p>
    <w:p w:rsidR="00F22EE1" w:rsidRDefault="00F22EE1" w:rsidP="00FA4DA9">
      <w:pPr>
        <w:pStyle w:val="NormalWeb"/>
        <w:shd w:val="clear" w:color="auto" w:fill="FFFFFF"/>
        <w:spacing w:after="150"/>
        <w:jc w:val="both"/>
        <w:rPr>
          <w:b/>
        </w:rPr>
      </w:pPr>
      <w:r w:rsidRPr="00F22EE1">
        <w:rPr>
          <w:b/>
        </w:rPr>
        <w:lastRenderedPageBreak/>
        <w:t>- Cómo se fue inflando el soufflé: un recorrido de cabotaje</w:t>
      </w:r>
      <w:r w:rsidR="003E18A2">
        <w:rPr>
          <w:b/>
        </w:rPr>
        <w:t>,</w:t>
      </w:r>
      <w:r w:rsidRPr="00F22EE1">
        <w:rPr>
          <w:b/>
        </w:rPr>
        <w:t xml:space="preserve"> por la “maldita” hemeroteca</w:t>
      </w:r>
    </w:p>
    <w:p w:rsidR="00C13918" w:rsidRPr="00F22EE1" w:rsidRDefault="00C13918" w:rsidP="00FA4DA9">
      <w:pPr>
        <w:pStyle w:val="NormalWeb"/>
        <w:shd w:val="clear" w:color="auto" w:fill="FFFFFF"/>
        <w:spacing w:after="150"/>
        <w:jc w:val="both"/>
        <w:rPr>
          <w:b/>
        </w:rPr>
      </w:pPr>
      <w:r>
        <w:rPr>
          <w:noProof/>
        </w:rPr>
        <w:drawing>
          <wp:inline distT="0" distB="0" distL="0" distR="0" wp14:anchorId="741511B4" wp14:editId="675520D2">
            <wp:extent cx="5731510" cy="2934970"/>
            <wp:effectExtent l="0" t="0" r="2540" b="0"/>
            <wp:docPr id="247" name="Imagen 247" descr="Foto de La banca se enfrenta a un agujero sin precedentes en el trimestre clave del añ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oto de La banca se enfrenta a un agujero sin precedentes en el trimestre clave del año"/>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1510" cy="2934970"/>
                    </a:xfrm>
                    <a:prstGeom prst="rect">
                      <a:avLst/>
                    </a:prstGeom>
                    <a:noFill/>
                    <a:ln>
                      <a:noFill/>
                    </a:ln>
                  </pic:spPr>
                </pic:pic>
              </a:graphicData>
            </a:graphic>
          </wp:inline>
        </w:drawing>
      </w:r>
    </w:p>
    <w:p w:rsidR="003A41B8" w:rsidRDefault="003A41B8" w:rsidP="00FA4DA9">
      <w:pPr>
        <w:pStyle w:val="NormalWeb"/>
        <w:shd w:val="clear" w:color="auto" w:fill="FFFFFF"/>
        <w:spacing w:after="0"/>
        <w:jc w:val="both"/>
        <w:textAlignment w:val="baseline"/>
      </w:pPr>
      <w:r>
        <w:t xml:space="preserve">- </w:t>
      </w:r>
      <w:r w:rsidR="003231EC">
        <w:rPr>
          <w:u w:val="single"/>
        </w:rPr>
        <w:t>La crisis que viene: “</w:t>
      </w:r>
      <w:r w:rsidRPr="006A626C">
        <w:rPr>
          <w:u w:val="single"/>
        </w:rPr>
        <w:t>Un sector financiero sin control y u</w:t>
      </w:r>
      <w:r w:rsidR="003231EC">
        <w:rPr>
          <w:u w:val="single"/>
        </w:rPr>
        <w:t>na deuda global récord del 320%”</w:t>
      </w:r>
      <w:r>
        <w:t xml:space="preserve"> (El Confidencial - </w:t>
      </w:r>
      <w:r w:rsidRPr="006A626C">
        <w:rPr>
          <w:b/>
        </w:rPr>
        <w:t>10/2/20</w:t>
      </w:r>
      <w:r>
        <w:t>)</w:t>
      </w:r>
    </w:p>
    <w:p w:rsidR="003A41B8" w:rsidRDefault="003A41B8" w:rsidP="00FA4DA9">
      <w:pPr>
        <w:pStyle w:val="NormalWeb"/>
        <w:shd w:val="clear" w:color="auto" w:fill="FFFFFF"/>
        <w:spacing w:after="0"/>
        <w:jc w:val="both"/>
        <w:textAlignment w:val="baseline"/>
      </w:pPr>
      <w:r>
        <w:t>Hay motivos para estar preocupados por la economía global. Desde la guerra comercial entre China y Estados Unidos al trauma del Brexit pasado por la amenaza sanitaria del coronavirus chino, los riesgos asociados a la incertidumbre se multiplican. Pero para Alicia Bárcena</w:t>
      </w:r>
      <w:r w:rsidR="003231EC">
        <w:t xml:space="preserve"> (</w:t>
      </w:r>
      <w:r w:rsidR="003231EC" w:rsidRPr="000D1023">
        <w:rPr>
          <w:u w:val="single"/>
        </w:rPr>
        <w:t>secretaria ejecutiva de la Comisión Económica para América Latina y el Caribe (CEPAL)</w:t>
      </w:r>
      <w:r>
        <w:t>, la amenaza más severa es menos escandalosa en los titulares: un sector financiero expandiéndose sin control y una deuda privada en máximos históricos</w:t>
      </w:r>
      <w:r w:rsidR="003231EC">
        <w:t>…</w:t>
      </w:r>
    </w:p>
    <w:p w:rsidR="003231EC" w:rsidRPr="00CD20E2" w:rsidRDefault="003231EC" w:rsidP="00FA4DA9">
      <w:pPr>
        <w:pStyle w:val="NormalWeb"/>
        <w:shd w:val="clear" w:color="auto" w:fill="FFFFFF"/>
        <w:spacing w:after="0"/>
        <w:jc w:val="both"/>
        <w:textAlignment w:val="baseline"/>
        <w:rPr>
          <w:u w:val="single"/>
        </w:rPr>
      </w:pPr>
      <w:r>
        <w:t>P: ¿</w:t>
      </w:r>
      <w:r w:rsidRPr="00CD20E2">
        <w:rPr>
          <w:u w:val="single"/>
        </w:rPr>
        <w:t>Es el coronavirus la amenaza más grave para la economía global?</w:t>
      </w:r>
    </w:p>
    <w:p w:rsidR="003231EC" w:rsidRPr="00F14030" w:rsidRDefault="003231EC" w:rsidP="00FA4DA9">
      <w:pPr>
        <w:pStyle w:val="NormalWeb"/>
        <w:shd w:val="clear" w:color="auto" w:fill="FFFFFF"/>
        <w:spacing w:after="0"/>
        <w:jc w:val="both"/>
        <w:textAlignment w:val="baseline"/>
        <w:rPr>
          <w:color w:val="FF0000"/>
          <w:u w:val="single"/>
          <w:lang w:val="en-US"/>
        </w:rPr>
      </w:pPr>
      <w:r>
        <w:t xml:space="preserve">R: </w:t>
      </w:r>
      <w:r w:rsidRPr="00CD20E2">
        <w:rPr>
          <w:color w:val="FF0000"/>
          <w:u w:val="single"/>
        </w:rPr>
        <w:t xml:space="preserve">Es grave. Pero la epidemia se va a controlar, hay los recursos médicos para hacerlo. El tema que vale la pena recalcar es cómo el sector financiero se ha expandido brutalmente, sin control. </w:t>
      </w:r>
      <w:r w:rsidRPr="00675D3B">
        <w:rPr>
          <w:b/>
          <w:color w:val="FF0000"/>
          <w:u w:val="single"/>
        </w:rPr>
        <w:t>Hoy hay una deuda global récord del 320% del PIB. Nunca ha habido una deuda de este tamaño, deudas fundamentalmente en el sector privado, deuda corporativa y de los hogares.</w:t>
      </w:r>
      <w:r w:rsidRPr="00CD20E2">
        <w:rPr>
          <w:color w:val="FF0000"/>
          <w:u w:val="single"/>
        </w:rPr>
        <w:t xml:space="preserve"> Y cuando ves los datos, te preguntas: el mundo se ha endeudado, pero, ¿dónde ha ido toda esa liquidez? </w:t>
      </w:r>
      <w:r w:rsidRPr="00F14030">
        <w:rPr>
          <w:color w:val="FF0000"/>
          <w:u w:val="single"/>
          <w:lang w:val="en-US"/>
        </w:rPr>
        <w:t>No se vino a la economía real…</w:t>
      </w:r>
    </w:p>
    <w:p w:rsidR="003231EC" w:rsidRDefault="003231EC" w:rsidP="00FA4DA9">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3231EC">
        <w:rPr>
          <w:rFonts w:ascii="Times New Roman" w:hAnsi="Times New Roman" w:cs="Times New Roman"/>
          <w:sz w:val="24"/>
          <w:szCs w:val="24"/>
          <w:u w:val="single"/>
          <w:lang w:val="en-US"/>
        </w:rPr>
        <w:t>Coronavirus Has U.S. Stocks Capping Their Worst Week Since 2008</w:t>
      </w:r>
      <w:r>
        <w:rPr>
          <w:rFonts w:ascii="Times New Roman" w:hAnsi="Times New Roman" w:cs="Times New Roman"/>
          <w:sz w:val="24"/>
          <w:szCs w:val="24"/>
          <w:lang w:val="en-US"/>
        </w:rPr>
        <w:t xml:space="preserve"> (WSJ)</w:t>
      </w:r>
    </w:p>
    <w:p w:rsidR="003231EC" w:rsidRDefault="003231EC" w:rsidP="00FA4DA9">
      <w:pPr>
        <w:spacing w:line="240" w:lineRule="auto"/>
        <w:jc w:val="both"/>
        <w:rPr>
          <w:rFonts w:ascii="Times New Roman" w:hAnsi="Times New Roman" w:cs="Times New Roman"/>
          <w:sz w:val="24"/>
          <w:szCs w:val="24"/>
        </w:rPr>
      </w:pPr>
      <w:r w:rsidRPr="000349C6">
        <w:rPr>
          <w:rFonts w:ascii="Times New Roman" w:hAnsi="Times New Roman" w:cs="Times New Roman"/>
          <w:sz w:val="24"/>
          <w:szCs w:val="24"/>
        </w:rPr>
        <w:t>Los mercados globales se desplomaron cerca de 10% en la peor semana bursátil desde las crisis de 2008. ¿La causa? El temor de los inversores a las consecuencias económicas de la rápida propagación del coronavirus en el mundo.</w:t>
      </w:r>
    </w:p>
    <w:p w:rsidR="003231EC" w:rsidRPr="000349C6" w:rsidRDefault="003231EC"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w:t>
      </w:r>
      <w:r w:rsidRPr="000349C6">
        <w:rPr>
          <w:rFonts w:ascii="Times New Roman" w:hAnsi="Times New Roman" w:cs="Times New Roman"/>
          <w:sz w:val="24"/>
          <w:szCs w:val="24"/>
        </w:rPr>
        <w:t>la semana</w:t>
      </w:r>
      <w:r>
        <w:rPr>
          <w:rFonts w:ascii="Times New Roman" w:hAnsi="Times New Roman" w:cs="Times New Roman"/>
          <w:sz w:val="24"/>
          <w:szCs w:val="24"/>
        </w:rPr>
        <w:t xml:space="preserve"> la bolsa de los EEUU</w:t>
      </w:r>
      <w:r w:rsidRPr="000349C6">
        <w:rPr>
          <w:rFonts w:ascii="Times New Roman" w:hAnsi="Times New Roman" w:cs="Times New Roman"/>
          <w:sz w:val="24"/>
          <w:szCs w:val="24"/>
        </w:rPr>
        <w:t xml:space="preserve"> acumuló cuantiosas pérdidas: el Dow se hundió 12% y el S&amp;P 500 cayó 11,5%.</w:t>
      </w:r>
    </w:p>
    <w:p w:rsidR="003231EC" w:rsidRDefault="003231EC" w:rsidP="00FA4DA9">
      <w:pPr>
        <w:spacing w:line="240" w:lineRule="auto"/>
        <w:jc w:val="both"/>
        <w:rPr>
          <w:rFonts w:ascii="Times New Roman" w:hAnsi="Times New Roman" w:cs="Times New Roman"/>
          <w:sz w:val="24"/>
          <w:szCs w:val="24"/>
        </w:rPr>
      </w:pPr>
      <w:r w:rsidRPr="000349C6">
        <w:rPr>
          <w:rFonts w:ascii="Times New Roman" w:hAnsi="Times New Roman" w:cs="Times New Roman"/>
          <w:sz w:val="24"/>
          <w:szCs w:val="24"/>
        </w:rPr>
        <w:t>El descenso de Wall Street se suma a la baja en las bolsas europeas y asiáticas, arrastradas por la inquietud que existe en los mercados ante una posible recesión económica global y una pérdida de rentabilidad en el mundo corporativo por el coronavirus.</w:t>
      </w:r>
    </w:p>
    <w:p w:rsidR="003231EC" w:rsidRDefault="003231EC" w:rsidP="00FA4DA9">
      <w:pPr>
        <w:spacing w:line="240" w:lineRule="auto"/>
        <w:jc w:val="both"/>
        <w:rPr>
          <w:rFonts w:ascii="Times New Roman" w:hAnsi="Times New Roman" w:cs="Times New Roman"/>
          <w:sz w:val="24"/>
          <w:szCs w:val="24"/>
        </w:rPr>
      </w:pPr>
      <w:r w:rsidRPr="000349C6">
        <w:rPr>
          <w:rFonts w:ascii="Times New Roman" w:hAnsi="Times New Roman" w:cs="Times New Roman"/>
          <w:sz w:val="24"/>
          <w:szCs w:val="24"/>
        </w:rPr>
        <w:lastRenderedPageBreak/>
        <w:t>El barómetro de bolsas en países desarrollados y mercados emergentes MSCI acumuló una caída de 11% desde la semana pasada, mientras que las acciones de la industria de viajes y entretenimiento en Europa fueron unas de las más golpeadas, con una estrepitosa caída de 19% en una semana, que marca el mayor descenso del sector desde los atentados del 11 de septiembre de 2001 en Estados Unidos.</w:t>
      </w:r>
    </w:p>
    <w:p w:rsidR="003231EC" w:rsidRPr="003231EC" w:rsidRDefault="003231EC" w:rsidP="00FA4DA9">
      <w:pPr>
        <w:spacing w:line="240" w:lineRule="auto"/>
        <w:jc w:val="both"/>
        <w:rPr>
          <w:rFonts w:ascii="Times New Roman" w:hAnsi="Times New Roman" w:cs="Times New Roman"/>
          <w:sz w:val="24"/>
          <w:szCs w:val="24"/>
        </w:rPr>
      </w:pPr>
      <w:r w:rsidRPr="00A6473E">
        <w:rPr>
          <w:rFonts w:ascii="Times New Roman" w:hAnsi="Times New Roman" w:cs="Times New Roman"/>
          <w:sz w:val="24"/>
          <w:szCs w:val="24"/>
        </w:rPr>
        <w:t>Ni siquiera los peores momentos de la guerra comercial o del Brexit fueron capaces de generar tanto pánico en cinco sesiones como lo ha hecho el coronavirus.</w:t>
      </w:r>
    </w:p>
    <w:p w:rsidR="003A41B8" w:rsidRDefault="003A41B8" w:rsidP="00FA4DA9">
      <w:pPr>
        <w:spacing w:line="240" w:lineRule="auto"/>
        <w:jc w:val="both"/>
        <w:rPr>
          <w:rFonts w:ascii="Times New Roman" w:hAnsi="Times New Roman" w:cs="Times New Roman"/>
          <w:b/>
          <w:color w:val="FF0000"/>
          <w:sz w:val="24"/>
          <w:szCs w:val="24"/>
        </w:rPr>
      </w:pPr>
      <w:r w:rsidRPr="000349C6">
        <w:rPr>
          <w:rFonts w:ascii="Times New Roman" w:hAnsi="Times New Roman" w:cs="Times New Roman"/>
          <w:noProof/>
          <w:sz w:val="24"/>
          <w:szCs w:val="24"/>
          <w:lang w:eastAsia="es-ES"/>
        </w:rPr>
        <w:drawing>
          <wp:inline distT="0" distB="0" distL="0" distR="0" wp14:anchorId="47D91100" wp14:editId="6D6DF860">
            <wp:extent cx="5731510" cy="2545504"/>
            <wp:effectExtent l="0" t="0" r="2540" b="7620"/>
            <wp:docPr id="261" name="Imagen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31510" cy="2545504"/>
                    </a:xfrm>
                    <a:prstGeom prst="rect">
                      <a:avLst/>
                    </a:prstGeom>
                  </pic:spPr>
                </pic:pic>
              </a:graphicData>
            </a:graphic>
          </wp:inline>
        </w:drawing>
      </w:r>
    </w:p>
    <w:p w:rsidR="003A41B8" w:rsidRDefault="003A41B8" w:rsidP="00FA4DA9">
      <w:pPr>
        <w:spacing w:line="240" w:lineRule="auto"/>
        <w:jc w:val="both"/>
        <w:rPr>
          <w:rFonts w:ascii="Times New Roman" w:hAnsi="Times New Roman" w:cs="Times New Roman"/>
          <w:sz w:val="24"/>
          <w:szCs w:val="24"/>
        </w:rPr>
      </w:pPr>
      <w:r w:rsidRPr="000349C6">
        <w:rPr>
          <w:rFonts w:ascii="Times New Roman" w:hAnsi="Times New Roman" w:cs="Times New Roman"/>
          <w:noProof/>
          <w:sz w:val="24"/>
          <w:szCs w:val="24"/>
          <w:lang w:eastAsia="es-ES"/>
        </w:rPr>
        <w:drawing>
          <wp:inline distT="0" distB="0" distL="0" distR="0" wp14:anchorId="2EDE70BD" wp14:editId="2697D1DC">
            <wp:extent cx="5731510" cy="2628167"/>
            <wp:effectExtent l="0" t="0" r="2540" b="1270"/>
            <wp:docPr id="262" name="Imagen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31510" cy="2628167"/>
                    </a:xfrm>
                    <a:prstGeom prst="rect">
                      <a:avLst/>
                    </a:prstGeom>
                  </pic:spPr>
                </pic:pic>
              </a:graphicData>
            </a:graphic>
          </wp:inline>
        </w:drawing>
      </w:r>
    </w:p>
    <w:p w:rsidR="003231EC" w:rsidRDefault="003231EC" w:rsidP="00FA4DA9">
      <w:pPr>
        <w:spacing w:line="240" w:lineRule="auto"/>
        <w:jc w:val="both"/>
        <w:rPr>
          <w:rFonts w:ascii="Times New Roman" w:hAnsi="Times New Roman" w:cs="Times New Roman"/>
          <w:sz w:val="24"/>
          <w:szCs w:val="24"/>
        </w:rPr>
      </w:pPr>
    </w:p>
    <w:p w:rsidR="003A41B8" w:rsidRDefault="003A41B8" w:rsidP="00FA4DA9">
      <w:pPr>
        <w:spacing w:line="240" w:lineRule="auto"/>
        <w:jc w:val="both"/>
        <w:rPr>
          <w:rFonts w:ascii="Times New Roman" w:hAnsi="Times New Roman" w:cs="Times New Roman"/>
          <w:sz w:val="24"/>
          <w:szCs w:val="24"/>
        </w:rPr>
      </w:pPr>
      <w:r w:rsidRPr="00A6473E">
        <w:rPr>
          <w:rFonts w:ascii="Times New Roman" w:hAnsi="Times New Roman" w:cs="Times New Roman"/>
          <w:sz w:val="24"/>
          <w:szCs w:val="24"/>
        </w:rPr>
        <w:t>La epidemia sorprende a un mercado sobrevalorado y a una economía sobre la que los bancos centrales han perdido efectividad</w:t>
      </w:r>
      <w:r>
        <w:rPr>
          <w:rFonts w:ascii="Times New Roman" w:hAnsi="Times New Roman" w:cs="Times New Roman"/>
          <w:sz w:val="24"/>
          <w:szCs w:val="24"/>
        </w:rPr>
        <w:t>.</w:t>
      </w:r>
    </w:p>
    <w:p w:rsidR="003A41B8" w:rsidRDefault="003A41B8" w:rsidP="00FA4DA9">
      <w:pPr>
        <w:spacing w:line="240" w:lineRule="auto"/>
        <w:jc w:val="both"/>
        <w:rPr>
          <w:rFonts w:ascii="Times New Roman" w:hAnsi="Times New Roman" w:cs="Times New Roman"/>
          <w:sz w:val="24"/>
          <w:szCs w:val="24"/>
        </w:rPr>
      </w:pPr>
      <w:r w:rsidRPr="00A6473E">
        <w:rPr>
          <w:rFonts w:ascii="Times New Roman" w:hAnsi="Times New Roman" w:cs="Times New Roman"/>
          <w:sz w:val="24"/>
          <w:szCs w:val="24"/>
        </w:rPr>
        <w:t>La irrupción del coronavirus ha desmontado los frágiles criterios por los que se lleva moviendo el mercado en el último añ</w:t>
      </w:r>
      <w:r>
        <w:rPr>
          <w:rFonts w:ascii="Times New Roman" w:hAnsi="Times New Roman" w:cs="Times New Roman"/>
          <w:sz w:val="24"/>
          <w:szCs w:val="24"/>
        </w:rPr>
        <w:t>o y que, según los analistas</w:t>
      </w:r>
      <w:r w:rsidRPr="00A6473E">
        <w:rPr>
          <w:rFonts w:ascii="Times New Roman" w:hAnsi="Times New Roman" w:cs="Times New Roman"/>
          <w:sz w:val="24"/>
          <w:szCs w:val="24"/>
        </w:rPr>
        <w:t>, son e</w:t>
      </w:r>
      <w:r>
        <w:rPr>
          <w:rFonts w:ascii="Times New Roman" w:hAnsi="Times New Roman" w:cs="Times New Roman"/>
          <w:sz w:val="24"/>
          <w:szCs w:val="24"/>
        </w:rPr>
        <w:t>l miedo a perderse las subidas -</w:t>
      </w:r>
      <w:r w:rsidRPr="00A6473E">
        <w:rPr>
          <w:rFonts w:ascii="Times New Roman" w:hAnsi="Times New Roman" w:cs="Times New Roman"/>
          <w:sz w:val="24"/>
          <w:szCs w:val="24"/>
        </w:rPr>
        <w:t>a pesar de que las valoraciones en muchos casos se alejen ca</w:t>
      </w:r>
      <w:r>
        <w:rPr>
          <w:rFonts w:ascii="Times New Roman" w:hAnsi="Times New Roman" w:cs="Times New Roman"/>
          <w:sz w:val="24"/>
          <w:szCs w:val="24"/>
        </w:rPr>
        <w:t>da vez más de los fundamentales-</w:t>
      </w:r>
      <w:r w:rsidRPr="00A6473E">
        <w:rPr>
          <w:rFonts w:ascii="Times New Roman" w:hAnsi="Times New Roman" w:cs="Times New Roman"/>
          <w:sz w:val="24"/>
          <w:szCs w:val="24"/>
        </w:rPr>
        <w:t>, la resignación a que no hay otra opción que la renta variable en un entorno de tipos negativos y las compras oportunistas cuando se produce una corrección.</w:t>
      </w:r>
    </w:p>
    <w:p w:rsidR="003A41B8" w:rsidRDefault="003A41B8" w:rsidP="00FA4DA9">
      <w:pPr>
        <w:spacing w:line="240" w:lineRule="auto"/>
        <w:jc w:val="both"/>
        <w:rPr>
          <w:rFonts w:ascii="Times New Roman" w:hAnsi="Times New Roman" w:cs="Times New Roman"/>
          <w:sz w:val="24"/>
          <w:szCs w:val="24"/>
        </w:rPr>
      </w:pPr>
      <w:r w:rsidRPr="00A6473E">
        <w:rPr>
          <w:rFonts w:ascii="Times New Roman" w:hAnsi="Times New Roman" w:cs="Times New Roman"/>
          <w:noProof/>
          <w:sz w:val="24"/>
          <w:szCs w:val="24"/>
          <w:lang w:eastAsia="es-ES"/>
        </w:rPr>
        <w:lastRenderedPageBreak/>
        <w:drawing>
          <wp:inline distT="0" distB="0" distL="0" distR="0" wp14:anchorId="295ABE8A" wp14:editId="194C70E7">
            <wp:extent cx="5731513" cy="3098800"/>
            <wp:effectExtent l="0" t="0" r="2540" b="6350"/>
            <wp:docPr id="263" name="Imagen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31510" cy="3098798"/>
                    </a:xfrm>
                    <a:prstGeom prst="rect">
                      <a:avLst/>
                    </a:prstGeom>
                  </pic:spPr>
                </pic:pic>
              </a:graphicData>
            </a:graphic>
          </wp:inline>
        </w:drawing>
      </w:r>
    </w:p>
    <w:p w:rsidR="003A41B8" w:rsidRDefault="003A41B8" w:rsidP="00FA4DA9">
      <w:pPr>
        <w:spacing w:line="240" w:lineRule="auto"/>
        <w:jc w:val="both"/>
        <w:rPr>
          <w:rFonts w:ascii="Times New Roman" w:hAnsi="Times New Roman" w:cs="Times New Roman"/>
          <w:sz w:val="24"/>
          <w:szCs w:val="24"/>
        </w:rPr>
      </w:pPr>
      <w:r w:rsidRPr="00A6473E">
        <w:rPr>
          <w:rFonts w:ascii="Times New Roman" w:hAnsi="Times New Roman" w:cs="Times New Roman"/>
          <w:sz w:val="24"/>
          <w:szCs w:val="24"/>
        </w:rPr>
        <w:t>En el mercado de deuda, la búsqueda de activos refugio siguió presionando la rentabilidad del bono estadounidense a 10 años que profundizó en los mínimos históricos: ya ronda el 1,17%. El bono español a 10 años bajó al 0,28% desde el 0,31%, mientras que la prima de riesgo subió a 89 puntos básicos. El rendimiento del bono italiano escaló al 1,1% desde el 1,083% anterior y el alemán estuvo en el -0,61% desde el -0,54% anterior. Según indica Hans-Jörg Naumer, director de mercado de capitales globales y análisis temáticos de Allianz GI, casi el 25% de la renta fija en circulación en todo el mundo (que corresponde a un valor de 12,74 billones de euros) ofrece un rendimiento negativo.</w:t>
      </w:r>
    </w:p>
    <w:p w:rsidR="003A41B8" w:rsidRDefault="003A41B8" w:rsidP="00FA4DA9">
      <w:pPr>
        <w:spacing w:line="240" w:lineRule="auto"/>
        <w:jc w:val="both"/>
        <w:rPr>
          <w:rFonts w:ascii="Times New Roman" w:hAnsi="Times New Roman" w:cs="Times New Roman"/>
          <w:sz w:val="24"/>
          <w:szCs w:val="24"/>
        </w:rPr>
      </w:pPr>
      <w:r w:rsidRPr="00A6473E">
        <w:rPr>
          <w:rFonts w:ascii="Times New Roman" w:hAnsi="Times New Roman" w:cs="Times New Roman"/>
          <w:sz w:val="24"/>
          <w:szCs w:val="24"/>
        </w:rPr>
        <w:t>Mientras, los inversores miran a los bancos centrales y a su margen para que, a través de bajadas de tipos, ayuden a las economías a soportar mejor el impacto del virus</w:t>
      </w:r>
      <w:r>
        <w:rPr>
          <w:rFonts w:ascii="Times New Roman" w:hAnsi="Times New Roman" w:cs="Times New Roman"/>
          <w:sz w:val="24"/>
          <w:szCs w:val="24"/>
        </w:rPr>
        <w:t>…</w:t>
      </w:r>
    </w:p>
    <w:p w:rsidR="003A41B8" w:rsidRDefault="003A41B8"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Lamentablemente los “países avanzados”</w:t>
      </w:r>
      <w:r w:rsidRPr="00060AEA">
        <w:rPr>
          <w:rFonts w:ascii="Times New Roman" w:hAnsi="Times New Roman" w:cs="Times New Roman"/>
          <w:sz w:val="24"/>
          <w:szCs w:val="24"/>
        </w:rPr>
        <w:t xml:space="preserve"> se ha</w:t>
      </w:r>
      <w:r>
        <w:rPr>
          <w:rFonts w:ascii="Times New Roman" w:hAnsi="Times New Roman" w:cs="Times New Roman"/>
          <w:sz w:val="24"/>
          <w:szCs w:val="24"/>
        </w:rPr>
        <w:t>n</w:t>
      </w:r>
      <w:r w:rsidRPr="00060AEA">
        <w:rPr>
          <w:rFonts w:ascii="Times New Roman" w:hAnsi="Times New Roman" w:cs="Times New Roman"/>
          <w:sz w:val="24"/>
          <w:szCs w:val="24"/>
        </w:rPr>
        <w:t xml:space="preserve"> acostumbrado a vivir por encima de sus posibilidades, a anteponer las rentas al trabajo y el consumo a la producción</w:t>
      </w:r>
      <w:r>
        <w:rPr>
          <w:rFonts w:ascii="Times New Roman" w:hAnsi="Times New Roman" w:cs="Times New Roman"/>
          <w:sz w:val="24"/>
          <w:szCs w:val="24"/>
        </w:rPr>
        <w:t xml:space="preserve">. </w:t>
      </w:r>
    </w:p>
    <w:p w:rsidR="003A41B8" w:rsidRDefault="003A41B8"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S</w:t>
      </w:r>
      <w:r w:rsidRPr="001E664F">
        <w:rPr>
          <w:rFonts w:ascii="Times New Roman" w:hAnsi="Times New Roman" w:cs="Times New Roman"/>
          <w:sz w:val="24"/>
          <w:szCs w:val="24"/>
        </w:rPr>
        <w:t>ociedad</w:t>
      </w:r>
      <w:r>
        <w:rPr>
          <w:rFonts w:ascii="Times New Roman" w:hAnsi="Times New Roman" w:cs="Times New Roman"/>
          <w:sz w:val="24"/>
          <w:szCs w:val="24"/>
        </w:rPr>
        <w:t>es “señoriales” donde se</w:t>
      </w:r>
      <w:r w:rsidRPr="001E664F">
        <w:rPr>
          <w:rFonts w:ascii="Times New Roman" w:hAnsi="Times New Roman" w:cs="Times New Roman"/>
          <w:sz w:val="24"/>
          <w:szCs w:val="24"/>
        </w:rPr>
        <w:t xml:space="preserve"> tiene mucho </w:t>
      </w:r>
      <w:r>
        <w:rPr>
          <w:rFonts w:ascii="Times New Roman" w:hAnsi="Times New Roman" w:cs="Times New Roman"/>
          <w:sz w:val="24"/>
          <w:szCs w:val="24"/>
        </w:rPr>
        <w:t>“</w:t>
      </w:r>
      <w:r w:rsidRPr="001E664F">
        <w:rPr>
          <w:rFonts w:ascii="Times New Roman" w:hAnsi="Times New Roman" w:cs="Times New Roman"/>
          <w:sz w:val="24"/>
          <w:szCs w:val="24"/>
        </w:rPr>
        <w:t>tiempo libre</w:t>
      </w:r>
      <w:r>
        <w:rPr>
          <w:rFonts w:ascii="Times New Roman" w:hAnsi="Times New Roman" w:cs="Times New Roman"/>
          <w:sz w:val="24"/>
          <w:szCs w:val="24"/>
        </w:rPr>
        <w:t>”</w:t>
      </w:r>
      <w:r w:rsidRPr="001E664F">
        <w:rPr>
          <w:rFonts w:ascii="Times New Roman" w:hAnsi="Times New Roman" w:cs="Times New Roman"/>
          <w:sz w:val="24"/>
          <w:szCs w:val="24"/>
        </w:rPr>
        <w:t xml:space="preserve"> y se concede</w:t>
      </w:r>
      <w:r>
        <w:rPr>
          <w:rFonts w:ascii="Times New Roman" w:hAnsi="Times New Roman" w:cs="Times New Roman"/>
          <w:sz w:val="24"/>
          <w:szCs w:val="24"/>
        </w:rPr>
        <w:t>n consumos “opulentos”</w:t>
      </w:r>
      <w:r w:rsidRPr="001E664F">
        <w:rPr>
          <w:rFonts w:ascii="Times New Roman" w:hAnsi="Times New Roman" w:cs="Times New Roman"/>
          <w:sz w:val="24"/>
          <w:szCs w:val="24"/>
        </w:rPr>
        <w:t>. Comida gourmet y cuidado corporal, vacaciones exóticas y gadget electrónicos: el boom es impar</w:t>
      </w:r>
      <w:r>
        <w:rPr>
          <w:rFonts w:ascii="Times New Roman" w:hAnsi="Times New Roman" w:cs="Times New Roman"/>
          <w:sz w:val="24"/>
          <w:szCs w:val="24"/>
        </w:rPr>
        <w:t>able. En algunos “países avanzados” (?)</w:t>
      </w:r>
      <w:r w:rsidRPr="001E664F">
        <w:rPr>
          <w:rFonts w:ascii="Times New Roman" w:hAnsi="Times New Roman" w:cs="Times New Roman"/>
          <w:sz w:val="24"/>
          <w:szCs w:val="24"/>
        </w:rPr>
        <w:t xml:space="preserve"> el gasto en juego de azar supera el presupuesto de salud.</w:t>
      </w:r>
      <w:r>
        <w:rPr>
          <w:rFonts w:ascii="Times New Roman" w:hAnsi="Times New Roman" w:cs="Times New Roman"/>
          <w:sz w:val="24"/>
          <w:szCs w:val="24"/>
        </w:rPr>
        <w:t xml:space="preserve"> </w:t>
      </w:r>
    </w:p>
    <w:p w:rsidR="003A41B8" w:rsidRDefault="003A41B8" w:rsidP="00FA4DA9">
      <w:pPr>
        <w:spacing w:line="240" w:lineRule="auto"/>
        <w:jc w:val="both"/>
        <w:rPr>
          <w:rFonts w:ascii="Times New Roman" w:hAnsi="Times New Roman" w:cs="Times New Roman"/>
          <w:sz w:val="24"/>
          <w:szCs w:val="24"/>
        </w:rPr>
      </w:pPr>
      <w:r w:rsidRPr="001E664F">
        <w:rPr>
          <w:rFonts w:ascii="Times New Roman" w:hAnsi="Times New Roman" w:cs="Times New Roman"/>
          <w:sz w:val="24"/>
          <w:szCs w:val="24"/>
        </w:rPr>
        <w:t>Sin emb</w:t>
      </w:r>
      <w:r>
        <w:rPr>
          <w:rFonts w:ascii="Times New Roman" w:hAnsi="Times New Roman" w:cs="Times New Roman"/>
          <w:sz w:val="24"/>
          <w:szCs w:val="24"/>
        </w:rPr>
        <w:t>argo, algo no está bien. ¿Son los “países avanzados”, realmente tan ricos</w:t>
      </w:r>
      <w:r w:rsidRPr="001E664F">
        <w:rPr>
          <w:rFonts w:ascii="Times New Roman" w:hAnsi="Times New Roman" w:cs="Times New Roman"/>
          <w:sz w:val="24"/>
          <w:szCs w:val="24"/>
        </w:rPr>
        <w:t>? ¿Puede</w:t>
      </w:r>
      <w:r>
        <w:rPr>
          <w:rFonts w:ascii="Times New Roman" w:hAnsi="Times New Roman" w:cs="Times New Roman"/>
          <w:sz w:val="24"/>
          <w:szCs w:val="24"/>
        </w:rPr>
        <w:t>n</w:t>
      </w:r>
      <w:r w:rsidRPr="001E664F">
        <w:rPr>
          <w:rFonts w:ascii="Times New Roman" w:hAnsi="Times New Roman" w:cs="Times New Roman"/>
          <w:sz w:val="24"/>
          <w:szCs w:val="24"/>
        </w:rPr>
        <w:t xml:space="preserve"> permitirse tantos lujos? Suena raro, porque</w:t>
      </w:r>
      <w:r>
        <w:rPr>
          <w:rFonts w:ascii="Times New Roman" w:hAnsi="Times New Roman" w:cs="Times New Roman"/>
          <w:sz w:val="24"/>
          <w:szCs w:val="24"/>
        </w:rPr>
        <w:t xml:space="preserve"> en muchos de ellos (UE, Japón…)</w:t>
      </w:r>
      <w:r w:rsidRPr="001E664F">
        <w:rPr>
          <w:rFonts w:ascii="Times New Roman" w:hAnsi="Times New Roman" w:cs="Times New Roman"/>
          <w:sz w:val="24"/>
          <w:szCs w:val="24"/>
        </w:rPr>
        <w:t xml:space="preserve"> la economía es</w:t>
      </w:r>
      <w:r>
        <w:rPr>
          <w:rFonts w:ascii="Times New Roman" w:hAnsi="Times New Roman" w:cs="Times New Roman"/>
          <w:sz w:val="24"/>
          <w:szCs w:val="24"/>
        </w:rPr>
        <w:t>tá</w:t>
      </w:r>
      <w:r w:rsidRPr="001E664F">
        <w:rPr>
          <w:rFonts w:ascii="Times New Roman" w:hAnsi="Times New Roman" w:cs="Times New Roman"/>
          <w:sz w:val="24"/>
          <w:szCs w:val="24"/>
        </w:rPr>
        <w:t xml:space="preserve"> estancada, no ha crecido en</w:t>
      </w:r>
      <w:r>
        <w:rPr>
          <w:rFonts w:ascii="Times New Roman" w:hAnsi="Times New Roman" w:cs="Times New Roman"/>
          <w:sz w:val="24"/>
          <w:szCs w:val="24"/>
        </w:rPr>
        <w:t xml:space="preserve"> los últimos</w:t>
      </w:r>
      <w:r w:rsidRPr="001E664F">
        <w:rPr>
          <w:rFonts w:ascii="Times New Roman" w:hAnsi="Times New Roman" w:cs="Times New Roman"/>
          <w:sz w:val="24"/>
          <w:szCs w:val="24"/>
        </w:rPr>
        <w:t xml:space="preserve"> diez años. Por el contrario: retrocede, se tambalea. De ahí la pregunta: ¿quién paga la factura? </w:t>
      </w:r>
    </w:p>
    <w:p w:rsidR="003A41B8" w:rsidRDefault="003A41B8" w:rsidP="00FA4DA9">
      <w:pPr>
        <w:spacing w:line="240" w:lineRule="auto"/>
        <w:jc w:val="both"/>
        <w:rPr>
          <w:rFonts w:ascii="Times New Roman" w:hAnsi="Times New Roman" w:cs="Times New Roman"/>
          <w:sz w:val="24"/>
          <w:szCs w:val="24"/>
        </w:rPr>
      </w:pPr>
      <w:r w:rsidRPr="001E664F">
        <w:rPr>
          <w:rFonts w:ascii="Times New Roman" w:hAnsi="Times New Roman" w:cs="Times New Roman"/>
          <w:sz w:val="24"/>
          <w:szCs w:val="24"/>
        </w:rPr>
        <w:t>Las respuest</w:t>
      </w:r>
      <w:r>
        <w:rPr>
          <w:rFonts w:ascii="Times New Roman" w:hAnsi="Times New Roman" w:cs="Times New Roman"/>
          <w:sz w:val="24"/>
          <w:szCs w:val="24"/>
        </w:rPr>
        <w:t>as, en mi (humilde) opinión</w:t>
      </w:r>
      <w:r w:rsidRPr="001E664F">
        <w:rPr>
          <w:rFonts w:ascii="Times New Roman" w:hAnsi="Times New Roman" w:cs="Times New Roman"/>
          <w:sz w:val="24"/>
          <w:szCs w:val="24"/>
        </w:rPr>
        <w:t>, no dejan salida. En primer lugar, tal opulencia no sería posible</w:t>
      </w:r>
      <w:r>
        <w:rPr>
          <w:rFonts w:ascii="Times New Roman" w:hAnsi="Times New Roman" w:cs="Times New Roman"/>
          <w:sz w:val="24"/>
          <w:szCs w:val="24"/>
        </w:rPr>
        <w:t xml:space="preserve"> sin una “exuberancia irracional” de los inversores especulativos (renta extractiva), y en segundo lugar</w:t>
      </w:r>
      <w:r w:rsidRPr="001E664F">
        <w:rPr>
          <w:rFonts w:ascii="Times New Roman" w:hAnsi="Times New Roman" w:cs="Times New Roman"/>
          <w:sz w:val="24"/>
          <w:szCs w:val="24"/>
        </w:rPr>
        <w:t xml:space="preserve"> sin una amplia red económica casi esclavista, en su mayoría poblada por </w:t>
      </w:r>
      <w:r>
        <w:rPr>
          <w:rFonts w:ascii="Times New Roman" w:hAnsi="Times New Roman" w:cs="Times New Roman"/>
          <w:sz w:val="24"/>
          <w:szCs w:val="24"/>
        </w:rPr>
        <w:t xml:space="preserve">trabajadores precarios, temporales o inmigrantes (de usar y tirar). El tercer pilar de las “sociedades señoriales”, está asentado el absoluto desdén, menosprecio, irresponsabilidad y expoliación, del medio ambiente.   </w:t>
      </w:r>
    </w:p>
    <w:p w:rsidR="003A41B8" w:rsidRDefault="003A41B8"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Por eso, tal vez, en mi (humilde) opinión, el Templo del Becerro de Oro se viene abajo ante cualquier recóndito “coronavirus” que viene a alterar la PAX de los mercados. </w:t>
      </w:r>
    </w:p>
    <w:p w:rsidR="003A41B8" w:rsidRDefault="003A41B8"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No hay que ser un Nobel de economía para resolver el “conundrum”</w:t>
      </w:r>
      <w:r w:rsidRPr="005A1672">
        <w:rPr>
          <w:rFonts w:ascii="Times New Roman" w:hAnsi="Times New Roman" w:cs="Times New Roman"/>
          <w:sz w:val="24"/>
          <w:szCs w:val="24"/>
        </w:rPr>
        <w:t>: hay sociedades basadas en el trabajo y la producción y hay sociedades basadas en la renta y el consumo, como hay casas construidas con criterios antisísmicos y casas que serán arrasadas por el primer terremoto.</w:t>
      </w:r>
      <w:r>
        <w:rPr>
          <w:rFonts w:ascii="Times New Roman" w:hAnsi="Times New Roman" w:cs="Times New Roman"/>
          <w:sz w:val="24"/>
          <w:szCs w:val="24"/>
        </w:rPr>
        <w:t xml:space="preserve"> </w:t>
      </w:r>
    </w:p>
    <w:p w:rsidR="00537F61" w:rsidRDefault="003A41B8" w:rsidP="00FA4DA9">
      <w:pPr>
        <w:pStyle w:val="NormalWeb"/>
        <w:shd w:val="clear" w:color="auto" w:fill="FFFFFF"/>
        <w:spacing w:after="150"/>
        <w:jc w:val="both"/>
        <w:rPr>
          <w:b/>
          <w:color w:val="FF0000"/>
        </w:rPr>
      </w:pPr>
      <w:r>
        <w:rPr>
          <w:noProof/>
        </w:rPr>
        <w:drawing>
          <wp:inline distT="0" distB="0" distL="0" distR="0" wp14:anchorId="24940D4F" wp14:editId="5ECF5CCD">
            <wp:extent cx="5731510" cy="3160395"/>
            <wp:effectExtent l="0" t="0" r="2540" b="1905"/>
            <wp:docPr id="264" name="Imagen 264" descr="https://e00-expansion.uecdn.es/assets/multimedia/imagenes/2020/03/01/158309991797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00-expansion.uecdn.es/assets/multimedia/imagenes/2020/03/01/15830999179774.gif"/>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31510" cy="3160395"/>
                    </a:xfrm>
                    <a:prstGeom prst="rect">
                      <a:avLst/>
                    </a:prstGeom>
                    <a:noFill/>
                    <a:ln>
                      <a:noFill/>
                    </a:ln>
                  </pic:spPr>
                </pic:pic>
              </a:graphicData>
            </a:graphic>
          </wp:inline>
        </w:drawing>
      </w:r>
    </w:p>
    <w:p w:rsidR="006A3B06" w:rsidRDefault="006A3B06" w:rsidP="00FA4DA9">
      <w:pPr>
        <w:pStyle w:val="NormalWeb"/>
        <w:shd w:val="clear" w:color="auto" w:fill="FFFFFF"/>
        <w:spacing w:after="150"/>
        <w:jc w:val="both"/>
        <w:rPr>
          <w:b/>
          <w:color w:val="FF0000"/>
        </w:rPr>
      </w:pPr>
    </w:p>
    <w:p w:rsidR="00537F61" w:rsidRDefault="003A41B8" w:rsidP="00FA4DA9">
      <w:pPr>
        <w:pStyle w:val="NormalWeb"/>
        <w:shd w:val="clear" w:color="auto" w:fill="FFFFFF"/>
        <w:spacing w:after="150"/>
        <w:jc w:val="both"/>
        <w:rPr>
          <w:b/>
          <w:color w:val="FF0000"/>
        </w:rPr>
      </w:pPr>
      <w:r w:rsidRPr="006B0138">
        <w:rPr>
          <w:noProof/>
        </w:rPr>
        <w:drawing>
          <wp:inline distT="0" distB="0" distL="0" distR="0" wp14:anchorId="5427FACA" wp14:editId="1CCCFAD1">
            <wp:extent cx="5721350" cy="2743200"/>
            <wp:effectExtent l="0" t="0" r="0" b="0"/>
            <wp:docPr id="253" name="Imagen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31510" cy="2748071"/>
                    </a:xfrm>
                    <a:prstGeom prst="rect">
                      <a:avLst/>
                    </a:prstGeom>
                  </pic:spPr>
                </pic:pic>
              </a:graphicData>
            </a:graphic>
          </wp:inline>
        </w:drawing>
      </w:r>
    </w:p>
    <w:p w:rsidR="003A41B8" w:rsidRPr="00675D3B" w:rsidRDefault="00675D3B"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3A41B8" w:rsidRPr="004B15A7">
        <w:rPr>
          <w:rFonts w:ascii="Times New Roman" w:hAnsi="Times New Roman" w:cs="Times New Roman"/>
          <w:sz w:val="24"/>
          <w:szCs w:val="24"/>
        </w:rPr>
        <w:t xml:space="preserve">Fuente: WSJ - </w:t>
      </w:r>
      <w:r w:rsidR="003A41B8" w:rsidRPr="004B15A7">
        <w:rPr>
          <w:rFonts w:ascii="Times New Roman" w:hAnsi="Times New Roman" w:cs="Times New Roman"/>
          <w:b/>
          <w:sz w:val="24"/>
          <w:szCs w:val="24"/>
        </w:rPr>
        <w:t>10/3/20</w:t>
      </w:r>
      <w:r>
        <w:rPr>
          <w:rFonts w:ascii="Times New Roman" w:hAnsi="Times New Roman" w:cs="Times New Roman"/>
          <w:sz w:val="24"/>
          <w:szCs w:val="24"/>
        </w:rPr>
        <w:t>)</w:t>
      </w:r>
    </w:p>
    <w:p w:rsidR="003A41B8" w:rsidRDefault="003A41B8" w:rsidP="00FA4DA9">
      <w:pPr>
        <w:pStyle w:val="NormalWeb"/>
        <w:shd w:val="clear" w:color="auto" w:fill="FFFFFF"/>
        <w:spacing w:after="150"/>
        <w:jc w:val="both"/>
        <w:rPr>
          <w:b/>
          <w:color w:val="FF0000"/>
        </w:rPr>
      </w:pPr>
      <w:r w:rsidRPr="006C62D1">
        <w:rPr>
          <w:noProof/>
          <w:color w:val="FF0000"/>
          <w:u w:val="single"/>
        </w:rPr>
        <w:lastRenderedPageBreak/>
        <w:drawing>
          <wp:inline distT="0" distB="0" distL="0" distR="0" wp14:anchorId="7EBED8D2" wp14:editId="7A90F9A1">
            <wp:extent cx="5731510" cy="2247900"/>
            <wp:effectExtent l="0" t="0" r="2540" b="0"/>
            <wp:docPr id="254" name="Imagen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31510" cy="2247900"/>
                    </a:xfrm>
                    <a:prstGeom prst="rect">
                      <a:avLst/>
                    </a:prstGeom>
                  </pic:spPr>
                </pic:pic>
              </a:graphicData>
            </a:graphic>
          </wp:inline>
        </w:drawing>
      </w:r>
    </w:p>
    <w:p w:rsidR="003A41B8" w:rsidRDefault="00C13918" w:rsidP="00FA4DA9">
      <w:pPr>
        <w:pStyle w:val="NormalWeb"/>
        <w:shd w:val="clear" w:color="auto" w:fill="FFFFFF"/>
        <w:spacing w:after="150"/>
        <w:jc w:val="both"/>
        <w:rPr>
          <w:b/>
          <w:color w:val="FF0000"/>
        </w:rPr>
      </w:pPr>
      <w:r>
        <w:rPr>
          <w:noProof/>
        </w:rPr>
        <w:drawing>
          <wp:inline distT="0" distB="0" distL="0" distR="0" wp14:anchorId="26C593BF" wp14:editId="04C1BC6A">
            <wp:extent cx="5727700" cy="2819400"/>
            <wp:effectExtent l="0" t="0" r="6350" b="0"/>
            <wp:docPr id="255" name="Imagen 255" descr="Wall Street coronavir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all Street coronavirus"/>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31510" cy="2821275"/>
                    </a:xfrm>
                    <a:prstGeom prst="rect">
                      <a:avLst/>
                    </a:prstGeom>
                    <a:noFill/>
                    <a:ln>
                      <a:noFill/>
                    </a:ln>
                  </pic:spPr>
                </pic:pic>
              </a:graphicData>
            </a:graphic>
          </wp:inline>
        </w:drawing>
      </w:r>
    </w:p>
    <w:p w:rsidR="00C13918" w:rsidRDefault="00C13918" w:rsidP="00FA4DA9">
      <w:pPr>
        <w:pStyle w:val="NormalWeb"/>
        <w:shd w:val="clear" w:color="auto" w:fill="FFFFFF"/>
        <w:spacing w:after="150"/>
        <w:jc w:val="both"/>
        <w:rPr>
          <w:b/>
          <w:color w:val="FF0000"/>
        </w:rPr>
      </w:pPr>
      <w:r w:rsidRPr="00671378">
        <w:rPr>
          <w:noProof/>
        </w:rPr>
        <w:drawing>
          <wp:inline distT="0" distB="0" distL="0" distR="0" wp14:anchorId="1765E090" wp14:editId="3A64B4AD">
            <wp:extent cx="5731510" cy="2917190"/>
            <wp:effectExtent l="0" t="0" r="2540" b="0"/>
            <wp:docPr id="256" name="Imagen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31510" cy="2917190"/>
                    </a:xfrm>
                    <a:prstGeom prst="rect">
                      <a:avLst/>
                    </a:prstGeom>
                  </pic:spPr>
                </pic:pic>
              </a:graphicData>
            </a:graphic>
          </wp:inline>
        </w:drawing>
      </w:r>
    </w:p>
    <w:p w:rsidR="00C13918" w:rsidRPr="00675D3B" w:rsidRDefault="00675D3B"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w:t>
      </w:r>
      <w:r w:rsidR="00C13918">
        <w:rPr>
          <w:rFonts w:ascii="Times New Roman" w:hAnsi="Times New Roman" w:cs="Times New Roman"/>
          <w:sz w:val="24"/>
          <w:szCs w:val="24"/>
        </w:rPr>
        <w:t xml:space="preserve">El Economista - </w:t>
      </w:r>
      <w:r w:rsidR="00C13918">
        <w:rPr>
          <w:rFonts w:ascii="Times New Roman" w:hAnsi="Times New Roman" w:cs="Times New Roman"/>
          <w:b/>
          <w:sz w:val="24"/>
          <w:szCs w:val="24"/>
        </w:rPr>
        <w:t>20</w:t>
      </w:r>
      <w:r w:rsidR="00C13918" w:rsidRPr="00671378">
        <w:rPr>
          <w:rFonts w:ascii="Times New Roman" w:hAnsi="Times New Roman" w:cs="Times New Roman"/>
          <w:b/>
          <w:sz w:val="24"/>
          <w:szCs w:val="24"/>
        </w:rPr>
        <w:t>/3/20</w:t>
      </w:r>
      <w:r>
        <w:rPr>
          <w:rFonts w:ascii="Times New Roman" w:hAnsi="Times New Roman" w:cs="Times New Roman"/>
          <w:sz w:val="24"/>
          <w:szCs w:val="24"/>
        </w:rPr>
        <w:t>)</w:t>
      </w:r>
    </w:p>
    <w:p w:rsidR="00C13918" w:rsidRDefault="00C13918"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061EA1">
        <w:rPr>
          <w:rFonts w:ascii="Times New Roman" w:hAnsi="Times New Roman" w:cs="Times New Roman"/>
          <w:sz w:val="24"/>
          <w:szCs w:val="24"/>
          <w:u w:val="single"/>
        </w:rPr>
        <w:t>Cuánto durará el desplome bursátil y cómo se recuperará</w:t>
      </w:r>
      <w:r>
        <w:rPr>
          <w:rFonts w:ascii="Times New Roman" w:hAnsi="Times New Roman" w:cs="Times New Roman"/>
          <w:sz w:val="24"/>
          <w:szCs w:val="24"/>
        </w:rPr>
        <w:t xml:space="preserve"> (Expansión - FT - </w:t>
      </w:r>
      <w:r w:rsidRPr="00061EA1">
        <w:rPr>
          <w:rFonts w:ascii="Times New Roman" w:hAnsi="Times New Roman" w:cs="Times New Roman"/>
          <w:b/>
          <w:sz w:val="24"/>
          <w:szCs w:val="24"/>
        </w:rPr>
        <w:t>28/3/20</w:t>
      </w:r>
      <w:r>
        <w:rPr>
          <w:rFonts w:ascii="Times New Roman" w:hAnsi="Times New Roman" w:cs="Times New Roman"/>
          <w:sz w:val="24"/>
          <w:szCs w:val="24"/>
        </w:rPr>
        <w:t>)</w:t>
      </w:r>
    </w:p>
    <w:p w:rsidR="00C13918" w:rsidRDefault="00C13918" w:rsidP="00FA4DA9">
      <w:pPr>
        <w:spacing w:line="240" w:lineRule="auto"/>
        <w:jc w:val="both"/>
        <w:rPr>
          <w:rFonts w:ascii="Times New Roman" w:hAnsi="Times New Roman" w:cs="Times New Roman"/>
          <w:sz w:val="24"/>
          <w:szCs w:val="24"/>
        </w:rPr>
      </w:pPr>
      <w:r>
        <w:rPr>
          <w:noProof/>
          <w:lang w:eastAsia="es-ES"/>
        </w:rPr>
        <w:drawing>
          <wp:inline distT="0" distB="0" distL="0" distR="0" wp14:anchorId="44742BD0" wp14:editId="37C191AC">
            <wp:extent cx="5734049" cy="2711450"/>
            <wp:effectExtent l="0" t="0" r="635" b="0"/>
            <wp:docPr id="259" name="Imagen 259" descr="https://e00-expansion.uecdn.es/assets/multimedia/imagenes/2020/03/27/158534363542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00-expansion.uecdn.es/assets/multimedia/imagenes/2020/03/27/15853436354238.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31510" cy="2710249"/>
                    </a:xfrm>
                    <a:prstGeom prst="rect">
                      <a:avLst/>
                    </a:prstGeom>
                    <a:noFill/>
                    <a:ln>
                      <a:noFill/>
                    </a:ln>
                  </pic:spPr>
                </pic:pic>
              </a:graphicData>
            </a:graphic>
          </wp:inline>
        </w:drawing>
      </w:r>
    </w:p>
    <w:p w:rsidR="00C13918" w:rsidRPr="00EA5174" w:rsidRDefault="00C13918" w:rsidP="00FA4DA9">
      <w:pPr>
        <w:spacing w:line="240" w:lineRule="auto"/>
        <w:jc w:val="both"/>
        <w:rPr>
          <w:rFonts w:ascii="Times New Roman" w:hAnsi="Times New Roman" w:cs="Times New Roman"/>
          <w:color w:val="FF0000"/>
          <w:sz w:val="24"/>
          <w:szCs w:val="24"/>
          <w:u w:val="single"/>
        </w:rPr>
      </w:pPr>
      <w:r w:rsidRPr="00EA5174">
        <w:rPr>
          <w:rFonts w:ascii="Times New Roman" w:hAnsi="Times New Roman" w:cs="Times New Roman"/>
          <w:color w:val="FF0000"/>
          <w:sz w:val="24"/>
          <w:szCs w:val="24"/>
          <w:u w:val="single"/>
        </w:rPr>
        <w:t>Las estadísticas desde el año 1800 indican que la bolsa de EEUU se ha desplomado en las crisis, de media, un 38% y que han necesitado 60 meses para recuperarse.</w:t>
      </w:r>
    </w:p>
    <w:p w:rsidR="00C13918" w:rsidRPr="00EA5174" w:rsidRDefault="00C13918" w:rsidP="00FA4DA9">
      <w:pPr>
        <w:spacing w:line="240" w:lineRule="auto"/>
        <w:jc w:val="both"/>
        <w:rPr>
          <w:rFonts w:ascii="Times New Roman" w:hAnsi="Times New Roman" w:cs="Times New Roman"/>
          <w:sz w:val="24"/>
          <w:szCs w:val="24"/>
          <w:u w:val="single"/>
        </w:rPr>
      </w:pPr>
      <w:r w:rsidRPr="00EA5174">
        <w:rPr>
          <w:rFonts w:ascii="Times New Roman" w:hAnsi="Times New Roman" w:cs="Times New Roman"/>
          <w:sz w:val="24"/>
          <w:szCs w:val="24"/>
          <w:u w:val="single"/>
        </w:rPr>
        <w:t>La larga racha alcista de las bolsas estadounidenses ha acabado de forma cruenta. Pero la duración de este mercado bajista dependerá principalmente del tipo de convulsión que termine suponiendo para la economía el coronavirus -y de las otras vulnerabilidades que haga emerger o agrave-.</w:t>
      </w:r>
    </w:p>
    <w:p w:rsidR="00C13918" w:rsidRPr="00EA5174" w:rsidRDefault="00C13918" w:rsidP="00FA4DA9">
      <w:pPr>
        <w:spacing w:line="240" w:lineRule="auto"/>
        <w:jc w:val="both"/>
        <w:rPr>
          <w:rFonts w:ascii="Times New Roman" w:hAnsi="Times New Roman" w:cs="Times New Roman"/>
          <w:color w:val="FF0000"/>
          <w:sz w:val="24"/>
          <w:szCs w:val="24"/>
          <w:u w:val="single"/>
        </w:rPr>
      </w:pPr>
      <w:r w:rsidRPr="00EA5174">
        <w:rPr>
          <w:rFonts w:ascii="Times New Roman" w:hAnsi="Times New Roman" w:cs="Times New Roman"/>
          <w:color w:val="FF0000"/>
          <w:sz w:val="24"/>
          <w:szCs w:val="24"/>
          <w:u w:val="single"/>
        </w:rPr>
        <w:t>El S&amp;P 500 está un 24% por debajo de su máximo, lo que lleva a los analistas y a los inversores a preguntarse si esto representa una oportunidad para volver a la Bolsa, o si las caídas se prolongarán.</w:t>
      </w:r>
    </w:p>
    <w:p w:rsidR="00C13918" w:rsidRPr="00061EA1" w:rsidRDefault="00C13918" w:rsidP="00FA4DA9">
      <w:pPr>
        <w:spacing w:line="240" w:lineRule="auto"/>
        <w:jc w:val="both"/>
        <w:rPr>
          <w:rFonts w:ascii="Times New Roman" w:hAnsi="Times New Roman" w:cs="Times New Roman"/>
          <w:sz w:val="24"/>
          <w:szCs w:val="24"/>
        </w:rPr>
      </w:pPr>
      <w:r w:rsidRPr="00061EA1">
        <w:rPr>
          <w:rFonts w:ascii="Times New Roman" w:hAnsi="Times New Roman" w:cs="Times New Roman"/>
          <w:sz w:val="24"/>
          <w:szCs w:val="24"/>
        </w:rPr>
        <w:t>El responsable de estrategia global de Goldman Sachs, Peter Oppenheimer, ha contabilizado 27 mercados bajistas desde la primera década del siglo XIX. Oppenheimer halló que el descenso medio es del 38%, y que las acci</w:t>
      </w:r>
      <w:r>
        <w:rPr>
          <w:rFonts w:ascii="Times New Roman" w:hAnsi="Times New Roman" w:cs="Times New Roman"/>
          <w:sz w:val="24"/>
          <w:szCs w:val="24"/>
        </w:rPr>
        <w:t>ones estadounidenses han necesit</w:t>
      </w:r>
      <w:r w:rsidRPr="00061EA1">
        <w:rPr>
          <w:rFonts w:ascii="Times New Roman" w:hAnsi="Times New Roman" w:cs="Times New Roman"/>
          <w:sz w:val="24"/>
          <w:szCs w:val="24"/>
        </w:rPr>
        <w:t>ado de media 60 meses para volver a su máximo previo. Sin embargo, el grado de dispersión entre los distintos tipos de me</w:t>
      </w:r>
      <w:r>
        <w:rPr>
          <w:rFonts w:ascii="Times New Roman" w:hAnsi="Times New Roman" w:cs="Times New Roman"/>
          <w:sz w:val="24"/>
          <w:szCs w:val="24"/>
        </w:rPr>
        <w:t>rcado bajista es significativo.</w:t>
      </w:r>
    </w:p>
    <w:p w:rsidR="00C13918" w:rsidRPr="00EA5174" w:rsidRDefault="00C13918" w:rsidP="00FA4DA9">
      <w:pPr>
        <w:spacing w:line="240" w:lineRule="auto"/>
        <w:jc w:val="both"/>
        <w:rPr>
          <w:rFonts w:ascii="Times New Roman" w:hAnsi="Times New Roman" w:cs="Times New Roman"/>
          <w:color w:val="FF0000"/>
          <w:sz w:val="24"/>
          <w:szCs w:val="24"/>
        </w:rPr>
      </w:pPr>
      <w:r w:rsidRPr="00EA5174">
        <w:rPr>
          <w:rFonts w:ascii="Times New Roman" w:hAnsi="Times New Roman" w:cs="Times New Roman"/>
          <w:color w:val="FF0000"/>
          <w:sz w:val="24"/>
          <w:szCs w:val="24"/>
        </w:rPr>
        <w:t>1. Los merc</w:t>
      </w:r>
      <w:r w:rsidR="00132FFB">
        <w:rPr>
          <w:rFonts w:ascii="Times New Roman" w:hAnsi="Times New Roman" w:cs="Times New Roman"/>
          <w:color w:val="FF0000"/>
          <w:sz w:val="24"/>
          <w:szCs w:val="24"/>
        </w:rPr>
        <w:t>ados bajistas “estructurales”</w:t>
      </w:r>
      <w:r w:rsidRPr="00EA5174">
        <w:rPr>
          <w:rFonts w:ascii="Times New Roman" w:hAnsi="Times New Roman" w:cs="Times New Roman"/>
          <w:color w:val="FF0000"/>
          <w:sz w:val="24"/>
          <w:szCs w:val="24"/>
        </w:rPr>
        <w:t>, que están provocados por desequilibrios económicos profundamente arraigados y por el estallido de burbujas financieras, se han traducido de media en un hundimiento del 57%, y han tardado 111 meses en recuperar su último pico.</w:t>
      </w:r>
    </w:p>
    <w:p w:rsidR="00C13918" w:rsidRPr="00EA5174" w:rsidRDefault="00132FFB" w:rsidP="00FA4DA9">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2. Los mercados bajistas “cíclicos”</w:t>
      </w:r>
      <w:r w:rsidR="00C13918" w:rsidRPr="00EA5174">
        <w:rPr>
          <w:rFonts w:ascii="Times New Roman" w:hAnsi="Times New Roman" w:cs="Times New Roman"/>
          <w:color w:val="FF0000"/>
          <w:sz w:val="24"/>
          <w:szCs w:val="24"/>
        </w:rPr>
        <w:t>, más comunes y corrientes, donde la subida de los tipos de interés asfixia la actividad económica y reduce los beneficios corporativos, han derivado habitualmente en una caída de la Bolsa estadounidense del 31%, y la recuperación ha necesitado por término medio 50 meses.</w:t>
      </w:r>
    </w:p>
    <w:p w:rsidR="00C13918" w:rsidRPr="00EA5174" w:rsidRDefault="00C13918" w:rsidP="00FA4DA9">
      <w:pPr>
        <w:spacing w:line="240" w:lineRule="auto"/>
        <w:jc w:val="both"/>
        <w:rPr>
          <w:rFonts w:ascii="Times New Roman" w:hAnsi="Times New Roman" w:cs="Times New Roman"/>
          <w:color w:val="FF0000"/>
          <w:sz w:val="24"/>
          <w:szCs w:val="24"/>
        </w:rPr>
      </w:pPr>
      <w:r w:rsidRPr="00EA5174">
        <w:rPr>
          <w:rFonts w:ascii="Times New Roman" w:hAnsi="Times New Roman" w:cs="Times New Roman"/>
          <w:color w:val="FF0000"/>
          <w:sz w:val="24"/>
          <w:szCs w:val="24"/>
        </w:rPr>
        <w:t>3. Por otra par</w:t>
      </w:r>
      <w:r w:rsidR="00132FFB">
        <w:rPr>
          <w:rFonts w:ascii="Times New Roman" w:hAnsi="Times New Roman" w:cs="Times New Roman"/>
          <w:color w:val="FF0000"/>
          <w:sz w:val="24"/>
          <w:szCs w:val="24"/>
        </w:rPr>
        <w:t>te están los mercados bajistas “</w:t>
      </w:r>
      <w:r w:rsidRPr="00EA5174">
        <w:rPr>
          <w:rFonts w:ascii="Times New Roman" w:hAnsi="Times New Roman" w:cs="Times New Roman"/>
          <w:color w:val="FF0000"/>
          <w:sz w:val="24"/>
          <w:szCs w:val="24"/>
        </w:rPr>
        <w:t>provo</w:t>
      </w:r>
      <w:r w:rsidR="00132FFB">
        <w:rPr>
          <w:rFonts w:ascii="Times New Roman" w:hAnsi="Times New Roman" w:cs="Times New Roman"/>
          <w:color w:val="FF0000"/>
          <w:sz w:val="24"/>
          <w:szCs w:val="24"/>
        </w:rPr>
        <w:t>cados por un suceso (temáticos)”</w:t>
      </w:r>
      <w:r w:rsidRPr="00EA5174">
        <w:rPr>
          <w:rFonts w:ascii="Times New Roman" w:hAnsi="Times New Roman" w:cs="Times New Roman"/>
          <w:color w:val="FF0000"/>
          <w:sz w:val="24"/>
          <w:szCs w:val="24"/>
        </w:rPr>
        <w:t>. Son los ocasionados por alguna conmoción extraordinaria como una guerra, el repunte del precio del petróleo, una crisis de los mercados emergentes o un episodio financiero dramático breve como el desplome del Lunes Negro. Ésta es la categoría a la que mejor parece ajustarse el escenario del coronavirus, según Oppenheimer. Este tipo de mercados bajistas ocasiona por término medio una caída más modesta del 29%, y sólo dura 15 meses.</w:t>
      </w:r>
    </w:p>
    <w:p w:rsidR="00C13918" w:rsidRPr="00EA5174" w:rsidRDefault="00C13918" w:rsidP="00FA4DA9">
      <w:pPr>
        <w:spacing w:line="240" w:lineRule="auto"/>
        <w:jc w:val="both"/>
        <w:rPr>
          <w:rFonts w:ascii="Times New Roman" w:hAnsi="Times New Roman" w:cs="Times New Roman"/>
          <w:b/>
          <w:color w:val="FF0000"/>
          <w:sz w:val="24"/>
          <w:szCs w:val="24"/>
          <w:u w:val="single"/>
        </w:rPr>
      </w:pPr>
      <w:r w:rsidRPr="00EA5174">
        <w:rPr>
          <w:rFonts w:ascii="Times New Roman" w:hAnsi="Times New Roman" w:cs="Times New Roman"/>
          <w:b/>
          <w:color w:val="FF0000"/>
          <w:sz w:val="24"/>
          <w:szCs w:val="24"/>
          <w:u w:val="single"/>
        </w:rPr>
        <w:lastRenderedPageBreak/>
        <w:t>Sin embargo, Oppenheimer acentúa que existen razones para pensar que el actual mercado bajista puede resultar más doloroso que otros episodios causados por acontecimientos.</w:t>
      </w:r>
    </w:p>
    <w:p w:rsidR="00C13918" w:rsidRPr="00061EA1" w:rsidRDefault="00C13918" w:rsidP="00FA4DA9">
      <w:pPr>
        <w:spacing w:line="240" w:lineRule="auto"/>
        <w:jc w:val="both"/>
        <w:rPr>
          <w:rFonts w:ascii="Times New Roman" w:hAnsi="Times New Roman" w:cs="Times New Roman"/>
          <w:sz w:val="24"/>
          <w:szCs w:val="24"/>
        </w:rPr>
      </w:pPr>
      <w:r w:rsidRPr="00061EA1">
        <w:rPr>
          <w:rFonts w:ascii="Times New Roman" w:hAnsi="Times New Roman" w:cs="Times New Roman"/>
          <w:sz w:val="24"/>
          <w:szCs w:val="24"/>
        </w:rPr>
        <w:t>Una pandemia global supone un nuevo peligro sin precedentes modernos, y los tipos de interés están ya extremadamente bajos en la mayoría de la economía global, lo que implica que los bancos centrales disponen de menos pólvora para mitigar el impacto, según advir</w:t>
      </w:r>
      <w:r>
        <w:rPr>
          <w:rFonts w:ascii="Times New Roman" w:hAnsi="Times New Roman" w:cs="Times New Roman"/>
          <w:sz w:val="24"/>
          <w:szCs w:val="24"/>
        </w:rPr>
        <w:t>tió el ejecutivo.</w:t>
      </w:r>
    </w:p>
    <w:p w:rsidR="00C13918" w:rsidRPr="00061EA1" w:rsidRDefault="00C13918" w:rsidP="00FA4DA9">
      <w:pPr>
        <w:spacing w:line="240" w:lineRule="auto"/>
        <w:jc w:val="both"/>
        <w:rPr>
          <w:rFonts w:ascii="Times New Roman" w:hAnsi="Times New Roman" w:cs="Times New Roman"/>
          <w:sz w:val="24"/>
          <w:szCs w:val="24"/>
        </w:rPr>
      </w:pPr>
      <w:r w:rsidRPr="00061EA1">
        <w:rPr>
          <w:rFonts w:ascii="Times New Roman" w:hAnsi="Times New Roman" w:cs="Times New Roman"/>
          <w:sz w:val="24"/>
          <w:szCs w:val="24"/>
        </w:rPr>
        <w:t>Por lo tanto, este mercado bajista podría mutar en algo mucho más pernicioso y duradero.</w:t>
      </w:r>
    </w:p>
    <w:p w:rsidR="00C13918" w:rsidRDefault="00C13918" w:rsidP="00FA4DA9">
      <w:pPr>
        <w:spacing w:line="240" w:lineRule="auto"/>
        <w:jc w:val="both"/>
        <w:rPr>
          <w:rFonts w:ascii="Times New Roman" w:hAnsi="Times New Roman" w:cs="Times New Roman"/>
          <w:b/>
          <w:sz w:val="24"/>
          <w:szCs w:val="24"/>
        </w:rPr>
      </w:pPr>
      <w:r w:rsidRPr="00102303">
        <w:rPr>
          <w:rFonts w:ascii="Times New Roman" w:hAnsi="Times New Roman" w:cs="Times New Roman"/>
          <w:sz w:val="24"/>
          <w:szCs w:val="24"/>
          <w:u w:val="single"/>
        </w:rPr>
        <w:t>EE UU y Europa movilizan 6 billones de euros para combatir el impacto económico del virus</w:t>
      </w:r>
      <w:r>
        <w:rPr>
          <w:rFonts w:ascii="Times New Roman" w:hAnsi="Times New Roman" w:cs="Times New Roman"/>
          <w:sz w:val="24"/>
          <w:szCs w:val="24"/>
          <w:u w:val="single"/>
        </w:rPr>
        <w:t xml:space="preserve"> </w:t>
      </w:r>
      <w:r w:rsidRPr="00102303">
        <w:rPr>
          <w:rFonts w:ascii="Times New Roman" w:hAnsi="Times New Roman" w:cs="Times New Roman"/>
          <w:b/>
          <w:sz w:val="24"/>
          <w:szCs w:val="24"/>
        </w:rPr>
        <w:t>(26/3/20)</w:t>
      </w:r>
    </w:p>
    <w:p w:rsidR="00C13918" w:rsidRPr="00132FFB" w:rsidRDefault="00C13918" w:rsidP="00FA4DA9">
      <w:pPr>
        <w:spacing w:line="240" w:lineRule="auto"/>
        <w:jc w:val="both"/>
        <w:rPr>
          <w:rFonts w:ascii="Times New Roman" w:hAnsi="Times New Roman" w:cs="Times New Roman"/>
          <w:color w:val="FF0000"/>
          <w:sz w:val="24"/>
          <w:szCs w:val="24"/>
          <w:u w:val="single"/>
        </w:rPr>
      </w:pPr>
      <w:r w:rsidRPr="00675D3B">
        <w:rPr>
          <w:rFonts w:ascii="Times New Roman" w:hAnsi="Times New Roman" w:cs="Times New Roman"/>
          <w:b/>
          <w:color w:val="FF0000"/>
          <w:sz w:val="24"/>
          <w:szCs w:val="24"/>
          <w:u w:val="single"/>
        </w:rPr>
        <w:t>Gobiernos y bancos centrales de las grandes economías del mundo han declarado la guerra al impacto económico del coronavirus Covid-19. En la respuesta más rápida y contundente que se haya visto nunca ante una crisis económica, han movilizado en poco más de dos semanas alrededor de 6 billones de euros.</w:t>
      </w:r>
      <w:r w:rsidRPr="00132FFB">
        <w:rPr>
          <w:rFonts w:ascii="Times New Roman" w:hAnsi="Times New Roman" w:cs="Times New Roman"/>
          <w:color w:val="FF0000"/>
          <w:sz w:val="24"/>
          <w:szCs w:val="24"/>
          <w:u w:val="single"/>
        </w:rPr>
        <w:t xml:space="preserve"> Es la factura sin precedentes que resulta de los planes de estímulo fiscal anunciados -que incluyen el gasto en sanidad, ayudas sociales directas y multimillonarios programas de avales con los que responder ante la banca por las empresas y autónomos en situación más vulnerable- , más las rotundas compras de deuda con las que los principales bancos centrales del mundo pretenden asegurar la estabilidad del sistema financiero y que su financiación llegue de forma efectiva a quien lo necesita.</w:t>
      </w:r>
    </w:p>
    <w:p w:rsidR="00C13918" w:rsidRDefault="00C13918" w:rsidP="00FA4DA9">
      <w:pPr>
        <w:spacing w:line="240" w:lineRule="auto"/>
        <w:jc w:val="both"/>
        <w:rPr>
          <w:rFonts w:ascii="Times New Roman" w:hAnsi="Times New Roman" w:cs="Times New Roman"/>
          <w:sz w:val="24"/>
          <w:szCs w:val="24"/>
        </w:rPr>
      </w:pPr>
      <w:r w:rsidRPr="00675D3B">
        <w:rPr>
          <w:rFonts w:ascii="Times New Roman" w:hAnsi="Times New Roman" w:cs="Times New Roman"/>
          <w:color w:val="FF0000"/>
          <w:sz w:val="24"/>
          <w:szCs w:val="24"/>
          <w:u w:val="single"/>
        </w:rPr>
        <w:t>La propagación del Covid-19 ha dinamitado todas las previsiones que se manejaban para este año y ha devuelto a la economía mundial a un contexto similar al de 2008, cuando el estallido de Lehman Brothers provocó la mayor crisis que se recordaba desde la Gran Depresión</w:t>
      </w:r>
      <w:r w:rsidRPr="00102303">
        <w:rPr>
          <w:rFonts w:ascii="Times New Roman" w:hAnsi="Times New Roman" w:cs="Times New Roman"/>
          <w:sz w:val="24"/>
          <w:szCs w:val="24"/>
        </w:rPr>
        <w:t>. Ante el riesgo de caer en un pozo semejante, la respuesta está siendo enérgica, aunque no todo lo coordinada que reclaman instituciones como el BCE y gobiernos como el de España, ya por delante de China en número de víctimas por la pandemia.</w:t>
      </w:r>
    </w:p>
    <w:p w:rsidR="00C13918" w:rsidRDefault="00C13918" w:rsidP="00FA4DA9">
      <w:pPr>
        <w:spacing w:line="240" w:lineRule="auto"/>
        <w:jc w:val="both"/>
        <w:rPr>
          <w:rFonts w:ascii="Times New Roman" w:hAnsi="Times New Roman" w:cs="Times New Roman"/>
          <w:sz w:val="24"/>
          <w:szCs w:val="24"/>
        </w:rPr>
      </w:pPr>
      <w:r w:rsidRPr="00102303">
        <w:rPr>
          <w:rFonts w:ascii="Times New Roman" w:hAnsi="Times New Roman" w:cs="Times New Roman"/>
          <w:sz w:val="24"/>
          <w:szCs w:val="24"/>
        </w:rPr>
        <w:t>La rápida extensión de la pandemia ha impuesto la parálisis de la actividad. Así, la cadena de producción de una economía altamente globalizada ha quedado rota, pero el virus no está golpeando a todos los países a la vez, con lo que la restauración completa de esa cadena va a ser lenta. “Las medidas adoptadas por los gobiernos para contener el brote del coronavirus han hundido las economías desarrolladas en una recesión a la velocidad de la luz, tal y como un ataque al corazón”, explica gráficamente Yves Bonzon, directo</w:t>
      </w:r>
      <w:r>
        <w:rPr>
          <w:rFonts w:ascii="Times New Roman" w:hAnsi="Times New Roman" w:cs="Times New Roman"/>
          <w:sz w:val="24"/>
          <w:szCs w:val="24"/>
        </w:rPr>
        <w:t>r de inversiones de Julius Baer (Cinco Días - 26/3/20)</w:t>
      </w:r>
      <w:r w:rsidRPr="00102303">
        <w:rPr>
          <w:rFonts w:ascii="Times New Roman" w:hAnsi="Times New Roman" w:cs="Times New Roman"/>
          <w:sz w:val="24"/>
          <w:szCs w:val="24"/>
        </w:rPr>
        <w:t xml:space="preserve"> Y la contundencia en la respuesta de gobiernos y bancos centrales ante el coronavirus supera con creces la mostrada en ocasiones anteriores.</w:t>
      </w:r>
    </w:p>
    <w:p w:rsidR="00C13918" w:rsidRPr="00675D3B" w:rsidRDefault="00C13918" w:rsidP="00FA4DA9">
      <w:pPr>
        <w:spacing w:line="240" w:lineRule="auto"/>
        <w:jc w:val="both"/>
        <w:rPr>
          <w:rFonts w:ascii="Times New Roman" w:hAnsi="Times New Roman" w:cs="Times New Roman"/>
          <w:color w:val="FF0000"/>
          <w:sz w:val="24"/>
          <w:szCs w:val="24"/>
          <w:u w:val="single"/>
        </w:rPr>
      </w:pPr>
      <w:r w:rsidRPr="00675D3B">
        <w:rPr>
          <w:rFonts w:ascii="Times New Roman" w:hAnsi="Times New Roman" w:cs="Times New Roman"/>
          <w:color w:val="FF0000"/>
          <w:sz w:val="24"/>
          <w:szCs w:val="24"/>
          <w:u w:val="single"/>
        </w:rPr>
        <w:t>Nunca antes la Fed anunció un programa de compras ilimitadas de deuda como ahora y nunca antes, ni aun con Lehman incendiando al conjunto de la banca del país, Estados Unidos había lanzado un plan de estímulos de la magnitud del pactado ayer. Los dos billones de dólares de rescate económico a familias y empresas pactado por la Casa Blanca y el Senado quedan lejos de los 700.000 millones de dólares del primer p</w:t>
      </w:r>
      <w:r w:rsidR="00675D3B" w:rsidRPr="00675D3B">
        <w:rPr>
          <w:rFonts w:ascii="Times New Roman" w:hAnsi="Times New Roman" w:cs="Times New Roman"/>
          <w:color w:val="FF0000"/>
          <w:sz w:val="24"/>
          <w:szCs w:val="24"/>
          <w:u w:val="single"/>
        </w:rPr>
        <w:t>rograma con el que EE</w:t>
      </w:r>
      <w:r w:rsidRPr="00675D3B">
        <w:rPr>
          <w:rFonts w:ascii="Times New Roman" w:hAnsi="Times New Roman" w:cs="Times New Roman"/>
          <w:color w:val="FF0000"/>
          <w:sz w:val="24"/>
          <w:szCs w:val="24"/>
          <w:u w:val="single"/>
        </w:rPr>
        <w:t>UU rescató en 2008 a la banca.</w:t>
      </w:r>
    </w:p>
    <w:p w:rsidR="00C13918" w:rsidRPr="00675D3B" w:rsidRDefault="00C13918" w:rsidP="00FA4DA9">
      <w:pPr>
        <w:spacing w:line="240" w:lineRule="auto"/>
        <w:jc w:val="both"/>
        <w:rPr>
          <w:rFonts w:ascii="Times New Roman" w:hAnsi="Times New Roman" w:cs="Times New Roman"/>
          <w:b/>
          <w:color w:val="FF0000"/>
          <w:sz w:val="24"/>
          <w:szCs w:val="24"/>
          <w:u w:val="single"/>
        </w:rPr>
      </w:pPr>
      <w:r w:rsidRPr="00102303">
        <w:rPr>
          <w:rFonts w:ascii="Times New Roman" w:hAnsi="Times New Roman" w:cs="Times New Roman"/>
          <w:sz w:val="24"/>
          <w:szCs w:val="24"/>
        </w:rPr>
        <w:t xml:space="preserve">“La primera línea de defensa debe ser la política fiscal”, </w:t>
      </w:r>
      <w:r>
        <w:rPr>
          <w:rFonts w:ascii="Times New Roman" w:hAnsi="Times New Roman" w:cs="Times New Roman"/>
          <w:sz w:val="24"/>
          <w:szCs w:val="24"/>
        </w:rPr>
        <w:t>afirman los “grandes bonetes”</w:t>
      </w:r>
      <w:r w:rsidRPr="00102303">
        <w:rPr>
          <w:rFonts w:ascii="Times New Roman" w:hAnsi="Times New Roman" w:cs="Times New Roman"/>
          <w:sz w:val="24"/>
          <w:szCs w:val="24"/>
        </w:rPr>
        <w:t xml:space="preserve">. Pero en la retaguardia está la labor clave de los bancos centrales, que han inyectado como nunca liquidez al sistema. Las bajadas de tipos han sido fulminantes y las compras de deuda van a superar en cuantía inicial la respuesta dada a la crisis de Lehman y de la deuda soberana en la </w:t>
      </w:r>
      <w:r w:rsidRPr="00102303">
        <w:rPr>
          <w:rFonts w:ascii="Times New Roman" w:hAnsi="Times New Roman" w:cs="Times New Roman"/>
          <w:sz w:val="24"/>
          <w:szCs w:val="24"/>
        </w:rPr>
        <w:lastRenderedPageBreak/>
        <w:t xml:space="preserve">zona euro. Además, las inyecciones de liquidez no cesan, en un esfuerzo constante por que el sistema financiero continúe funcionando con normalidad. </w:t>
      </w:r>
      <w:r w:rsidRPr="00675D3B">
        <w:rPr>
          <w:rFonts w:ascii="Times New Roman" w:hAnsi="Times New Roman" w:cs="Times New Roman"/>
          <w:b/>
          <w:color w:val="FF0000"/>
          <w:sz w:val="24"/>
          <w:szCs w:val="24"/>
          <w:u w:val="single"/>
        </w:rPr>
        <w:t>El BCE asegura haber ofrecido financiación por 3 billones en respuesta al coronavirus y la Fed ha suministrado liquidez multimillonaria en dólares a todos los bancos centrales, además de retirar cualquier limitación a las compras de deuda. Con sus estímulos, la cuantía de las ayudas supera ampliamente los 10 billones de euros.</w:t>
      </w:r>
    </w:p>
    <w:p w:rsidR="00C13918" w:rsidRPr="00102303" w:rsidRDefault="00C13918" w:rsidP="00FA4DA9">
      <w:pPr>
        <w:spacing w:line="240" w:lineRule="auto"/>
        <w:jc w:val="both"/>
        <w:rPr>
          <w:rFonts w:ascii="Times New Roman" w:hAnsi="Times New Roman" w:cs="Times New Roman"/>
          <w:sz w:val="24"/>
          <w:szCs w:val="24"/>
        </w:rPr>
      </w:pPr>
      <w:r w:rsidRPr="00102303">
        <w:rPr>
          <w:rFonts w:ascii="Times New Roman" w:hAnsi="Times New Roman" w:cs="Times New Roman"/>
          <w:sz w:val="24"/>
          <w:szCs w:val="24"/>
        </w:rPr>
        <w:t>Los planes anunciados por los gobiernos presentan distintos niveles de protección a empresas y familias aunque, en mayor o menor medida, todos contemplan medidas para el diferimiento del pago de impuestos a empresas y autónomos, la moratoria en el pago de las hipotecas a las rentas bajas y estímulos para evitar oleadas masivas de despidos, como la exoneración en el pago a las empresas en los expedientes de regulación de empleo temporales en España o la suspensión de la contribución a</w:t>
      </w:r>
      <w:r>
        <w:rPr>
          <w:rFonts w:ascii="Times New Roman" w:hAnsi="Times New Roman" w:cs="Times New Roman"/>
          <w:sz w:val="24"/>
          <w:szCs w:val="24"/>
        </w:rPr>
        <w:t xml:space="preserve"> la Seguridad Social en Italia.</w:t>
      </w:r>
    </w:p>
    <w:p w:rsidR="00C13918" w:rsidRPr="00102303" w:rsidRDefault="00C13918" w:rsidP="00FA4DA9">
      <w:pPr>
        <w:spacing w:line="240" w:lineRule="auto"/>
        <w:jc w:val="both"/>
        <w:rPr>
          <w:rFonts w:ascii="Times New Roman" w:hAnsi="Times New Roman" w:cs="Times New Roman"/>
          <w:sz w:val="24"/>
          <w:szCs w:val="24"/>
        </w:rPr>
      </w:pPr>
      <w:r w:rsidRPr="00675D3B">
        <w:rPr>
          <w:rFonts w:ascii="Times New Roman" w:hAnsi="Times New Roman" w:cs="Times New Roman"/>
          <w:color w:val="FF0000"/>
          <w:sz w:val="24"/>
          <w:szCs w:val="24"/>
          <w:u w:val="single"/>
        </w:rPr>
        <w:t>Las medidas de política fiscal puestas en marcha en los países de la zona euro y las acciones a escala europea representan el 1% del PIB de la región, según apuntaba el 25/3/20 en un informe el Banco de España. El grueso de las ayudas está sin embargo en las medidas públicas de apoyo a la liquidez del sector privado, que rondan el 10% de la zona euro</w:t>
      </w:r>
      <w:r w:rsidRPr="00102303">
        <w:rPr>
          <w:rFonts w:ascii="Times New Roman" w:hAnsi="Times New Roman" w:cs="Times New Roman"/>
          <w:sz w:val="24"/>
          <w:szCs w:val="24"/>
        </w:rPr>
        <w:t>. Así, España contempla avales a las empresas por 100.000 millones de euros; Alemania por 400.000 millones y Francia, por 300.000 millones. La clave para que esas líneas de liquidez sean efectivas es que la banca conceda los préstamos a las empresas que lo necesiten. Para ello, los gobiernos están asumiendo la gran parte del riesgo de esos créditos -el 80% en España- mientras los supervisores han abierto la mano con las exigencias de capi</w:t>
      </w:r>
      <w:r>
        <w:rPr>
          <w:rFonts w:ascii="Times New Roman" w:hAnsi="Times New Roman" w:cs="Times New Roman"/>
          <w:sz w:val="24"/>
          <w:szCs w:val="24"/>
        </w:rPr>
        <w:t>tal al sector.</w:t>
      </w:r>
    </w:p>
    <w:p w:rsidR="00C13918" w:rsidRDefault="00C13918" w:rsidP="00FA4DA9">
      <w:pPr>
        <w:spacing w:line="240" w:lineRule="auto"/>
        <w:jc w:val="both"/>
        <w:rPr>
          <w:rFonts w:ascii="Times New Roman" w:hAnsi="Times New Roman" w:cs="Times New Roman"/>
          <w:sz w:val="24"/>
          <w:szCs w:val="24"/>
        </w:rPr>
      </w:pPr>
      <w:r w:rsidRPr="00102303">
        <w:rPr>
          <w:rFonts w:ascii="Times New Roman" w:hAnsi="Times New Roman" w:cs="Times New Roman"/>
          <w:sz w:val="24"/>
          <w:szCs w:val="24"/>
        </w:rPr>
        <w:t>En la zona euro, y a diferencia de</w:t>
      </w:r>
      <w:r w:rsidR="00132FFB">
        <w:rPr>
          <w:rFonts w:ascii="Times New Roman" w:hAnsi="Times New Roman" w:cs="Times New Roman"/>
          <w:sz w:val="24"/>
          <w:szCs w:val="24"/>
        </w:rPr>
        <w:t xml:space="preserve"> la arrolladora respuesta de EE</w:t>
      </w:r>
      <w:r w:rsidRPr="00102303">
        <w:rPr>
          <w:rFonts w:ascii="Times New Roman" w:hAnsi="Times New Roman" w:cs="Times New Roman"/>
          <w:sz w:val="24"/>
          <w:szCs w:val="24"/>
        </w:rPr>
        <w:t>UU, aún está</w:t>
      </w:r>
      <w:r>
        <w:rPr>
          <w:rFonts w:ascii="Times New Roman" w:hAnsi="Times New Roman" w:cs="Times New Roman"/>
          <w:sz w:val="24"/>
          <w:szCs w:val="24"/>
        </w:rPr>
        <w:t xml:space="preserve"> </w:t>
      </w:r>
      <w:r w:rsidRPr="00102303">
        <w:rPr>
          <w:rFonts w:ascii="Times New Roman" w:hAnsi="Times New Roman" w:cs="Times New Roman"/>
          <w:sz w:val="24"/>
          <w:szCs w:val="24"/>
        </w:rPr>
        <w:t>sin embargo pendiente la activación del mayor de los estímulos: el uso del fondo de rescate europeo, el MEDE por sus siglas en inglés. Con una capacidad de endeudamiento por 410.000 millones de euros, permitiría a los países del euro la captación rápida de fondos para responder a la emergencia sanitaria y económica, tal y como reclaman España, Francia o Italia. Pero Europa vuelve a enredarse en el debate político de si es necesario, como en la crisis del euro, establecer condiciones a cambio de ese apoyo.</w:t>
      </w:r>
    </w:p>
    <w:p w:rsidR="00C13918" w:rsidRPr="004956B9" w:rsidRDefault="00C13918"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956B9">
        <w:rPr>
          <w:rFonts w:ascii="Times New Roman" w:hAnsi="Times New Roman" w:cs="Times New Roman"/>
          <w:sz w:val="24"/>
          <w:szCs w:val="24"/>
          <w:u w:val="single"/>
        </w:rPr>
        <w:t>El FMI da por hecho que “estamos ante una crisis nunca vista antes en la historia”</w:t>
      </w:r>
      <w:r>
        <w:rPr>
          <w:rFonts w:ascii="Times New Roman" w:hAnsi="Times New Roman" w:cs="Times New Roman"/>
          <w:sz w:val="24"/>
          <w:szCs w:val="24"/>
        </w:rPr>
        <w:t xml:space="preserve"> (Cinco Días - </w:t>
      </w:r>
      <w:r>
        <w:rPr>
          <w:rFonts w:ascii="Times New Roman" w:hAnsi="Times New Roman" w:cs="Times New Roman"/>
          <w:b/>
          <w:sz w:val="24"/>
          <w:szCs w:val="24"/>
        </w:rPr>
        <w:t>3</w:t>
      </w:r>
      <w:r w:rsidRPr="004956B9">
        <w:rPr>
          <w:rFonts w:ascii="Times New Roman" w:hAnsi="Times New Roman" w:cs="Times New Roman"/>
          <w:b/>
          <w:sz w:val="24"/>
          <w:szCs w:val="24"/>
        </w:rPr>
        <w:t>/4/20</w:t>
      </w:r>
      <w:r>
        <w:rPr>
          <w:rFonts w:ascii="Times New Roman" w:hAnsi="Times New Roman" w:cs="Times New Roman"/>
          <w:sz w:val="24"/>
          <w:szCs w:val="24"/>
        </w:rPr>
        <w:t>)</w:t>
      </w:r>
    </w:p>
    <w:p w:rsidR="00C13918" w:rsidRPr="00675D3B" w:rsidRDefault="00C13918" w:rsidP="00FA4DA9">
      <w:pPr>
        <w:spacing w:line="240" w:lineRule="auto"/>
        <w:jc w:val="both"/>
        <w:rPr>
          <w:rFonts w:ascii="Times New Roman" w:hAnsi="Times New Roman" w:cs="Times New Roman"/>
          <w:b/>
          <w:color w:val="FF0000"/>
          <w:sz w:val="24"/>
          <w:szCs w:val="24"/>
          <w:u w:val="single"/>
        </w:rPr>
      </w:pPr>
      <w:r w:rsidRPr="00675D3B">
        <w:rPr>
          <w:rFonts w:ascii="Times New Roman" w:hAnsi="Times New Roman" w:cs="Times New Roman"/>
          <w:b/>
          <w:color w:val="FF0000"/>
          <w:sz w:val="24"/>
          <w:szCs w:val="24"/>
          <w:u w:val="single"/>
        </w:rPr>
        <w:t>La directora gerente del Fondo Monetario Internacional (FMI), Kristalina Georgieva, subrayó este vier</w:t>
      </w:r>
      <w:r w:rsidR="00132FFB" w:rsidRPr="00675D3B">
        <w:rPr>
          <w:rFonts w:ascii="Times New Roman" w:hAnsi="Times New Roman" w:cs="Times New Roman"/>
          <w:b/>
          <w:color w:val="FF0000"/>
          <w:sz w:val="24"/>
          <w:szCs w:val="24"/>
          <w:u w:val="single"/>
        </w:rPr>
        <w:t>nes que el mundo se enfrenta a “</w:t>
      </w:r>
      <w:r w:rsidRPr="00675D3B">
        <w:rPr>
          <w:rFonts w:ascii="Times New Roman" w:hAnsi="Times New Roman" w:cs="Times New Roman"/>
          <w:b/>
          <w:color w:val="FF0000"/>
          <w:sz w:val="24"/>
          <w:szCs w:val="24"/>
          <w:u w:val="single"/>
        </w:rPr>
        <w:t xml:space="preserve">una crisis nunca antes </w:t>
      </w:r>
      <w:r w:rsidR="00132FFB" w:rsidRPr="00675D3B">
        <w:rPr>
          <w:rFonts w:ascii="Times New Roman" w:hAnsi="Times New Roman" w:cs="Times New Roman"/>
          <w:b/>
          <w:color w:val="FF0000"/>
          <w:sz w:val="24"/>
          <w:szCs w:val="24"/>
          <w:u w:val="single"/>
        </w:rPr>
        <w:t>vista en la historia”</w:t>
      </w:r>
      <w:r w:rsidRPr="00675D3B">
        <w:rPr>
          <w:rFonts w:ascii="Times New Roman" w:hAnsi="Times New Roman" w:cs="Times New Roman"/>
          <w:b/>
          <w:color w:val="FF0000"/>
          <w:sz w:val="24"/>
          <w:szCs w:val="24"/>
          <w:u w:val="single"/>
        </w:rPr>
        <w:t>, y destacó que su organización movilizará su reserva de emergencias para préstamos, de un billón de dólares, para afrontarla.</w:t>
      </w:r>
    </w:p>
    <w:p w:rsidR="00C13918" w:rsidRPr="00675D3B" w:rsidRDefault="00132FFB" w:rsidP="00FA4DA9">
      <w:pPr>
        <w:spacing w:line="240" w:lineRule="auto"/>
        <w:jc w:val="both"/>
        <w:rPr>
          <w:rFonts w:ascii="Times New Roman" w:hAnsi="Times New Roman" w:cs="Times New Roman"/>
          <w:b/>
          <w:color w:val="FF0000"/>
          <w:sz w:val="24"/>
          <w:szCs w:val="24"/>
          <w:u w:val="single"/>
        </w:rPr>
      </w:pPr>
      <w:r w:rsidRPr="00675D3B">
        <w:rPr>
          <w:rFonts w:ascii="Times New Roman" w:hAnsi="Times New Roman" w:cs="Times New Roman"/>
          <w:b/>
          <w:color w:val="FF0000"/>
          <w:sz w:val="24"/>
          <w:szCs w:val="24"/>
          <w:u w:val="single"/>
        </w:rPr>
        <w:t>“</w:t>
      </w:r>
      <w:r w:rsidR="00C13918" w:rsidRPr="00675D3B">
        <w:rPr>
          <w:rFonts w:ascii="Times New Roman" w:hAnsi="Times New Roman" w:cs="Times New Roman"/>
          <w:b/>
          <w:color w:val="FF0000"/>
          <w:sz w:val="24"/>
          <w:szCs w:val="24"/>
          <w:u w:val="single"/>
        </w:rPr>
        <w:t>Tenemos una reserva para emergencias de un billón de dólares y estamos decididos a usar toda la que haga falta para proteger de las cic</w:t>
      </w:r>
      <w:r w:rsidRPr="00675D3B">
        <w:rPr>
          <w:rFonts w:ascii="Times New Roman" w:hAnsi="Times New Roman" w:cs="Times New Roman"/>
          <w:b/>
          <w:color w:val="FF0000"/>
          <w:sz w:val="24"/>
          <w:szCs w:val="24"/>
          <w:u w:val="single"/>
        </w:rPr>
        <w:t>atrices que causará esta crisis”</w:t>
      </w:r>
      <w:r w:rsidR="00C13918" w:rsidRPr="00675D3B">
        <w:rPr>
          <w:rFonts w:ascii="Times New Roman" w:hAnsi="Times New Roman" w:cs="Times New Roman"/>
          <w:b/>
          <w:color w:val="FF0000"/>
          <w:sz w:val="24"/>
          <w:szCs w:val="24"/>
          <w:u w:val="single"/>
        </w:rPr>
        <w:t>, destacó la economista búlgara en una rueda de prensa junto al director general de la Organización Mundial de la Salud (OMS), Tedros Adhanom Ghebreyesus.</w:t>
      </w:r>
    </w:p>
    <w:p w:rsidR="00C13918" w:rsidRPr="004956B9" w:rsidRDefault="00C13918" w:rsidP="00FA4DA9">
      <w:pPr>
        <w:spacing w:line="240" w:lineRule="auto"/>
        <w:jc w:val="both"/>
        <w:rPr>
          <w:rFonts w:ascii="Times New Roman" w:hAnsi="Times New Roman" w:cs="Times New Roman"/>
          <w:sz w:val="24"/>
          <w:szCs w:val="24"/>
        </w:rPr>
      </w:pPr>
      <w:r w:rsidRPr="004956B9">
        <w:rPr>
          <w:rFonts w:ascii="Times New Roman" w:hAnsi="Times New Roman" w:cs="Times New Roman"/>
          <w:sz w:val="24"/>
          <w:szCs w:val="24"/>
        </w:rPr>
        <w:t>La directora gerente anunció en videoconferencia que más de 90 países han pedido ya ayuda financiera de emergencia al FMI a causa de la ac</w:t>
      </w:r>
      <w:r>
        <w:rPr>
          <w:rFonts w:ascii="Times New Roman" w:hAnsi="Times New Roman" w:cs="Times New Roman"/>
          <w:sz w:val="24"/>
          <w:szCs w:val="24"/>
        </w:rPr>
        <w:t>tual crisis por el coronavirus.</w:t>
      </w:r>
    </w:p>
    <w:p w:rsidR="00C13918" w:rsidRPr="00675D3B" w:rsidRDefault="00C13918" w:rsidP="00FA4DA9">
      <w:pPr>
        <w:spacing w:line="240" w:lineRule="auto"/>
        <w:jc w:val="both"/>
        <w:rPr>
          <w:rFonts w:ascii="Times New Roman" w:hAnsi="Times New Roman" w:cs="Times New Roman"/>
          <w:b/>
          <w:color w:val="FF0000"/>
          <w:sz w:val="24"/>
          <w:szCs w:val="24"/>
          <w:u w:val="single"/>
        </w:rPr>
      </w:pPr>
      <w:r w:rsidRPr="00675D3B">
        <w:rPr>
          <w:rFonts w:ascii="Times New Roman" w:hAnsi="Times New Roman" w:cs="Times New Roman"/>
          <w:b/>
          <w:color w:val="FF0000"/>
          <w:sz w:val="24"/>
          <w:szCs w:val="24"/>
          <w:u w:val="single"/>
        </w:rPr>
        <w:t>También aseguró que la pan</w:t>
      </w:r>
      <w:r w:rsidR="00132FFB" w:rsidRPr="00675D3B">
        <w:rPr>
          <w:rFonts w:ascii="Times New Roman" w:hAnsi="Times New Roman" w:cs="Times New Roman"/>
          <w:b/>
          <w:color w:val="FF0000"/>
          <w:sz w:val="24"/>
          <w:szCs w:val="24"/>
          <w:u w:val="single"/>
        </w:rPr>
        <w:t>demia de COVID-19 ha provocado “</w:t>
      </w:r>
      <w:r w:rsidRPr="00675D3B">
        <w:rPr>
          <w:rFonts w:ascii="Times New Roman" w:hAnsi="Times New Roman" w:cs="Times New Roman"/>
          <w:b/>
          <w:color w:val="FF0000"/>
          <w:sz w:val="24"/>
          <w:szCs w:val="24"/>
          <w:u w:val="single"/>
        </w:rPr>
        <w:t>una para</w:t>
      </w:r>
      <w:r w:rsidR="00132FFB" w:rsidRPr="00675D3B">
        <w:rPr>
          <w:rFonts w:ascii="Times New Roman" w:hAnsi="Times New Roman" w:cs="Times New Roman"/>
          <w:b/>
          <w:color w:val="FF0000"/>
          <w:sz w:val="24"/>
          <w:szCs w:val="24"/>
          <w:u w:val="single"/>
        </w:rPr>
        <w:t>lización de la economía mundial”</w:t>
      </w:r>
      <w:r w:rsidRPr="00675D3B">
        <w:rPr>
          <w:rFonts w:ascii="Times New Roman" w:hAnsi="Times New Roman" w:cs="Times New Roman"/>
          <w:b/>
          <w:color w:val="FF0000"/>
          <w:sz w:val="24"/>
          <w:szCs w:val="24"/>
          <w:u w:val="single"/>
        </w:rPr>
        <w:t xml:space="preserve"> que ya ha sumido al planeta </w:t>
      </w:r>
      <w:r w:rsidR="00132FFB" w:rsidRPr="00675D3B">
        <w:rPr>
          <w:rFonts w:ascii="Times New Roman" w:hAnsi="Times New Roman" w:cs="Times New Roman"/>
          <w:b/>
          <w:color w:val="FF0000"/>
          <w:sz w:val="24"/>
          <w:szCs w:val="24"/>
          <w:u w:val="single"/>
        </w:rPr>
        <w:t>en “</w:t>
      </w:r>
      <w:r w:rsidRPr="00675D3B">
        <w:rPr>
          <w:rFonts w:ascii="Times New Roman" w:hAnsi="Times New Roman" w:cs="Times New Roman"/>
          <w:b/>
          <w:color w:val="FF0000"/>
          <w:sz w:val="24"/>
          <w:szCs w:val="24"/>
          <w:u w:val="single"/>
        </w:rPr>
        <w:t>una recesión much</w:t>
      </w:r>
      <w:r w:rsidR="00132FFB" w:rsidRPr="00675D3B">
        <w:rPr>
          <w:rFonts w:ascii="Times New Roman" w:hAnsi="Times New Roman" w:cs="Times New Roman"/>
          <w:b/>
          <w:color w:val="FF0000"/>
          <w:sz w:val="24"/>
          <w:szCs w:val="24"/>
          <w:u w:val="single"/>
        </w:rPr>
        <w:t>o peor que la crisis financiera”</w:t>
      </w:r>
      <w:r w:rsidRPr="00675D3B">
        <w:rPr>
          <w:rFonts w:ascii="Times New Roman" w:hAnsi="Times New Roman" w:cs="Times New Roman"/>
          <w:b/>
          <w:color w:val="FF0000"/>
          <w:sz w:val="24"/>
          <w:szCs w:val="24"/>
          <w:u w:val="single"/>
        </w:rPr>
        <w:t xml:space="preserve"> iniciada en 2008.</w:t>
      </w:r>
    </w:p>
    <w:p w:rsidR="00C13918" w:rsidRPr="004956B9" w:rsidRDefault="00675D3B"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00C13918" w:rsidRPr="004956B9">
        <w:rPr>
          <w:rFonts w:ascii="Times New Roman" w:hAnsi="Times New Roman" w:cs="Times New Roman"/>
          <w:sz w:val="24"/>
          <w:szCs w:val="24"/>
        </w:rPr>
        <w:t>La OMS está aquí para proteger la salud de la gente, el FMI para proteger el estado de la economía mundial, ambas cosas están siendo asediadas y sólo unido</w:t>
      </w:r>
      <w:r w:rsidR="00655276">
        <w:rPr>
          <w:rFonts w:ascii="Times New Roman" w:hAnsi="Times New Roman" w:cs="Times New Roman"/>
          <w:sz w:val="24"/>
          <w:szCs w:val="24"/>
        </w:rPr>
        <w:t>s podemos conseguirlo”</w:t>
      </w:r>
      <w:r w:rsidR="00C13918">
        <w:rPr>
          <w:rFonts w:ascii="Times New Roman" w:hAnsi="Times New Roman" w:cs="Times New Roman"/>
          <w:sz w:val="24"/>
          <w:szCs w:val="24"/>
        </w:rPr>
        <w:t>, señaló.</w:t>
      </w:r>
    </w:p>
    <w:p w:rsidR="00C13918" w:rsidRPr="004956B9" w:rsidRDefault="00C13918" w:rsidP="00FA4DA9">
      <w:pPr>
        <w:spacing w:line="240" w:lineRule="auto"/>
        <w:jc w:val="both"/>
        <w:rPr>
          <w:rFonts w:ascii="Times New Roman" w:hAnsi="Times New Roman" w:cs="Times New Roman"/>
          <w:sz w:val="24"/>
          <w:szCs w:val="24"/>
        </w:rPr>
      </w:pPr>
      <w:r w:rsidRPr="004956B9">
        <w:rPr>
          <w:rFonts w:ascii="Times New Roman" w:hAnsi="Times New Roman" w:cs="Times New Roman"/>
          <w:sz w:val="24"/>
          <w:szCs w:val="24"/>
        </w:rPr>
        <w:t>Georgieva indicó que de la misma manera que el coronavirus daña especialmente a los pacientes más vulnerables, la crisis golpeará sobre todo a los países en desarrollo y emergentes, de los que ya han salido en los últimos meses inversiones por valor de 90.000 millones de dólares</w:t>
      </w:r>
      <w:r>
        <w:rPr>
          <w:rFonts w:ascii="Times New Roman" w:hAnsi="Times New Roman" w:cs="Times New Roman"/>
          <w:sz w:val="24"/>
          <w:szCs w:val="24"/>
        </w:rPr>
        <w:t>, más que en la crisis de 2008.</w:t>
      </w:r>
    </w:p>
    <w:p w:rsidR="00C13918" w:rsidRDefault="00C13918" w:rsidP="00FA4DA9">
      <w:pPr>
        <w:spacing w:line="240" w:lineRule="auto"/>
        <w:jc w:val="both"/>
        <w:rPr>
          <w:rFonts w:ascii="Times New Roman" w:hAnsi="Times New Roman" w:cs="Times New Roman"/>
          <w:color w:val="FF0000"/>
          <w:sz w:val="24"/>
          <w:szCs w:val="24"/>
          <w:u w:val="single"/>
        </w:rPr>
      </w:pPr>
      <w:r w:rsidRPr="0097462F">
        <w:rPr>
          <w:rFonts w:ascii="Times New Roman" w:hAnsi="Times New Roman" w:cs="Times New Roman"/>
          <w:color w:val="FF0000"/>
          <w:sz w:val="24"/>
          <w:szCs w:val="24"/>
          <w:u w:val="single"/>
        </w:rPr>
        <w:t>Concluyó subr</w:t>
      </w:r>
      <w:r w:rsidR="00132FFB">
        <w:rPr>
          <w:rFonts w:ascii="Times New Roman" w:hAnsi="Times New Roman" w:cs="Times New Roman"/>
          <w:color w:val="FF0000"/>
          <w:sz w:val="24"/>
          <w:szCs w:val="24"/>
          <w:u w:val="single"/>
        </w:rPr>
        <w:t>ayando que la actual crisis es “</w:t>
      </w:r>
      <w:r w:rsidRPr="0097462F">
        <w:rPr>
          <w:rFonts w:ascii="Times New Roman" w:hAnsi="Times New Roman" w:cs="Times New Roman"/>
          <w:color w:val="FF0000"/>
          <w:sz w:val="24"/>
          <w:szCs w:val="24"/>
          <w:u w:val="single"/>
        </w:rPr>
        <w:t>la hora más oscura para la humanidad, una gran amenaza ante la que debemos estar unidos para</w:t>
      </w:r>
      <w:r w:rsidR="00132FFB">
        <w:rPr>
          <w:rFonts w:ascii="Times New Roman" w:hAnsi="Times New Roman" w:cs="Times New Roman"/>
          <w:color w:val="FF0000"/>
          <w:sz w:val="24"/>
          <w:szCs w:val="24"/>
          <w:u w:val="single"/>
        </w:rPr>
        <w:t xml:space="preserve"> proteger a los más vulnerables”</w:t>
      </w:r>
      <w:r w:rsidRPr="0097462F">
        <w:rPr>
          <w:rFonts w:ascii="Times New Roman" w:hAnsi="Times New Roman" w:cs="Times New Roman"/>
          <w:color w:val="FF0000"/>
          <w:sz w:val="24"/>
          <w:szCs w:val="24"/>
          <w:u w:val="single"/>
        </w:rPr>
        <w:t>.</w:t>
      </w:r>
    </w:p>
    <w:p w:rsidR="007E72CD" w:rsidRDefault="007E72CD"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A170A">
        <w:rPr>
          <w:rFonts w:ascii="Times New Roman" w:hAnsi="Times New Roman" w:cs="Times New Roman"/>
          <w:sz w:val="24"/>
          <w:szCs w:val="24"/>
          <w:u w:val="single"/>
        </w:rPr>
        <w:t>Los bancos centrales duplicarán sus balances en la crisis del coronavirus</w:t>
      </w:r>
      <w:r>
        <w:rPr>
          <w:rFonts w:ascii="Times New Roman" w:hAnsi="Times New Roman" w:cs="Times New Roman"/>
          <w:sz w:val="24"/>
          <w:szCs w:val="24"/>
        </w:rPr>
        <w:t xml:space="preserve"> (Expansión - </w:t>
      </w:r>
      <w:r w:rsidRPr="00FA170A">
        <w:rPr>
          <w:rFonts w:ascii="Times New Roman" w:hAnsi="Times New Roman" w:cs="Times New Roman"/>
          <w:b/>
          <w:sz w:val="24"/>
          <w:szCs w:val="24"/>
        </w:rPr>
        <w:t>7/4/20</w:t>
      </w:r>
      <w:r>
        <w:rPr>
          <w:rFonts w:ascii="Times New Roman" w:hAnsi="Times New Roman" w:cs="Times New Roman"/>
          <w:sz w:val="24"/>
          <w:szCs w:val="24"/>
        </w:rPr>
        <w:t>)</w:t>
      </w:r>
    </w:p>
    <w:p w:rsidR="007E72CD" w:rsidRPr="007E72CD" w:rsidRDefault="007E72CD" w:rsidP="00FA4DA9">
      <w:pPr>
        <w:spacing w:line="240" w:lineRule="auto"/>
        <w:jc w:val="both"/>
        <w:rPr>
          <w:rFonts w:ascii="Times New Roman" w:hAnsi="Times New Roman" w:cs="Times New Roman"/>
          <w:color w:val="FF0000"/>
          <w:sz w:val="24"/>
          <w:szCs w:val="24"/>
          <w:u w:val="single"/>
        </w:rPr>
      </w:pPr>
      <w:r w:rsidRPr="007E72CD">
        <w:rPr>
          <w:rFonts w:ascii="Times New Roman" w:hAnsi="Times New Roman" w:cs="Times New Roman"/>
          <w:color w:val="FF0000"/>
          <w:sz w:val="24"/>
          <w:szCs w:val="24"/>
          <w:u w:val="single"/>
        </w:rPr>
        <w:t>Contra el virus, billones. No previenen los contagios, pero tratarán de evitar impagos en el mercado de deuda para contribuir a la recuperación posterior, una vez que la crisis sanitaria haya remitido. Ese es el plan de los grandes bancos centrales, que han puesto sobre la mesa el mayor programa de estímulos de la historia de la política monetaria.</w:t>
      </w:r>
    </w:p>
    <w:p w:rsidR="007E72CD" w:rsidRPr="007E72CD" w:rsidRDefault="007E72CD" w:rsidP="00FA4DA9">
      <w:pPr>
        <w:spacing w:line="240" w:lineRule="auto"/>
        <w:jc w:val="both"/>
        <w:rPr>
          <w:rFonts w:ascii="Times New Roman" w:hAnsi="Times New Roman" w:cs="Times New Roman"/>
          <w:b/>
          <w:color w:val="FF0000"/>
          <w:sz w:val="24"/>
          <w:szCs w:val="24"/>
          <w:u w:val="single"/>
        </w:rPr>
      </w:pPr>
      <w:r w:rsidRPr="007E72CD">
        <w:rPr>
          <w:rFonts w:ascii="Times New Roman" w:hAnsi="Times New Roman" w:cs="Times New Roman"/>
          <w:b/>
          <w:color w:val="FF0000"/>
          <w:sz w:val="24"/>
          <w:szCs w:val="24"/>
          <w:u w:val="single"/>
        </w:rPr>
        <w:t>El Banco Central Europeo (BCE) y la Reserva Federal de Estados Unidos (Fed) duplicarán sus balances a lo largo del año hasta los 8,77 billones de euros y los 8,2 billones de dólares (7,59 millones de euros), respectivamente, desde los 4,66 billones de euros y 4,17 millones de dólares (alrededor de 3,86 millones de euros) que presentaban al comienzo de 2020. Es el reflejo de la maquinaria con la que tratarán combatir el impacto económico del virus. En un año, las dos grandes autoridades monetarias casi duplicarán sus balances.</w:t>
      </w:r>
    </w:p>
    <w:p w:rsidR="007E72CD" w:rsidRPr="00FA170A" w:rsidRDefault="007E72CD" w:rsidP="00FA4DA9">
      <w:pPr>
        <w:spacing w:line="240" w:lineRule="auto"/>
        <w:jc w:val="both"/>
        <w:rPr>
          <w:rFonts w:ascii="Times New Roman" w:hAnsi="Times New Roman" w:cs="Times New Roman"/>
          <w:sz w:val="24"/>
          <w:szCs w:val="24"/>
        </w:rPr>
      </w:pPr>
      <w:r w:rsidRPr="00FA170A">
        <w:rPr>
          <w:rFonts w:ascii="Times New Roman" w:hAnsi="Times New Roman" w:cs="Times New Roman"/>
          <w:sz w:val="24"/>
          <w:szCs w:val="24"/>
        </w:rPr>
        <w:t>El BCE ha lanzado inyecciones de liquidez al sector financiero en un intento por mantenerlo engrasado pese al parón de la actividad en muchos países de la zona euro. Subastas diarias en euros y en dólares, inyecciones semanales con vencimiento a tres meses en las mismas monedas y, a partir del 24 de junio, vinculadas a la concesión de crédito. La institución que preside Christine Lagarde estima que los recursos sumarán alrededor de tres billones.</w:t>
      </w:r>
    </w:p>
    <w:p w:rsidR="007E72CD" w:rsidRPr="00FA170A" w:rsidRDefault="007E72CD" w:rsidP="00FA4DA9">
      <w:pPr>
        <w:spacing w:line="240" w:lineRule="auto"/>
        <w:jc w:val="both"/>
        <w:rPr>
          <w:rFonts w:ascii="Times New Roman" w:hAnsi="Times New Roman" w:cs="Times New Roman"/>
          <w:sz w:val="24"/>
          <w:szCs w:val="24"/>
        </w:rPr>
      </w:pPr>
      <w:r w:rsidRPr="00FA170A">
        <w:rPr>
          <w:rFonts w:ascii="Times New Roman" w:hAnsi="Times New Roman" w:cs="Times New Roman"/>
          <w:sz w:val="24"/>
          <w:szCs w:val="24"/>
        </w:rPr>
        <w:t>A eso se le suman las adquisiciones de deuda. El BCE compra 20.000 millones de euros al mes desde el reinicio del programa QE en septiembre del año pasado, un volumen al que el pasado 12 de marzo se le añadió un paquete adicional por 120.000 millones de euros que deberá invertir este año. Además, hace dos semanas creó un nuevo plan, el Programa de Compras de Emergencia Pandémica (PEPP), valorado en 750.000 millones para 2020 y que, junto al resto de medidas, propulsará el total de adquisiciones de la autoridad monetaria europea este año h</w:t>
      </w:r>
      <w:r>
        <w:rPr>
          <w:rFonts w:ascii="Times New Roman" w:hAnsi="Times New Roman" w:cs="Times New Roman"/>
          <w:sz w:val="24"/>
          <w:szCs w:val="24"/>
        </w:rPr>
        <w:t>asta los 1,1 billones de euros.</w:t>
      </w:r>
    </w:p>
    <w:p w:rsidR="007E72CD" w:rsidRPr="007E72CD" w:rsidRDefault="007E72CD" w:rsidP="00FA4DA9">
      <w:pPr>
        <w:spacing w:line="240" w:lineRule="auto"/>
        <w:jc w:val="both"/>
        <w:rPr>
          <w:rFonts w:ascii="Times New Roman" w:hAnsi="Times New Roman" w:cs="Times New Roman"/>
          <w:b/>
          <w:color w:val="FF0000"/>
          <w:sz w:val="24"/>
          <w:szCs w:val="24"/>
          <w:u w:val="single"/>
        </w:rPr>
      </w:pPr>
      <w:r w:rsidRPr="007E72CD">
        <w:rPr>
          <w:rFonts w:ascii="Times New Roman" w:hAnsi="Times New Roman" w:cs="Times New Roman"/>
          <w:b/>
          <w:color w:val="FF0000"/>
          <w:sz w:val="24"/>
          <w:szCs w:val="24"/>
          <w:u w:val="single"/>
        </w:rPr>
        <w:t>De momento, con las medidas puestas en marcha, el balance del BCE se sitúa en los 5,06 billones de euros.</w:t>
      </w:r>
    </w:p>
    <w:p w:rsidR="007E72CD" w:rsidRPr="00FA170A" w:rsidRDefault="007E72CD" w:rsidP="00FA4DA9">
      <w:pPr>
        <w:spacing w:line="240" w:lineRule="auto"/>
        <w:jc w:val="both"/>
        <w:rPr>
          <w:rFonts w:ascii="Times New Roman" w:hAnsi="Times New Roman" w:cs="Times New Roman"/>
          <w:sz w:val="24"/>
          <w:szCs w:val="24"/>
        </w:rPr>
      </w:pPr>
      <w:r w:rsidRPr="00FA170A">
        <w:rPr>
          <w:rFonts w:ascii="Times New Roman" w:hAnsi="Times New Roman" w:cs="Times New Roman"/>
          <w:sz w:val="24"/>
          <w:szCs w:val="24"/>
        </w:rPr>
        <w:t>La Fed, dinero sin límite</w:t>
      </w:r>
    </w:p>
    <w:p w:rsidR="007E72CD" w:rsidRPr="007E72CD" w:rsidRDefault="007E72CD" w:rsidP="00FA4DA9">
      <w:pPr>
        <w:spacing w:line="240" w:lineRule="auto"/>
        <w:jc w:val="both"/>
        <w:rPr>
          <w:rFonts w:ascii="Times New Roman" w:hAnsi="Times New Roman" w:cs="Times New Roman"/>
          <w:b/>
          <w:color w:val="FF0000"/>
          <w:sz w:val="24"/>
          <w:szCs w:val="24"/>
          <w:u w:val="single"/>
        </w:rPr>
      </w:pPr>
      <w:r w:rsidRPr="007E72CD">
        <w:rPr>
          <w:rFonts w:ascii="Times New Roman" w:hAnsi="Times New Roman" w:cs="Times New Roman"/>
          <w:b/>
          <w:color w:val="FF0000"/>
          <w:sz w:val="24"/>
          <w:szCs w:val="24"/>
          <w:u w:val="single"/>
        </w:rPr>
        <w:t>Por su parte, la institución que lidera Jerome Powell ha anunciado que llevará su programa de compra de deuda a su máxima expresión, con adquisiciones sin límite durante el tiempo que sea necesario.</w:t>
      </w:r>
    </w:p>
    <w:p w:rsidR="007E72CD" w:rsidRPr="007E72CD" w:rsidRDefault="007E72CD" w:rsidP="00FA4DA9">
      <w:pPr>
        <w:spacing w:line="240" w:lineRule="auto"/>
        <w:jc w:val="both"/>
        <w:rPr>
          <w:rFonts w:ascii="Times New Roman" w:hAnsi="Times New Roman" w:cs="Times New Roman"/>
          <w:b/>
          <w:color w:val="FF0000"/>
          <w:sz w:val="24"/>
          <w:szCs w:val="24"/>
          <w:u w:val="single"/>
        </w:rPr>
      </w:pPr>
      <w:r w:rsidRPr="007E72CD">
        <w:rPr>
          <w:rFonts w:ascii="Times New Roman" w:hAnsi="Times New Roman" w:cs="Times New Roman"/>
          <w:b/>
          <w:color w:val="FF0000"/>
          <w:sz w:val="24"/>
          <w:szCs w:val="24"/>
          <w:u w:val="single"/>
        </w:rPr>
        <w:t xml:space="preserve">Además, la Fed ha aprobado un aluvión de nuevos programas de préstamos por un total de 300.000 millones de dólares con el propósito de dar apoyo a los más afectados por la </w:t>
      </w:r>
      <w:r w:rsidRPr="007E72CD">
        <w:rPr>
          <w:rFonts w:ascii="Times New Roman" w:hAnsi="Times New Roman" w:cs="Times New Roman"/>
          <w:b/>
          <w:color w:val="FF0000"/>
          <w:sz w:val="24"/>
          <w:szCs w:val="24"/>
          <w:u w:val="single"/>
        </w:rPr>
        <w:lastRenderedPageBreak/>
        <w:t>paralización de la economía. Entre otros, ofertará préstamos a estudiantes, créditos al consumo y a pequeñas empresas. También adquirirá bonos de grandes compañías a las que concederá préstamos puente a cuatro años.</w:t>
      </w:r>
    </w:p>
    <w:p w:rsidR="007E72CD" w:rsidRPr="007E72CD" w:rsidRDefault="007E72CD" w:rsidP="00FA4DA9">
      <w:pPr>
        <w:spacing w:line="240" w:lineRule="auto"/>
        <w:jc w:val="both"/>
        <w:rPr>
          <w:rFonts w:ascii="Times New Roman" w:hAnsi="Times New Roman" w:cs="Times New Roman"/>
          <w:b/>
          <w:color w:val="FF0000"/>
          <w:sz w:val="24"/>
          <w:szCs w:val="24"/>
          <w:u w:val="single"/>
        </w:rPr>
      </w:pPr>
      <w:r w:rsidRPr="007E72CD">
        <w:rPr>
          <w:rFonts w:ascii="Times New Roman" w:hAnsi="Times New Roman" w:cs="Times New Roman"/>
          <w:b/>
          <w:color w:val="FF0000"/>
          <w:sz w:val="24"/>
          <w:szCs w:val="24"/>
          <w:u w:val="single"/>
        </w:rPr>
        <w:t>Por las compras ilimitadas, resulta especialmente difícil predecir la evolución del balance de la Fed. Sin embargo, Steven Mnuchin, secretario del Tesoro de Estados Unidos, valoró la intervención de la autoridad monetaria en cuatro billones de dólares a la hora de cuantificar la intervención de seis billones de dólares que movilizará el país, ya que dos billones proceden de la política fiscal. Por el momento, el balance de la Fed ha escalado hasta los 5,81 billones de dólares.</w:t>
      </w:r>
    </w:p>
    <w:p w:rsidR="007E72CD" w:rsidRPr="00655276" w:rsidRDefault="007E72CD" w:rsidP="00FA4DA9">
      <w:pPr>
        <w:spacing w:line="240" w:lineRule="auto"/>
        <w:jc w:val="both"/>
        <w:rPr>
          <w:rFonts w:ascii="Times New Roman" w:hAnsi="Times New Roman" w:cs="Times New Roman"/>
          <w:b/>
          <w:color w:val="FF0000"/>
          <w:sz w:val="24"/>
          <w:szCs w:val="24"/>
          <w:u w:val="single"/>
        </w:rPr>
      </w:pPr>
      <w:r w:rsidRPr="00655276">
        <w:rPr>
          <w:rFonts w:ascii="Times New Roman" w:hAnsi="Times New Roman" w:cs="Times New Roman"/>
          <w:b/>
          <w:color w:val="FF0000"/>
          <w:sz w:val="24"/>
          <w:szCs w:val="24"/>
          <w:u w:val="single"/>
        </w:rPr>
        <w:t>Un gran número analistas advierte respecto al incremento vertiginoso de los activos de dos de los bancos centrales más grandes del mundo. A su juicio, las medidas tomadas para frenar el impacto de la desaceleración económica podrían provocar un repunte significativo de la inflación que podría ser el germen de una crisis monetaria.</w:t>
      </w:r>
    </w:p>
    <w:p w:rsidR="007E72CD" w:rsidRPr="00FA170A" w:rsidRDefault="007E72CD" w:rsidP="00FA4DA9">
      <w:pPr>
        <w:spacing w:line="240" w:lineRule="auto"/>
        <w:jc w:val="both"/>
        <w:rPr>
          <w:rFonts w:ascii="Times New Roman" w:hAnsi="Times New Roman" w:cs="Times New Roman"/>
          <w:sz w:val="24"/>
          <w:szCs w:val="24"/>
        </w:rPr>
      </w:pPr>
      <w:r w:rsidRPr="00655276">
        <w:rPr>
          <w:rFonts w:ascii="Times New Roman" w:hAnsi="Times New Roman" w:cs="Times New Roman"/>
          <w:color w:val="FF0000"/>
          <w:sz w:val="24"/>
          <w:szCs w:val="24"/>
          <w:u w:val="single"/>
        </w:rPr>
        <w:t>Esta hipótesis parte de que las instituciones no serán capaces de desescalar su intervención cuando el periodo de confinamiento por el virus llegue a su fin y comience la recuperación de la economía, pues resultaría traumático para los mercados</w:t>
      </w:r>
      <w:r w:rsidRPr="00FA170A">
        <w:rPr>
          <w:rFonts w:ascii="Times New Roman" w:hAnsi="Times New Roman" w:cs="Times New Roman"/>
          <w:sz w:val="24"/>
          <w:szCs w:val="24"/>
        </w:rPr>
        <w:t>. En el pasado, la Fed trató de normalizar su balance, pero el proceso acabó causando tensiones hasta el punto de forzarla a recuperar las compras de deuda e i</w:t>
      </w:r>
      <w:r>
        <w:rPr>
          <w:rFonts w:ascii="Times New Roman" w:hAnsi="Times New Roman" w:cs="Times New Roman"/>
          <w:sz w:val="24"/>
          <w:szCs w:val="24"/>
        </w:rPr>
        <w:t>nyectar liquidez a corto plazo.</w:t>
      </w:r>
    </w:p>
    <w:p w:rsidR="007E72CD" w:rsidRDefault="007E72CD" w:rsidP="00FA4DA9">
      <w:pPr>
        <w:spacing w:line="240" w:lineRule="auto"/>
        <w:jc w:val="both"/>
        <w:rPr>
          <w:rFonts w:ascii="Times New Roman" w:hAnsi="Times New Roman" w:cs="Times New Roman"/>
          <w:sz w:val="24"/>
          <w:szCs w:val="24"/>
        </w:rPr>
      </w:pPr>
      <w:r w:rsidRPr="00655276">
        <w:rPr>
          <w:rFonts w:ascii="Times New Roman" w:hAnsi="Times New Roman" w:cs="Times New Roman"/>
          <w:color w:val="FF0000"/>
          <w:sz w:val="24"/>
          <w:szCs w:val="24"/>
          <w:u w:val="single"/>
        </w:rPr>
        <w:t>Pero se trata de un asunto respecto al que el consenso está aún muy lejos. De momento, las presiones sobre los precios apuntan a un retorno de la deflación tanto en la zona euro como en Estados Unidos</w:t>
      </w:r>
      <w:r w:rsidRPr="00FA170A">
        <w:rPr>
          <w:rFonts w:ascii="Times New Roman" w:hAnsi="Times New Roman" w:cs="Times New Roman"/>
          <w:sz w:val="24"/>
          <w:szCs w:val="24"/>
        </w:rPr>
        <w:t>. Además, los partidarios de una expansión monetaria recuerdan que, incluso aunque los estímulos se pasen de frenada a la hora de apuntalar la recuperación económica, los factores estructurales que han provocado una caída constante en el tipo de interés real en los últimos años siguen presentes. Globalización, envejecimiento de la población y el desarrollo de las nuevas tecnologías, aseguran, mantendrán los índices de precios bajo control.</w:t>
      </w:r>
    </w:p>
    <w:p w:rsidR="00C13918" w:rsidRPr="00393AD3" w:rsidRDefault="00C13918" w:rsidP="00FA4DA9">
      <w:pPr>
        <w:pStyle w:val="NormalWeb"/>
        <w:spacing w:after="0"/>
        <w:jc w:val="both"/>
        <w:textAlignment w:val="baseline"/>
      </w:pPr>
      <w:r>
        <w:t xml:space="preserve">- </w:t>
      </w:r>
      <w:r w:rsidRPr="00393AD3">
        <w:rPr>
          <w:u w:val="single"/>
        </w:rPr>
        <w:t>El Covid-19 es la ruina: la deuda supondrá el 342% del PIB mundial este año</w:t>
      </w:r>
      <w:r>
        <w:t xml:space="preserve"> (El Confidencial - </w:t>
      </w:r>
      <w:r w:rsidRPr="00393AD3">
        <w:rPr>
          <w:b/>
        </w:rPr>
        <w:t>8/4/20</w:t>
      </w:r>
      <w:r>
        <w:t>)</w:t>
      </w:r>
    </w:p>
    <w:p w:rsidR="00C13918" w:rsidRPr="008B08A8" w:rsidRDefault="00C13918" w:rsidP="00FA4DA9">
      <w:pPr>
        <w:pStyle w:val="NormalWeb"/>
        <w:spacing w:after="0"/>
        <w:jc w:val="both"/>
        <w:textAlignment w:val="baseline"/>
      </w:pPr>
      <w:r w:rsidRPr="008B08A8">
        <w:t>(Por Carlos Sánchez)</w:t>
      </w:r>
    </w:p>
    <w:p w:rsidR="00C13918" w:rsidRPr="00655276" w:rsidRDefault="00C13918" w:rsidP="00FA4DA9">
      <w:pPr>
        <w:pStyle w:val="NormalWeb"/>
        <w:shd w:val="clear" w:color="auto" w:fill="FFFFFF"/>
        <w:spacing w:before="0" w:beforeAutospacing="0" w:after="0" w:afterAutospacing="0"/>
        <w:jc w:val="both"/>
        <w:textAlignment w:val="baseline"/>
        <w:rPr>
          <w:b/>
          <w:color w:val="FF0000"/>
          <w:u w:val="single"/>
        </w:rPr>
      </w:pPr>
      <w:r w:rsidRPr="00393AD3">
        <w:t xml:space="preserve">La pandemia del Covid-19 continúa pulverizando todos los registros. </w:t>
      </w:r>
      <w:r w:rsidRPr="00655276">
        <w:rPr>
          <w:b/>
          <w:color w:val="FF0000"/>
          <w:u w:val="single"/>
        </w:rPr>
        <w:t>Ahora ha vuelto a ser la </w:t>
      </w:r>
      <w:r w:rsidRPr="00655276">
        <w:rPr>
          <w:rStyle w:val="Textoennegrita"/>
          <w:color w:val="FF0000"/>
          <w:u w:val="single"/>
          <w:bdr w:val="none" w:sz="0" w:space="0" w:color="auto" w:frame="1"/>
        </w:rPr>
        <w:t>patronal bancaria mundial</w:t>
      </w:r>
      <w:r w:rsidRPr="00655276">
        <w:rPr>
          <w:b/>
          <w:color w:val="FF0000"/>
          <w:u w:val="single"/>
        </w:rPr>
        <w:t> quien ha llamado la atención sobre el enorme </w:t>
      </w:r>
      <w:hyperlink r:id="rId36" w:history="1">
        <w:r w:rsidRPr="00655276">
          <w:rPr>
            <w:rStyle w:val="Hipervnculo"/>
            <w:b/>
            <w:bCs/>
            <w:color w:val="FF0000"/>
          </w:rPr>
          <w:t>aumento de la deuda</w:t>
        </w:r>
      </w:hyperlink>
      <w:r w:rsidRPr="00655276">
        <w:rPr>
          <w:b/>
          <w:color w:val="FF0000"/>
          <w:u w:val="single"/>
        </w:rPr>
        <w:t> en el conjunto de la economía global en marzo. En concreto, el endeudamiento, solo de los Estados, se ha disparado hasta los 2,1 billones de dólares, una cifra que el propio </w:t>
      </w:r>
      <w:r w:rsidRPr="00655276">
        <w:rPr>
          <w:rStyle w:val="Textoennegrita"/>
          <w:color w:val="FF0000"/>
          <w:u w:val="single"/>
          <w:bdr w:val="none" w:sz="0" w:space="0" w:color="auto" w:frame="1"/>
        </w:rPr>
        <w:t>Instituto de Finanzas Internacionales</w:t>
      </w:r>
      <w:r w:rsidRPr="00655276">
        <w:rPr>
          <w:b/>
          <w:color w:val="FF0000"/>
          <w:u w:val="single"/>
        </w:rPr>
        <w:t> (IIF, por sus siglas en inglés) califica de “récord”.</w:t>
      </w:r>
    </w:p>
    <w:p w:rsidR="00C13918" w:rsidRPr="00655276" w:rsidRDefault="00C13918" w:rsidP="00FA4DA9">
      <w:pPr>
        <w:pStyle w:val="NormalWeb"/>
        <w:shd w:val="clear" w:color="auto" w:fill="FFFFFF"/>
        <w:spacing w:before="0" w:beforeAutospacing="0" w:after="0" w:afterAutospacing="0"/>
        <w:jc w:val="both"/>
        <w:textAlignment w:val="baseline"/>
        <w:rPr>
          <w:b/>
        </w:rPr>
      </w:pPr>
    </w:p>
    <w:p w:rsidR="00C13918" w:rsidRPr="00655276" w:rsidRDefault="00C13918" w:rsidP="00FA4DA9">
      <w:pPr>
        <w:pStyle w:val="NormalWeb"/>
        <w:shd w:val="clear" w:color="auto" w:fill="FFFFFF"/>
        <w:spacing w:before="0" w:beforeAutospacing="0" w:after="0" w:afterAutospacing="0"/>
        <w:jc w:val="both"/>
        <w:textAlignment w:val="baseline"/>
        <w:rPr>
          <w:b/>
          <w:color w:val="FF0000"/>
          <w:u w:val="single"/>
        </w:rPr>
      </w:pPr>
      <w:r w:rsidRPr="00655276">
        <w:rPr>
          <w:b/>
          <w:color w:val="FF0000"/>
          <w:u w:val="single"/>
        </w:rPr>
        <w:t>Ahora bien, si se incluyen las </w:t>
      </w:r>
      <w:hyperlink r:id="rId37" w:history="1">
        <w:r w:rsidRPr="00655276">
          <w:rPr>
            <w:rStyle w:val="Hipervnculo"/>
            <w:b/>
            <w:bCs/>
            <w:color w:val="FF0000"/>
          </w:rPr>
          <w:t>deudas</w:t>
        </w:r>
      </w:hyperlink>
      <w:r w:rsidRPr="00655276">
        <w:rPr>
          <w:b/>
          <w:color w:val="FF0000"/>
          <w:u w:val="single"/>
        </w:rPr>
        <w:t> que han contraído las empresas y los particulares, se estaría hablando de 3,2 billones (</w:t>
      </w:r>
      <w:r w:rsidRPr="00655276">
        <w:rPr>
          <w:rStyle w:val="Textoennegrita"/>
          <w:b w:val="0"/>
          <w:color w:val="FF0000"/>
          <w:u w:val="single"/>
          <w:bdr w:val="none" w:sz="0" w:space="0" w:color="auto" w:frame="1"/>
        </w:rPr>
        <w:t>2,9 billones de euros</w:t>
      </w:r>
      <w:r w:rsidRPr="00655276">
        <w:rPr>
          <w:b/>
          <w:color w:val="FF0000"/>
          <w:u w:val="single"/>
        </w:rPr>
        <w:t>). Es decir, cerca de dos veces y media el PIB de España.</w:t>
      </w:r>
    </w:p>
    <w:p w:rsidR="00C13918" w:rsidRPr="00655276" w:rsidRDefault="00C13918" w:rsidP="00FA4DA9">
      <w:pPr>
        <w:pStyle w:val="NormalWeb"/>
        <w:shd w:val="clear" w:color="auto" w:fill="FFFFFF"/>
        <w:spacing w:before="0" w:beforeAutospacing="0" w:after="0" w:afterAutospacing="0"/>
        <w:jc w:val="both"/>
        <w:textAlignment w:val="baseline"/>
        <w:rPr>
          <w:b/>
          <w:color w:val="FF0000"/>
          <w:u w:val="single"/>
        </w:rPr>
      </w:pPr>
    </w:p>
    <w:p w:rsidR="00C13918" w:rsidRPr="00655276" w:rsidRDefault="00C13918" w:rsidP="00FA4DA9">
      <w:pPr>
        <w:pStyle w:val="NormalWeb"/>
        <w:shd w:val="clear" w:color="auto" w:fill="FFFFFF"/>
        <w:spacing w:before="0" w:beforeAutospacing="0" w:after="0" w:afterAutospacing="0"/>
        <w:jc w:val="both"/>
        <w:textAlignment w:val="baseline"/>
        <w:rPr>
          <w:b/>
          <w:color w:val="FF0000"/>
          <w:u w:val="single"/>
        </w:rPr>
      </w:pPr>
      <w:r w:rsidRPr="00655276">
        <w:rPr>
          <w:b/>
          <w:color w:val="FF0000"/>
          <w:u w:val="single"/>
        </w:rPr>
        <w:t xml:space="preserve">Para hacerse una idea de </w:t>
      </w:r>
      <w:r w:rsidR="00132FFB" w:rsidRPr="00655276">
        <w:rPr>
          <w:b/>
          <w:color w:val="FF0000"/>
          <w:u w:val="single"/>
        </w:rPr>
        <w:t>lo que significa aquella cifra -</w:t>
      </w:r>
      <w:r w:rsidRPr="00655276">
        <w:rPr>
          <w:b/>
          <w:color w:val="FF0000"/>
          <w:u w:val="single"/>
        </w:rPr>
        <w:t>y en ese momento todavía no se habían materializado los gigantescos planes de estímulo que </w:t>
      </w:r>
      <w:hyperlink r:id="rId38" w:history="1">
        <w:r w:rsidRPr="00655276">
          <w:rPr>
            <w:rStyle w:val="Hipervnculo"/>
            <w:b/>
            <w:bCs/>
            <w:color w:val="FF0000"/>
          </w:rPr>
          <w:t>han anunciado</w:t>
        </w:r>
      </w:hyperlink>
      <w:r w:rsidRPr="00655276">
        <w:rPr>
          <w:b/>
          <w:color w:val="FF0000"/>
          <w:u w:val="single"/>
        </w:rPr>
        <w:t> los gobiernos en las última semanas, hay que tener en cuenta que representa más del doble del promedio registrado entre 2017 y 2019, que fue equivalente a 0,9 billones de dólares.</w:t>
      </w:r>
    </w:p>
    <w:p w:rsidR="00132FFB" w:rsidRPr="007D349B" w:rsidRDefault="00132FFB" w:rsidP="00FA4DA9">
      <w:pPr>
        <w:pStyle w:val="NormalWeb"/>
        <w:shd w:val="clear" w:color="auto" w:fill="FFFFFF"/>
        <w:spacing w:before="0" w:beforeAutospacing="0" w:after="0" w:afterAutospacing="0"/>
        <w:jc w:val="both"/>
        <w:textAlignment w:val="baseline"/>
        <w:rPr>
          <w:color w:val="FF0000"/>
          <w:u w:val="single"/>
        </w:rPr>
      </w:pPr>
    </w:p>
    <w:p w:rsidR="00C13918" w:rsidRPr="00393AD3" w:rsidRDefault="00C13918" w:rsidP="00FA4DA9">
      <w:pPr>
        <w:shd w:val="clear" w:color="auto" w:fill="FFFFFF"/>
        <w:spacing w:line="240" w:lineRule="auto"/>
        <w:jc w:val="both"/>
        <w:textAlignment w:val="baseline"/>
        <w:rPr>
          <w:rFonts w:ascii="Times New Roman" w:hAnsi="Times New Roman" w:cs="Times New Roman"/>
          <w:sz w:val="24"/>
          <w:szCs w:val="24"/>
        </w:rPr>
      </w:pPr>
      <w:r w:rsidRPr="00393AD3">
        <w:rPr>
          <w:rFonts w:ascii="Times New Roman" w:hAnsi="Times New Roman" w:cs="Times New Roman"/>
          <w:noProof/>
          <w:sz w:val="24"/>
          <w:szCs w:val="24"/>
          <w:lang w:eastAsia="es-ES"/>
        </w:rPr>
        <w:drawing>
          <wp:inline distT="0" distB="0" distL="0" distR="0" wp14:anchorId="17FE356D" wp14:editId="0E544415">
            <wp:extent cx="5734050" cy="2768600"/>
            <wp:effectExtent l="0" t="0" r="0" b="0"/>
            <wp:docPr id="244" name="Imagen 244" descr="Impacto del coronavirus en sectores con reservas de efectivo limitada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pacto del coronavirus en sectores con reservas de efectivo limitadas. "/>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34050" cy="2768600"/>
                    </a:xfrm>
                    <a:prstGeom prst="rect">
                      <a:avLst/>
                    </a:prstGeom>
                    <a:noFill/>
                    <a:ln>
                      <a:noFill/>
                    </a:ln>
                  </pic:spPr>
                </pic:pic>
              </a:graphicData>
            </a:graphic>
          </wp:inline>
        </w:drawing>
      </w:r>
      <w:r w:rsidRPr="00393AD3">
        <w:rPr>
          <w:rFonts w:ascii="Times New Roman" w:hAnsi="Times New Roman" w:cs="Times New Roman"/>
          <w:sz w:val="24"/>
          <w:szCs w:val="24"/>
        </w:rPr>
        <w:t>Impacto del coronavirus en sectores con reservas de efectivo limitadas.</w:t>
      </w:r>
    </w:p>
    <w:p w:rsidR="00C13918" w:rsidRPr="007D349B" w:rsidRDefault="00C13918" w:rsidP="00FA4DA9">
      <w:pPr>
        <w:pStyle w:val="NormalWeb"/>
        <w:shd w:val="clear" w:color="auto" w:fill="FFFFFF"/>
        <w:spacing w:before="0" w:beforeAutospacing="0" w:after="0" w:afterAutospacing="0"/>
        <w:jc w:val="both"/>
        <w:textAlignment w:val="baseline"/>
        <w:rPr>
          <w:b/>
          <w:color w:val="FF0000"/>
          <w:u w:val="single"/>
        </w:rPr>
      </w:pPr>
      <w:r w:rsidRPr="007D349B">
        <w:rPr>
          <w:b/>
          <w:color w:val="FF0000"/>
          <w:u w:val="single"/>
        </w:rPr>
        <w:t>El órgano que reúne a los banqueros del planeta destaca, en el sentido negativo, dentro de las economías avanzadas a seis países</w:t>
      </w:r>
      <w:r w:rsidRPr="00132FFB">
        <w:rPr>
          <w:color w:val="FF0000"/>
          <w:u w:val="single"/>
        </w:rPr>
        <w:t>, </w:t>
      </w:r>
      <w:r w:rsidRPr="00132FFB">
        <w:rPr>
          <w:rStyle w:val="Textoennegrita"/>
          <w:color w:val="FF0000"/>
          <w:u w:val="single"/>
          <w:bdr w:val="none" w:sz="0" w:space="0" w:color="auto" w:frame="1"/>
        </w:rPr>
        <w:t>España, Reino Unido, Japón, Francia, Italia y EEUU</w:t>
      </w:r>
      <w:r w:rsidRPr="00132FFB">
        <w:rPr>
          <w:color w:val="FF0000"/>
          <w:u w:val="single"/>
        </w:rPr>
        <w:t>,</w:t>
      </w:r>
      <w:r w:rsidRPr="007D349B">
        <w:rPr>
          <w:b/>
          <w:color w:val="FF0000"/>
          <w:u w:val="single"/>
        </w:rPr>
        <w:t xml:space="preserve"> que han visto crecer su deuda en más de 40 puntos de PIB desde la última gran crisis.</w:t>
      </w:r>
    </w:p>
    <w:p w:rsidR="00C13918" w:rsidRPr="00393AD3" w:rsidRDefault="00C13918" w:rsidP="00FA4DA9">
      <w:pPr>
        <w:pStyle w:val="NormalWeb"/>
        <w:shd w:val="clear" w:color="auto" w:fill="FFFFFF"/>
        <w:spacing w:before="0" w:beforeAutospacing="0" w:after="0" w:afterAutospacing="0"/>
        <w:jc w:val="both"/>
        <w:textAlignment w:val="baseline"/>
      </w:pPr>
    </w:p>
    <w:p w:rsidR="00C13918" w:rsidRPr="00655276" w:rsidRDefault="00C13918" w:rsidP="00FA4DA9">
      <w:pPr>
        <w:pStyle w:val="NormalWeb"/>
        <w:shd w:val="clear" w:color="auto" w:fill="FFFFFF"/>
        <w:spacing w:before="0" w:beforeAutospacing="0" w:after="0" w:afterAutospacing="0"/>
        <w:jc w:val="both"/>
        <w:textAlignment w:val="baseline"/>
        <w:rPr>
          <w:b/>
          <w:color w:val="FF0000"/>
          <w:u w:val="single"/>
        </w:rPr>
      </w:pPr>
      <w:r w:rsidRPr="00393AD3">
        <w:t>A partir de estos datos, los banqueros han hecho una </w:t>
      </w:r>
      <w:hyperlink r:id="rId40" w:history="1">
        <w:r w:rsidRPr="00132FFB">
          <w:rPr>
            <w:rStyle w:val="Hipervnculo"/>
            <w:bCs/>
            <w:color w:val="auto"/>
            <w:u w:val="none"/>
          </w:rPr>
          <w:t>proyección</w:t>
        </w:r>
      </w:hyperlink>
      <w:r w:rsidRPr="00393AD3">
        <w:t xml:space="preserve"> y estiman que, si se mantiene este ritmo a lo largo del año 2020, y teniendo en cuenta que el PIB del planeta puede caer un 3% en términos nominales, </w:t>
      </w:r>
      <w:r w:rsidRPr="007D349B">
        <w:rPr>
          <w:color w:val="FF0000"/>
          <w:u w:val="single"/>
        </w:rPr>
        <w:t xml:space="preserve">una estimación moderada respecto a otros informes, </w:t>
      </w:r>
      <w:r w:rsidRPr="00655276">
        <w:rPr>
          <w:b/>
          <w:color w:val="FF0000"/>
          <w:u w:val="single"/>
        </w:rPr>
        <w:t>la </w:t>
      </w:r>
      <w:r w:rsidRPr="00655276">
        <w:rPr>
          <w:rStyle w:val="Textoennegrita"/>
          <w:b w:val="0"/>
          <w:color w:val="FF0000"/>
          <w:u w:val="single"/>
          <w:bdr w:val="none" w:sz="0" w:space="0" w:color="auto" w:frame="1"/>
        </w:rPr>
        <w:t>deuda global</w:t>
      </w:r>
      <w:r w:rsidRPr="00655276">
        <w:rPr>
          <w:b/>
          <w:color w:val="FF0000"/>
          <w:u w:val="single"/>
        </w:rPr>
        <w:t> pasará de representar un 322% del producto interior bruto a un 342%. No hace falta decir que se trata de niveles jamás alcanzados.</w:t>
      </w:r>
    </w:p>
    <w:p w:rsidR="00C13918" w:rsidRPr="00393AD3" w:rsidRDefault="00C13918" w:rsidP="00FA4DA9">
      <w:pPr>
        <w:pStyle w:val="NormalWeb"/>
        <w:shd w:val="clear" w:color="auto" w:fill="FFFFFF"/>
        <w:spacing w:before="0" w:beforeAutospacing="0" w:after="0" w:afterAutospacing="0"/>
        <w:jc w:val="both"/>
        <w:textAlignment w:val="baseline"/>
      </w:pPr>
    </w:p>
    <w:p w:rsidR="00C13918" w:rsidRPr="00655276" w:rsidRDefault="00C13918" w:rsidP="00FA4DA9">
      <w:pPr>
        <w:pStyle w:val="NormalWeb"/>
        <w:shd w:val="clear" w:color="auto" w:fill="FFFFFF"/>
        <w:spacing w:before="0" w:beforeAutospacing="0" w:after="0" w:afterAutospacing="0"/>
        <w:jc w:val="both"/>
        <w:textAlignment w:val="baseline"/>
        <w:rPr>
          <w:b/>
          <w:color w:val="FF0000"/>
          <w:u w:val="single"/>
        </w:rPr>
      </w:pPr>
      <w:r w:rsidRPr="007D349B">
        <w:rPr>
          <w:color w:val="FF0000"/>
          <w:u w:val="single"/>
        </w:rPr>
        <w:t>Lo que </w:t>
      </w:r>
      <w:hyperlink r:id="rId41" w:history="1">
        <w:r w:rsidRPr="007D349B">
          <w:rPr>
            <w:rStyle w:val="Hipervnculo"/>
            <w:bCs/>
            <w:color w:val="FF0000"/>
          </w:rPr>
          <w:t>preocupa</w:t>
        </w:r>
      </w:hyperlink>
      <w:r w:rsidRPr="007D349B">
        <w:rPr>
          <w:color w:val="FF0000"/>
          <w:u w:val="single"/>
        </w:rPr>
        <w:t> al IIF es que este incremento del endeudamiento se producirá en un contexto económico extremadamente difícil. Habrá, por un lado, una fuerte contracción en los </w:t>
      </w:r>
      <w:r w:rsidRPr="007D349B">
        <w:rPr>
          <w:rStyle w:val="Textoennegrita"/>
          <w:b w:val="0"/>
          <w:color w:val="FF0000"/>
          <w:u w:val="single"/>
          <w:bdr w:val="none" w:sz="0" w:space="0" w:color="auto" w:frame="1"/>
        </w:rPr>
        <w:t>beneficios empresariales</w:t>
      </w:r>
      <w:r w:rsidRPr="007D349B">
        <w:rPr>
          <w:color w:val="FF0000"/>
          <w:u w:val="single"/>
        </w:rPr>
        <w:t xml:space="preserve"> (lo que puede aumentar la morosidad) y, por otro, </w:t>
      </w:r>
      <w:r w:rsidRPr="00655276">
        <w:rPr>
          <w:b/>
          <w:color w:val="FF0000"/>
          <w:u w:val="single"/>
        </w:rPr>
        <w:t>la pérdida de empleos será ingente, como ayer mismo </w:t>
      </w:r>
      <w:hyperlink r:id="rId42" w:history="1">
        <w:r w:rsidRPr="00655276">
          <w:rPr>
            <w:rStyle w:val="Hipervnculo"/>
            <w:b/>
            <w:bCs/>
            <w:color w:val="FF0000"/>
          </w:rPr>
          <w:t>estimó</w:t>
        </w:r>
      </w:hyperlink>
      <w:r w:rsidRPr="00655276">
        <w:rPr>
          <w:b/>
          <w:color w:val="FF0000"/>
          <w:u w:val="single"/>
        </w:rPr>
        <w:t> la Organización Internacional del Trabajo. La OIT, en concreto, prevé que 230 millones de trabajadores en todo el mundo se vean </w:t>
      </w:r>
      <w:hyperlink r:id="rId43" w:history="1">
        <w:r w:rsidRPr="00655276">
          <w:rPr>
            <w:rStyle w:val="Hipervnculo"/>
            <w:b/>
            <w:bCs/>
            <w:color w:val="FF0000"/>
          </w:rPr>
          <w:t>afectados</w:t>
        </w:r>
      </w:hyperlink>
      <w:r w:rsidRPr="00655276">
        <w:rPr>
          <w:b/>
          <w:color w:val="FF0000"/>
          <w:u w:val="single"/>
        </w:rPr>
        <w:t> de una u otra manera por recortes de plantillas, </w:t>
      </w:r>
      <w:r w:rsidRPr="00655276">
        <w:rPr>
          <w:rStyle w:val="Textoennegrita"/>
          <w:b w:val="0"/>
          <w:color w:val="FF0000"/>
          <w:u w:val="single"/>
          <w:bdr w:val="none" w:sz="0" w:space="0" w:color="auto" w:frame="1"/>
        </w:rPr>
        <w:t>suspensión de empleo</w:t>
      </w:r>
      <w:r w:rsidRPr="00655276">
        <w:rPr>
          <w:b/>
          <w:color w:val="FF0000"/>
          <w:u w:val="single"/>
        </w:rPr>
        <w:t> o reducción de horas de trabajo.</w:t>
      </w:r>
    </w:p>
    <w:p w:rsidR="00C13918" w:rsidRPr="007D349B" w:rsidRDefault="00C13918" w:rsidP="00FA4DA9">
      <w:pPr>
        <w:pStyle w:val="NormalWeb"/>
        <w:shd w:val="clear" w:color="auto" w:fill="FFFFFF"/>
        <w:spacing w:before="0" w:beforeAutospacing="0" w:after="0" w:afterAutospacing="0"/>
        <w:jc w:val="both"/>
        <w:textAlignment w:val="baseline"/>
        <w:rPr>
          <w:color w:val="FF0000"/>
          <w:u w:val="single"/>
        </w:rPr>
      </w:pPr>
    </w:p>
    <w:p w:rsidR="00C13918" w:rsidRPr="00A963B5" w:rsidRDefault="00C13918" w:rsidP="00FA4DA9">
      <w:pPr>
        <w:pStyle w:val="Ttulo4"/>
        <w:shd w:val="clear" w:color="auto" w:fill="FFFFFF"/>
        <w:spacing w:before="0" w:line="240" w:lineRule="auto"/>
        <w:jc w:val="both"/>
        <w:textAlignment w:val="baseline"/>
        <w:rPr>
          <w:rFonts w:ascii="Times New Roman" w:hAnsi="Times New Roman" w:cs="Times New Roman"/>
          <w:b w:val="0"/>
          <w:i w:val="0"/>
          <w:color w:val="auto"/>
          <w:sz w:val="24"/>
          <w:szCs w:val="24"/>
        </w:rPr>
      </w:pPr>
      <w:r w:rsidRPr="00A963B5">
        <w:rPr>
          <w:rFonts w:ascii="Times New Roman" w:hAnsi="Times New Roman" w:cs="Times New Roman"/>
          <w:b w:val="0"/>
          <w:i w:val="0"/>
          <w:color w:val="auto"/>
          <w:sz w:val="24"/>
          <w:szCs w:val="24"/>
        </w:rPr>
        <w:t>Muy vulnerables</w:t>
      </w:r>
    </w:p>
    <w:p w:rsidR="00C13918" w:rsidRDefault="00C13918" w:rsidP="00FA4DA9">
      <w:pPr>
        <w:pStyle w:val="NormalWeb"/>
        <w:shd w:val="clear" w:color="auto" w:fill="FFFFFF"/>
        <w:spacing w:before="0" w:beforeAutospacing="0" w:after="0" w:afterAutospacing="0"/>
        <w:jc w:val="both"/>
        <w:textAlignment w:val="baseline"/>
        <w:rPr>
          <w:rFonts w:asciiTheme="minorHAnsi" w:eastAsiaTheme="minorEastAsia" w:hAnsiTheme="minorHAnsi" w:cstheme="minorBidi"/>
          <w:sz w:val="22"/>
          <w:szCs w:val="22"/>
        </w:rPr>
      </w:pPr>
    </w:p>
    <w:p w:rsidR="00C13918" w:rsidRPr="00655276" w:rsidRDefault="00C13918" w:rsidP="00FA4DA9">
      <w:pPr>
        <w:pStyle w:val="NormalWeb"/>
        <w:shd w:val="clear" w:color="auto" w:fill="FFFFFF"/>
        <w:spacing w:before="0" w:beforeAutospacing="0" w:after="0" w:afterAutospacing="0"/>
        <w:jc w:val="both"/>
        <w:textAlignment w:val="baseline"/>
        <w:rPr>
          <w:b/>
          <w:color w:val="FF0000"/>
          <w:u w:val="single"/>
        </w:rPr>
      </w:pPr>
      <w:r w:rsidRPr="00655276">
        <w:rPr>
          <w:b/>
          <w:color w:val="FF0000"/>
          <w:u w:val="single"/>
        </w:rPr>
        <w:t>Los banqueros mundiales ponen el acento en el hecho de que el mundo encara una recesión de intensidad y duración desconocida con </w:t>
      </w:r>
      <w:r w:rsidRPr="0082389C">
        <w:rPr>
          <w:rStyle w:val="Textoennegrita"/>
          <w:color w:val="FF0000"/>
          <w:u w:val="single"/>
          <w:bdr w:val="none" w:sz="0" w:space="0" w:color="auto" w:frame="1"/>
        </w:rPr>
        <w:t>87 billones de dólares</w:t>
      </w:r>
      <w:r w:rsidRPr="00655276">
        <w:rPr>
          <w:b/>
          <w:color w:val="FF0000"/>
          <w:u w:val="single"/>
        </w:rPr>
        <w:t> más de deuda que en la anterior crisis económica, hace poco más de una década.</w:t>
      </w:r>
    </w:p>
    <w:p w:rsidR="00C13918" w:rsidRPr="007D349B" w:rsidRDefault="00C13918" w:rsidP="00FA4DA9">
      <w:pPr>
        <w:pStyle w:val="NormalWeb"/>
        <w:shd w:val="clear" w:color="auto" w:fill="FFFFFF"/>
        <w:spacing w:before="0" w:beforeAutospacing="0" w:after="0" w:afterAutospacing="0"/>
        <w:jc w:val="both"/>
        <w:textAlignment w:val="baseline"/>
        <w:rPr>
          <w:color w:val="FF0000"/>
          <w:u w:val="single"/>
        </w:rPr>
      </w:pPr>
      <w:r w:rsidRPr="00393AD3">
        <w:t>El IIF está igualmente preocupado, no solo por el volumen de deuda, tanto pública como privada, sino también porque economías </w:t>
      </w:r>
      <w:r w:rsidRPr="00393AD3">
        <w:rPr>
          <w:rStyle w:val="Textoennegrita"/>
          <w:b w:val="0"/>
          <w:bdr w:val="none" w:sz="0" w:space="0" w:color="auto" w:frame="1"/>
        </w:rPr>
        <w:t>muy vulnerables</w:t>
      </w:r>
      <w:r w:rsidRPr="00393AD3">
        <w:t xml:space="preserve">, como las de </w:t>
      </w:r>
      <w:r w:rsidRPr="007D349B">
        <w:rPr>
          <w:color w:val="FF0000"/>
          <w:u w:val="single"/>
        </w:rPr>
        <w:t>los países emergentes, necesitarán refinanciar solo este año nada menos que 730.000 millones de deuda en unos momentos en que los mercados están sobresaturados.</w:t>
      </w:r>
    </w:p>
    <w:p w:rsidR="00C13918" w:rsidRPr="00393AD3" w:rsidRDefault="00C13918" w:rsidP="00FA4DA9">
      <w:pPr>
        <w:pStyle w:val="NormalWeb"/>
        <w:shd w:val="clear" w:color="auto" w:fill="FFFFFF"/>
        <w:spacing w:before="0" w:beforeAutospacing="0" w:after="0" w:afterAutospacing="0"/>
        <w:jc w:val="both"/>
        <w:textAlignment w:val="baseline"/>
      </w:pPr>
    </w:p>
    <w:p w:rsidR="00C13918" w:rsidRPr="00393AD3" w:rsidRDefault="00C13918" w:rsidP="00FA4DA9">
      <w:pPr>
        <w:shd w:val="clear" w:color="auto" w:fill="FFFFFF"/>
        <w:spacing w:line="240" w:lineRule="auto"/>
        <w:jc w:val="both"/>
        <w:textAlignment w:val="baseline"/>
        <w:rPr>
          <w:rFonts w:ascii="Times New Roman" w:hAnsi="Times New Roman" w:cs="Times New Roman"/>
          <w:sz w:val="24"/>
          <w:szCs w:val="24"/>
        </w:rPr>
      </w:pPr>
      <w:r w:rsidRPr="00393AD3">
        <w:rPr>
          <w:rFonts w:ascii="Times New Roman" w:hAnsi="Times New Roman" w:cs="Times New Roman"/>
          <w:noProof/>
          <w:sz w:val="24"/>
          <w:szCs w:val="24"/>
          <w:lang w:eastAsia="es-ES"/>
        </w:rPr>
        <w:lastRenderedPageBreak/>
        <w:drawing>
          <wp:inline distT="0" distB="0" distL="0" distR="0" wp14:anchorId="51C496EB" wp14:editId="7DDEA589">
            <wp:extent cx="5810250" cy="2933700"/>
            <wp:effectExtent l="0" t="0" r="0" b="0"/>
            <wp:docPr id="245" name="Imagen 245" descr="Evolución de la deuda desde 200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volución de la deuda desde 2008. "/>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10250" cy="2933700"/>
                    </a:xfrm>
                    <a:prstGeom prst="rect">
                      <a:avLst/>
                    </a:prstGeom>
                    <a:noFill/>
                    <a:ln>
                      <a:noFill/>
                    </a:ln>
                  </pic:spPr>
                </pic:pic>
              </a:graphicData>
            </a:graphic>
          </wp:inline>
        </w:drawing>
      </w:r>
      <w:r w:rsidRPr="00393AD3">
        <w:rPr>
          <w:rFonts w:ascii="Times New Roman" w:hAnsi="Times New Roman" w:cs="Times New Roman"/>
          <w:sz w:val="24"/>
          <w:szCs w:val="24"/>
        </w:rPr>
        <w:t>Evolución de la deuda desde 2008.</w:t>
      </w:r>
    </w:p>
    <w:p w:rsidR="00C13918" w:rsidRDefault="00C13918" w:rsidP="00FA4DA9">
      <w:pPr>
        <w:pStyle w:val="NormalWeb"/>
        <w:shd w:val="clear" w:color="auto" w:fill="FFFFFF"/>
        <w:spacing w:before="0" w:beforeAutospacing="0" w:after="0" w:afterAutospacing="0"/>
        <w:jc w:val="both"/>
        <w:textAlignment w:val="baseline"/>
      </w:pPr>
      <w:r w:rsidRPr="007D349B">
        <w:rPr>
          <w:color w:val="FF0000"/>
          <w:u w:val="single"/>
        </w:rPr>
        <w:t>Y lo que no es menos significativo, el 80% de esa deuda está denominado en </w:t>
      </w:r>
      <w:hyperlink r:id="rId45" w:history="1">
        <w:r w:rsidRPr="007D349B">
          <w:rPr>
            <w:rStyle w:val="Hipervnculo"/>
            <w:bCs/>
            <w:color w:val="FF0000"/>
          </w:rPr>
          <w:t>dólares</w:t>
        </w:r>
      </w:hyperlink>
      <w:r w:rsidRPr="007D349B">
        <w:rPr>
          <w:color w:val="FF0000"/>
          <w:u w:val="single"/>
        </w:rPr>
        <w:t>, lo que hace que cualquier apreciación del billete verde se convierta en una tragedia económica para los gobiernos de países muy vulnerables que, además, tienen que luchar en sus países contra la pandemia, aumentando el gasto público de una forma muy importante</w:t>
      </w:r>
      <w:r w:rsidRPr="00393AD3">
        <w:t xml:space="preserve">. Esto explica, por ejemplo, que el </w:t>
      </w:r>
      <w:r w:rsidRPr="00A963B5">
        <w:t>FMI </w:t>
      </w:r>
      <w:hyperlink r:id="rId46" w:history="1">
        <w:r w:rsidRPr="00A963B5">
          <w:rPr>
            <w:rStyle w:val="Hipervnculo"/>
            <w:bCs/>
            <w:color w:val="auto"/>
            <w:u w:val="none"/>
          </w:rPr>
          <w:t>haya pedido</w:t>
        </w:r>
      </w:hyperlink>
      <w:r w:rsidRPr="00A963B5">
        <w:t> </w:t>
      </w:r>
      <w:r w:rsidRPr="00393AD3">
        <w:t>a Argentina que reduzca entre 55.000 millones y 85.000 millones de dólares los pagos de su deuda durante la próxima década.</w:t>
      </w:r>
    </w:p>
    <w:p w:rsidR="007E72CD" w:rsidRDefault="007E72CD" w:rsidP="00FA4DA9">
      <w:pPr>
        <w:pStyle w:val="NormalWeb"/>
        <w:shd w:val="clear" w:color="auto" w:fill="FFFFFF"/>
        <w:spacing w:before="0" w:beforeAutospacing="0" w:after="0" w:afterAutospacing="0"/>
        <w:jc w:val="both"/>
        <w:textAlignment w:val="baseline"/>
      </w:pPr>
    </w:p>
    <w:p w:rsidR="007E72CD" w:rsidRDefault="007E72CD" w:rsidP="00FA4DA9">
      <w:pPr>
        <w:pStyle w:val="NormalWeb"/>
        <w:shd w:val="clear" w:color="auto" w:fill="FFFFFF"/>
        <w:spacing w:before="0" w:beforeAutospacing="0" w:after="0" w:afterAutospacing="0"/>
        <w:jc w:val="both"/>
        <w:textAlignment w:val="baseline"/>
      </w:pPr>
      <w:r w:rsidRPr="00393AD3">
        <w:rPr>
          <w:noProof/>
        </w:rPr>
        <w:drawing>
          <wp:inline distT="0" distB="0" distL="0" distR="0" wp14:anchorId="618175C0" wp14:editId="3E8F1FB1">
            <wp:extent cx="5670550" cy="2971800"/>
            <wp:effectExtent l="0" t="0" r="6350" b="0"/>
            <wp:docPr id="276" name="Imagen 276" descr="Cambios en la deuda desde 2007.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ambios en la deuda desde 2007.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70550" cy="2971800"/>
                    </a:xfrm>
                    <a:prstGeom prst="rect">
                      <a:avLst/>
                    </a:prstGeom>
                    <a:noFill/>
                    <a:ln>
                      <a:noFill/>
                    </a:ln>
                  </pic:spPr>
                </pic:pic>
              </a:graphicData>
            </a:graphic>
          </wp:inline>
        </w:drawing>
      </w:r>
    </w:p>
    <w:p w:rsidR="007E72CD" w:rsidRPr="00393AD3" w:rsidRDefault="007E72CD" w:rsidP="00FA4DA9">
      <w:pPr>
        <w:shd w:val="clear" w:color="auto" w:fill="FFFFFF"/>
        <w:spacing w:line="240" w:lineRule="auto"/>
        <w:jc w:val="both"/>
        <w:textAlignment w:val="baseline"/>
        <w:rPr>
          <w:rFonts w:ascii="Times New Roman" w:hAnsi="Times New Roman" w:cs="Times New Roman"/>
          <w:sz w:val="24"/>
          <w:szCs w:val="24"/>
        </w:rPr>
      </w:pPr>
      <w:r w:rsidRPr="00393AD3">
        <w:rPr>
          <w:rFonts w:ascii="Times New Roman" w:hAnsi="Times New Roman" w:cs="Times New Roman"/>
          <w:sz w:val="24"/>
          <w:szCs w:val="24"/>
        </w:rPr>
        <w:t>Cambios en la deuda desde 2007.</w:t>
      </w:r>
    </w:p>
    <w:p w:rsidR="00C13918" w:rsidRDefault="00C13918" w:rsidP="00FA4DA9">
      <w:pPr>
        <w:pStyle w:val="NormalWeb"/>
        <w:shd w:val="clear" w:color="auto" w:fill="FFFFFF"/>
        <w:spacing w:before="0" w:beforeAutospacing="0" w:after="0" w:afterAutospacing="0"/>
        <w:jc w:val="both"/>
        <w:textAlignment w:val="baseline"/>
        <w:rPr>
          <w:color w:val="FF0000"/>
          <w:u w:val="single"/>
        </w:rPr>
      </w:pPr>
      <w:r w:rsidRPr="007D349B">
        <w:rPr>
          <w:color w:val="FF0000"/>
          <w:u w:val="single"/>
        </w:rPr>
        <w:t>En el caso de la </w:t>
      </w:r>
      <w:r w:rsidRPr="007D349B">
        <w:rPr>
          <w:rStyle w:val="Textoennegrita"/>
          <w:b w:val="0"/>
          <w:color w:val="FF0000"/>
          <w:u w:val="single"/>
          <w:bdr w:val="none" w:sz="0" w:space="0" w:color="auto" w:frame="1"/>
        </w:rPr>
        <w:t>deuda privada</w:t>
      </w:r>
      <w:r w:rsidRPr="007D349B">
        <w:rPr>
          <w:color w:val="FF0000"/>
          <w:u w:val="single"/>
        </w:rPr>
        <w:t>, el informe recuerda que supera los 48 billones de dólares, frente a los 35 billones con que comenzó la anterior crisis económica, lo que significa que también en este segmento el punto de partida es peor. Suiza, Dinamarca, Noruega, Canadá y Holanda son los países donde los hogares están más endeudados del mundo en relación con el PIB, sin bien donde más ha crecido en los últimos años es en China.</w:t>
      </w:r>
    </w:p>
    <w:p w:rsidR="00A963B5" w:rsidRPr="007D349B" w:rsidRDefault="00A963B5" w:rsidP="00FA4DA9">
      <w:pPr>
        <w:pStyle w:val="NormalWeb"/>
        <w:shd w:val="clear" w:color="auto" w:fill="FFFFFF"/>
        <w:spacing w:before="0" w:beforeAutospacing="0" w:after="0" w:afterAutospacing="0"/>
        <w:jc w:val="both"/>
        <w:textAlignment w:val="baseline"/>
        <w:rPr>
          <w:color w:val="FF0000"/>
          <w:u w:val="single"/>
        </w:rPr>
      </w:pPr>
    </w:p>
    <w:p w:rsidR="00C13918" w:rsidRPr="00393AD3" w:rsidRDefault="00C13918" w:rsidP="00FA4DA9">
      <w:pPr>
        <w:shd w:val="clear" w:color="auto" w:fill="FFFFFF"/>
        <w:spacing w:line="240" w:lineRule="auto"/>
        <w:jc w:val="both"/>
        <w:textAlignment w:val="baseline"/>
        <w:rPr>
          <w:rFonts w:ascii="Times New Roman" w:hAnsi="Times New Roman" w:cs="Times New Roman"/>
          <w:sz w:val="24"/>
          <w:szCs w:val="24"/>
        </w:rPr>
      </w:pPr>
      <w:r w:rsidRPr="00393AD3">
        <w:rPr>
          <w:rFonts w:ascii="Times New Roman" w:hAnsi="Times New Roman" w:cs="Times New Roman"/>
          <w:sz w:val="24"/>
          <w:szCs w:val="24"/>
        </w:rPr>
        <w:lastRenderedPageBreak/>
        <w:t>Cambios en la deuda desde 2007.</w:t>
      </w:r>
    </w:p>
    <w:p w:rsidR="00C13918" w:rsidRPr="00655276" w:rsidRDefault="00C13918" w:rsidP="00FA4DA9">
      <w:pPr>
        <w:pStyle w:val="NormalWeb"/>
        <w:shd w:val="clear" w:color="auto" w:fill="FFFFFF"/>
        <w:spacing w:before="0" w:beforeAutospacing="0" w:after="0" w:afterAutospacing="0"/>
        <w:jc w:val="both"/>
        <w:textAlignment w:val="baseline"/>
        <w:rPr>
          <w:b/>
          <w:color w:val="FF0000"/>
          <w:u w:val="single"/>
        </w:rPr>
      </w:pPr>
      <w:r w:rsidRPr="00655276">
        <w:rPr>
          <w:b/>
          <w:color w:val="FF0000"/>
          <w:u w:val="single"/>
        </w:rPr>
        <w:t>En lo que respecta a las empresas no financieras, su deuda se ha incrementado en más de un 70% desde 2007, hasta representar cerca del 92% del PIB. En este caso, las peores posiciones son las de Canadá, Chile, Francia, Filipinas, Singapur y Sudáfrica.</w:t>
      </w:r>
    </w:p>
    <w:p w:rsidR="00C13918" w:rsidRPr="007D349B" w:rsidRDefault="00C13918" w:rsidP="00FA4DA9">
      <w:pPr>
        <w:pStyle w:val="NormalWeb"/>
        <w:shd w:val="clear" w:color="auto" w:fill="FFFFFF"/>
        <w:spacing w:before="0" w:beforeAutospacing="0" w:after="0" w:afterAutospacing="0"/>
        <w:jc w:val="both"/>
        <w:textAlignment w:val="baseline"/>
        <w:rPr>
          <w:color w:val="FF0000"/>
          <w:u w:val="single"/>
        </w:rPr>
      </w:pPr>
    </w:p>
    <w:p w:rsidR="00C13918" w:rsidRDefault="00C13918" w:rsidP="00FA4DA9">
      <w:pPr>
        <w:pStyle w:val="NormalWeb"/>
        <w:shd w:val="clear" w:color="auto" w:fill="FFFFFF"/>
        <w:spacing w:before="0" w:beforeAutospacing="0" w:after="0" w:afterAutospacing="0"/>
        <w:jc w:val="both"/>
        <w:textAlignment w:val="baseline"/>
      </w:pPr>
      <w:r w:rsidRPr="00393AD3">
        <w:t>La conclusión que obtienen los banqueros privados es que los </w:t>
      </w:r>
      <w:r w:rsidRPr="00393AD3">
        <w:rPr>
          <w:rStyle w:val="Textoennegrita"/>
          <w:b w:val="0"/>
          <w:bdr w:val="none" w:sz="0" w:space="0" w:color="auto" w:frame="1"/>
        </w:rPr>
        <w:t>colchones financieros</w:t>
      </w:r>
      <w:r w:rsidRPr="00393AD3">
        <w:t> para hacer frente a una disrupción económica prolongada son muy escasos, lo que hace que sea más difícil una recuperación en V.</w:t>
      </w:r>
    </w:p>
    <w:p w:rsidR="00C13918" w:rsidRDefault="00C13918" w:rsidP="00FA4DA9">
      <w:pPr>
        <w:pStyle w:val="NormalWeb"/>
        <w:spacing w:after="0"/>
        <w:jc w:val="both"/>
        <w:textAlignment w:val="baseline"/>
      </w:pPr>
      <w:r>
        <w:t xml:space="preserve">- </w:t>
      </w:r>
      <w:r w:rsidRPr="00E36244">
        <w:rPr>
          <w:u w:val="single"/>
        </w:rPr>
        <w:t>El Eurogrupo alcanza un acuerdo y desbloquea más de 500.000 millones contra el coronavirus</w:t>
      </w:r>
      <w:r>
        <w:t xml:space="preserve"> (Cinco Días - </w:t>
      </w:r>
      <w:r>
        <w:rPr>
          <w:b/>
        </w:rPr>
        <w:t>9</w:t>
      </w:r>
      <w:r w:rsidRPr="00E36244">
        <w:rPr>
          <w:b/>
        </w:rPr>
        <w:t>/4/20</w:t>
      </w:r>
      <w:r>
        <w:t>)</w:t>
      </w:r>
      <w:r w:rsidRPr="00E36244">
        <w:t xml:space="preserve"> </w:t>
      </w:r>
    </w:p>
    <w:p w:rsidR="00C13918" w:rsidRDefault="00C13918" w:rsidP="00FA4DA9">
      <w:pPr>
        <w:pStyle w:val="NormalWeb"/>
        <w:spacing w:after="0"/>
        <w:jc w:val="both"/>
        <w:textAlignment w:val="baseline"/>
      </w:pPr>
      <w:r>
        <w:t xml:space="preserve">A la quinta va la vencida. </w:t>
      </w:r>
      <w:r w:rsidRPr="00655276">
        <w:rPr>
          <w:b/>
          <w:color w:val="FF0000"/>
          <w:u w:val="single"/>
        </w:rPr>
        <w:t>El Eurogrupo, los ministros de Economía y Finanzas de la zona euro, ha alcanzado a última hora del jueves un acuerdo de mínimos para desbloquear más de 500.000 millones de euros en la lucha contra el coronavirus</w:t>
      </w:r>
      <w:r>
        <w:t xml:space="preserve">. El primero en anunciarlo ha sido el ministro francés de Finanzas, Bruno Le Maire, en un mensaje compartido en la red social Twitter. </w:t>
      </w:r>
      <w:r w:rsidR="00A963B5">
        <w:rPr>
          <w:u w:val="single"/>
        </w:rPr>
        <w:t>“</w:t>
      </w:r>
      <w:r w:rsidRPr="00C63F29">
        <w:rPr>
          <w:u w:val="single"/>
        </w:rPr>
        <w:t>Excelente acuerdo entre los ministros de Finanzas europeos: 500.000 millones de euros estarán disponibles inmediatamente. Un fondo de recuperación por venir. Europa decide y se muestra a la altura de la graveda</w:t>
      </w:r>
      <w:r w:rsidR="00A963B5">
        <w:rPr>
          <w:u w:val="single"/>
        </w:rPr>
        <w:t>d de la crisis”</w:t>
      </w:r>
      <w:r w:rsidRPr="00C63F29">
        <w:rPr>
          <w:u w:val="single"/>
        </w:rPr>
        <w:t xml:space="preserve">, </w:t>
      </w:r>
      <w:r>
        <w:t>ha escrito. Acto seguido lo ha hecho la vicepresid</w:t>
      </w:r>
      <w:r w:rsidR="00A963B5">
        <w:t>enta económica, Nadia Calviño: “</w:t>
      </w:r>
      <w:r>
        <w:t>Hemos alcanzado un buen acuerdo en el Eurogrupo, con una red de seguridad triple para trabajadores, empresas y estados en la lucha contra el Covid-19. Seguiremos trabajando en mecanismos comunes de financiación</w:t>
      </w:r>
      <w:r w:rsidR="00A963B5">
        <w:t xml:space="preserve"> para la recuperación económica”</w:t>
      </w:r>
      <w:r>
        <w:t>. El plan de choque llega tras más de un mes de negociaciones y enfrentamientos entre norte y sur, con especial tensión entre Países Bajos e Italia, bien en el Eurogrupo, bien en el Consejo Europeo. También llega tras más de un mes en el que el Covid-19 se ha cebado con los socios del Mediterráneo.</w:t>
      </w:r>
    </w:p>
    <w:p w:rsidR="00C13918" w:rsidRPr="00655276" w:rsidRDefault="00C13918" w:rsidP="00FA4DA9">
      <w:pPr>
        <w:pStyle w:val="NormalWeb"/>
        <w:spacing w:after="0"/>
        <w:jc w:val="both"/>
        <w:textAlignment w:val="baseline"/>
        <w:rPr>
          <w:b/>
          <w:color w:val="FF0000"/>
          <w:u w:val="single"/>
        </w:rPr>
      </w:pPr>
      <w:r>
        <w:t xml:space="preserve">Este jueves, como había sucedido dos días antes, la reunión empezó con retraso. Esta vez, con casi cinco horas. Tras el largo receso, que sirvió para intentar acercar posturas, </w:t>
      </w:r>
      <w:r w:rsidRPr="00C63F29">
        <w:rPr>
          <w:u w:val="single"/>
        </w:rPr>
        <w:t>los ministros han evaluado un borrador de pacto que había sido previamente consensuado entre Alemania, Francia, España, Italia y Países Bajos, han confirmado a Europa Press varias fuentes comunitarias. Estos son los cinco países que marcan el ritmo de las negociaciones.</w:t>
      </w:r>
      <w:r>
        <w:t xml:space="preserve"> </w:t>
      </w:r>
      <w:r w:rsidRPr="00655276">
        <w:rPr>
          <w:b/>
          <w:color w:val="FF0000"/>
          <w:u w:val="single"/>
        </w:rPr>
        <w:t>Suponen el 80% del PIB de la eurozona, y más del 80% del fondo de rescate europeo, el MEDE. El acuerdo contempla la movilización de más de medio billón de euros: más de 200.000 del MEDE (con un debate que se centrado en las condiciones e intereses del préstamo), otros 200.000 del Banco Europeo de Inversiones (destinados a grandes empresas y pymes), y los últimos 100.000 de Sure, el fondo contra el paro propuesto por la Comisión.</w:t>
      </w:r>
    </w:p>
    <w:p w:rsidR="00C13918" w:rsidRDefault="00C13918" w:rsidP="00FA4DA9">
      <w:pPr>
        <w:pStyle w:val="NormalWeb"/>
        <w:spacing w:after="0"/>
        <w:jc w:val="both"/>
        <w:textAlignment w:val="baseline"/>
      </w:pPr>
      <w:r w:rsidRPr="00C63F29">
        <w:rPr>
          <w:u w:val="single"/>
        </w:rPr>
        <w:t>Queda por ver la letra pequeña, ya que los intereses a los que estaba sujeto el MEDE han situado en las últimas semanas al sur y al norte en posiciones antagónicas, muy cerca de llegar a puntos irreconciliables</w:t>
      </w:r>
      <w:r>
        <w:t xml:space="preserve">. De los cinco socios que llevan la batuta, al que se añade Portugal, </w:t>
      </w:r>
      <w:r w:rsidRPr="00C63F29">
        <w:rPr>
          <w:u w:val="single"/>
        </w:rPr>
        <w:t>todos salvo Italia y Países Bajos habían rebajado antes de la cumbre sus líneas rojas en mayor o menor medida</w:t>
      </w:r>
      <w:r>
        <w:t xml:space="preserve">. </w:t>
      </w:r>
      <w:r w:rsidRPr="00C63F29">
        <w:rPr>
          <w:u w:val="single"/>
        </w:rPr>
        <w:t>El ministro alemán, Olaf Scholz, y el ministro francés, Bruno Le Maire, al igual que el presidente del Eurogrupo, el luso Mário Centeno, presionaron durante todo el jueves a Países Bajos para que diese su brazo a torcer</w:t>
      </w:r>
      <w:r>
        <w:t>. Nadia Calviño también recordó antes de la videoconferencia que Europa se jugaba hacer honor a su nombre.</w:t>
      </w:r>
    </w:p>
    <w:p w:rsidR="00C13918" w:rsidRPr="00C63F29" w:rsidRDefault="00C13918" w:rsidP="00FA4DA9">
      <w:pPr>
        <w:pStyle w:val="NormalWeb"/>
        <w:spacing w:after="0"/>
        <w:jc w:val="both"/>
        <w:textAlignment w:val="baseline"/>
        <w:rPr>
          <w:color w:val="FF0000"/>
          <w:u w:val="single"/>
        </w:rPr>
      </w:pPr>
      <w:r w:rsidRPr="00C63F29">
        <w:rPr>
          <w:color w:val="FF0000"/>
          <w:u w:val="single"/>
        </w:rPr>
        <w:lastRenderedPageBreak/>
        <w:t>Además de la movilización del medio billón de euros, también se a</w:t>
      </w:r>
      <w:r w:rsidR="00A963B5">
        <w:rPr>
          <w:color w:val="FF0000"/>
          <w:u w:val="single"/>
        </w:rPr>
        <w:t>cuerda “</w:t>
      </w:r>
      <w:r w:rsidRPr="00C63F29">
        <w:rPr>
          <w:color w:val="FF0000"/>
          <w:u w:val="single"/>
        </w:rPr>
        <w:t>traba</w:t>
      </w:r>
      <w:r w:rsidR="00A963B5">
        <w:rPr>
          <w:color w:val="FF0000"/>
          <w:u w:val="single"/>
        </w:rPr>
        <w:t>jar en un Fondo de Recuperación”</w:t>
      </w:r>
      <w:r w:rsidRPr="00C63F29">
        <w:rPr>
          <w:color w:val="FF0000"/>
          <w:u w:val="single"/>
        </w:rPr>
        <w:t xml:space="preserve"> para preparar y apoyar la reactivación económica, proporcionando fondos a través del presupuesto de la UE a programas diseñados para impulsar la economía. Dicho fondo sería temporal, específico y limitado a los costes extraordinarios de la crisis. El documento, a su vez, hace referen</w:t>
      </w:r>
      <w:r w:rsidR="00A963B5">
        <w:rPr>
          <w:color w:val="FF0000"/>
          <w:u w:val="single"/>
        </w:rPr>
        <w:t>cia a la posibilidad de lanzar “</w:t>
      </w:r>
      <w:r w:rsidRPr="00C63F29">
        <w:rPr>
          <w:color w:val="FF0000"/>
          <w:u w:val="single"/>
        </w:rPr>
        <w:t>instr</w:t>
      </w:r>
      <w:r w:rsidR="00A963B5">
        <w:rPr>
          <w:color w:val="FF0000"/>
          <w:u w:val="single"/>
        </w:rPr>
        <w:t>umentos financieros innovadores”</w:t>
      </w:r>
      <w:r w:rsidRPr="00C63F29">
        <w:rPr>
          <w:color w:val="FF0000"/>
          <w:u w:val="single"/>
        </w:rPr>
        <w:t>, una de las propuestas que ha defendido España. Si bien, no concreta cuáles.</w:t>
      </w:r>
    </w:p>
    <w:p w:rsidR="00C13918" w:rsidRPr="00DF3F0D" w:rsidRDefault="00C13918" w:rsidP="00FA4DA9">
      <w:pPr>
        <w:pStyle w:val="NormalWeb"/>
        <w:spacing w:after="0"/>
        <w:jc w:val="both"/>
        <w:textAlignment w:val="baseline"/>
        <w:rPr>
          <w:color w:val="FF0000"/>
          <w:u w:val="single"/>
        </w:rPr>
      </w:pPr>
      <w:r w:rsidRPr="00DF3F0D">
        <w:rPr>
          <w:color w:val="FF0000"/>
          <w:u w:val="single"/>
        </w:rPr>
        <w:t>En el acuerdo queda también reflejado, entre otros puntos, que el próximo Marco Financ</w:t>
      </w:r>
      <w:r w:rsidR="00A963B5">
        <w:rPr>
          <w:color w:val="FF0000"/>
          <w:u w:val="single"/>
        </w:rPr>
        <w:t>iero Plurianual (MFP) de la UE “</w:t>
      </w:r>
      <w:r w:rsidRPr="00DF3F0D">
        <w:rPr>
          <w:color w:val="FF0000"/>
          <w:u w:val="single"/>
        </w:rPr>
        <w:t>desempeñará un papel central en la recuperación económica. Tendrá que reflejar el impacto de esta crisis y el tamaño de los desafíos futuros, permitiendo a los Estados miembros abordar de manera efectiva las consecuencias de la crisis del coronavirus, apoyar la recuperación econ</w:t>
      </w:r>
      <w:r w:rsidR="00A963B5">
        <w:rPr>
          <w:color w:val="FF0000"/>
          <w:u w:val="single"/>
        </w:rPr>
        <w:t>ómica y garantizar esa cohesión”</w:t>
      </w:r>
      <w:r w:rsidRPr="00DF3F0D">
        <w:rPr>
          <w:color w:val="FF0000"/>
          <w:u w:val="single"/>
        </w:rPr>
        <w:t>.</w:t>
      </w:r>
    </w:p>
    <w:p w:rsidR="00C13918" w:rsidRPr="00DF3F0D" w:rsidRDefault="00C13918" w:rsidP="00FA4DA9">
      <w:pPr>
        <w:pStyle w:val="NormalWeb"/>
        <w:spacing w:after="0"/>
        <w:jc w:val="both"/>
        <w:textAlignment w:val="baseline"/>
        <w:rPr>
          <w:u w:val="single"/>
        </w:rPr>
      </w:pPr>
      <w:r w:rsidRPr="00DF3F0D">
        <w:rPr>
          <w:u w:val="single"/>
        </w:rPr>
        <w:t>Los eurobonos, al igual que las condiciones para que los países más perjudicados puedan acceder al MEDE (el fondo de rescate europeo), eran el principal campo de batalla entre norte y sur. España, Francia, y sobre todo Italia, reclamaban la emisión de deuda conjunta a través de algún tipo de vehículo, que Madrid y París han aceptado rebajar a fórmulas diferentes al coronabono a fin de ser más pragmáticos. El sur también reclamaba que el acceso al MEDE no esté sujeto ni a condiciones ni a reformas y supervisión posteriores.</w:t>
      </w:r>
    </w:p>
    <w:p w:rsidR="00C13918" w:rsidRPr="00DF3F0D" w:rsidRDefault="00C13918" w:rsidP="00FA4DA9">
      <w:pPr>
        <w:pStyle w:val="NormalWeb"/>
        <w:spacing w:after="0"/>
        <w:jc w:val="both"/>
        <w:textAlignment w:val="baseline"/>
        <w:rPr>
          <w:u w:val="single"/>
        </w:rPr>
      </w:pPr>
      <w:r w:rsidRPr="00DF3F0D">
        <w:rPr>
          <w:color w:val="FF0000"/>
          <w:u w:val="single"/>
        </w:rPr>
        <w:t>El norte, encabezado por Países Bajos, pero con Austria, Finlandia y Alemania de la mano, rechazaba que estas condiciones sean simbólicas tras la pri</w:t>
      </w:r>
      <w:r w:rsidR="00655276">
        <w:rPr>
          <w:color w:val="FF0000"/>
          <w:u w:val="single"/>
        </w:rPr>
        <w:t>mera movilización -de unos 80.000 millones-</w:t>
      </w:r>
      <w:r w:rsidRPr="00DF3F0D">
        <w:rPr>
          <w:color w:val="FF0000"/>
          <w:u w:val="single"/>
        </w:rPr>
        <w:t>, y exigía algún tipo de garantía. También se negaba en rotundo a lanzar al mercado los bautizados como coronabonos</w:t>
      </w:r>
      <w:r>
        <w:t xml:space="preserve">. La canciller alemana, Angela Merkel, a pesar de haber acercado posturas con Francia y España en la última semana, volvió a enfriar esta posibilidad antes de la cumbre. </w:t>
      </w:r>
      <w:r w:rsidRPr="00DF3F0D">
        <w:rPr>
          <w:u w:val="single"/>
        </w:rPr>
        <w:t>Fuentes cercanas a Bruselas indican que, a priori, estas condiciones serán simbólicas tras el pacto alcanzado</w:t>
      </w:r>
      <w:r w:rsidR="00655276" w:rsidRPr="00655276">
        <w:t>…</w:t>
      </w:r>
    </w:p>
    <w:p w:rsidR="00C13918" w:rsidRPr="00DF3F0D" w:rsidRDefault="00C13918" w:rsidP="00FA4DA9">
      <w:pPr>
        <w:pStyle w:val="NormalWeb"/>
        <w:spacing w:after="0"/>
        <w:jc w:val="both"/>
        <w:textAlignment w:val="baseline"/>
        <w:rPr>
          <w:u w:val="single"/>
        </w:rPr>
      </w:pPr>
      <w:r>
        <w:t xml:space="preserve">Antes de la cumbre, Bruselas volvió a mover ficha en la tarde del jueves para intentar acercar posturas entre los socios de la Unión Europea, profundamente divididos en dos bloques. Era una idea que ya se había dejado caer días antes, pero </w:t>
      </w:r>
      <w:r w:rsidRPr="00DF3F0D">
        <w:rPr>
          <w:u w:val="single"/>
        </w:rPr>
        <w:t>la Comisión Europea anunció formalmente que propondrá una ampliación de las normas temporales que permitirá a los Estados miembros entrar en el capital de empresas especialmente golpeadas por la pandemia de Covid-19, aunque esta solución deberá ser empleada como “último recurso” y estará sujeta a una serie de condiciones. El organismo que dirige Ursula von der Leyen hizo público el anuncio al mismo tiempo que los ministros de Economía y Finanzas ultimaban los preparativos y acercamientos previos a la cumbre del Eurogrupo, que había sido cancelada el martes por la falta de acuerdo.</w:t>
      </w:r>
    </w:p>
    <w:p w:rsidR="00C13918" w:rsidRDefault="00C13918" w:rsidP="00FA4DA9">
      <w:pPr>
        <w:pStyle w:val="NormalWeb"/>
        <w:spacing w:after="0"/>
        <w:jc w:val="both"/>
        <w:textAlignment w:val="baseline"/>
      </w:pPr>
      <w:r>
        <w:t>En medio del bloqueo, el planteamiento básico de la enmienda que prepara el Ejecutivo comunitario, y que forma parte del Marco Temporal de ayudas públicas puesto en marcha a raíz de la pandemia, es que los gobiernos puedan apoyar la recapitalización de empresas en dificultades económicas derivadas de la crisis. Estas intervenciones, explica la Comisión en un comunicado, podrían tener un “impacto significativo” en la competencia y por eso “deberían ser acciones de último recurso”. Con la misma lógica, para poder entrar en el capital de compañías golpeadas por la pandemia, los Estados miembros tendrán que cumplir una serie de condiciones estrictas.</w:t>
      </w:r>
    </w:p>
    <w:p w:rsidR="00C13918" w:rsidRPr="00DF3F0D" w:rsidRDefault="00C13918" w:rsidP="00FA4DA9">
      <w:pPr>
        <w:pStyle w:val="NormalWeb"/>
        <w:spacing w:after="0"/>
        <w:jc w:val="both"/>
        <w:textAlignment w:val="baseline"/>
        <w:rPr>
          <w:color w:val="FF0000"/>
          <w:u w:val="single"/>
        </w:rPr>
      </w:pPr>
      <w:r w:rsidRPr="00DF3F0D">
        <w:rPr>
          <w:color w:val="FF0000"/>
          <w:u w:val="single"/>
        </w:rPr>
        <w:t xml:space="preserve">La Comisión Europea, que ya ha flexibilizado las normas de gasto público para que los socios puedan dedicar los recursos necesarios a la lucha contra la pandemia, y que también ha </w:t>
      </w:r>
      <w:r w:rsidRPr="00DF3F0D">
        <w:rPr>
          <w:color w:val="FF0000"/>
          <w:u w:val="single"/>
        </w:rPr>
        <w:lastRenderedPageBreak/>
        <w:t>propuesto la creación del fondo Sure para costear los ERTE, llevaba varios días urgiendo a los Gobiernos a un acuerdo. También lo hizo el jueves la presidenta del Banco Central Europeo, Christine Lagarde, que garantizó que, pese a todo, ningún Estado quebrará. Lagarde, no obstante, quitó hierro a la falta de entendimiento en cuanto a la emisión de deuda conjunta a través de los coronabonos.</w:t>
      </w:r>
    </w:p>
    <w:p w:rsidR="00C13918" w:rsidRDefault="00C13918" w:rsidP="00FA4DA9">
      <w:pPr>
        <w:pStyle w:val="NormalWeb"/>
        <w:spacing w:after="0"/>
        <w:jc w:val="both"/>
        <w:textAlignment w:val="baseline"/>
      </w:pPr>
      <w:r>
        <w:t xml:space="preserve">- </w:t>
      </w:r>
      <w:r w:rsidRPr="00E36244">
        <w:rPr>
          <w:u w:val="single"/>
        </w:rPr>
        <w:t>El FMI estima en 7,4 billones la respuesta fiscal mundial a la recesión global</w:t>
      </w:r>
      <w:r>
        <w:t xml:space="preserve"> (Cinco Días - </w:t>
      </w:r>
      <w:r w:rsidRPr="00E36244">
        <w:rPr>
          <w:b/>
        </w:rPr>
        <w:t>9/4/20</w:t>
      </w:r>
      <w:r>
        <w:t>)</w:t>
      </w:r>
    </w:p>
    <w:p w:rsidR="00C13918" w:rsidRPr="00655276" w:rsidRDefault="00C13918" w:rsidP="00FA4DA9">
      <w:pPr>
        <w:pStyle w:val="NormalWeb"/>
        <w:spacing w:after="0"/>
        <w:jc w:val="both"/>
        <w:textAlignment w:val="baseline"/>
        <w:rPr>
          <w:b/>
          <w:color w:val="FF0000"/>
          <w:u w:val="single"/>
        </w:rPr>
      </w:pPr>
      <w:r w:rsidRPr="00655276">
        <w:rPr>
          <w:b/>
          <w:color w:val="FF0000"/>
          <w:u w:val="single"/>
        </w:rPr>
        <w:t>El mundo ha movilizado ya ocho billones de dólares (7,4 billones de euros) en ayudas fiscales y cuantiosos estímulos monetarios para afrontar la crisis económica que acompaña a la pandemia del coronavirus Covid-19, según ha estimado este viernes el Fondo Monetario Internacional (FMI) que alerta de que el planeta encara una recesión global, con las consecuencias más graves desde la Gran Depresión.</w:t>
      </w:r>
    </w:p>
    <w:p w:rsidR="00C13918" w:rsidRPr="00655276" w:rsidRDefault="00C13918" w:rsidP="00FA4DA9">
      <w:pPr>
        <w:pStyle w:val="NormalWeb"/>
        <w:spacing w:after="0"/>
        <w:jc w:val="both"/>
        <w:textAlignment w:val="baseline"/>
        <w:rPr>
          <w:b/>
          <w:color w:val="FF0000"/>
          <w:u w:val="single"/>
        </w:rPr>
      </w:pPr>
      <w:r w:rsidRPr="00655276">
        <w:rPr>
          <w:b/>
          <w:color w:val="FF0000"/>
          <w:u w:val="single"/>
        </w:rPr>
        <w:t>Así lo ha expuesto este viernes la directora gerente del FMI, Kristalina Georgieva, en un discurso titulado “Enfrentando la crisis: prioridades para la economía global” en el que ha recordado que el fondo dispone de un billón de dólares (0,92 billones de euros) en préstamos a disposición de los países afectados.</w:t>
      </w:r>
    </w:p>
    <w:p w:rsidR="00C13918" w:rsidRDefault="00C13918" w:rsidP="00FA4DA9">
      <w:pPr>
        <w:pStyle w:val="NormalWeb"/>
        <w:spacing w:after="0"/>
        <w:jc w:val="both"/>
        <w:textAlignment w:val="baseline"/>
      </w:pPr>
      <w:r>
        <w:t>“Hoy nos enfrentamos a una crisis como ninguna otra. El Covid-19 ha interrumpido nuestro orden social y económico a la velocidad del rayo y en una escala que no hemos visto” antes, ha dicho, reconociendo que “el virus está causando una trágica pérdida de vidas” y que las medidas de confinamiento, parálisis de actividad y contención desplegadas por todo el planeta están afectando ya a miles de millones de personas.</w:t>
      </w:r>
    </w:p>
    <w:p w:rsidR="00C13918" w:rsidRDefault="00C13918" w:rsidP="00FA4DA9">
      <w:pPr>
        <w:pStyle w:val="NormalWeb"/>
        <w:spacing w:after="0"/>
        <w:jc w:val="both"/>
        <w:textAlignment w:val="baseline"/>
      </w:pPr>
      <w:r>
        <w:t>Georgieva ha puesto el acento en la incertidumbre que acompaña a esta pandemia, que esconde la incógnita de cuánto durará, y qué profundidad alcanzará, la crisis económica que está causando. Con todo, el FMI asume ya que estamos ante una recesión global que dejará “las peores consecuencias económicas desde la Gran Depresión”.</w:t>
      </w:r>
    </w:p>
    <w:p w:rsidR="00C13918" w:rsidRPr="00DF3F0D" w:rsidRDefault="00C13918" w:rsidP="00FA4DA9">
      <w:pPr>
        <w:pStyle w:val="NormalWeb"/>
        <w:spacing w:after="0"/>
        <w:jc w:val="both"/>
        <w:textAlignment w:val="baseline"/>
        <w:rPr>
          <w:color w:val="FF0000"/>
          <w:u w:val="single"/>
        </w:rPr>
      </w:pPr>
      <w:r w:rsidRPr="00DF3F0D">
        <w:rPr>
          <w:color w:val="FF0000"/>
          <w:u w:val="single"/>
        </w:rPr>
        <w:t>La debacle causada por el virus ha sido tal que el FMI ha pasado de estimar, hace solo tres meses, un crecimiento positivo de los ingresos por cápita en 160 países para el año 2020, a esperar ahora una caída en 170 estados.</w:t>
      </w:r>
    </w:p>
    <w:p w:rsidR="00C13918" w:rsidRDefault="00C13918" w:rsidP="00FA4DA9">
      <w:pPr>
        <w:pStyle w:val="NormalWeb"/>
        <w:spacing w:after="0"/>
        <w:jc w:val="both"/>
        <w:textAlignment w:val="baseline"/>
      </w:pPr>
      <w:r>
        <w:t xml:space="preserve">Incluso contando con que la pandemia quede atrás en la segunda mitad del año, con un levantamiento gradual de las medidas de contención y la reactivación de la economía, </w:t>
      </w:r>
      <w:r w:rsidRPr="00DF3F0D">
        <w:rPr>
          <w:color w:val="FF0000"/>
          <w:u w:val="single"/>
        </w:rPr>
        <w:t>el FMI asume que la recuperación solo llegará en 2021 y será parcial</w:t>
      </w:r>
      <w:r>
        <w:t>. Una estimación que, ha reconocido Georgieva, es susceptible de empeorar.</w:t>
      </w:r>
    </w:p>
    <w:p w:rsidR="00C13918" w:rsidRDefault="00C13918" w:rsidP="00FA4DA9">
      <w:pPr>
        <w:pStyle w:val="NormalWeb"/>
        <w:spacing w:after="0"/>
        <w:jc w:val="both"/>
        <w:textAlignment w:val="baseline"/>
      </w:pPr>
      <w:r>
        <w:t>La amenaza, ha dicho, no entiende fronteras y afectará a todas las economías. Pero el impacto no será homogéneo, ha matizado. “Así como la crisis de salud afecta más a las personas vulnerables, la crisis económica afec</w:t>
      </w:r>
      <w:r w:rsidR="0082389C">
        <w:t>ta más a los países vulnerables</w:t>
      </w:r>
      <w:r>
        <w:t>... En los últimos dos meses, las salidas de cartera de los mercados emergentes fueron de aproximadamente 100.000 millones de dólares, más de tres veces más que para el mismo período de la crisis financiera mundial” de 2008, ha estimado.</w:t>
      </w:r>
    </w:p>
    <w:p w:rsidR="00C13918" w:rsidRDefault="00C13918" w:rsidP="00FA4DA9">
      <w:pPr>
        <w:pStyle w:val="NormalWeb"/>
        <w:spacing w:after="0"/>
        <w:jc w:val="both"/>
        <w:textAlignment w:val="baseline"/>
      </w:pPr>
      <w:r>
        <w:t>A su vez, ha expuesto Georgieva, hay sectores especialmente afectados por la situación, como es el caso del comercio minorista, la hostelería, el transporte y el turismo.</w:t>
      </w:r>
    </w:p>
    <w:p w:rsidR="00C13918" w:rsidRDefault="00C13918" w:rsidP="00FA4DA9">
      <w:pPr>
        <w:pStyle w:val="NormalWeb"/>
        <w:spacing w:after="0"/>
        <w:jc w:val="both"/>
        <w:textAlignment w:val="baseline"/>
      </w:pPr>
      <w:r>
        <w:lastRenderedPageBreak/>
        <w:t>De momento, el FMI considera “alentador” que todos los países estén tomando ya medidas de manera relativamente coordinada para movilizar unos ocho billones de dólares en medidas fiscales y una masiva respuesta monetaria en el seno del G-20, principalmente, datos que concretará en su informe fiscal de la próxima semana.</w:t>
      </w:r>
    </w:p>
    <w:p w:rsidR="00C13918" w:rsidRDefault="00C13918" w:rsidP="00FA4DA9">
      <w:pPr>
        <w:pStyle w:val="NormalWeb"/>
        <w:spacing w:after="0"/>
        <w:jc w:val="both"/>
        <w:textAlignment w:val="baseline"/>
      </w:pPr>
      <w:r>
        <w:t>A partir de ahí, no obstante, Georgieva ha solicitado a los Gobiernos actuar para que las necesidades de liquidez no se conviertan en problemas de solvencia, con medidas que eviten que la enfermedad económica se haga crónica.</w:t>
      </w:r>
    </w:p>
    <w:p w:rsidR="00C13918" w:rsidRDefault="00C13918" w:rsidP="00FA4DA9">
      <w:pPr>
        <w:pStyle w:val="NormalWeb"/>
        <w:spacing w:after="0"/>
        <w:jc w:val="both"/>
        <w:textAlignment w:val="baseline"/>
      </w:pPr>
      <w:r>
        <w:t>Las prioridades, ha dicho, son la contención de la emergencia sanitaria y el apoyo a los sistemas de salud; la protección de las personas y empresas afectadas con medidas fiscales y financieras; la reducción del estrés en el sistema financiero; y la planificación de una fase de recuperación.</w:t>
      </w:r>
    </w:p>
    <w:p w:rsidR="00C13918" w:rsidRDefault="00C13918" w:rsidP="00FA4DA9">
      <w:pPr>
        <w:pStyle w:val="NormalWeb"/>
        <w:spacing w:after="0"/>
        <w:jc w:val="both"/>
        <w:textAlignment w:val="baseline"/>
      </w:pPr>
      <w:r>
        <w:t>En este campo, el FMI pone a disposición de los interesados un billón de dólares en préstamos que ya está recibiendo “un número sin precedentes de solicitudes de financiación de emergencia” por parte de más de 90 países.</w:t>
      </w:r>
    </w:p>
    <w:p w:rsidR="00C13918" w:rsidRDefault="00C13918" w:rsidP="00FA4DA9">
      <w:pPr>
        <w:pStyle w:val="NormalWeb"/>
        <w:spacing w:after="0"/>
        <w:jc w:val="both"/>
        <w:textAlignment w:val="baseline"/>
      </w:pPr>
      <w:r>
        <w:t>La Junta del FMI ha decidido duplicar el acceso a sus instalaciones de emergencia, para satisfacer una financiación ya demandada por valor de 100.000 millones de dólares. Además, el FMI está recibiendo apoyo de donantes para ampliar su fondo de contención y alivio de catástrofes y coordinando una respuesta con el Banco Mundial.</w:t>
      </w:r>
    </w:p>
    <w:p w:rsidR="00C13918" w:rsidRDefault="00C13918" w:rsidP="00FA4DA9">
      <w:pPr>
        <w:pStyle w:val="NormalWeb"/>
        <w:spacing w:after="0"/>
        <w:jc w:val="both"/>
        <w:textAlignment w:val="baseline"/>
      </w:pPr>
      <w:r>
        <w:t>“No tengo dudas de que superaremos este desafío”, ha dicho la directora gerente del fondo, destacando los esfuerzos del personal sanitario y la comunidad científica para combatir el virus en la primera línea de batalla, pero pidiendo determinación a ciudadanos, Gobiernos, empresas, líderes y organizaciones mundiales a fin de proteger vidas humanas y medios de vida.</w:t>
      </w:r>
    </w:p>
    <w:p w:rsidR="00C13918" w:rsidRDefault="00C13918" w:rsidP="00FA4DA9">
      <w:pPr>
        <w:pStyle w:val="NormalWeb"/>
        <w:spacing w:after="0"/>
        <w:jc w:val="both"/>
        <w:textAlignment w:val="baseline"/>
      </w:pPr>
      <w:r>
        <w:t>“Estos son los tiempos para los que se creó el FMI”, ha defendido Georgieva, aseverando que su papel es aunar el esfuerzo mundial para proteger a las personas más vulnerables y revitalizar la economía.</w:t>
      </w:r>
    </w:p>
    <w:p w:rsidR="00C13918" w:rsidRDefault="00C13918" w:rsidP="00FA4DA9">
      <w:pPr>
        <w:pStyle w:val="NormalWeb"/>
        <w:spacing w:after="0"/>
        <w:jc w:val="both"/>
        <w:textAlignment w:val="baseline"/>
      </w:pPr>
      <w:r>
        <w:t>“Las acciones que tomemos ahora determinarán la velocidad y la fuerza de nuestra recuperación”, ha dicho, instando a los 189 países miembros del FMI a tenerlo presente en la reunión de primavera que se celebrará la próxima semana.</w:t>
      </w:r>
    </w:p>
    <w:p w:rsidR="00C13918" w:rsidRDefault="00C13918" w:rsidP="00FA4DA9">
      <w:pPr>
        <w:pStyle w:val="NormalWeb"/>
        <w:spacing w:after="0"/>
        <w:jc w:val="both"/>
        <w:textAlignment w:val="baseline"/>
      </w:pPr>
      <w:r>
        <w:t>“Es esta amenaza común la que nos une a todos para aprovechar las mayores fortalezas de la humanidad: solidaridad, coraje, creatividad y compasión”, ha enfatizado Georgieva, que ha concluido su discurs</w:t>
      </w:r>
      <w:r w:rsidR="00655276">
        <w:t>o con una cita de Victor Hugo: “</w:t>
      </w:r>
      <w:r>
        <w:t>Los grandes peligros tienen esta belleza, que sacan a la luz</w:t>
      </w:r>
      <w:r w:rsidR="00655276">
        <w:t xml:space="preserve"> la fraternidad de los extraños”</w:t>
      </w:r>
      <w:r>
        <w:t>.</w:t>
      </w:r>
    </w:p>
    <w:p w:rsidR="00C13918" w:rsidRDefault="00C13918" w:rsidP="00FA4DA9">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D4367A">
        <w:rPr>
          <w:rFonts w:ascii="Times New Roman" w:eastAsia="Times New Roman" w:hAnsi="Times New Roman" w:cs="Times New Roman"/>
          <w:sz w:val="24"/>
          <w:szCs w:val="24"/>
          <w:u w:val="single"/>
        </w:rPr>
        <w:t>Covid-19: La primera gran crisis económica sin manual de instrucciones</w:t>
      </w:r>
      <w:r>
        <w:rPr>
          <w:rFonts w:ascii="Times New Roman" w:eastAsia="Times New Roman" w:hAnsi="Times New Roman" w:cs="Times New Roman"/>
          <w:sz w:val="24"/>
          <w:szCs w:val="24"/>
        </w:rPr>
        <w:t xml:space="preserve"> (Cinco Días - </w:t>
      </w:r>
      <w:r w:rsidRPr="00D4367A">
        <w:rPr>
          <w:rFonts w:ascii="Times New Roman" w:eastAsia="Times New Roman" w:hAnsi="Times New Roman" w:cs="Times New Roman"/>
          <w:b/>
          <w:sz w:val="24"/>
          <w:szCs w:val="24"/>
        </w:rPr>
        <w:t>12/4/20</w:t>
      </w:r>
      <w:r>
        <w:rPr>
          <w:rFonts w:ascii="Times New Roman" w:eastAsia="Times New Roman" w:hAnsi="Times New Roman" w:cs="Times New Roman"/>
          <w:sz w:val="24"/>
          <w:szCs w:val="24"/>
        </w:rPr>
        <w:t>)</w:t>
      </w:r>
    </w:p>
    <w:p w:rsidR="00C13918" w:rsidRDefault="00C13918" w:rsidP="00FA4DA9">
      <w:pPr>
        <w:shd w:val="clear" w:color="auto" w:fill="FFFFFF"/>
        <w:spacing w:after="0" w:line="240" w:lineRule="auto"/>
        <w:jc w:val="both"/>
        <w:textAlignment w:val="baseline"/>
        <w:rPr>
          <w:rFonts w:ascii="Times New Roman" w:eastAsia="Times New Roman" w:hAnsi="Times New Roman" w:cs="Times New Roman"/>
          <w:sz w:val="24"/>
          <w:szCs w:val="24"/>
        </w:rPr>
      </w:pPr>
    </w:p>
    <w:p w:rsidR="00C13918" w:rsidRDefault="00C13918" w:rsidP="00FA4DA9">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(Por Luis Aparicio)</w:t>
      </w:r>
    </w:p>
    <w:p w:rsidR="00C13918" w:rsidRDefault="00C13918" w:rsidP="00FA4DA9">
      <w:pPr>
        <w:shd w:val="clear" w:color="auto" w:fill="FFFFFF"/>
        <w:spacing w:after="0" w:line="240" w:lineRule="auto"/>
        <w:jc w:val="both"/>
        <w:textAlignment w:val="baseline"/>
        <w:rPr>
          <w:rFonts w:ascii="Times New Roman" w:eastAsia="Times New Roman" w:hAnsi="Times New Roman" w:cs="Times New Roman"/>
          <w:sz w:val="24"/>
          <w:szCs w:val="24"/>
        </w:rPr>
      </w:pPr>
    </w:p>
    <w:p w:rsidR="00C13918" w:rsidRDefault="00C13918" w:rsidP="00FA4DA9">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Al</w:t>
      </w:r>
      <w:r w:rsidRPr="00D4367A">
        <w:rPr>
          <w:rFonts w:ascii="Times New Roman" w:eastAsia="Times New Roman" w:hAnsi="Times New Roman" w:cs="Times New Roman"/>
          <w:sz w:val="24"/>
          <w:szCs w:val="24"/>
        </w:rPr>
        <w:t xml:space="preserve">fa y omega, principio y final. La crisis provocada por el Covid-19 tiene un origen muy distinto a la que explotó en 2008 con la quiebra de Lehman Brothers pero su final es una gran incertidumbre porque el mundo moderno no se había enfrentado nunca a una situación </w:t>
      </w:r>
      <w:r w:rsidRPr="00D4367A">
        <w:rPr>
          <w:rFonts w:ascii="Times New Roman" w:eastAsia="Times New Roman" w:hAnsi="Times New Roman" w:cs="Times New Roman"/>
          <w:sz w:val="24"/>
          <w:szCs w:val="24"/>
        </w:rPr>
        <w:lastRenderedPageBreak/>
        <w:t>similar. En principio, la caída de la economía que ya está provocando el Covid-19 debería tener su fin cuando vuelva la actividad en una recuperación casi de resorte, en V, como dicen muchos analistas. Una situación muy diferente a la crisis de 2008, que necesitaba de años y años para absorber la burbuja de la deuda de las familias y las empresas, los productos financieros tóxicos y el gigantesco exceso de los precios inmobiliarios.</w:t>
      </w:r>
    </w:p>
    <w:p w:rsidR="007E72CD" w:rsidRDefault="007E72CD" w:rsidP="00FA4DA9">
      <w:pPr>
        <w:shd w:val="clear" w:color="auto" w:fill="FFFFFF"/>
        <w:spacing w:after="0" w:line="240" w:lineRule="auto"/>
        <w:jc w:val="both"/>
        <w:textAlignment w:val="baseline"/>
        <w:rPr>
          <w:rFonts w:ascii="Times New Roman" w:eastAsia="Times New Roman" w:hAnsi="Times New Roman" w:cs="Times New Roman"/>
          <w:sz w:val="24"/>
          <w:szCs w:val="24"/>
        </w:rPr>
      </w:pPr>
    </w:p>
    <w:p w:rsidR="007E72CD" w:rsidRPr="00D4367A" w:rsidRDefault="007E72CD" w:rsidP="00FA4DA9">
      <w:pPr>
        <w:shd w:val="clear" w:color="auto" w:fill="FFFFFF"/>
        <w:spacing w:after="0" w:line="240" w:lineRule="auto"/>
        <w:jc w:val="both"/>
        <w:textAlignment w:val="baseline"/>
        <w:rPr>
          <w:rFonts w:ascii="Times New Roman" w:eastAsia="Times New Roman" w:hAnsi="Times New Roman" w:cs="Times New Roman"/>
          <w:sz w:val="24"/>
          <w:szCs w:val="24"/>
        </w:rPr>
      </w:pPr>
      <w:r>
        <w:rPr>
          <w:noProof/>
          <w:lang w:eastAsia="es-ES"/>
        </w:rPr>
        <w:drawing>
          <wp:inline distT="0" distB="0" distL="0" distR="0" wp14:anchorId="13BF9415" wp14:editId="37A0A7BF">
            <wp:extent cx="5725934" cy="2965450"/>
            <wp:effectExtent l="0" t="0" r="8255" b="6350"/>
            <wp:docPr id="277" name="Imagen 277" descr="https://d500.epimg.net/descargables/2020/04/09/4b26a8d141165c5be470e58cde8897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500.epimg.net/descargables/2020/04/09/4b26a8d141165c5be470e58cde8897e7.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31510" cy="2968338"/>
                    </a:xfrm>
                    <a:prstGeom prst="rect">
                      <a:avLst/>
                    </a:prstGeom>
                    <a:noFill/>
                    <a:ln>
                      <a:noFill/>
                    </a:ln>
                  </pic:spPr>
                </pic:pic>
              </a:graphicData>
            </a:graphic>
          </wp:inline>
        </w:drawing>
      </w:r>
    </w:p>
    <w:p w:rsidR="00C13918" w:rsidRPr="00D4367A" w:rsidRDefault="00C13918" w:rsidP="00FA4DA9">
      <w:pPr>
        <w:shd w:val="clear" w:color="auto" w:fill="FFFFFF"/>
        <w:spacing w:after="0" w:line="240" w:lineRule="auto"/>
        <w:jc w:val="both"/>
        <w:textAlignment w:val="baseline"/>
        <w:rPr>
          <w:rFonts w:ascii="Times New Roman" w:eastAsia="Times New Roman" w:hAnsi="Times New Roman" w:cs="Times New Roman"/>
          <w:sz w:val="24"/>
          <w:szCs w:val="24"/>
        </w:rPr>
      </w:pPr>
    </w:p>
    <w:p w:rsidR="00C13918" w:rsidRDefault="00C13918" w:rsidP="00FA4DA9">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Tras conocerse esta semana unos datos preocupantes del PIB de Francia y Alemania, las previsiones para España apuntan que en este 2020 la riqueza anual podría llegar a caer hasta un 10%. En la crisis de 2008 se conocieron cuatro años con ejercicios negativos (2009, -3,8%; 2011, -0,8%: 2012, -3% y 2013, -1,4%) con un deterioro del PIB repartido en el tiempo. Juan José Fernández-Figares, director de análisis de Link Securities apunta que “en la crisis estructurales como la del 2008 la recuperación es muy lenta, ya que tanto los estados como las empresas y muchos particulares, que presentaban elevados niveles de deuda, han de pasar por un largo periodo de reestructuración económica y financiera para superarla”.</w:t>
      </w:r>
    </w:p>
    <w:p w:rsidR="00C13918" w:rsidRPr="00D4367A" w:rsidRDefault="00C13918" w:rsidP="00FA4DA9">
      <w:pPr>
        <w:shd w:val="clear" w:color="auto" w:fill="FFFFFF"/>
        <w:spacing w:after="0" w:line="240" w:lineRule="auto"/>
        <w:jc w:val="both"/>
        <w:textAlignment w:val="baseline"/>
        <w:rPr>
          <w:rFonts w:ascii="Times New Roman" w:eastAsia="Times New Roman" w:hAnsi="Times New Roman" w:cs="Times New Roman"/>
          <w:sz w:val="24"/>
          <w:szCs w:val="24"/>
        </w:rPr>
      </w:pPr>
    </w:p>
    <w:p w:rsidR="00C13918" w:rsidRPr="00D4367A" w:rsidRDefault="00C13918" w:rsidP="00FA4DA9">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Sin embargo, en la actual, el banco estadounidense Goldman Sachs prevé que el PIB mundial se recuperará un 6% en 2021 y hasta un 11% en 2022. Un auténtico brinco en el cambio de tendencia tras un 2020 catastrófico de paralización económica. Pero no todos los expertos comparten ese optimismo de la recuperación en V. El Covid-19 ha traído una siniestra originalidad a la historia de las crisis mundiales.</w:t>
      </w:r>
    </w:p>
    <w:p w:rsidR="00C13918" w:rsidRPr="00D4367A" w:rsidRDefault="00C13918" w:rsidP="00FA4DA9">
      <w:pPr>
        <w:shd w:val="clear" w:color="auto" w:fill="FFFFFF"/>
        <w:spacing w:after="0" w:line="240" w:lineRule="auto"/>
        <w:jc w:val="both"/>
        <w:textAlignment w:val="baseline"/>
        <w:rPr>
          <w:rFonts w:ascii="Times New Roman" w:eastAsia="Times New Roman" w:hAnsi="Times New Roman" w:cs="Times New Roman"/>
          <w:sz w:val="24"/>
          <w:szCs w:val="24"/>
        </w:rPr>
      </w:pPr>
    </w:p>
    <w:p w:rsidR="00C13918" w:rsidRPr="00D4367A" w:rsidRDefault="00C13918" w:rsidP="00FA4DA9">
      <w:pPr>
        <w:shd w:val="clear" w:color="auto" w:fill="FFFFFF"/>
        <w:spacing w:after="0" w:line="240" w:lineRule="auto"/>
        <w:jc w:val="both"/>
        <w:textAlignment w:val="baseline"/>
        <w:rPr>
          <w:rFonts w:ascii="Times New Roman" w:eastAsia="Times New Roman" w:hAnsi="Times New Roman" w:cs="Times New Roman"/>
          <w:sz w:val="24"/>
          <w:szCs w:val="24"/>
        </w:rPr>
      </w:pPr>
      <w:r w:rsidRPr="00387990">
        <w:rPr>
          <w:rFonts w:ascii="Times New Roman" w:eastAsia="Times New Roman" w:hAnsi="Times New Roman" w:cs="Times New Roman"/>
          <w:color w:val="FF0000"/>
          <w:sz w:val="24"/>
          <w:szCs w:val="24"/>
          <w:u w:val="single"/>
        </w:rPr>
        <w:t>“Es una situación desafiante mucho más compleja que el colapso del mercado inmobiliario y los mercados financieros en 2008 y 2001. Por lo tanto, encontrar una solución también es mucho más una incertidumbre hoy que en crisis anteriores”, opinan en Unigestión</w:t>
      </w:r>
      <w:r w:rsidRPr="00D4367A">
        <w:rPr>
          <w:rFonts w:ascii="Times New Roman" w:eastAsia="Times New Roman" w:hAnsi="Times New Roman" w:cs="Times New Roman"/>
          <w:sz w:val="24"/>
          <w:szCs w:val="24"/>
        </w:rPr>
        <w:t>. Desde el gigante de la gestión Pimco muestran sus temores por lo novedoso de la situación. En un recientísimo informe explican que no hay un libro de instrucciones para la recesión mundial que se está desarrollando actualmente. Esta vez es muy diferente porque la causa subyacente de la recesión es un shock verdaderamente exógeno que se originó desde fuera de la esfera económica y financiera.</w:t>
      </w:r>
    </w:p>
    <w:p w:rsidR="00C13918" w:rsidRPr="00D4367A" w:rsidRDefault="00C13918" w:rsidP="00FA4DA9">
      <w:pPr>
        <w:shd w:val="clear" w:color="auto" w:fill="FFFFFF"/>
        <w:spacing w:after="0" w:line="240" w:lineRule="auto"/>
        <w:jc w:val="both"/>
        <w:textAlignment w:val="baseline"/>
        <w:rPr>
          <w:rFonts w:ascii="Times New Roman" w:eastAsia="Times New Roman" w:hAnsi="Times New Roman" w:cs="Times New Roman"/>
          <w:sz w:val="24"/>
          <w:szCs w:val="24"/>
        </w:rPr>
      </w:pPr>
    </w:p>
    <w:p w:rsidR="00C13918" w:rsidRPr="00D4367A" w:rsidRDefault="00C13918" w:rsidP="00FA4DA9">
      <w:pPr>
        <w:shd w:val="clear" w:color="auto" w:fill="FFFFFF"/>
        <w:spacing w:after="0" w:line="240" w:lineRule="auto"/>
        <w:jc w:val="both"/>
        <w:textAlignment w:val="baseline"/>
        <w:rPr>
          <w:rFonts w:ascii="Times New Roman" w:eastAsia="Times New Roman" w:hAnsi="Times New Roman" w:cs="Times New Roman"/>
          <w:sz w:val="24"/>
          <w:szCs w:val="24"/>
        </w:rPr>
      </w:pPr>
      <w:r w:rsidRPr="00387990">
        <w:rPr>
          <w:rFonts w:ascii="Times New Roman" w:eastAsia="Times New Roman" w:hAnsi="Times New Roman" w:cs="Times New Roman"/>
          <w:color w:val="FF0000"/>
          <w:sz w:val="24"/>
          <w:szCs w:val="24"/>
          <w:u w:val="single"/>
        </w:rPr>
        <w:t xml:space="preserve"> “Estamos viendo la primera recesión por decreto del gobierno: un cierre necesario, temporal y parcial de la economía para prevenir una crisis humanitaria aún mayor”, indican desde </w:t>
      </w:r>
      <w:r w:rsidRPr="00387990">
        <w:rPr>
          <w:rFonts w:ascii="Times New Roman" w:eastAsia="Times New Roman" w:hAnsi="Times New Roman" w:cs="Times New Roman"/>
          <w:color w:val="FF0000"/>
          <w:sz w:val="24"/>
          <w:szCs w:val="24"/>
          <w:u w:val="single"/>
        </w:rPr>
        <w:lastRenderedPageBreak/>
        <w:t>Pimco</w:t>
      </w:r>
      <w:r w:rsidRPr="00D4367A">
        <w:rPr>
          <w:rFonts w:ascii="Times New Roman" w:eastAsia="Times New Roman" w:hAnsi="Times New Roman" w:cs="Times New Roman"/>
          <w:sz w:val="24"/>
          <w:szCs w:val="24"/>
        </w:rPr>
        <w:t>. Otra de las diferencias entre el Covid-19 y la crisis de 2008 es la de los sectores afectados. El Covid-19 paraliza el conjunto de la actividad económica, haciendo especial daño al mundo de los viajes y el turismo, mientras que la anterior crisis afectaba principalmente a la banca, que entonces lideraba por su peso los índices de las principales bolsas mundiales, y al sector inmobiliario.</w:t>
      </w:r>
    </w:p>
    <w:p w:rsidR="00C13918" w:rsidRPr="00D4367A" w:rsidRDefault="00C13918" w:rsidP="00FA4DA9">
      <w:pPr>
        <w:shd w:val="clear" w:color="auto" w:fill="FFFFFF"/>
        <w:spacing w:after="0" w:line="240" w:lineRule="auto"/>
        <w:jc w:val="both"/>
        <w:textAlignment w:val="baseline"/>
        <w:rPr>
          <w:rFonts w:ascii="Times New Roman" w:eastAsia="Times New Roman" w:hAnsi="Times New Roman" w:cs="Times New Roman"/>
          <w:sz w:val="24"/>
          <w:szCs w:val="24"/>
        </w:rPr>
      </w:pPr>
    </w:p>
    <w:p w:rsidR="00C13918" w:rsidRPr="00387990" w:rsidRDefault="00C13918" w:rsidP="00FA4DA9">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387990">
        <w:rPr>
          <w:rFonts w:ascii="Times New Roman" w:eastAsia="Times New Roman" w:hAnsi="Times New Roman" w:cs="Times New Roman"/>
          <w:color w:val="FF0000"/>
          <w:sz w:val="24"/>
          <w:szCs w:val="24"/>
          <w:u w:val="single"/>
        </w:rPr>
        <w:t>Desde Goldman Sachs indican que ahora los bancos solo representan el 18% de las Bolsas y que algunos sectores muy afectados como los viajes, ocio o educación no están bien representados en los mercados de acciones. “Ahora, el sector de la salud es el doble del tamaño de los bancos y la tecnología es más grande que el sector petrolero”, e</w:t>
      </w:r>
      <w:r w:rsidR="00324F4A">
        <w:rPr>
          <w:rFonts w:ascii="Times New Roman" w:eastAsia="Times New Roman" w:hAnsi="Times New Roman" w:cs="Times New Roman"/>
          <w:color w:val="FF0000"/>
          <w:sz w:val="24"/>
          <w:szCs w:val="24"/>
          <w:u w:val="single"/>
        </w:rPr>
        <w:t>xplican. También desde Unigestió</w:t>
      </w:r>
      <w:r w:rsidRPr="00387990">
        <w:rPr>
          <w:rFonts w:ascii="Times New Roman" w:eastAsia="Times New Roman" w:hAnsi="Times New Roman" w:cs="Times New Roman"/>
          <w:color w:val="FF0000"/>
          <w:sz w:val="24"/>
          <w:szCs w:val="24"/>
          <w:u w:val="single"/>
        </w:rPr>
        <w:t>n ven un alcance mucho mayor de esta nueva crisis. “Con China, primero tuvimos un shock de producción, pero con la propagación d</w:t>
      </w:r>
      <w:r w:rsidR="00387990">
        <w:rPr>
          <w:rFonts w:ascii="Times New Roman" w:eastAsia="Times New Roman" w:hAnsi="Times New Roman" w:cs="Times New Roman"/>
          <w:color w:val="FF0000"/>
          <w:sz w:val="24"/>
          <w:szCs w:val="24"/>
          <w:u w:val="single"/>
        </w:rPr>
        <w:t>el virus a la Eurozona y los EE</w:t>
      </w:r>
      <w:r w:rsidRPr="00387990">
        <w:rPr>
          <w:rFonts w:ascii="Times New Roman" w:eastAsia="Times New Roman" w:hAnsi="Times New Roman" w:cs="Times New Roman"/>
          <w:color w:val="FF0000"/>
          <w:sz w:val="24"/>
          <w:szCs w:val="24"/>
          <w:u w:val="single"/>
        </w:rPr>
        <w:t xml:space="preserve">UU, este shock de producción ahora se complementa con un choque de demanda. En 2008, la conmoción se centró </w:t>
      </w:r>
      <w:r w:rsidR="00A963B5" w:rsidRPr="00387990">
        <w:rPr>
          <w:rFonts w:ascii="Times New Roman" w:eastAsia="Times New Roman" w:hAnsi="Times New Roman" w:cs="Times New Roman"/>
          <w:color w:val="FF0000"/>
          <w:sz w:val="24"/>
          <w:szCs w:val="24"/>
          <w:u w:val="single"/>
        </w:rPr>
        <w:t>en el sector inmobiliario de EE</w:t>
      </w:r>
      <w:r w:rsidRPr="00387990">
        <w:rPr>
          <w:rFonts w:ascii="Times New Roman" w:eastAsia="Times New Roman" w:hAnsi="Times New Roman" w:cs="Times New Roman"/>
          <w:color w:val="FF0000"/>
          <w:sz w:val="24"/>
          <w:szCs w:val="24"/>
          <w:u w:val="single"/>
        </w:rPr>
        <w:t>UU, extendiéndose al mundo financiero. Hoy, el alcance del daño es más amplio”.</w:t>
      </w:r>
    </w:p>
    <w:p w:rsidR="00C13918" w:rsidRPr="00D4367A" w:rsidRDefault="00C13918" w:rsidP="00FA4DA9">
      <w:pPr>
        <w:shd w:val="clear" w:color="auto" w:fill="FFFFFF"/>
        <w:spacing w:after="0" w:line="240" w:lineRule="auto"/>
        <w:jc w:val="both"/>
        <w:textAlignment w:val="baseline"/>
        <w:rPr>
          <w:rFonts w:ascii="Times New Roman" w:eastAsia="Times New Roman" w:hAnsi="Times New Roman" w:cs="Times New Roman"/>
          <w:sz w:val="24"/>
          <w:szCs w:val="24"/>
        </w:rPr>
      </w:pPr>
    </w:p>
    <w:p w:rsidR="00C13918" w:rsidRDefault="00C13918" w:rsidP="00FA4DA9">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Evitar la depresión</w:t>
      </w:r>
    </w:p>
    <w:p w:rsidR="00C13918" w:rsidRPr="00D4367A" w:rsidRDefault="00C13918" w:rsidP="00FA4DA9">
      <w:pPr>
        <w:shd w:val="clear" w:color="auto" w:fill="FFFFFF"/>
        <w:spacing w:after="0" w:line="240" w:lineRule="auto"/>
        <w:jc w:val="both"/>
        <w:textAlignment w:val="baseline"/>
        <w:rPr>
          <w:rFonts w:ascii="Times New Roman" w:eastAsia="Times New Roman" w:hAnsi="Times New Roman" w:cs="Times New Roman"/>
          <w:sz w:val="24"/>
          <w:szCs w:val="24"/>
        </w:rPr>
      </w:pPr>
    </w:p>
    <w:p w:rsidR="00C13918" w:rsidRPr="00387990" w:rsidRDefault="00C13918" w:rsidP="00FA4DA9">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387990">
        <w:rPr>
          <w:rFonts w:ascii="Times New Roman" w:eastAsia="Times New Roman" w:hAnsi="Times New Roman" w:cs="Times New Roman"/>
          <w:color w:val="FF0000"/>
          <w:sz w:val="24"/>
          <w:szCs w:val="24"/>
          <w:u w:val="single"/>
        </w:rPr>
        <w:t>Las reacciones de los Gobiernos, los organismos internacionales y los bancos centrales también serán decisivas para salir de la encrucijada a la que nos ha llevado el Covid-19. La reacción de dotar de liquidez al mercado con los compromisos de compra de deuda ha sido rápida y coordinada. Como siempre, la Eurozona “se enfrenta a desafíos de coordinación adicionales”, como indican desde Pimco, que hace todo</w:t>
      </w:r>
      <w:r w:rsidR="00A963B5" w:rsidRPr="00387990">
        <w:rPr>
          <w:rFonts w:ascii="Times New Roman" w:eastAsia="Times New Roman" w:hAnsi="Times New Roman" w:cs="Times New Roman"/>
          <w:color w:val="FF0000"/>
          <w:sz w:val="24"/>
          <w:szCs w:val="24"/>
          <w:u w:val="single"/>
        </w:rPr>
        <w:t xml:space="preserve"> mucho más complicado que en EE</w:t>
      </w:r>
      <w:r w:rsidRPr="00387990">
        <w:rPr>
          <w:rFonts w:ascii="Times New Roman" w:eastAsia="Times New Roman" w:hAnsi="Times New Roman" w:cs="Times New Roman"/>
          <w:color w:val="FF0000"/>
          <w:sz w:val="24"/>
          <w:szCs w:val="24"/>
          <w:u w:val="single"/>
        </w:rPr>
        <w:t>UU. El apoyo fiscal incluye garantías a gran escala para préstamos bancarios a empresas y el retraso de los plazos de pago de impuestos para autónomos y corporaciones. Muchos gobiernos también brindan apoyo a los ingresos para hogares y empresas a través de una serie de transferencias a particulares y subsidios para empresas.</w:t>
      </w:r>
      <w:r w:rsidRPr="00387990">
        <w:rPr>
          <w:rFonts w:ascii="Times New Roman" w:eastAsia="Times New Roman" w:hAnsi="Times New Roman" w:cs="Times New Roman"/>
          <w:color w:val="FF0000"/>
          <w:sz w:val="24"/>
          <w:szCs w:val="24"/>
          <w:u w:val="single"/>
        </w:rPr>
        <w:cr/>
      </w:r>
    </w:p>
    <w:p w:rsidR="00C13918" w:rsidRPr="00D4367A" w:rsidRDefault="00C13918" w:rsidP="00FA4DA9">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“En muchos países, la respuesta fiscal ya supera la de la pasada crisis, y es probable que se anuncien medidas adicionales en los próximos meses. Con ello muy probablemente se ayudará a prevenir una depresión económica”, explican los expertos de Pimco. Si bien es inevitable una recesión profunda dado el cierre temporal obligatorio de las principales partes de la economía mundial y que muchas de las transferencias y préstamos recientemente anunciados solo llegarán después de algún retraso, la gran respuesta fiscal muy probablemente ayudará a prevenir una depresión.</w:t>
      </w:r>
    </w:p>
    <w:p w:rsidR="00C13918" w:rsidRPr="00D4367A" w:rsidRDefault="00C13918" w:rsidP="00FA4DA9">
      <w:pPr>
        <w:shd w:val="clear" w:color="auto" w:fill="FFFFFF"/>
        <w:spacing w:after="0" w:line="240" w:lineRule="auto"/>
        <w:jc w:val="both"/>
        <w:textAlignment w:val="baseline"/>
        <w:rPr>
          <w:rFonts w:ascii="Times New Roman" w:eastAsia="Times New Roman" w:hAnsi="Times New Roman" w:cs="Times New Roman"/>
          <w:sz w:val="24"/>
          <w:szCs w:val="24"/>
        </w:rPr>
      </w:pPr>
    </w:p>
    <w:p w:rsidR="00C13918" w:rsidRPr="00D4367A" w:rsidRDefault="00C13918" w:rsidP="00FA4DA9">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Pero desde Unigestión no lo tienen tan claro ya que con la abultada deuda pública en el mundo, los mercados se mostrarán reacios a asumir más. Además, la capacidad de sorpresa de los bancos centrales ya no es la misma que en 2008 “por lo que el medicamento debe ser más fuerte que en el pasado para tener éxito”. No descartan que se puedan producir subidas de tipos como consecuencia del aumento de la deuda pública para afrontar la crisis. Y todo ello condicionado también a la marcha de la evolución de la pandemia.</w:t>
      </w:r>
    </w:p>
    <w:p w:rsidR="00C13918" w:rsidRPr="00D4367A" w:rsidRDefault="00C13918" w:rsidP="00FA4DA9">
      <w:pPr>
        <w:shd w:val="clear" w:color="auto" w:fill="FFFFFF"/>
        <w:spacing w:after="0" w:line="240" w:lineRule="auto"/>
        <w:jc w:val="both"/>
        <w:textAlignment w:val="baseline"/>
        <w:rPr>
          <w:rFonts w:ascii="Times New Roman" w:eastAsia="Times New Roman" w:hAnsi="Times New Roman" w:cs="Times New Roman"/>
          <w:sz w:val="24"/>
          <w:szCs w:val="24"/>
        </w:rPr>
      </w:pPr>
    </w:p>
    <w:p w:rsidR="00C13918" w:rsidRDefault="00C13918" w:rsidP="00FA4DA9">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Si después del verano se produce una segunda ola de contagios con nuevos paros en la economía, sería muy dañino para las compañías cíclicas que consigan sobrevivir a la esta primera oleada. La gestión de esta crisis por parte de los gobiernos será decisiva, según indica Juan José Fernández-Figares. “Lo que hagan los Gobiernos en los próximos meses va a determinar cuándo y cómo se sale de esta crisis”, sentencia.</w:t>
      </w:r>
    </w:p>
    <w:p w:rsidR="006A3B06" w:rsidRPr="00D4367A" w:rsidRDefault="006A3B06" w:rsidP="00FA4DA9">
      <w:pPr>
        <w:shd w:val="clear" w:color="auto" w:fill="FFFFFF"/>
        <w:spacing w:after="0" w:line="240" w:lineRule="auto"/>
        <w:jc w:val="both"/>
        <w:textAlignment w:val="baseline"/>
        <w:rPr>
          <w:rFonts w:ascii="Times New Roman" w:eastAsia="Times New Roman" w:hAnsi="Times New Roman" w:cs="Times New Roman"/>
          <w:sz w:val="24"/>
          <w:szCs w:val="24"/>
        </w:rPr>
      </w:pPr>
    </w:p>
    <w:p w:rsidR="00C13918" w:rsidRPr="00D4367A" w:rsidRDefault="00C13918" w:rsidP="00FA4DA9">
      <w:pPr>
        <w:shd w:val="clear" w:color="auto" w:fill="FFFFFF"/>
        <w:spacing w:after="0" w:line="240" w:lineRule="auto"/>
        <w:jc w:val="both"/>
        <w:textAlignment w:val="baseline"/>
        <w:rPr>
          <w:rFonts w:ascii="Times New Roman" w:eastAsia="Times New Roman" w:hAnsi="Times New Roman" w:cs="Times New Roman"/>
          <w:sz w:val="24"/>
          <w:szCs w:val="24"/>
        </w:rPr>
      </w:pPr>
    </w:p>
    <w:p w:rsidR="00C13918" w:rsidRDefault="00C13918" w:rsidP="00FA4DA9">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lastRenderedPageBreak/>
        <w:t>La Bolsa volverá a caer</w:t>
      </w:r>
    </w:p>
    <w:p w:rsidR="00C13918" w:rsidRPr="00D4367A" w:rsidRDefault="00C13918" w:rsidP="00FA4DA9">
      <w:pPr>
        <w:shd w:val="clear" w:color="auto" w:fill="FFFFFF"/>
        <w:spacing w:after="0" w:line="240" w:lineRule="auto"/>
        <w:jc w:val="both"/>
        <w:textAlignment w:val="baseline"/>
        <w:rPr>
          <w:rFonts w:ascii="Times New Roman" w:eastAsia="Times New Roman" w:hAnsi="Times New Roman" w:cs="Times New Roman"/>
          <w:sz w:val="24"/>
          <w:szCs w:val="24"/>
        </w:rPr>
      </w:pPr>
    </w:p>
    <w:p w:rsidR="00C13918" w:rsidRPr="00D4367A" w:rsidRDefault="00C13918" w:rsidP="00FA4DA9">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Como apuntan desde Bank of America, el mercado se está centrando ahora en los recuentos de contagios del Covid-19 y no reacciona a los datos económicos más débiles. “Los rendimientos de Estados Unidos podrían ver un nuevo mínimo como resultado de otro movimiento de reducción de riesgo”, añade el banco. Para el conjunto de analistas, los mercados de acciones tienen todavía que caer mucho más y el rebote vivido en las últimas semanas se esfumará.</w:t>
      </w:r>
    </w:p>
    <w:p w:rsidR="00C13918" w:rsidRPr="00D4367A" w:rsidRDefault="00C13918" w:rsidP="00FA4DA9">
      <w:pPr>
        <w:shd w:val="clear" w:color="auto" w:fill="FFFFFF"/>
        <w:spacing w:after="0" w:line="240" w:lineRule="auto"/>
        <w:jc w:val="both"/>
        <w:textAlignment w:val="baseline"/>
        <w:rPr>
          <w:rFonts w:ascii="Times New Roman" w:eastAsia="Times New Roman" w:hAnsi="Times New Roman" w:cs="Times New Roman"/>
          <w:sz w:val="24"/>
          <w:szCs w:val="24"/>
        </w:rPr>
      </w:pPr>
    </w:p>
    <w:p w:rsidR="00C13918" w:rsidRPr="00387990" w:rsidRDefault="00C13918" w:rsidP="00FA4DA9">
      <w:pPr>
        <w:shd w:val="clear" w:color="auto" w:fill="FFFFFF"/>
        <w:spacing w:after="0" w:line="240" w:lineRule="auto"/>
        <w:jc w:val="both"/>
        <w:textAlignment w:val="baseline"/>
        <w:rPr>
          <w:rFonts w:ascii="Times New Roman" w:eastAsia="Times New Roman" w:hAnsi="Times New Roman" w:cs="Times New Roman"/>
          <w:color w:val="FF0000"/>
          <w:sz w:val="24"/>
          <w:szCs w:val="24"/>
        </w:rPr>
      </w:pPr>
      <w:r w:rsidRPr="00387990">
        <w:rPr>
          <w:rFonts w:ascii="Times New Roman" w:eastAsia="Times New Roman" w:hAnsi="Times New Roman" w:cs="Times New Roman"/>
          <w:color w:val="FF0000"/>
          <w:sz w:val="24"/>
          <w:szCs w:val="24"/>
          <w:u w:val="single"/>
        </w:rPr>
        <w:t xml:space="preserve">En Goldman Sachs lo explican muy bien. El beneficio por acción cayó un 48% desde 2007 hasta 2009 en Estados Unidos. Para esta crisis, la expectativa de recorte del beneficio es del 45%. Los mercados han bajado en torno al 25-30% desde sus máximos y aún no reflejan la rebaja del beneficio por acción que prevé el banco estadounidense. “Esperamos caídas del 33% en Estados Unidos y del 45% en Europa. Además, muchas de las métricas de valoración no parecen mínimos de crisis. Por ejemplo, el PER (número de veces que el precio contiene el beneficio por acción) se sitúa en 12 veces, mientras que en la pasada crisis de </w:t>
      </w:r>
      <w:r w:rsidR="00387990">
        <w:rPr>
          <w:rFonts w:ascii="Times New Roman" w:eastAsia="Times New Roman" w:hAnsi="Times New Roman" w:cs="Times New Roman"/>
          <w:color w:val="FF0000"/>
          <w:sz w:val="24"/>
          <w:szCs w:val="24"/>
          <w:u w:val="single"/>
        </w:rPr>
        <w:t>2008 este ratio bajó a 8 veces”</w:t>
      </w:r>
      <w:r w:rsidR="00387990">
        <w:rPr>
          <w:rFonts w:ascii="Times New Roman" w:eastAsia="Times New Roman" w:hAnsi="Times New Roman" w:cs="Times New Roman"/>
          <w:color w:val="FF0000"/>
          <w:sz w:val="24"/>
          <w:szCs w:val="24"/>
        </w:rPr>
        <w:t>…</w:t>
      </w:r>
    </w:p>
    <w:p w:rsidR="00C13918" w:rsidRDefault="00C13918" w:rsidP="00FA4DA9">
      <w:pPr>
        <w:pStyle w:val="NormalWeb"/>
        <w:spacing w:after="0"/>
        <w:jc w:val="both"/>
        <w:textAlignment w:val="baseline"/>
        <w:rPr>
          <w:lang w:val="en-US"/>
        </w:rPr>
      </w:pPr>
      <w:r>
        <w:rPr>
          <w:noProof/>
        </w:rPr>
        <w:drawing>
          <wp:inline distT="0" distB="0" distL="0" distR="0" wp14:anchorId="2950141E" wp14:editId="0020928D">
            <wp:extent cx="5731712" cy="2984500"/>
            <wp:effectExtent l="0" t="0" r="2540" b="6350"/>
            <wp:docPr id="249" name="Imagen 249" descr="Défic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éfici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31510" cy="2984395"/>
                    </a:xfrm>
                    <a:prstGeom prst="rect">
                      <a:avLst/>
                    </a:prstGeom>
                    <a:noFill/>
                    <a:ln>
                      <a:noFill/>
                    </a:ln>
                  </pic:spPr>
                </pic:pic>
              </a:graphicData>
            </a:graphic>
          </wp:inline>
        </w:drawing>
      </w:r>
    </w:p>
    <w:p w:rsidR="00387990" w:rsidRDefault="00387990" w:rsidP="00FA4DA9">
      <w:pPr>
        <w:pStyle w:val="NormalWeb"/>
        <w:spacing w:after="0"/>
        <w:jc w:val="both"/>
        <w:textAlignment w:val="baseline"/>
      </w:pPr>
      <w:r>
        <w:t xml:space="preserve">(Fuente: Cinco Días - </w:t>
      </w:r>
      <w:r w:rsidRPr="00D414A0">
        <w:rPr>
          <w:b/>
        </w:rPr>
        <w:t>15/4/20</w:t>
      </w:r>
      <w:r>
        <w:t>)</w:t>
      </w:r>
    </w:p>
    <w:p w:rsidR="00C13918" w:rsidRDefault="00C13918" w:rsidP="00FA4DA9">
      <w:pPr>
        <w:pStyle w:val="NormalWeb"/>
        <w:spacing w:after="0"/>
        <w:jc w:val="both"/>
        <w:textAlignment w:val="baseline"/>
      </w:pPr>
      <w:r>
        <w:t xml:space="preserve">- </w:t>
      </w:r>
      <w:r w:rsidRPr="00B222DD">
        <w:rPr>
          <w:u w:val="single"/>
        </w:rPr>
        <w:t>El Fondo calcula que el Gran Confinamiento provocará la mayor crisis desde la Gran Depresión</w:t>
      </w:r>
      <w:r>
        <w:t xml:space="preserve"> (Cinco Días - </w:t>
      </w:r>
      <w:r w:rsidRPr="00B222DD">
        <w:rPr>
          <w:b/>
        </w:rPr>
        <w:t>15/4/20</w:t>
      </w:r>
      <w:r>
        <w:t>)</w:t>
      </w:r>
    </w:p>
    <w:p w:rsidR="007E72CD" w:rsidRPr="00387990" w:rsidRDefault="007E72CD" w:rsidP="00FA4DA9">
      <w:pPr>
        <w:pStyle w:val="NormalWeb"/>
        <w:spacing w:after="0"/>
        <w:jc w:val="both"/>
        <w:textAlignment w:val="baseline"/>
        <w:rPr>
          <w:color w:val="FF0000"/>
          <w:u w:val="single"/>
        </w:rPr>
      </w:pPr>
      <w:r>
        <w:rPr>
          <w:color w:val="FF0000"/>
          <w:u w:val="single"/>
        </w:rPr>
        <w:t>“</w:t>
      </w:r>
      <w:r w:rsidRPr="00B222DD">
        <w:rPr>
          <w:color w:val="FF0000"/>
          <w:u w:val="single"/>
        </w:rPr>
        <w:t>Proteger vidas humanas y facilitar que los sistemas de salud hagan frente a la pandemia generada por el Covid-19 ha exigido aislamientos y cierres de actividad y negocios generalizados por todo el mundo para frenar la propagación del virus. Y eso ha hecho que la crisis sanitaria esté teniendo un grave impacto en la economía mundi</w:t>
      </w:r>
      <w:r>
        <w:rPr>
          <w:color w:val="FF0000"/>
          <w:u w:val="single"/>
        </w:rPr>
        <w:t>al”</w:t>
      </w:r>
      <w:r w:rsidRPr="00B222DD">
        <w:rPr>
          <w:color w:val="FF0000"/>
          <w:u w:val="single"/>
        </w:rPr>
        <w:t>.</w:t>
      </w:r>
      <w:r w:rsidRPr="00B222DD">
        <w:rPr>
          <w:color w:val="FF0000"/>
        </w:rPr>
        <w:t xml:space="preserve"> </w:t>
      </w:r>
      <w:r w:rsidRPr="00387990">
        <w:rPr>
          <w:color w:val="FF0000"/>
          <w:u w:val="single"/>
        </w:rPr>
        <w:t>Así arranca el último informe de Perspectivas económicas mundiales (WEO en sus siglas en inglés) del Fondo Monetario Internacional (FMI) hecho hoy público con un título que evidencia la situación que atraviesa el planeta: El Gran confinamiento.</w:t>
      </w:r>
    </w:p>
    <w:p w:rsidR="00C13918" w:rsidRDefault="00C13918" w:rsidP="00FA4DA9">
      <w:pPr>
        <w:pStyle w:val="NormalWeb"/>
        <w:spacing w:after="0"/>
        <w:jc w:val="both"/>
        <w:textAlignment w:val="baseline"/>
      </w:pPr>
      <w:r>
        <w:rPr>
          <w:noProof/>
        </w:rPr>
        <w:lastRenderedPageBreak/>
        <w:drawing>
          <wp:inline distT="0" distB="0" distL="0" distR="0" wp14:anchorId="7CA2E1EB" wp14:editId="0FC1E525">
            <wp:extent cx="5725729" cy="2717800"/>
            <wp:effectExtent l="0" t="0" r="8890" b="6350"/>
            <wp:docPr id="251" name="Imagen 251" descr="https://d500.epimg.net/descargables/2020/04/14/ff01e199920c7fac77e235f22a51a4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d500.epimg.net/descargables/2020/04/14/ff01e199920c7fac77e235f22a51a460.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31510" cy="2720544"/>
                    </a:xfrm>
                    <a:prstGeom prst="rect">
                      <a:avLst/>
                    </a:prstGeom>
                    <a:noFill/>
                    <a:ln>
                      <a:noFill/>
                    </a:ln>
                  </pic:spPr>
                </pic:pic>
              </a:graphicData>
            </a:graphic>
          </wp:inline>
        </w:drawing>
      </w:r>
    </w:p>
    <w:p w:rsidR="00C13918" w:rsidRPr="00387990" w:rsidRDefault="00C13918" w:rsidP="00FA4DA9">
      <w:pPr>
        <w:pStyle w:val="NormalWeb"/>
        <w:spacing w:after="0"/>
        <w:jc w:val="both"/>
        <w:textAlignment w:val="baseline"/>
        <w:rPr>
          <w:b/>
          <w:color w:val="FF0000"/>
          <w:u w:val="single"/>
        </w:rPr>
      </w:pPr>
      <w:r w:rsidRPr="00387990">
        <w:rPr>
          <w:b/>
          <w:color w:val="FF0000"/>
          <w:u w:val="single"/>
        </w:rPr>
        <w:t>¿Pero cuánta riqueza se va a llevar por delante este cerrojazo en todo el mundo? El primer cálculo del FMI es que, “como resultado de la pandemia, se prevé que la economía mundial se contr</w:t>
      </w:r>
      <w:r w:rsidR="00A963B5" w:rsidRPr="00387990">
        <w:rPr>
          <w:b/>
          <w:color w:val="FF0000"/>
          <w:u w:val="single"/>
        </w:rPr>
        <w:t>aiga bruscamente un -3% en 2020”</w:t>
      </w:r>
      <w:r w:rsidRPr="00387990">
        <w:rPr>
          <w:b/>
          <w:color w:val="FF0000"/>
          <w:u w:val="single"/>
        </w:rPr>
        <w:t>, indica este informe. Esta brusca caída será la mayor que experimente el mundo desde la Segunda Guerra Mundial (1939-1945) y la mayor crisis de carácter económico desde la Gran Depresión que arrancó en 1929. La intensidad de la crisis será mucho mayor que en el recorte de la economía mundial que se produjo en 2009, por la crisis financiera desatada en 2008 con la quiebra Lehman Brothers. Entonces, según el FMI, el PIB global cayó un 0,1%, aunque el Banco Mundial cifra el retroceso en el 1,7%.</w:t>
      </w:r>
    </w:p>
    <w:p w:rsidR="00C13918" w:rsidRDefault="00C13918" w:rsidP="00FA4DA9">
      <w:pPr>
        <w:pStyle w:val="NormalWeb"/>
        <w:spacing w:after="0"/>
        <w:jc w:val="both"/>
        <w:textAlignment w:val="baseline"/>
      </w:pPr>
      <w:r>
        <w:t xml:space="preserve">Además esta caída del 3% del PIB mundial en 2020 supondrá seis puntos porcentuales menos de lo que el FMI preveía que iba a crecer la economía global este año (un 3%). Y los daños, aunque generalizados, no serán ni mucho menos homogéneos. Las economías avanzadas de Europa y Norteamérica se llevarán la peor parte con caídas de los PIB nacionales superiores al 6% en todos los casos este año. Italia liderará el desplome mundial, con un recorte de su riqueza nacional del -9,1%, seguido de España (-8%), Francia (-7,2%), Alemania (-7%), Reino Unido (-6,5%), </w:t>
      </w:r>
      <w:r w:rsidR="00324F4A">
        <w:t>Canadá</w:t>
      </w:r>
      <w:r>
        <w:t xml:space="preserve"> (-6,2%) y Estados Unidos (-5,9%).</w:t>
      </w:r>
    </w:p>
    <w:p w:rsidR="00C13918" w:rsidRDefault="00C13918" w:rsidP="00FA4DA9">
      <w:pPr>
        <w:pStyle w:val="NormalWeb"/>
        <w:spacing w:after="0"/>
        <w:jc w:val="both"/>
        <w:textAlignment w:val="baseline"/>
      </w:pPr>
      <w:r>
        <w:t>Mientras, las principales economías emergentes, fundamentalmente las asiáticas, se verán menos dañadas, con una caída media del PIB de su área del -1% en 2020. De hecho, la riqueza de China e India se anotará crecimientos positivos del 1,2% y 1,9%, respectivamente en este ejercicio, según las estimaciones del FMI.</w:t>
      </w:r>
    </w:p>
    <w:p w:rsidR="00A963B5" w:rsidRDefault="00A963B5" w:rsidP="00FA4DA9">
      <w:pPr>
        <w:pStyle w:val="NormalWeb"/>
        <w:spacing w:after="0"/>
        <w:jc w:val="both"/>
        <w:textAlignment w:val="baseline"/>
      </w:pPr>
      <w:r>
        <w:t>Si bien, todos estos cálculos se han elaborado sobre la hipótesis de que la pandemia se “desvanecerá” en la segunda mitad de 2020, la vuelta a la actividad se hará entonces de forma gradual y, por tanto, prevén que haya un efecto rebote que lleve a la economía mundial a crecer un 5,8% en 2021, a medida que la actividad se vaya normalizando en todo el planeta y siempre “con la ayuda de medidas políticas”, reclama este organismo a los Estados.</w:t>
      </w:r>
    </w:p>
    <w:p w:rsidR="00A963B5" w:rsidRDefault="00A963B5" w:rsidP="00FA4DA9">
      <w:pPr>
        <w:pStyle w:val="NormalWeb"/>
        <w:spacing w:after="0"/>
        <w:jc w:val="both"/>
        <w:textAlignment w:val="baseline"/>
      </w:pPr>
      <w:r>
        <w:t xml:space="preserve">En cualquier caso, la economista jefe del FMI, Gita Gopinath, asegura que la recuperación en 2021 será solo “parcial” porque el organismo proyecta que el nivel de actividad económica siga por debajo del esperado para el próximo ejercicio antes de la llegada del virus. Es más, </w:t>
      </w:r>
      <w:r>
        <w:lastRenderedPageBreak/>
        <w:t>ha cifrado la pérdida acumulada del PIB mundial en 2020 y 2021 en 9 billones de dólares, una cantidad mayor que la que representan las economías de Alemania y Japón juntas.</w:t>
      </w:r>
    </w:p>
    <w:p w:rsidR="00A963B5" w:rsidRDefault="00A963B5" w:rsidP="00FA4DA9">
      <w:pPr>
        <w:pStyle w:val="NormalWeb"/>
        <w:spacing w:after="0"/>
        <w:jc w:val="both"/>
        <w:textAlignment w:val="baseline"/>
      </w:pPr>
      <w:r>
        <w:t>Pero dicho esto, esta mejora de las expectativas queda inmediatamente ensombrecida cuando los expertos del FMI aseguran que existe “una extrema incertidumbre en torno a estas previsiones de crecimiento”, ya que las consecuencias económicas de la pandemia “dependen de factores que interactúan de manera difícil de predecir”.</w:t>
      </w:r>
    </w:p>
    <w:p w:rsidR="006A3B06" w:rsidRDefault="00A963B5" w:rsidP="00FA4DA9">
      <w:pPr>
        <w:pStyle w:val="NormalWeb"/>
        <w:spacing w:after="0"/>
        <w:jc w:val="both"/>
        <w:textAlignment w:val="baseline"/>
      </w:pPr>
      <w:r>
        <w:t>Concretamente, los autores del informe se refieren a factores como la evolución de la propia pandemia, a la intensidad y la eficacia de los esfuerzos de contención, el desarrollo de curas o vacunas, el alcance de las interrupciones de la actividad, los cambios en los patrones de gasto de los ciudadanos, sus cambios de comportamiento (como evitar centros comerciales o el uso de medios de transporte colectivos), el impacto en general en la confianza y la volatilidad de los precios de los productos básicos. Y a todo esto añaden lo que denominan “las repercusiones del dramático endurecimiento de las condiciones del mercado financiero mundial”.</w:t>
      </w:r>
    </w:p>
    <w:p w:rsidR="006A3B06" w:rsidRDefault="006A3B06" w:rsidP="00FA4DA9">
      <w:pPr>
        <w:pStyle w:val="NormalWeb"/>
        <w:spacing w:after="0"/>
        <w:jc w:val="both"/>
        <w:textAlignment w:val="baseline"/>
      </w:pPr>
      <w:r>
        <w:t xml:space="preserve">               </w:t>
      </w:r>
      <w:r>
        <w:rPr>
          <w:noProof/>
        </w:rPr>
        <w:drawing>
          <wp:inline distT="0" distB="0" distL="0" distR="0" wp14:anchorId="15C1EE5A" wp14:editId="4BE1BF6C">
            <wp:extent cx="4679949" cy="5848350"/>
            <wp:effectExtent l="0" t="0" r="6985" b="0"/>
            <wp:docPr id="19" name="Imagen 19" descr="El Fondo calcula que el Gran Confinamiento provocará la mayor crisis desde la Gran Depres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l Fondo calcula que el Gran Confinamiento provocará la mayor crisis desde la Gran Depresión"/>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683063" cy="5852241"/>
                    </a:xfrm>
                    <a:prstGeom prst="rect">
                      <a:avLst/>
                    </a:prstGeom>
                    <a:noFill/>
                    <a:ln>
                      <a:noFill/>
                    </a:ln>
                  </pic:spPr>
                </pic:pic>
              </a:graphicData>
            </a:graphic>
          </wp:inline>
        </w:drawing>
      </w:r>
    </w:p>
    <w:p w:rsidR="00A963B5" w:rsidRDefault="007E72CD" w:rsidP="00FA4DA9">
      <w:pPr>
        <w:pStyle w:val="NormalWeb"/>
        <w:spacing w:after="0"/>
        <w:jc w:val="both"/>
        <w:textAlignment w:val="baseline"/>
      </w:pPr>
      <w:r>
        <w:rPr>
          <w:noProof/>
        </w:rPr>
        <w:lastRenderedPageBreak/>
        <w:drawing>
          <wp:inline distT="0" distB="0" distL="0" distR="0" wp14:anchorId="1C80662E" wp14:editId="04DCACDC">
            <wp:extent cx="5734049" cy="4686300"/>
            <wp:effectExtent l="0" t="0" r="635" b="0"/>
            <wp:docPr id="278" name="Imagen 278" descr="https://s03.s3c.es/imag/_v0/770x770/3/6/0/070520-europ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70x770/3/6/0/070520-europa.gif"/>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34049" cy="4686300"/>
                    </a:xfrm>
                    <a:prstGeom prst="rect">
                      <a:avLst/>
                    </a:prstGeom>
                    <a:noFill/>
                    <a:ln>
                      <a:noFill/>
                    </a:ln>
                  </pic:spPr>
                </pic:pic>
              </a:graphicData>
            </a:graphic>
          </wp:inline>
        </w:drawing>
      </w:r>
    </w:p>
    <w:p w:rsidR="00C13918" w:rsidRPr="0082389C" w:rsidRDefault="00C13918" w:rsidP="00FA4DA9">
      <w:pPr>
        <w:pStyle w:val="NormalWeb"/>
        <w:spacing w:after="0"/>
        <w:jc w:val="both"/>
        <w:textAlignment w:val="baseline"/>
      </w:pPr>
      <w:r w:rsidRPr="0082389C">
        <w:rPr>
          <w:b/>
        </w:rPr>
        <w:t>Nota</w:t>
      </w:r>
      <w:r w:rsidRPr="0082389C">
        <w:t>: Ni un Plan Marshall ni nada parecido. El virus va a dejar todas las economías maltrechas durante mucho tiempo. También aquellas que en los últimos años han tirado de la actividad, y que tenderán a mirar hacia dentro para restañar heridas. También por razones de política interna. La amenaza populista es tan real que nadie está dispuesto a jugar con fuego.</w:t>
      </w:r>
    </w:p>
    <w:p w:rsidR="00C13918" w:rsidRPr="0082389C" w:rsidRDefault="00C13918" w:rsidP="00FA4DA9">
      <w:pPr>
        <w:pStyle w:val="NormalWeb"/>
        <w:spacing w:after="0"/>
        <w:jc w:val="both"/>
        <w:textAlignment w:val="baseline"/>
      </w:pPr>
      <w:r w:rsidRPr="0082389C">
        <w:t>La consecuencia es obvia. Ni EEUU está en condiciones de salvar Europa, como sucedió en 1945, entre otros motivos, porque ya no necesita al viejo continente p</w:t>
      </w:r>
      <w:r w:rsidR="00A963B5" w:rsidRPr="0082389C">
        <w:t>ara frenar a la URSS, ni China -</w:t>
      </w:r>
      <w:r w:rsidRPr="0082389C">
        <w:t>con una tasa de crecimiento raquíti</w:t>
      </w:r>
      <w:r w:rsidR="00A963B5" w:rsidRPr="0082389C">
        <w:t>co este año equivalente al 1,2%-</w:t>
      </w:r>
      <w:r w:rsidRPr="0082389C">
        <w:t xml:space="preserve"> volverá a ser la misma. El turismo chino, de alto poder adquisitivo y que compra coches europeos, tardará en volver al mundo. Se imponen las restricciones y la propia China deberá atender las demandas de una clase media creciente que desde finales de los años setenta ha visto que todo era crecimiento y prosperidad.</w:t>
      </w:r>
    </w:p>
    <w:p w:rsidR="00C13918" w:rsidRPr="0082389C" w:rsidRDefault="00C13918" w:rsidP="00FA4DA9">
      <w:pPr>
        <w:pStyle w:val="NormalWeb"/>
        <w:spacing w:after="0"/>
        <w:jc w:val="both"/>
        <w:textAlignment w:val="baseline"/>
      </w:pPr>
      <w:r w:rsidRPr="0082389C">
        <w:t>La economía global, efectivamente, está ahora más sincronizada que nunca, pero en esta ocasión no está en condiciones de compartir la fase robusta del ciclo, sino la más sombría. Algo que ni siquiera había sucedido durante la Gran Recesión, cuando las economías anglosajonas, más flexibles, salieron de la crisis mucho antes que la mayor parte de los países europeos.</w:t>
      </w:r>
    </w:p>
    <w:p w:rsidR="00C13918" w:rsidRPr="0082389C" w:rsidRDefault="00C13918" w:rsidP="00FA4DA9">
      <w:pPr>
        <w:pStyle w:val="NormalWeb"/>
        <w:spacing w:after="0"/>
        <w:jc w:val="both"/>
        <w:textAlignment w:val="baseline"/>
      </w:pPr>
      <w:r w:rsidRPr="0082389C">
        <w:t xml:space="preserve">Toca, por lo tanto, mirar hacia dentro. Como aseguró este martes Gita Gopinath, la economista jefa del FMI, Europa sufrirá más porque es más vulnerable al comercio exterior, y eso significa que hay que volver a mirar hacia la demanda interna y sus tres componentes: </w:t>
      </w:r>
      <w:r w:rsidRPr="0082389C">
        <w:lastRenderedPageBreak/>
        <w:t>consumo privado, público e inversiones. Ahí estará la clave de la recuperación. En la medida en que España sea capaz de regenerar su maltrecho sector industrial, las probabilidades de salir del agujero serán mayores. La industria, de hecho, es la única salvación a medio plazo para la España despoblada, aunque se trate de bienes de tecnología media o baja. Los nuevos mercados están dentro. No solo fuera.</w:t>
      </w:r>
    </w:p>
    <w:p w:rsidR="00C13918" w:rsidRPr="0082389C" w:rsidRDefault="00C13918" w:rsidP="00FA4DA9">
      <w:pPr>
        <w:pStyle w:val="NormalWeb"/>
        <w:spacing w:after="0"/>
        <w:jc w:val="both"/>
        <w:textAlignment w:val="baseline"/>
      </w:pPr>
      <w:r w:rsidRPr="0082389C">
        <w:t>Durante años, y a consecuencia de la globalización y de los avances tecnológicos, Europa ha ido desarmando su tejido productivo en favor de los servicios. Y aunque cada vez es más difícil separar ambos sectores, que se retroalimentan, hay pocas dudas de que la crisis del coronavirus ha puesto negro sobre blanco no solo la insuficiencia de medios sanitarios para luchar contra una pandemia sino, sobre todo, la enorme dependencia del exterior.</w:t>
      </w:r>
    </w:p>
    <w:p w:rsidR="00C13918" w:rsidRPr="0082389C" w:rsidRDefault="00C13918" w:rsidP="00FA4DA9">
      <w:pPr>
        <w:pStyle w:val="NormalWeb"/>
        <w:spacing w:after="0"/>
        <w:jc w:val="both"/>
        <w:textAlignment w:val="baseline"/>
      </w:pPr>
      <w:r w:rsidRPr="0082389C">
        <w:t>Pero no solo eso. La incapacidad de Europa de no ver más allá de su sombra. Y el mejor ejemplo es la vicepresidenta Margr</w:t>
      </w:r>
      <w:r w:rsidR="00387990" w:rsidRPr="0082389C">
        <w:t>ether Vestager, que ha dicho al “</w:t>
      </w:r>
      <w:r w:rsidRPr="0082389C">
        <w:t>Finan</w:t>
      </w:r>
      <w:r w:rsidR="00387990" w:rsidRPr="0082389C">
        <w:t>cial Times”</w:t>
      </w:r>
      <w:r w:rsidRPr="0082389C">
        <w:t xml:space="preserve"> que los gobiernos deben comprar acciones de sus compañías nacionales para evitar que lo hagan las empresas chinas, que son lo mismo que el Estado. Y lo dice la misma Vestager que hace ahora un año frenó la fusión de Alstom y Siemens para crear un gran campeón europeo que hubiera podido competir con las empresas chinas.</w:t>
      </w:r>
    </w:p>
    <w:p w:rsidR="00C13918" w:rsidRPr="0082389C" w:rsidRDefault="00C13918" w:rsidP="00FA4DA9">
      <w:pPr>
        <w:pStyle w:val="NormalWeb"/>
        <w:spacing w:after="0"/>
        <w:jc w:val="both"/>
        <w:textAlignment w:val="baseline"/>
      </w:pPr>
      <w:r w:rsidRPr="0082389C">
        <w:t>Tanto hablar de ciberterrorismo, de noticias falsas en la red o de inmigración irregular, y resulta que nuestra mayor debilidad era que las principales potencias del mundo no son capaces de producir mascarillas o respiradores.</w:t>
      </w:r>
    </w:p>
    <w:p w:rsidR="00C13918" w:rsidRPr="0082389C" w:rsidRDefault="00C13918" w:rsidP="00FA4DA9">
      <w:pPr>
        <w:pStyle w:val="NormalWeb"/>
        <w:spacing w:after="0"/>
        <w:jc w:val="both"/>
        <w:textAlignment w:val="baseline"/>
      </w:pPr>
      <w:r w:rsidRPr="0082389C">
        <w:t>Hablar de reconstrucción nacional no es sinónimo de un regreso a las banderas. Es, simplemente, repensar la sostenibilidad de modelos de crecimiento basados en servicios de bajo valor añadido y que precarizan el empleo.</w:t>
      </w:r>
    </w:p>
    <w:p w:rsidR="00C13918" w:rsidRPr="0082389C" w:rsidRDefault="00C13918" w:rsidP="00FA4DA9">
      <w:pPr>
        <w:pStyle w:val="NormalWeb"/>
        <w:spacing w:after="0"/>
        <w:jc w:val="both"/>
        <w:textAlignment w:val="baseline"/>
      </w:pPr>
      <w:r w:rsidRPr="0082389C">
        <w:t>Uno de los mantras de las últimas décadas ha pasado por una entelequia. Se ha dicho hasta la sociedad que solo el mercado debe cincelar los sistemas económicos. Y la consecuencia ha sido que los Estados se han quedado inermes para diseñar modelos de crecimiento.</w:t>
      </w:r>
    </w:p>
    <w:p w:rsidR="00C13918" w:rsidRPr="0082389C" w:rsidRDefault="00C13918" w:rsidP="00FA4DA9">
      <w:pPr>
        <w:pStyle w:val="NormalWeb"/>
        <w:spacing w:after="0"/>
        <w:jc w:val="both"/>
        <w:textAlignment w:val="baseline"/>
      </w:pPr>
      <w:r w:rsidRPr="0082389C">
        <w:t>Ahora tienen la oportunidad de hacerlo. Entre otros motivos, porque los gobiernos, como sostiene el FMI, están obligados a hacer de la necesidad virtud. El Fondo ha advertido de que las cadenas globales de valor, que han hecho y hacen más eficiente el sistema productivo, tenderán a fracturarse, lo que tendrá indudables consecuencias macroeconómicas. Algo que obligará a los gobiernos a pensar de otro modo. A pensar en las economías nacionales.</w:t>
      </w:r>
    </w:p>
    <w:p w:rsidR="00C13918" w:rsidRPr="0082389C" w:rsidRDefault="00C13918" w:rsidP="00FA4DA9">
      <w:pPr>
        <w:pStyle w:val="NormalWeb"/>
        <w:spacing w:after="0"/>
        <w:jc w:val="both"/>
        <w:textAlignment w:val="baseline"/>
      </w:pPr>
      <w:r w:rsidRPr="0082389C">
        <w:t>Al fin y al cabo, como suele decirse, dirigir es prever. Y si esto no se hace, luego pasa lo que pasa.</w:t>
      </w:r>
    </w:p>
    <w:p w:rsidR="00C13918" w:rsidRPr="0082389C" w:rsidRDefault="00C13918" w:rsidP="00FA4DA9">
      <w:pPr>
        <w:pStyle w:val="NormalWeb"/>
        <w:spacing w:after="0"/>
        <w:jc w:val="both"/>
        <w:textAlignment w:val="baseline"/>
      </w:pPr>
      <w:r w:rsidRPr="0082389C">
        <w:t xml:space="preserve">Hannah Arendt dejó escrito que lo bueno de las sociedades libres es que al final los hechos se imponen a las falsedades: “En circunstancias normales, el mentiroso es derrotado por la realidad, para la que no hay sustituto; da igual la trama de falsedades que esté dispuesto a ofrecer un mentiroso experimentado: nunca será lo suficientemente grande como para encubrir la inmensidad de los hechos”. </w:t>
      </w:r>
    </w:p>
    <w:p w:rsidR="00C13918" w:rsidRPr="0082389C" w:rsidRDefault="00C13918" w:rsidP="00FA4DA9">
      <w:pPr>
        <w:pStyle w:val="NormalWeb"/>
        <w:spacing w:after="0"/>
        <w:jc w:val="both"/>
        <w:textAlignment w:val="baseline"/>
      </w:pPr>
      <w:r w:rsidRPr="0082389C">
        <w:t>Para nuestra desgracia la inmensidad de los hechos -miles de muertos, miles de familias destrozadas, millones de parados-…no permitirán encubrir la responsabilidad, por acción u omisión, de los dirigentes políticos, sanitarios, y económicos… O eso, espero.</w:t>
      </w:r>
    </w:p>
    <w:p w:rsidR="00DB4714" w:rsidRDefault="00DB4714"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1E4969">
        <w:rPr>
          <w:rFonts w:ascii="Times New Roman" w:hAnsi="Times New Roman" w:cs="Times New Roman"/>
          <w:sz w:val="24"/>
          <w:szCs w:val="24"/>
          <w:u w:val="single"/>
        </w:rPr>
        <w:t>La desglobalización entorpece el rescate fiscal de 10 billones de dólares a la economía mundial por el coronavirus</w:t>
      </w:r>
      <w:r>
        <w:rPr>
          <w:rFonts w:ascii="Times New Roman" w:hAnsi="Times New Roman" w:cs="Times New Roman"/>
          <w:sz w:val="24"/>
          <w:szCs w:val="24"/>
        </w:rPr>
        <w:t xml:space="preserve"> (El Economista - </w:t>
      </w:r>
      <w:r w:rsidRPr="001E4969">
        <w:rPr>
          <w:rFonts w:ascii="Times New Roman" w:hAnsi="Times New Roman" w:cs="Times New Roman"/>
          <w:b/>
          <w:sz w:val="24"/>
          <w:szCs w:val="24"/>
        </w:rPr>
        <w:t>6/5/20</w:t>
      </w:r>
      <w:r>
        <w:rPr>
          <w:rFonts w:ascii="Times New Roman" w:hAnsi="Times New Roman" w:cs="Times New Roman"/>
          <w:sz w:val="24"/>
          <w:szCs w:val="24"/>
        </w:rPr>
        <w:t>)</w:t>
      </w:r>
    </w:p>
    <w:p w:rsidR="00DB4714" w:rsidRDefault="00DB4714"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(Por José Luis de Haro)</w:t>
      </w:r>
    </w:p>
    <w:p w:rsidR="00DB4714" w:rsidRPr="006B7B47" w:rsidRDefault="00DB4714" w:rsidP="00FA4DA9">
      <w:pPr>
        <w:spacing w:line="240" w:lineRule="auto"/>
        <w:jc w:val="both"/>
        <w:rPr>
          <w:rFonts w:ascii="Times New Roman" w:hAnsi="Times New Roman" w:cs="Times New Roman"/>
          <w:color w:val="FF0000"/>
          <w:sz w:val="24"/>
          <w:szCs w:val="24"/>
          <w:u w:val="single"/>
        </w:rPr>
      </w:pPr>
      <w:r w:rsidRPr="006B7B47">
        <w:rPr>
          <w:rFonts w:ascii="Times New Roman" w:hAnsi="Times New Roman" w:cs="Times New Roman"/>
          <w:color w:val="FF0000"/>
          <w:sz w:val="24"/>
          <w:szCs w:val="24"/>
          <w:u w:val="single"/>
        </w:rPr>
        <w:t>A mediados de abril, el Fondo Monetario Internacional aseguraba que los países del G-20 habían activado ya alrededor de 8 billones de dólares en medidas fiscales para enfrentar la peor crisis económica desde la Gran Depresión. La pandemia del coronavirus ha paralizado la actividad mundial, destruido empleo a un ritmo voraz y todavía se continúa calculando cuál será la factura final a medida que se intenta recuperar una nueva normalidad.</w:t>
      </w:r>
    </w:p>
    <w:p w:rsidR="00DB4714" w:rsidRPr="006B7B47" w:rsidRDefault="00DB4714" w:rsidP="00FA4DA9">
      <w:pPr>
        <w:spacing w:line="240" w:lineRule="auto"/>
        <w:jc w:val="both"/>
        <w:rPr>
          <w:rFonts w:ascii="Times New Roman" w:hAnsi="Times New Roman" w:cs="Times New Roman"/>
          <w:b/>
          <w:color w:val="FF0000"/>
          <w:sz w:val="24"/>
          <w:szCs w:val="24"/>
          <w:u w:val="single"/>
        </w:rPr>
      </w:pPr>
      <w:r w:rsidRPr="006B7B47">
        <w:rPr>
          <w:rFonts w:ascii="Times New Roman" w:hAnsi="Times New Roman" w:cs="Times New Roman"/>
          <w:b/>
          <w:color w:val="FF0000"/>
          <w:sz w:val="24"/>
          <w:szCs w:val="24"/>
          <w:u w:val="single"/>
        </w:rPr>
        <w:t>Desde que el FMI diera a conocer sus estimaciones, el Congreso de EEUU aprobó otro plan por valor de casi medio billón de dólares al tiempo que continúa en estos momentos debatiendo otra remesa de ayudas que podrían sumar hasta otro billón de dólares en estímulos. En todo el mundo se estima ya que el rescate fiscal asciende ya a los 10 billones de dólares, según el semanario Barron´s y el Consejo de Relaciones Exteriores (CFR, por sus siglas en inglés).</w:t>
      </w:r>
    </w:p>
    <w:p w:rsidR="00DB4714" w:rsidRPr="004C1975" w:rsidRDefault="00DB4714" w:rsidP="00FA4DA9">
      <w:pPr>
        <w:spacing w:line="240" w:lineRule="auto"/>
        <w:jc w:val="both"/>
        <w:rPr>
          <w:rFonts w:ascii="Times New Roman" w:hAnsi="Times New Roman" w:cs="Times New Roman"/>
          <w:sz w:val="24"/>
          <w:szCs w:val="24"/>
        </w:rPr>
      </w:pPr>
      <w:r w:rsidRPr="004C1975">
        <w:rPr>
          <w:rFonts w:ascii="Times New Roman" w:hAnsi="Times New Roman" w:cs="Times New Roman"/>
          <w:sz w:val="24"/>
          <w:szCs w:val="24"/>
        </w:rPr>
        <w:t>En estos momentos, más de una veintena de estados de EEUU además de diversos países en Asia y Europa han comenzado a reabrir lentamente sus economías. Algunos economistas esperan un fuerte repunte global en el tercer trimestre, reflejando el modelo de comportamiento que ya vimos en Asia después del brote del Síndrome Respiratorio Agudo Severo (SARS, por sus sigilas en inglés) de 2003. Sin embargo, otros advierten que la pandemia podría ser mucho más destructiva económicamente que cualquier otro brote anterior por lo que una recuperación podría llevar mucho más tiempo.</w:t>
      </w:r>
    </w:p>
    <w:p w:rsidR="00DB4714" w:rsidRPr="00E200F7" w:rsidRDefault="00DB4714" w:rsidP="00FA4DA9">
      <w:pPr>
        <w:spacing w:line="240" w:lineRule="auto"/>
        <w:jc w:val="both"/>
        <w:rPr>
          <w:rFonts w:ascii="Times New Roman" w:hAnsi="Times New Roman" w:cs="Times New Roman"/>
          <w:color w:val="FF0000"/>
          <w:sz w:val="24"/>
          <w:szCs w:val="24"/>
          <w:u w:val="single"/>
        </w:rPr>
      </w:pPr>
      <w:r w:rsidRPr="00E200F7">
        <w:rPr>
          <w:rFonts w:ascii="Times New Roman" w:hAnsi="Times New Roman" w:cs="Times New Roman"/>
          <w:color w:val="FF0000"/>
          <w:sz w:val="24"/>
          <w:szCs w:val="24"/>
          <w:u w:val="single"/>
        </w:rPr>
        <w:t>Las lecturas del primer trimestre y las proyecciones para el periodo en curso o el conjunto del año del FMI y la Organización para la Cooperación y el Desarrollo Económico (OCDE) perfilan una profunda recesión en el conjunto de 2020 mientras la Organización Mundial del Comercio (OMC), por su parte, pronostica que casi todas las regiones del mundo sufrirán caídas de doble dígito, de entre el 13% y el 32%, en el comercio este año, con los exportadores de América del Norte y Asia postulándose como los más afectados.</w:t>
      </w:r>
    </w:p>
    <w:p w:rsidR="00DB4714" w:rsidRPr="00387990" w:rsidRDefault="00DB4714" w:rsidP="00FA4DA9">
      <w:pPr>
        <w:spacing w:line="240" w:lineRule="auto"/>
        <w:jc w:val="both"/>
        <w:rPr>
          <w:rFonts w:ascii="Times New Roman" w:hAnsi="Times New Roman" w:cs="Times New Roman"/>
          <w:color w:val="FF0000"/>
          <w:sz w:val="24"/>
          <w:szCs w:val="24"/>
          <w:u w:val="single"/>
        </w:rPr>
      </w:pPr>
      <w:r w:rsidRPr="00387990">
        <w:rPr>
          <w:rFonts w:ascii="Times New Roman" w:hAnsi="Times New Roman" w:cs="Times New Roman"/>
          <w:color w:val="FF0000"/>
          <w:sz w:val="24"/>
          <w:szCs w:val="24"/>
          <w:u w:val="single"/>
        </w:rPr>
        <w:t>Es por ello que las amenazas del presidente de EEUU, Donald Trump, de cancelar la Fase 1 del acuerdo comercial con China rubricado en enero así como las señales que sugieren que las compañías aceleran la diversificación de sus cadenas de producción alejándose del gigante asiático son los síntomas que evidencian un proceso de desglobalización en el horizonte.</w:t>
      </w:r>
    </w:p>
    <w:p w:rsidR="00DB4714" w:rsidRPr="00E200F7" w:rsidRDefault="007B4B16" w:rsidP="00FA4DA9">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DB4714" w:rsidRPr="00E200F7">
        <w:rPr>
          <w:rFonts w:ascii="Times New Roman" w:hAnsi="Times New Roman" w:cs="Times New Roman"/>
          <w:color w:val="FF0000"/>
          <w:sz w:val="24"/>
          <w:szCs w:val="24"/>
          <w:u w:val="single"/>
        </w:rPr>
        <w:t>La pandemia del COVID-19 está impulsando a la economía mundial a distanciarse de la integración. Los gobiernos y los líderes empresariales ahora se preguntan si las cadenas de producción mundi</w:t>
      </w:r>
      <w:r>
        <w:rPr>
          <w:rFonts w:ascii="Times New Roman" w:hAnsi="Times New Roman" w:cs="Times New Roman"/>
          <w:color w:val="FF0000"/>
          <w:sz w:val="24"/>
          <w:szCs w:val="24"/>
          <w:u w:val="single"/>
        </w:rPr>
        <w:t>ales se han expandido demasiado”</w:t>
      </w:r>
      <w:r w:rsidR="00DB4714" w:rsidRPr="00E200F7">
        <w:rPr>
          <w:rFonts w:ascii="Times New Roman" w:hAnsi="Times New Roman" w:cs="Times New Roman"/>
          <w:color w:val="FF0000"/>
          <w:sz w:val="24"/>
          <w:szCs w:val="24"/>
          <w:u w:val="single"/>
        </w:rPr>
        <w:t>, señala Douglas A. Irwin, analista de comercio del Peterson Institute for International Economics (PIIE, por sus siglas en inglés).</w:t>
      </w:r>
    </w:p>
    <w:p w:rsidR="00DB4714" w:rsidRPr="00E200F7" w:rsidRDefault="00DB4714" w:rsidP="00FA4DA9">
      <w:pPr>
        <w:spacing w:line="240" w:lineRule="auto"/>
        <w:jc w:val="both"/>
        <w:rPr>
          <w:rFonts w:ascii="Times New Roman" w:hAnsi="Times New Roman" w:cs="Times New Roman"/>
          <w:color w:val="FF0000"/>
          <w:sz w:val="24"/>
          <w:szCs w:val="24"/>
          <w:u w:val="single"/>
        </w:rPr>
      </w:pPr>
      <w:r w:rsidRPr="00E200F7">
        <w:rPr>
          <w:rFonts w:ascii="Times New Roman" w:hAnsi="Times New Roman" w:cs="Times New Roman"/>
          <w:color w:val="FF0000"/>
          <w:sz w:val="24"/>
          <w:szCs w:val="24"/>
          <w:u w:val="single"/>
        </w:rPr>
        <w:t>Según su punto de vista, la economía mundial se encuentra en un punto de inflexión crítico en la historia en el que aumentan los temores sobr</w:t>
      </w:r>
      <w:r w:rsidR="007B4B16">
        <w:rPr>
          <w:rFonts w:ascii="Times New Roman" w:hAnsi="Times New Roman" w:cs="Times New Roman"/>
          <w:color w:val="FF0000"/>
          <w:sz w:val="24"/>
          <w:szCs w:val="24"/>
          <w:u w:val="single"/>
        </w:rPr>
        <w:t>e la dependencia entre países. “</w:t>
      </w:r>
      <w:r w:rsidRPr="00E200F7">
        <w:rPr>
          <w:rFonts w:ascii="Times New Roman" w:hAnsi="Times New Roman" w:cs="Times New Roman"/>
          <w:color w:val="FF0000"/>
          <w:sz w:val="24"/>
          <w:szCs w:val="24"/>
          <w:u w:val="single"/>
        </w:rPr>
        <w:t>Un giro más proteccionistas no significaría el fin total de la globalización pero deshacer el daño resultante proba</w:t>
      </w:r>
      <w:r w:rsidR="007B4B16">
        <w:rPr>
          <w:rFonts w:ascii="Times New Roman" w:hAnsi="Times New Roman" w:cs="Times New Roman"/>
          <w:color w:val="FF0000"/>
          <w:sz w:val="24"/>
          <w:szCs w:val="24"/>
          <w:u w:val="single"/>
        </w:rPr>
        <w:t>blemente resulte difícil”</w:t>
      </w:r>
      <w:r w:rsidRPr="00E200F7">
        <w:rPr>
          <w:rFonts w:ascii="Times New Roman" w:hAnsi="Times New Roman" w:cs="Times New Roman"/>
          <w:color w:val="FF0000"/>
          <w:sz w:val="24"/>
          <w:szCs w:val="24"/>
          <w:u w:val="single"/>
        </w:rPr>
        <w:t>, avisa.</w:t>
      </w:r>
    </w:p>
    <w:p w:rsidR="00DB4714" w:rsidRPr="004C1975" w:rsidRDefault="00DB4714" w:rsidP="00FA4DA9">
      <w:pPr>
        <w:spacing w:line="240" w:lineRule="auto"/>
        <w:jc w:val="both"/>
        <w:rPr>
          <w:rFonts w:ascii="Times New Roman" w:hAnsi="Times New Roman" w:cs="Times New Roman"/>
          <w:sz w:val="24"/>
          <w:szCs w:val="24"/>
        </w:rPr>
      </w:pPr>
      <w:r w:rsidRPr="004C1975">
        <w:rPr>
          <w:rFonts w:ascii="Times New Roman" w:hAnsi="Times New Roman" w:cs="Times New Roman"/>
          <w:sz w:val="24"/>
          <w:szCs w:val="24"/>
        </w:rPr>
        <w:t xml:space="preserve">En estos momentos, las miras se dirigen a las relaciones entre EEUU y China, cuya primera fase del acuerdo comercial podría convertirse rápidamente en una víctima, dado que el inquilino de la Casa Blanca ha advertido que Pekín debe cumplir con lo acordado independientemente de la situación desatada por el virus. Si nos hacemos eco de las cifras del </w:t>
      </w:r>
      <w:r w:rsidRPr="004C1975">
        <w:rPr>
          <w:rFonts w:ascii="Times New Roman" w:hAnsi="Times New Roman" w:cs="Times New Roman"/>
          <w:sz w:val="24"/>
          <w:szCs w:val="24"/>
        </w:rPr>
        <w:lastRenderedPageBreak/>
        <w:t>Departamento de Comercio, que en marzo registraron una gran caída en las exportaciones estadounidenses al país, debido a la coyuntura eco</w:t>
      </w:r>
      <w:r>
        <w:rPr>
          <w:rFonts w:ascii="Times New Roman" w:hAnsi="Times New Roman" w:cs="Times New Roman"/>
          <w:sz w:val="24"/>
          <w:szCs w:val="24"/>
        </w:rPr>
        <w:t>nómica derivada de la pandemia.</w:t>
      </w:r>
    </w:p>
    <w:p w:rsidR="00DB4714" w:rsidRPr="004C1975" w:rsidRDefault="00DB4714" w:rsidP="00FA4DA9">
      <w:pPr>
        <w:spacing w:line="240" w:lineRule="auto"/>
        <w:jc w:val="both"/>
        <w:rPr>
          <w:rFonts w:ascii="Times New Roman" w:hAnsi="Times New Roman" w:cs="Times New Roman"/>
          <w:sz w:val="24"/>
          <w:szCs w:val="24"/>
        </w:rPr>
      </w:pPr>
      <w:r w:rsidRPr="004C1975">
        <w:rPr>
          <w:rFonts w:ascii="Times New Roman" w:hAnsi="Times New Roman" w:cs="Times New Roman"/>
          <w:sz w:val="24"/>
          <w:szCs w:val="24"/>
        </w:rPr>
        <w:t>La venta de productos y servicios de EEUU a China registró por entonces una caída del 18%, hasta los 7.900 millones de dólares, lo que hace preguntarse si Pekín podrá cumplir con los compromisos de enero de aumentar estas compras en 200.000 millones de</w:t>
      </w:r>
      <w:r>
        <w:rPr>
          <w:rFonts w:ascii="Times New Roman" w:hAnsi="Times New Roman" w:cs="Times New Roman"/>
          <w:sz w:val="24"/>
          <w:szCs w:val="24"/>
        </w:rPr>
        <w:t xml:space="preserve"> dólares adicionales desde los niveles de 2017 en dos años.</w:t>
      </w:r>
    </w:p>
    <w:p w:rsidR="00DB4714" w:rsidRPr="004C1975" w:rsidRDefault="00DB4714" w:rsidP="00FA4DA9">
      <w:pPr>
        <w:spacing w:line="240" w:lineRule="auto"/>
        <w:jc w:val="both"/>
        <w:rPr>
          <w:rFonts w:ascii="Times New Roman" w:hAnsi="Times New Roman" w:cs="Times New Roman"/>
          <w:sz w:val="24"/>
          <w:szCs w:val="24"/>
        </w:rPr>
      </w:pPr>
      <w:r w:rsidRPr="004C1975">
        <w:rPr>
          <w:rFonts w:ascii="Times New Roman" w:hAnsi="Times New Roman" w:cs="Times New Roman"/>
          <w:sz w:val="24"/>
          <w:szCs w:val="24"/>
        </w:rPr>
        <w:t>Los halcones del gobierno estadounidense consideran que es esencial responsabilizar al gobierno de Xi Jinping por lo que consideran un encubrimiento de su gestión durante el comienzo del brote del COVID-19. Es por ello que utilizar un posible incumplimiento de las condiciones comerciales podría</w:t>
      </w:r>
      <w:r>
        <w:rPr>
          <w:rFonts w:ascii="Times New Roman" w:hAnsi="Times New Roman" w:cs="Times New Roman"/>
          <w:sz w:val="24"/>
          <w:szCs w:val="24"/>
        </w:rPr>
        <w:t xml:space="preserve"> resultar una herramienta útil.</w:t>
      </w:r>
    </w:p>
    <w:p w:rsidR="00DB4714" w:rsidRPr="00387990" w:rsidRDefault="00DB4714" w:rsidP="00FA4DA9">
      <w:pPr>
        <w:spacing w:line="240" w:lineRule="auto"/>
        <w:jc w:val="both"/>
        <w:rPr>
          <w:rFonts w:ascii="Times New Roman" w:hAnsi="Times New Roman" w:cs="Times New Roman"/>
          <w:color w:val="FF0000"/>
          <w:sz w:val="24"/>
          <w:szCs w:val="24"/>
          <w:u w:val="single"/>
        </w:rPr>
      </w:pPr>
      <w:r w:rsidRPr="00387990">
        <w:rPr>
          <w:rFonts w:ascii="Times New Roman" w:hAnsi="Times New Roman" w:cs="Times New Roman"/>
          <w:color w:val="FF0000"/>
          <w:sz w:val="24"/>
          <w:szCs w:val="24"/>
          <w:u w:val="single"/>
        </w:rPr>
        <w:t>No obstante, según el decano de la E</w:t>
      </w:r>
      <w:r w:rsidR="007B4B16" w:rsidRPr="00387990">
        <w:rPr>
          <w:rFonts w:ascii="Times New Roman" w:hAnsi="Times New Roman" w:cs="Times New Roman"/>
          <w:color w:val="FF0000"/>
          <w:sz w:val="24"/>
          <w:szCs w:val="24"/>
          <w:u w:val="single"/>
        </w:rPr>
        <w:t>scuela de Negocios de Wharton, “</w:t>
      </w:r>
      <w:r w:rsidRPr="00387990">
        <w:rPr>
          <w:rFonts w:ascii="Times New Roman" w:hAnsi="Times New Roman" w:cs="Times New Roman"/>
          <w:color w:val="FF0000"/>
          <w:sz w:val="24"/>
          <w:szCs w:val="24"/>
          <w:u w:val="single"/>
        </w:rPr>
        <w:t>ni China ni EEUU pueden arriesgarse a generar una mayor desestabilización de sus economías, lo que seguramente sería la consecuencia de cualquier nueva crisis</w:t>
      </w:r>
      <w:r w:rsidR="007B4B16" w:rsidRPr="00387990">
        <w:rPr>
          <w:rFonts w:ascii="Times New Roman" w:hAnsi="Times New Roman" w:cs="Times New Roman"/>
          <w:color w:val="FF0000"/>
          <w:sz w:val="24"/>
          <w:szCs w:val="24"/>
          <w:u w:val="single"/>
        </w:rPr>
        <w:t xml:space="preserve"> diplomática entre ambos países”</w:t>
      </w:r>
      <w:r w:rsidRPr="00387990">
        <w:rPr>
          <w:rFonts w:ascii="Times New Roman" w:hAnsi="Times New Roman" w:cs="Times New Roman"/>
          <w:color w:val="FF0000"/>
          <w:sz w:val="24"/>
          <w:szCs w:val="24"/>
          <w:u w:val="single"/>
        </w:rPr>
        <w:t>.</w:t>
      </w:r>
    </w:p>
    <w:p w:rsidR="00DB4714" w:rsidRPr="00B9473F" w:rsidRDefault="00DB4714" w:rsidP="00FA4DA9">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rPr>
        <w:t xml:space="preserve">- </w:t>
      </w:r>
      <w:r w:rsidRPr="00B9473F">
        <w:rPr>
          <w:rFonts w:ascii="Times New Roman" w:hAnsi="Times New Roman" w:cs="Times New Roman"/>
          <w:sz w:val="24"/>
          <w:szCs w:val="24"/>
          <w:u w:val="single"/>
        </w:rPr>
        <w:t>Covid-19 vs. Gran Depresión: ¿cuál será peor?</w:t>
      </w:r>
      <w:r>
        <w:rPr>
          <w:rFonts w:ascii="Times New Roman" w:hAnsi="Times New Roman" w:cs="Times New Roman"/>
          <w:sz w:val="24"/>
          <w:szCs w:val="24"/>
        </w:rPr>
        <w:t xml:space="preserve"> </w:t>
      </w:r>
      <w:r w:rsidRPr="00B9473F">
        <w:rPr>
          <w:rFonts w:ascii="Times New Roman" w:hAnsi="Times New Roman" w:cs="Times New Roman"/>
          <w:sz w:val="24"/>
          <w:szCs w:val="24"/>
          <w:lang w:val="en-US"/>
        </w:rPr>
        <w:t xml:space="preserve">(The Wall Street Journal </w:t>
      </w:r>
      <w:r>
        <w:rPr>
          <w:rFonts w:ascii="Times New Roman" w:hAnsi="Times New Roman" w:cs="Times New Roman"/>
          <w:sz w:val="24"/>
          <w:szCs w:val="24"/>
          <w:lang w:val="en-US"/>
        </w:rPr>
        <w:t>-</w:t>
      </w:r>
      <w:r w:rsidRPr="00B9473F">
        <w:rPr>
          <w:rFonts w:ascii="Times New Roman" w:hAnsi="Times New Roman" w:cs="Times New Roman"/>
          <w:sz w:val="24"/>
          <w:szCs w:val="24"/>
          <w:lang w:val="en-US"/>
        </w:rPr>
        <w:t xml:space="preserve"> El C</w:t>
      </w:r>
      <w:r>
        <w:rPr>
          <w:rFonts w:ascii="Times New Roman" w:hAnsi="Times New Roman" w:cs="Times New Roman"/>
          <w:sz w:val="24"/>
          <w:szCs w:val="24"/>
          <w:lang w:val="en-US"/>
        </w:rPr>
        <w:t xml:space="preserve">onfidencial - </w:t>
      </w:r>
      <w:r>
        <w:rPr>
          <w:rFonts w:ascii="Times New Roman" w:hAnsi="Times New Roman" w:cs="Times New Roman"/>
          <w:b/>
          <w:sz w:val="24"/>
          <w:szCs w:val="24"/>
          <w:lang w:val="en-US"/>
        </w:rPr>
        <w:t>12</w:t>
      </w:r>
      <w:r w:rsidRPr="00B9473F">
        <w:rPr>
          <w:rFonts w:ascii="Times New Roman" w:hAnsi="Times New Roman" w:cs="Times New Roman"/>
          <w:b/>
          <w:sz w:val="24"/>
          <w:szCs w:val="24"/>
          <w:lang w:val="en-US"/>
        </w:rPr>
        <w:t>/5/20</w:t>
      </w:r>
      <w:r>
        <w:rPr>
          <w:rFonts w:ascii="Times New Roman" w:hAnsi="Times New Roman" w:cs="Times New Roman"/>
          <w:sz w:val="24"/>
          <w:szCs w:val="24"/>
          <w:lang w:val="en-US"/>
        </w:rPr>
        <w:t>)</w:t>
      </w:r>
    </w:p>
    <w:p w:rsidR="00DB4714" w:rsidRPr="00387990" w:rsidRDefault="00DB4714" w:rsidP="00FA4DA9">
      <w:pPr>
        <w:spacing w:line="240" w:lineRule="auto"/>
        <w:jc w:val="both"/>
        <w:rPr>
          <w:rFonts w:ascii="Times New Roman" w:hAnsi="Times New Roman" w:cs="Times New Roman"/>
          <w:color w:val="FF0000"/>
          <w:sz w:val="24"/>
          <w:szCs w:val="24"/>
          <w:u w:val="single"/>
        </w:rPr>
      </w:pPr>
      <w:r w:rsidRPr="00387990">
        <w:rPr>
          <w:rFonts w:ascii="Times New Roman" w:hAnsi="Times New Roman" w:cs="Times New Roman"/>
          <w:color w:val="FF0000"/>
          <w:sz w:val="24"/>
          <w:szCs w:val="24"/>
          <w:u w:val="single"/>
        </w:rPr>
        <w:t>Cada día nuevas noticias inciden en que el coronavirus está provocando la peor crisis económica desde la Gran Depresión.</w:t>
      </w:r>
    </w:p>
    <w:p w:rsidR="00DB4714" w:rsidRPr="00D644FE" w:rsidRDefault="00DB4714" w:rsidP="00FA4DA9">
      <w:pPr>
        <w:spacing w:line="240" w:lineRule="auto"/>
        <w:jc w:val="both"/>
        <w:rPr>
          <w:rFonts w:ascii="Times New Roman" w:hAnsi="Times New Roman" w:cs="Times New Roman"/>
          <w:sz w:val="24"/>
          <w:szCs w:val="24"/>
          <w:u w:val="single"/>
        </w:rPr>
      </w:pPr>
      <w:r w:rsidRPr="00D644FE">
        <w:rPr>
          <w:rFonts w:ascii="Times New Roman" w:hAnsi="Times New Roman" w:cs="Times New Roman"/>
          <w:sz w:val="24"/>
          <w:szCs w:val="24"/>
          <w:u w:val="single"/>
        </w:rPr>
        <w:t>Probablemente es cierto. Pero, para muchos, la comparación asusta más que describe.</w:t>
      </w:r>
      <w:r w:rsidRPr="00B9473F">
        <w:rPr>
          <w:rFonts w:ascii="Times New Roman" w:hAnsi="Times New Roman" w:cs="Times New Roman"/>
          <w:sz w:val="24"/>
          <w:szCs w:val="24"/>
        </w:rPr>
        <w:t xml:space="preserve"> Los economistas consideran que hay una gran diferencia entre la peor recesión desde la Gran Depresión y un contexto tan malo como el de la Gran Depresión. </w:t>
      </w:r>
      <w:r w:rsidR="007B4B16">
        <w:rPr>
          <w:rFonts w:ascii="Times New Roman" w:hAnsi="Times New Roman" w:cs="Times New Roman"/>
          <w:color w:val="FF0000"/>
          <w:sz w:val="24"/>
          <w:szCs w:val="24"/>
          <w:u w:val="single"/>
        </w:rPr>
        <w:t>“</w:t>
      </w:r>
      <w:r w:rsidRPr="00D644FE">
        <w:rPr>
          <w:rFonts w:ascii="Times New Roman" w:hAnsi="Times New Roman" w:cs="Times New Roman"/>
          <w:color w:val="FF0000"/>
          <w:sz w:val="24"/>
          <w:szCs w:val="24"/>
          <w:u w:val="single"/>
        </w:rPr>
        <w:t>No veo que las comparaciones entre el momento actual y la Gra</w:t>
      </w:r>
      <w:r w:rsidR="007B4B16">
        <w:rPr>
          <w:rFonts w:ascii="Times New Roman" w:hAnsi="Times New Roman" w:cs="Times New Roman"/>
          <w:color w:val="FF0000"/>
          <w:sz w:val="24"/>
          <w:szCs w:val="24"/>
          <w:u w:val="single"/>
        </w:rPr>
        <w:t>n Depresión sean de mucha ayuda”</w:t>
      </w:r>
      <w:r w:rsidRPr="00D644FE">
        <w:rPr>
          <w:rFonts w:ascii="Times New Roman" w:hAnsi="Times New Roman" w:cs="Times New Roman"/>
          <w:color w:val="FF0000"/>
          <w:sz w:val="24"/>
          <w:szCs w:val="24"/>
          <w:u w:val="single"/>
        </w:rPr>
        <w:t>, explica Ben Bernanke, expresidente de la Reserva Federal, que ha estudiado los años treinta</w:t>
      </w:r>
      <w:r w:rsidRPr="00B9473F">
        <w:rPr>
          <w:rFonts w:ascii="Times New Roman" w:hAnsi="Times New Roman" w:cs="Times New Roman"/>
          <w:sz w:val="24"/>
          <w:szCs w:val="24"/>
        </w:rPr>
        <w:t xml:space="preserve">. </w:t>
      </w:r>
      <w:r w:rsidR="007B4B16">
        <w:rPr>
          <w:rFonts w:ascii="Times New Roman" w:hAnsi="Times New Roman" w:cs="Times New Roman"/>
          <w:color w:val="FF0000"/>
          <w:sz w:val="24"/>
          <w:szCs w:val="24"/>
          <w:u w:val="single"/>
        </w:rPr>
        <w:t>“</w:t>
      </w:r>
      <w:r w:rsidRPr="00D644FE">
        <w:rPr>
          <w:rFonts w:ascii="Times New Roman" w:hAnsi="Times New Roman" w:cs="Times New Roman"/>
          <w:color w:val="FF0000"/>
          <w:sz w:val="24"/>
          <w:szCs w:val="24"/>
          <w:u w:val="single"/>
        </w:rPr>
        <w:t xml:space="preserve">La duración prevista es mucho menor </w:t>
      </w:r>
      <w:r w:rsidR="007B4B16">
        <w:rPr>
          <w:rFonts w:ascii="Times New Roman" w:hAnsi="Times New Roman" w:cs="Times New Roman"/>
          <w:color w:val="FF0000"/>
          <w:sz w:val="24"/>
          <w:szCs w:val="24"/>
          <w:u w:val="single"/>
        </w:rPr>
        <w:t>y las causas son muy diferentes”</w:t>
      </w:r>
      <w:r w:rsidRPr="00D644FE">
        <w:rPr>
          <w:rFonts w:ascii="Times New Roman" w:hAnsi="Times New Roman" w:cs="Times New Roman"/>
          <w:color w:val="FF0000"/>
          <w:sz w:val="24"/>
          <w:szCs w:val="24"/>
          <w:u w:val="single"/>
        </w:rPr>
        <w:t>, dice</w:t>
      </w:r>
      <w:r w:rsidRPr="00B9473F">
        <w:rPr>
          <w:rFonts w:ascii="Times New Roman" w:hAnsi="Times New Roman" w:cs="Times New Roman"/>
          <w:sz w:val="24"/>
          <w:szCs w:val="24"/>
        </w:rPr>
        <w:t xml:space="preserve">. El rumbo de la pandemia y de la economía sigue siendo desconocido. Cómo de rápido se pueda contener la crisis sanitaria, cómo de grande es la colaboración ciudadana y cuáles son las políticas para estimular la recuperación siguen siendo misterios. </w:t>
      </w:r>
      <w:r w:rsidRPr="00D644FE">
        <w:rPr>
          <w:rFonts w:ascii="Times New Roman" w:hAnsi="Times New Roman" w:cs="Times New Roman"/>
          <w:sz w:val="24"/>
          <w:szCs w:val="24"/>
          <w:u w:val="single"/>
        </w:rPr>
        <w:t>Incluso en estas condiciones, muchos economistas consideran que es difícil de imaginar un escenario similar al de la Gran Depresión tanto en duración como en severidad.</w:t>
      </w:r>
    </w:p>
    <w:p w:rsidR="00DB4714" w:rsidRPr="00D644FE" w:rsidRDefault="007B4B16" w:rsidP="00FA4DA9">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DB4714" w:rsidRPr="00D644FE">
        <w:rPr>
          <w:rFonts w:ascii="Times New Roman" w:hAnsi="Times New Roman" w:cs="Times New Roman"/>
          <w:color w:val="FF0000"/>
          <w:sz w:val="24"/>
          <w:szCs w:val="24"/>
          <w:u w:val="single"/>
        </w:rPr>
        <w:t>La crisis del sistema financiero fue la causa principal tanto de la Gran Depresión como de la recesión de 2007-2009. Hoy, los bancos son más fuer</w:t>
      </w:r>
      <w:r>
        <w:rPr>
          <w:rFonts w:ascii="Times New Roman" w:hAnsi="Times New Roman" w:cs="Times New Roman"/>
          <w:color w:val="FF0000"/>
          <w:sz w:val="24"/>
          <w:szCs w:val="24"/>
          <w:u w:val="single"/>
        </w:rPr>
        <w:t>tes y están mejor capitalizados”</w:t>
      </w:r>
      <w:r w:rsidR="00DB4714" w:rsidRPr="00D644FE">
        <w:rPr>
          <w:rFonts w:ascii="Times New Roman" w:hAnsi="Times New Roman" w:cs="Times New Roman"/>
          <w:color w:val="FF0000"/>
          <w:sz w:val="24"/>
          <w:szCs w:val="24"/>
          <w:u w:val="single"/>
        </w:rPr>
        <w:t>, dice Bernanke</w:t>
      </w:r>
      <w:r w:rsidR="00DB4714" w:rsidRPr="00B9473F">
        <w:rPr>
          <w:rFonts w:ascii="Times New Roman" w:hAnsi="Times New Roman" w:cs="Times New Roman"/>
          <w:sz w:val="24"/>
          <w:szCs w:val="24"/>
        </w:rPr>
        <w:t xml:space="preserve">. </w:t>
      </w:r>
      <w:r w:rsidR="00DB4714" w:rsidRPr="00D644FE">
        <w:rPr>
          <w:rFonts w:ascii="Times New Roman" w:hAnsi="Times New Roman" w:cs="Times New Roman"/>
          <w:color w:val="FF0000"/>
          <w:sz w:val="24"/>
          <w:szCs w:val="24"/>
          <w:u w:val="single"/>
        </w:rPr>
        <w:t>Según las estimaciones de expertos, la crisis actual es más comparable en escala y duración a la de principios de los ochenta y los dos mil</w:t>
      </w:r>
      <w:r w:rsidR="00DB4714" w:rsidRPr="00B9473F">
        <w:rPr>
          <w:rFonts w:ascii="Times New Roman" w:hAnsi="Times New Roman" w:cs="Times New Roman"/>
          <w:sz w:val="24"/>
          <w:szCs w:val="24"/>
        </w:rPr>
        <w:t xml:space="preserve">. Las similitudes con la Gran Depresión son más complejas, porque muchos de los datos que ahora manejamos ni existían en 1930. Pero ciertas métricas sí están disponibles, como el volumen de comercio de los miembros de la Liga de Naciones, las del sector industrial que recogía la Fed o los datos de empleo de la Works Progress Administration estadounidense. </w:t>
      </w:r>
      <w:r w:rsidR="00DB4714" w:rsidRPr="00D644FE">
        <w:rPr>
          <w:rFonts w:ascii="Times New Roman" w:hAnsi="Times New Roman" w:cs="Times New Roman"/>
          <w:color w:val="FF0000"/>
          <w:sz w:val="24"/>
          <w:szCs w:val="24"/>
          <w:u w:val="single"/>
        </w:rPr>
        <w:t>En los años treinta, la producción industrial se desplomó a la mitad. Poco a poco fue recuperándose durante cuatro años, para volver a caer con fuerza en 1937-1938. Por comparar, la producción retrocedió un 15% entre 2007 y 2009 y un 10% a principios de los ochenta.</w:t>
      </w:r>
    </w:p>
    <w:p w:rsidR="00DB4714" w:rsidRPr="00734EDD" w:rsidRDefault="00DB4714" w:rsidP="00FA4DA9">
      <w:pPr>
        <w:spacing w:line="240" w:lineRule="auto"/>
        <w:jc w:val="both"/>
        <w:rPr>
          <w:rFonts w:ascii="Times New Roman" w:hAnsi="Times New Roman" w:cs="Times New Roman"/>
          <w:color w:val="FF0000"/>
          <w:sz w:val="24"/>
          <w:szCs w:val="24"/>
          <w:u w:val="single"/>
        </w:rPr>
      </w:pPr>
      <w:r w:rsidRPr="00D644FE">
        <w:rPr>
          <w:rFonts w:ascii="Times New Roman" w:hAnsi="Times New Roman" w:cs="Times New Roman"/>
          <w:color w:val="FF0000"/>
          <w:sz w:val="24"/>
          <w:szCs w:val="24"/>
          <w:u w:val="single"/>
        </w:rPr>
        <w:t>Cuando comenzó la pandemia, la producción industrial ya estaba ralentizándose por culpa de las tensiones comerciales. Muchas fábricas han tenido que cerrar y la demanda de los consumidores se ha hundido, pero hay algunas que ya están retomando la actividad.</w:t>
      </w:r>
      <w:r w:rsidRPr="00D644FE">
        <w:rPr>
          <w:rFonts w:ascii="Times New Roman" w:hAnsi="Times New Roman" w:cs="Times New Roman"/>
          <w:color w:val="FF0000"/>
          <w:sz w:val="24"/>
          <w:szCs w:val="24"/>
        </w:rPr>
        <w:t xml:space="preserve"> </w:t>
      </w:r>
      <w:r w:rsidRPr="00B9473F">
        <w:rPr>
          <w:rFonts w:ascii="Times New Roman" w:hAnsi="Times New Roman" w:cs="Times New Roman"/>
          <w:sz w:val="24"/>
          <w:szCs w:val="24"/>
        </w:rPr>
        <w:t xml:space="preserve">Fabricantes de coches como General Motors o Ford, por ejemplo, han pivotado su actividad para hacer ventiladores. Las compañías de productos sanitarios no dan abasto. </w:t>
      </w:r>
      <w:r w:rsidRPr="00734EDD">
        <w:rPr>
          <w:rFonts w:ascii="Times New Roman" w:hAnsi="Times New Roman" w:cs="Times New Roman"/>
          <w:color w:val="FF0000"/>
          <w:sz w:val="24"/>
          <w:szCs w:val="24"/>
          <w:u w:val="single"/>
        </w:rPr>
        <w:t xml:space="preserve">Entre 1929 y </w:t>
      </w:r>
      <w:r w:rsidRPr="00734EDD">
        <w:rPr>
          <w:rFonts w:ascii="Times New Roman" w:hAnsi="Times New Roman" w:cs="Times New Roman"/>
          <w:color w:val="FF0000"/>
          <w:sz w:val="24"/>
          <w:szCs w:val="24"/>
          <w:u w:val="single"/>
        </w:rPr>
        <w:lastRenderedPageBreak/>
        <w:t>1933, la economía retrocedió durante 43 meses consecutivos. El desempleo escaló hasta rozar el 25% antes de descender poco a poco para estabilizarse por encima del 10% durante una década</w:t>
      </w:r>
      <w:r w:rsidRPr="00B9473F">
        <w:rPr>
          <w:rFonts w:ascii="Times New Roman" w:hAnsi="Times New Roman" w:cs="Times New Roman"/>
          <w:sz w:val="24"/>
          <w:szCs w:val="24"/>
        </w:rPr>
        <w:t xml:space="preserve">. </w:t>
      </w:r>
      <w:r w:rsidRPr="00734EDD">
        <w:rPr>
          <w:rFonts w:ascii="Times New Roman" w:hAnsi="Times New Roman" w:cs="Times New Roman"/>
          <w:color w:val="FF0000"/>
          <w:sz w:val="24"/>
          <w:szCs w:val="24"/>
          <w:u w:val="single"/>
        </w:rPr>
        <w:t>Por contra, a principios de los ochenta y entre 2007 y 2009, la contracción fue de 16 y 18 meses respectivamente. Esta vez, muchos economistas creen que el rebote podría empezar este año o a comienzos del próximo si logramos contener el virus. Aunque el desempleo en EEUU ya ha tocado el 14,7% en abril, y es muy probable que siga subiendo, el golpe se ha suavizado gracias a los programas y a los subsidios.</w:t>
      </w:r>
    </w:p>
    <w:p w:rsidR="00DB4714" w:rsidRPr="00734EDD" w:rsidRDefault="007B4B16" w:rsidP="00FA4DA9">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DB4714" w:rsidRPr="00734EDD">
        <w:rPr>
          <w:rFonts w:ascii="Times New Roman" w:hAnsi="Times New Roman" w:cs="Times New Roman"/>
          <w:color w:val="FF0000"/>
          <w:sz w:val="24"/>
          <w:szCs w:val="24"/>
          <w:u w:val="single"/>
        </w:rPr>
        <w:t xml:space="preserve">Hay mucha gente sufriendo y la economía no se va a recuperar en uno o dos trimestres. Pero si conseguimos un razonable control sobre el virus, la economía verá una revitalización sustancial y esta crisis debería ser mucho </w:t>
      </w:r>
      <w:r>
        <w:rPr>
          <w:rFonts w:ascii="Times New Roman" w:hAnsi="Times New Roman" w:cs="Times New Roman"/>
          <w:color w:val="FF0000"/>
          <w:sz w:val="24"/>
          <w:szCs w:val="24"/>
          <w:u w:val="single"/>
        </w:rPr>
        <w:t>más corta que la Gran Depresión”</w:t>
      </w:r>
      <w:r w:rsidR="00DB4714" w:rsidRPr="00734EDD">
        <w:rPr>
          <w:rFonts w:ascii="Times New Roman" w:hAnsi="Times New Roman" w:cs="Times New Roman"/>
          <w:color w:val="FF0000"/>
          <w:sz w:val="24"/>
          <w:szCs w:val="24"/>
          <w:u w:val="single"/>
        </w:rPr>
        <w:t>, dice Bernanke.</w:t>
      </w:r>
      <w:r w:rsidR="00DB4714" w:rsidRPr="00734EDD">
        <w:rPr>
          <w:rFonts w:ascii="Times New Roman" w:hAnsi="Times New Roman" w:cs="Times New Roman"/>
          <w:color w:val="FF0000"/>
          <w:sz w:val="24"/>
          <w:szCs w:val="24"/>
        </w:rPr>
        <w:t xml:space="preserve"> </w:t>
      </w:r>
      <w:r w:rsidR="00DB4714" w:rsidRPr="00734EDD">
        <w:rPr>
          <w:rFonts w:ascii="Times New Roman" w:hAnsi="Times New Roman" w:cs="Times New Roman"/>
          <w:color w:val="FF0000"/>
          <w:sz w:val="24"/>
          <w:szCs w:val="24"/>
          <w:u w:val="single"/>
        </w:rPr>
        <w:t>El segundo trimestre de 2020 será probablemente el peor de la historia para muchas economías. La media de las estimaciones d</w:t>
      </w:r>
      <w:r w:rsidR="002975DF">
        <w:rPr>
          <w:rFonts w:ascii="Times New Roman" w:hAnsi="Times New Roman" w:cs="Times New Roman"/>
          <w:color w:val="FF0000"/>
          <w:sz w:val="24"/>
          <w:szCs w:val="24"/>
          <w:u w:val="single"/>
        </w:rPr>
        <w:t>e los expertos consultados por “The Wall Street Journal”</w:t>
      </w:r>
      <w:r w:rsidR="00DB4714" w:rsidRPr="00734EDD">
        <w:rPr>
          <w:rFonts w:ascii="Times New Roman" w:hAnsi="Times New Roman" w:cs="Times New Roman"/>
          <w:color w:val="FF0000"/>
          <w:sz w:val="24"/>
          <w:szCs w:val="24"/>
          <w:u w:val="single"/>
        </w:rPr>
        <w:t xml:space="preserve"> sitúa el desplome en el 25%, y algunos apuntan al 50%. Pero los datos anualizados pueden ser engañosos. Asumen que el ritmo de un trimestre se mantendrá durante todo el año. Si el 10% de la economía hiberna durante tres meses, entonces la cifra anual se situará en el 40%.</w:t>
      </w:r>
    </w:p>
    <w:p w:rsidR="00DB4714" w:rsidRPr="00734EDD" w:rsidRDefault="007B4B16" w:rsidP="00FA4DA9">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DB4714" w:rsidRPr="00734EDD">
        <w:rPr>
          <w:rFonts w:ascii="Times New Roman" w:hAnsi="Times New Roman" w:cs="Times New Roman"/>
          <w:color w:val="FF0000"/>
          <w:sz w:val="24"/>
          <w:szCs w:val="24"/>
          <w:u w:val="single"/>
        </w:rPr>
        <w:t>Hemos sufrido una inmediata reducción de la actividad muy abrupta y muy profunda, provocada por el confinamiento. Y precisamente por ser tan abrupt</w:t>
      </w:r>
      <w:r w:rsidR="002975DF">
        <w:rPr>
          <w:rFonts w:ascii="Times New Roman" w:hAnsi="Times New Roman" w:cs="Times New Roman"/>
          <w:color w:val="FF0000"/>
          <w:sz w:val="24"/>
          <w:szCs w:val="24"/>
          <w:u w:val="single"/>
        </w:rPr>
        <w:t>a, los números son astronómicos”</w:t>
      </w:r>
      <w:r w:rsidR="00DB4714" w:rsidRPr="00734EDD">
        <w:rPr>
          <w:rFonts w:ascii="Times New Roman" w:hAnsi="Times New Roman" w:cs="Times New Roman"/>
          <w:color w:val="FF0000"/>
          <w:sz w:val="24"/>
          <w:szCs w:val="24"/>
          <w:u w:val="single"/>
        </w:rPr>
        <w:t>, explica Douglas Irwin, profesor en la Universidad de Dartmouth y experto en política comercial durante la Gran De</w:t>
      </w:r>
      <w:r w:rsidR="002975DF">
        <w:rPr>
          <w:rFonts w:ascii="Times New Roman" w:hAnsi="Times New Roman" w:cs="Times New Roman"/>
          <w:color w:val="FF0000"/>
          <w:sz w:val="24"/>
          <w:szCs w:val="24"/>
          <w:u w:val="single"/>
        </w:rPr>
        <w:t>presión. Además, considera que “</w:t>
      </w:r>
      <w:r w:rsidR="00DB4714" w:rsidRPr="00734EDD">
        <w:rPr>
          <w:rFonts w:ascii="Times New Roman" w:hAnsi="Times New Roman" w:cs="Times New Roman"/>
          <w:color w:val="FF0000"/>
          <w:sz w:val="24"/>
          <w:szCs w:val="24"/>
          <w:u w:val="single"/>
        </w:rPr>
        <w:t>la forma en que el mundo se sumió en la Gran Depresión fue provocada por una caída lenta y continuada. Fue un estran</w:t>
      </w:r>
      <w:r>
        <w:rPr>
          <w:rFonts w:ascii="Times New Roman" w:hAnsi="Times New Roman" w:cs="Times New Roman"/>
          <w:color w:val="FF0000"/>
          <w:sz w:val="24"/>
          <w:szCs w:val="24"/>
          <w:u w:val="single"/>
        </w:rPr>
        <w:t>gulamiento lento de la economía”</w:t>
      </w:r>
      <w:r w:rsidR="00DB4714" w:rsidRPr="00734EDD">
        <w:rPr>
          <w:rFonts w:ascii="Times New Roman" w:hAnsi="Times New Roman" w:cs="Times New Roman"/>
          <w:color w:val="FF0000"/>
          <w:sz w:val="24"/>
          <w:szCs w:val="24"/>
          <w:u w:val="single"/>
        </w:rPr>
        <w:t>.</w:t>
      </w:r>
    </w:p>
    <w:p w:rsidR="00DB4714" w:rsidRPr="00734EDD" w:rsidRDefault="00DB4714" w:rsidP="00FA4DA9">
      <w:pPr>
        <w:spacing w:line="240" w:lineRule="auto"/>
        <w:jc w:val="both"/>
        <w:rPr>
          <w:rFonts w:ascii="Times New Roman" w:hAnsi="Times New Roman" w:cs="Times New Roman"/>
          <w:color w:val="FF0000"/>
          <w:sz w:val="24"/>
          <w:szCs w:val="24"/>
          <w:u w:val="single"/>
        </w:rPr>
      </w:pPr>
      <w:r w:rsidRPr="00734EDD">
        <w:rPr>
          <w:rFonts w:ascii="Times New Roman" w:hAnsi="Times New Roman" w:cs="Times New Roman"/>
          <w:color w:val="FF0000"/>
          <w:sz w:val="24"/>
          <w:szCs w:val="24"/>
          <w:u w:val="single"/>
        </w:rPr>
        <w:t>Como pasó entonces, el colapso actual es global. Pero la escala es mucho más pequeña, según explicó Gita Gopinath, economista jefa del FMI, en su comparecencia del mes pasado. La entidad estima que la economía mundial se hundió un 10% durante la Gran Depresión, frente a una previsión del 3% para este año y una vuelta al crecimiento el próximo. Las economías más desarrolladas se desplomaron un 16% en la Depresión, frente al 6% pronosticado para 2020. Una serie de gruesos errores regulatorios provocaron que la Gran Depresión fuera más larga y más severa. Los bancos centrales se arrojaron en brazos del patrón oro, que ya no existe. El resultado fue una profunda deflación, lo que elevó el valor de las deudas y redujo los salarios.</w:t>
      </w:r>
    </w:p>
    <w:p w:rsidR="00DB4714" w:rsidRPr="00734EDD" w:rsidRDefault="00DB4714" w:rsidP="00FA4DA9">
      <w:pPr>
        <w:spacing w:line="240" w:lineRule="auto"/>
        <w:jc w:val="both"/>
        <w:rPr>
          <w:rFonts w:ascii="Times New Roman" w:hAnsi="Times New Roman" w:cs="Times New Roman"/>
          <w:color w:val="FF0000"/>
          <w:sz w:val="24"/>
          <w:szCs w:val="24"/>
          <w:u w:val="single"/>
        </w:rPr>
      </w:pPr>
      <w:r w:rsidRPr="00734EDD">
        <w:rPr>
          <w:rFonts w:ascii="Times New Roman" w:hAnsi="Times New Roman" w:cs="Times New Roman"/>
          <w:color w:val="FF0000"/>
          <w:sz w:val="24"/>
          <w:szCs w:val="24"/>
          <w:u w:val="single"/>
        </w:rPr>
        <w:t>Los gobiernos también recortaron el gasto como reacción a una reducción en los ingresos. Según las economías se deterioraban, los países levantaron barreras comerciales en un esfuerzo por proteger las industrias domésticas. El resultado fue una contracción global de la demanda, lo que hizo más profunda la depresión.</w:t>
      </w:r>
    </w:p>
    <w:p w:rsidR="00DB4714" w:rsidRDefault="00DB4714" w:rsidP="00FA4DA9">
      <w:pPr>
        <w:spacing w:line="240" w:lineRule="auto"/>
        <w:jc w:val="both"/>
        <w:rPr>
          <w:rFonts w:ascii="Times New Roman" w:hAnsi="Times New Roman" w:cs="Times New Roman"/>
          <w:color w:val="FF0000"/>
          <w:sz w:val="24"/>
          <w:szCs w:val="24"/>
          <w:u w:val="single"/>
        </w:rPr>
      </w:pPr>
      <w:r w:rsidRPr="00734EDD">
        <w:rPr>
          <w:rFonts w:ascii="Times New Roman" w:hAnsi="Times New Roman" w:cs="Times New Roman"/>
          <w:color w:val="FF0000"/>
          <w:sz w:val="24"/>
          <w:szCs w:val="24"/>
          <w:u w:val="single"/>
        </w:rPr>
        <w:t>Esta vez, los bancos centrales de todo el mundo recortaron rápidamente los tipos de interés y desplegaron programas para facilitar el crédito a los mercados. Los Gobiernos aprobaron medidas de gasto masivas, incluyendo los dos billones de la Fed para mantener a flote las empresas y proteger los empleos. Y no ha habido ninguna barrera comerci</w:t>
      </w:r>
      <w:r w:rsidR="00D60305">
        <w:rPr>
          <w:rFonts w:ascii="Times New Roman" w:hAnsi="Times New Roman" w:cs="Times New Roman"/>
          <w:color w:val="FF0000"/>
          <w:sz w:val="24"/>
          <w:szCs w:val="24"/>
          <w:u w:val="single"/>
        </w:rPr>
        <w:t>al en respuesta a la pandemia. “</w:t>
      </w:r>
      <w:r w:rsidRPr="00734EDD">
        <w:rPr>
          <w:rFonts w:ascii="Times New Roman" w:hAnsi="Times New Roman" w:cs="Times New Roman"/>
          <w:color w:val="FF0000"/>
          <w:sz w:val="24"/>
          <w:szCs w:val="24"/>
          <w:u w:val="single"/>
        </w:rPr>
        <w:t xml:space="preserve">No voy a decir que todo lo que han hecho los reguladores esté bien, pero hemos entendido que cualquier retraso en la toma de decisiones </w:t>
      </w:r>
      <w:r w:rsidR="00D60305">
        <w:rPr>
          <w:rFonts w:ascii="Times New Roman" w:hAnsi="Times New Roman" w:cs="Times New Roman"/>
          <w:color w:val="FF0000"/>
          <w:sz w:val="24"/>
          <w:szCs w:val="24"/>
          <w:u w:val="single"/>
        </w:rPr>
        <w:t>empeora el rumbo de la economía”</w:t>
      </w:r>
      <w:r w:rsidRPr="00734EDD">
        <w:rPr>
          <w:rFonts w:ascii="Times New Roman" w:hAnsi="Times New Roman" w:cs="Times New Roman"/>
          <w:color w:val="FF0000"/>
          <w:sz w:val="24"/>
          <w:szCs w:val="24"/>
          <w:u w:val="single"/>
        </w:rPr>
        <w:t>, afirma Catherine Mann, economista jefa de Citigroup.</w:t>
      </w:r>
    </w:p>
    <w:p w:rsidR="006A3B06" w:rsidRDefault="006A3B06" w:rsidP="00FA4DA9">
      <w:pPr>
        <w:spacing w:line="240" w:lineRule="auto"/>
        <w:jc w:val="both"/>
        <w:rPr>
          <w:rFonts w:ascii="Times New Roman" w:hAnsi="Times New Roman" w:cs="Times New Roman"/>
          <w:color w:val="FF0000"/>
          <w:sz w:val="24"/>
          <w:szCs w:val="24"/>
          <w:u w:val="single"/>
        </w:rPr>
      </w:pPr>
    </w:p>
    <w:p w:rsidR="006A3B06" w:rsidRDefault="006A3B06" w:rsidP="00FA4DA9">
      <w:pPr>
        <w:spacing w:line="240" w:lineRule="auto"/>
        <w:jc w:val="both"/>
        <w:rPr>
          <w:rFonts w:ascii="Times New Roman" w:hAnsi="Times New Roman" w:cs="Times New Roman"/>
          <w:color w:val="FF0000"/>
          <w:sz w:val="24"/>
          <w:szCs w:val="24"/>
          <w:u w:val="single"/>
        </w:rPr>
      </w:pPr>
    </w:p>
    <w:p w:rsidR="00D60305" w:rsidRPr="00B71C41" w:rsidRDefault="00D60305"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B71C41">
        <w:rPr>
          <w:rFonts w:ascii="Times New Roman" w:hAnsi="Times New Roman" w:cs="Times New Roman"/>
          <w:sz w:val="24"/>
          <w:szCs w:val="24"/>
          <w:u w:val="single"/>
        </w:rPr>
        <w:t>La economía europea perdería hasta un 22,7% de su valor si se frena o desmantela la UE por el coronavirus</w:t>
      </w:r>
      <w:r>
        <w:rPr>
          <w:rFonts w:ascii="Times New Roman" w:hAnsi="Times New Roman" w:cs="Times New Roman"/>
          <w:sz w:val="24"/>
          <w:szCs w:val="24"/>
        </w:rPr>
        <w:t xml:space="preserve"> (Expansión - </w:t>
      </w:r>
      <w:r w:rsidRPr="00B71C41">
        <w:rPr>
          <w:rFonts w:ascii="Times New Roman" w:hAnsi="Times New Roman" w:cs="Times New Roman"/>
          <w:b/>
          <w:sz w:val="24"/>
          <w:szCs w:val="24"/>
        </w:rPr>
        <w:t>16/5/20</w:t>
      </w:r>
      <w:r>
        <w:rPr>
          <w:rFonts w:ascii="Times New Roman" w:hAnsi="Times New Roman" w:cs="Times New Roman"/>
          <w:sz w:val="24"/>
          <w:szCs w:val="24"/>
        </w:rPr>
        <w:t>)</w:t>
      </w:r>
    </w:p>
    <w:p w:rsidR="00D60305" w:rsidRPr="00352BAC" w:rsidRDefault="00D60305" w:rsidP="00FA4DA9">
      <w:pPr>
        <w:spacing w:line="240" w:lineRule="auto"/>
        <w:jc w:val="both"/>
        <w:rPr>
          <w:rFonts w:ascii="Times New Roman" w:hAnsi="Times New Roman" w:cs="Times New Roman"/>
          <w:b/>
          <w:color w:val="FF0000"/>
          <w:sz w:val="24"/>
          <w:szCs w:val="24"/>
          <w:u w:val="single"/>
        </w:rPr>
      </w:pPr>
      <w:r w:rsidRPr="00352BAC">
        <w:rPr>
          <w:rFonts w:ascii="Times New Roman" w:hAnsi="Times New Roman" w:cs="Times New Roman"/>
          <w:b/>
          <w:color w:val="FF0000"/>
          <w:sz w:val="24"/>
          <w:szCs w:val="24"/>
          <w:u w:val="single"/>
        </w:rPr>
        <w:t>El valor conjunto de la economía de la Unión Europea (UE) podría reducirse hasta entre un 17% y un 22,7% en el caso de que se desmantelara el mercado único y no se avanza en los distintos programas y acciones comunes que podría desarrollar la UE en los próximos años como consecuencia de la crisis del Covid-19, según recoge un informe elaborado por el Parlamento Europeo</w:t>
      </w:r>
    </w:p>
    <w:p w:rsidR="00D60305" w:rsidRPr="002975DF" w:rsidRDefault="00D60305" w:rsidP="00FA4DA9">
      <w:pPr>
        <w:spacing w:line="240" w:lineRule="auto"/>
        <w:jc w:val="both"/>
        <w:rPr>
          <w:rFonts w:ascii="Times New Roman" w:hAnsi="Times New Roman" w:cs="Times New Roman"/>
          <w:color w:val="FF0000"/>
          <w:sz w:val="24"/>
          <w:szCs w:val="24"/>
          <w:u w:val="single"/>
        </w:rPr>
      </w:pPr>
      <w:r w:rsidRPr="002975DF">
        <w:rPr>
          <w:rFonts w:ascii="Times New Roman" w:hAnsi="Times New Roman" w:cs="Times New Roman"/>
          <w:color w:val="FF0000"/>
          <w:sz w:val="24"/>
          <w:szCs w:val="24"/>
          <w:u w:val="single"/>
        </w:rPr>
        <w:t xml:space="preserve">En el informe “Coronavirus and the cost of non-Europe”, el Parlamento Europeo analiza los beneficios económicos que ha producido la Unión Europea y qué efectos negativos tendría, de cara a la futura recuperación económica post-Covid-19, si se parara o revertiera el proceso de integración europeo.                                                                                                     </w:t>
      </w:r>
    </w:p>
    <w:p w:rsidR="00D60305" w:rsidRPr="00352BAC" w:rsidRDefault="00D60305" w:rsidP="00FA4DA9">
      <w:pPr>
        <w:spacing w:line="240" w:lineRule="auto"/>
        <w:jc w:val="both"/>
        <w:rPr>
          <w:rFonts w:ascii="Times New Roman" w:hAnsi="Times New Roman" w:cs="Times New Roman"/>
          <w:sz w:val="24"/>
          <w:szCs w:val="24"/>
          <w:u w:val="single"/>
        </w:rPr>
      </w:pPr>
      <w:r w:rsidRPr="00352BAC">
        <w:rPr>
          <w:rFonts w:ascii="Times New Roman" w:hAnsi="Times New Roman" w:cs="Times New Roman"/>
          <w:sz w:val="24"/>
          <w:szCs w:val="24"/>
          <w:u w:val="single"/>
        </w:rPr>
        <w:t>El informe señala que es difícil dar una estimación clara de lo que implicaría exactamente el desmantelamiento de la UE, ya que los efectos dependerían de qué, cómo, cuándo y en qué medida se desarmarían las distintas partes del proyecto europeo.</w:t>
      </w:r>
    </w:p>
    <w:p w:rsidR="00D60305" w:rsidRPr="00352BAC" w:rsidRDefault="00D60305" w:rsidP="00FA4DA9">
      <w:pPr>
        <w:spacing w:line="240" w:lineRule="auto"/>
        <w:jc w:val="both"/>
        <w:rPr>
          <w:rFonts w:ascii="Times New Roman" w:hAnsi="Times New Roman" w:cs="Times New Roman"/>
          <w:color w:val="FF0000"/>
          <w:sz w:val="24"/>
          <w:szCs w:val="24"/>
          <w:u w:val="single"/>
        </w:rPr>
      </w:pPr>
      <w:r w:rsidRPr="00352BAC">
        <w:rPr>
          <w:rFonts w:ascii="Times New Roman" w:hAnsi="Times New Roman" w:cs="Times New Roman"/>
          <w:color w:val="FF0000"/>
          <w:sz w:val="24"/>
          <w:szCs w:val="24"/>
          <w:u w:val="single"/>
        </w:rPr>
        <w:t>Sin embargo, detalla que las estimaciones más prudentes sugieren que desmantelar el mercado único europeo costaría a la economía de la región entre 480.000 millones y 1,38 billones de euros al año, lo que representa entre el 3% y el 8,7% del PIB conjunto de todos los países.</w:t>
      </w:r>
    </w:p>
    <w:p w:rsidR="00D60305" w:rsidRPr="00352BAC" w:rsidRDefault="00D60305" w:rsidP="00FA4DA9">
      <w:pPr>
        <w:spacing w:line="240" w:lineRule="auto"/>
        <w:jc w:val="both"/>
        <w:rPr>
          <w:rFonts w:ascii="Times New Roman" w:hAnsi="Times New Roman" w:cs="Times New Roman"/>
          <w:color w:val="FF0000"/>
          <w:sz w:val="24"/>
          <w:szCs w:val="24"/>
          <w:u w:val="single"/>
        </w:rPr>
      </w:pPr>
      <w:r w:rsidRPr="00352BAC">
        <w:rPr>
          <w:rFonts w:ascii="Times New Roman" w:hAnsi="Times New Roman" w:cs="Times New Roman"/>
          <w:color w:val="FF0000"/>
          <w:sz w:val="24"/>
          <w:szCs w:val="24"/>
          <w:u w:val="single"/>
        </w:rPr>
        <w:t>Asimismo, añade que el coste potencial que tendría que no se adoptaran políticas comunes en 50 campos distintos identificados en el estudio sería de alrededor de 2,2 billones de euros, lo que equivale al 14% del PIB de la Unión Europea de 2017.</w:t>
      </w:r>
    </w:p>
    <w:p w:rsidR="00D60305" w:rsidRPr="002975DF" w:rsidRDefault="00D60305" w:rsidP="00FA4DA9">
      <w:pPr>
        <w:spacing w:line="240" w:lineRule="auto"/>
        <w:jc w:val="both"/>
        <w:rPr>
          <w:rFonts w:ascii="Times New Roman" w:hAnsi="Times New Roman" w:cs="Times New Roman"/>
          <w:color w:val="FF0000"/>
          <w:sz w:val="24"/>
          <w:szCs w:val="24"/>
          <w:u w:val="single"/>
        </w:rPr>
      </w:pPr>
      <w:r w:rsidRPr="002975DF">
        <w:rPr>
          <w:rFonts w:ascii="Times New Roman" w:hAnsi="Times New Roman" w:cs="Times New Roman"/>
          <w:color w:val="FF0000"/>
          <w:sz w:val="24"/>
          <w:szCs w:val="24"/>
          <w:u w:val="single"/>
        </w:rPr>
        <w:t>“Si ambos problemas se desarrollan al mismo tiempo, la economía de la Unión Europea sería entre un 17% y un 22,7% inferior a lo que podría ser”, según el informe del Parlamento, que calcula que esto equivale a entre 2,7 y 3,6 billones de euros.</w:t>
      </w:r>
    </w:p>
    <w:p w:rsidR="00D60305" w:rsidRPr="00352BAC" w:rsidRDefault="00D60305" w:rsidP="00FA4DA9">
      <w:pPr>
        <w:spacing w:line="240" w:lineRule="auto"/>
        <w:jc w:val="both"/>
        <w:rPr>
          <w:rFonts w:ascii="Times New Roman" w:hAnsi="Times New Roman" w:cs="Times New Roman"/>
          <w:b/>
          <w:color w:val="FF0000"/>
          <w:sz w:val="24"/>
          <w:szCs w:val="24"/>
          <w:u w:val="single"/>
        </w:rPr>
      </w:pPr>
      <w:r w:rsidRPr="00352BAC">
        <w:rPr>
          <w:rFonts w:ascii="Times New Roman" w:hAnsi="Times New Roman" w:cs="Times New Roman"/>
          <w:b/>
          <w:color w:val="FF0000"/>
          <w:sz w:val="24"/>
          <w:szCs w:val="24"/>
          <w:u w:val="single"/>
        </w:rPr>
        <w:t>Asimismo, añade a que a esto habría que sumar cualquier tipo de contracción directa que se produzca como consecuencia de la propia crisis del coronavirus, y que según distintos estudios podría rondar los 160.000 millones de euros en 2020 (el 7,5% del PIB).</w:t>
      </w:r>
    </w:p>
    <w:p w:rsidR="00D60305" w:rsidRPr="00B71C41" w:rsidRDefault="00D60305" w:rsidP="00FA4DA9">
      <w:pPr>
        <w:spacing w:line="240" w:lineRule="auto"/>
        <w:jc w:val="both"/>
        <w:rPr>
          <w:rFonts w:ascii="Times New Roman" w:hAnsi="Times New Roman" w:cs="Times New Roman"/>
          <w:sz w:val="24"/>
          <w:szCs w:val="24"/>
        </w:rPr>
      </w:pPr>
      <w:r w:rsidRPr="00B71C41">
        <w:rPr>
          <w:rFonts w:ascii="Times New Roman" w:hAnsi="Times New Roman" w:cs="Times New Roman"/>
          <w:sz w:val="24"/>
          <w:szCs w:val="24"/>
        </w:rPr>
        <w:t>Impacto de las políticas comunes</w:t>
      </w:r>
    </w:p>
    <w:p w:rsidR="00D60305" w:rsidRPr="00352BAC" w:rsidRDefault="00D60305" w:rsidP="00FA4DA9">
      <w:pPr>
        <w:spacing w:line="240" w:lineRule="auto"/>
        <w:jc w:val="both"/>
        <w:rPr>
          <w:rFonts w:ascii="Times New Roman" w:hAnsi="Times New Roman" w:cs="Times New Roman"/>
          <w:color w:val="FF0000"/>
          <w:sz w:val="24"/>
          <w:szCs w:val="24"/>
          <w:u w:val="single"/>
        </w:rPr>
      </w:pPr>
      <w:r w:rsidRPr="00352BAC">
        <w:rPr>
          <w:rFonts w:ascii="Times New Roman" w:hAnsi="Times New Roman" w:cs="Times New Roman"/>
          <w:color w:val="FF0000"/>
          <w:sz w:val="24"/>
          <w:szCs w:val="24"/>
          <w:u w:val="single"/>
        </w:rPr>
        <w:t>En el caso de los beneficios económicos que se alcanzarían si se avanzara en políticas comunes en distintos campos, el informe señala que los mayores procederían de nuevas medidas para completar el mercado único (713.000 millones de euros).</w:t>
      </w:r>
    </w:p>
    <w:p w:rsidR="00D60305" w:rsidRPr="00352BAC" w:rsidRDefault="00D60305" w:rsidP="00FA4DA9">
      <w:pPr>
        <w:spacing w:line="240" w:lineRule="auto"/>
        <w:jc w:val="both"/>
        <w:rPr>
          <w:rFonts w:ascii="Times New Roman" w:hAnsi="Times New Roman" w:cs="Times New Roman"/>
          <w:color w:val="FF0000"/>
          <w:sz w:val="24"/>
          <w:szCs w:val="24"/>
          <w:u w:val="single"/>
        </w:rPr>
      </w:pPr>
      <w:r w:rsidRPr="00352BAC">
        <w:rPr>
          <w:rFonts w:ascii="Times New Roman" w:hAnsi="Times New Roman" w:cs="Times New Roman"/>
          <w:color w:val="FF0000"/>
          <w:sz w:val="24"/>
          <w:szCs w:val="24"/>
          <w:u w:val="single"/>
        </w:rPr>
        <w:t>Asimismo, también tendrían un impacto positivo de unos 502.000 millones de euros medidas para hacer frente a los desafíos medioambientales, la eficiencia energética y la integración del mercado energético, así como unas mayores inversiones en investigación, innovación, robótica e Inteligencia Artificial (IA).</w:t>
      </w:r>
    </w:p>
    <w:p w:rsidR="00D60305" w:rsidRPr="00352BAC" w:rsidRDefault="00D60305" w:rsidP="00FA4DA9">
      <w:pPr>
        <w:spacing w:line="240" w:lineRule="auto"/>
        <w:jc w:val="both"/>
        <w:rPr>
          <w:rFonts w:ascii="Times New Roman" w:hAnsi="Times New Roman" w:cs="Times New Roman"/>
          <w:color w:val="FF0000"/>
          <w:sz w:val="24"/>
          <w:szCs w:val="24"/>
          <w:u w:val="single"/>
        </w:rPr>
      </w:pPr>
      <w:r w:rsidRPr="00352BAC">
        <w:rPr>
          <w:rFonts w:ascii="Times New Roman" w:hAnsi="Times New Roman" w:cs="Times New Roman"/>
          <w:color w:val="FF0000"/>
          <w:sz w:val="24"/>
          <w:szCs w:val="24"/>
          <w:u w:val="single"/>
        </w:rPr>
        <w:t>Asimismo, añade que completar la unión económica y monetaria aportaría al conjunto de la UE alrededor de 322.000 millones de euros, reforzar las políticas europeas de justicia y asuntos internos unos 180.000 millones de euros y completar el mercado único digital alrededor de 178.000 millones de euros.</w:t>
      </w:r>
    </w:p>
    <w:p w:rsidR="00D60305" w:rsidRPr="00B71C41" w:rsidRDefault="00D60305"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B71C41">
        <w:rPr>
          <w:rFonts w:ascii="Times New Roman" w:hAnsi="Times New Roman" w:cs="Times New Roman"/>
          <w:sz w:val="24"/>
          <w:szCs w:val="24"/>
        </w:rPr>
        <w:t>Si se hubieran adoptado antes estas medidas, habría mejorado la capacidad de la Unión Europea para responder de forma más coherente y efect</w:t>
      </w:r>
      <w:r>
        <w:rPr>
          <w:rFonts w:ascii="Times New Roman" w:hAnsi="Times New Roman" w:cs="Times New Roman"/>
          <w:sz w:val="24"/>
          <w:szCs w:val="24"/>
        </w:rPr>
        <w:t>iva a la crisis del coronavirus”, incide el Parlamento Europeo.</w:t>
      </w:r>
    </w:p>
    <w:p w:rsidR="00D60305" w:rsidRPr="00B71C41" w:rsidRDefault="00D60305" w:rsidP="00FA4DA9">
      <w:pPr>
        <w:spacing w:line="240" w:lineRule="auto"/>
        <w:jc w:val="both"/>
        <w:rPr>
          <w:rFonts w:ascii="Times New Roman" w:hAnsi="Times New Roman" w:cs="Times New Roman"/>
          <w:sz w:val="24"/>
          <w:szCs w:val="24"/>
        </w:rPr>
      </w:pPr>
      <w:r w:rsidRPr="00B71C41">
        <w:rPr>
          <w:rFonts w:ascii="Times New Roman" w:hAnsi="Times New Roman" w:cs="Times New Roman"/>
          <w:sz w:val="24"/>
          <w:szCs w:val="24"/>
        </w:rPr>
        <w:t>En concreto, apunta que un sistema económico europeo más resistente habría ayudado a proporcionar el nivel adecuado de respuesta fiscal, mientras que un mer</w:t>
      </w:r>
      <w:r>
        <w:rPr>
          <w:rFonts w:ascii="Times New Roman" w:hAnsi="Times New Roman" w:cs="Times New Roman"/>
          <w:sz w:val="24"/>
          <w:szCs w:val="24"/>
        </w:rPr>
        <w:t>cado único más integrado es un “instrumento clave”</w:t>
      </w:r>
      <w:r w:rsidRPr="00B71C41">
        <w:rPr>
          <w:rFonts w:ascii="Times New Roman" w:hAnsi="Times New Roman" w:cs="Times New Roman"/>
          <w:sz w:val="24"/>
          <w:szCs w:val="24"/>
        </w:rPr>
        <w:t xml:space="preserve"> para garantizar el suministro ininterrumpido de bienes esenciales y la renovación a tiempo de suminis</w:t>
      </w:r>
      <w:r>
        <w:rPr>
          <w:rFonts w:ascii="Times New Roman" w:hAnsi="Times New Roman" w:cs="Times New Roman"/>
          <w:sz w:val="24"/>
          <w:szCs w:val="24"/>
        </w:rPr>
        <w:t>tros médicos y equipos médicos.</w:t>
      </w:r>
    </w:p>
    <w:p w:rsidR="00D60305" w:rsidRPr="00352BAC" w:rsidRDefault="00D60305" w:rsidP="00FA4DA9">
      <w:pPr>
        <w:spacing w:line="240" w:lineRule="auto"/>
        <w:jc w:val="both"/>
        <w:rPr>
          <w:rFonts w:ascii="Times New Roman" w:hAnsi="Times New Roman" w:cs="Times New Roman"/>
          <w:sz w:val="24"/>
          <w:szCs w:val="24"/>
          <w:u w:val="single"/>
        </w:rPr>
      </w:pPr>
      <w:r w:rsidRPr="00B71C41">
        <w:rPr>
          <w:rFonts w:ascii="Times New Roman" w:hAnsi="Times New Roman" w:cs="Times New Roman"/>
          <w:sz w:val="24"/>
          <w:szCs w:val="24"/>
        </w:rPr>
        <w:t xml:space="preserve">En esta línea, </w:t>
      </w:r>
      <w:r w:rsidRPr="00352BAC">
        <w:rPr>
          <w:rFonts w:ascii="Times New Roman" w:hAnsi="Times New Roman" w:cs="Times New Roman"/>
          <w:sz w:val="24"/>
          <w:szCs w:val="24"/>
          <w:u w:val="single"/>
        </w:rPr>
        <w:t>una mayor integración en la economía digital, los mercados de capitales y la unión bancaria, así como en las áreas, social, de empleo, y</w:t>
      </w:r>
      <w:r>
        <w:rPr>
          <w:rFonts w:ascii="Times New Roman" w:hAnsi="Times New Roman" w:cs="Times New Roman"/>
          <w:sz w:val="24"/>
          <w:szCs w:val="24"/>
          <w:u w:val="single"/>
        </w:rPr>
        <w:t xml:space="preserve"> de salud, habría dado a la UE “</w:t>
      </w:r>
      <w:r w:rsidRPr="00352BAC">
        <w:rPr>
          <w:rFonts w:ascii="Times New Roman" w:hAnsi="Times New Roman" w:cs="Times New Roman"/>
          <w:sz w:val="24"/>
          <w:szCs w:val="24"/>
          <w:u w:val="single"/>
        </w:rPr>
        <w:t>herramientas adicionales para enfrentar la crisi</w:t>
      </w:r>
      <w:r>
        <w:rPr>
          <w:rFonts w:ascii="Times New Roman" w:hAnsi="Times New Roman" w:cs="Times New Roman"/>
          <w:sz w:val="24"/>
          <w:szCs w:val="24"/>
          <w:u w:val="single"/>
        </w:rPr>
        <w:t>s actual de manera más efectiva”</w:t>
      </w:r>
      <w:r w:rsidRPr="00352BAC">
        <w:rPr>
          <w:rFonts w:ascii="Times New Roman" w:hAnsi="Times New Roman" w:cs="Times New Roman"/>
          <w:sz w:val="24"/>
          <w:szCs w:val="24"/>
          <w:u w:val="single"/>
        </w:rPr>
        <w:t>.</w:t>
      </w:r>
    </w:p>
    <w:p w:rsidR="00D60305" w:rsidRPr="00B71C41" w:rsidRDefault="00D60305" w:rsidP="00FA4DA9">
      <w:pPr>
        <w:spacing w:line="240" w:lineRule="auto"/>
        <w:jc w:val="both"/>
        <w:rPr>
          <w:rFonts w:ascii="Times New Roman" w:hAnsi="Times New Roman" w:cs="Times New Roman"/>
          <w:sz w:val="24"/>
          <w:szCs w:val="24"/>
        </w:rPr>
      </w:pPr>
      <w:r w:rsidRPr="00B71C41">
        <w:rPr>
          <w:rFonts w:ascii="Times New Roman" w:hAnsi="Times New Roman" w:cs="Times New Roman"/>
          <w:sz w:val="24"/>
          <w:szCs w:val="24"/>
        </w:rPr>
        <w:t>Sin embargo, también añade que, pese a que algunas oportunidades se han perdido por no estar completa la integración, el proyecto europeo ha a</w:t>
      </w:r>
      <w:r>
        <w:rPr>
          <w:rFonts w:ascii="Times New Roman" w:hAnsi="Times New Roman" w:cs="Times New Roman"/>
          <w:sz w:val="24"/>
          <w:szCs w:val="24"/>
        </w:rPr>
        <w:t>portado a los estados miembros “una gran suma adicional de PIB”</w:t>
      </w:r>
      <w:r w:rsidRPr="00B71C41">
        <w:rPr>
          <w:rFonts w:ascii="Times New Roman" w:hAnsi="Times New Roman" w:cs="Times New Roman"/>
          <w:sz w:val="24"/>
          <w:szCs w:val="24"/>
        </w:rPr>
        <w:t>, c</w:t>
      </w:r>
      <w:r>
        <w:rPr>
          <w:rFonts w:ascii="Times New Roman" w:hAnsi="Times New Roman" w:cs="Times New Roman"/>
          <w:sz w:val="24"/>
          <w:szCs w:val="24"/>
        </w:rPr>
        <w:t>olocándoles en una “</w:t>
      </w:r>
      <w:r w:rsidRPr="00B71C41">
        <w:rPr>
          <w:rFonts w:ascii="Times New Roman" w:hAnsi="Times New Roman" w:cs="Times New Roman"/>
          <w:sz w:val="24"/>
          <w:szCs w:val="24"/>
        </w:rPr>
        <w:t>posición mucho más fuerte para lidiar con la actual crisis en comparación con un escenario en el</w:t>
      </w:r>
      <w:r>
        <w:rPr>
          <w:rFonts w:ascii="Times New Roman" w:hAnsi="Times New Roman" w:cs="Times New Roman"/>
          <w:sz w:val="24"/>
          <w:szCs w:val="24"/>
        </w:rPr>
        <w:t xml:space="preserve"> que nunca hubiera existido la UE”.</w:t>
      </w:r>
    </w:p>
    <w:p w:rsidR="00D60305" w:rsidRPr="00B71C41" w:rsidRDefault="00D60305" w:rsidP="00FA4DA9">
      <w:pPr>
        <w:spacing w:line="240" w:lineRule="auto"/>
        <w:jc w:val="both"/>
        <w:rPr>
          <w:rFonts w:ascii="Times New Roman" w:hAnsi="Times New Roman" w:cs="Times New Roman"/>
          <w:sz w:val="24"/>
          <w:szCs w:val="24"/>
        </w:rPr>
      </w:pPr>
      <w:r w:rsidRPr="00B71C41">
        <w:rPr>
          <w:rFonts w:ascii="Times New Roman" w:hAnsi="Times New Roman" w:cs="Times New Roman"/>
          <w:sz w:val="24"/>
          <w:szCs w:val="24"/>
        </w:rPr>
        <w:t>Acción común</w:t>
      </w:r>
    </w:p>
    <w:p w:rsidR="00D60305" w:rsidRPr="00B71C41" w:rsidRDefault="00D60305"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71C41">
        <w:rPr>
          <w:rFonts w:ascii="Times New Roman" w:hAnsi="Times New Roman" w:cs="Times New Roman"/>
          <w:sz w:val="24"/>
          <w:szCs w:val="24"/>
        </w:rPr>
        <w:t>Los resultados de este estudio confirman que cuando está unida, Europa puede ofrecer más y de manera más efectiva y más eficiente, ya que la acción común proporciona un nivel de profundidad estratégica que ningún Estado miembro individual o un grupo aislado de Estados miem</w:t>
      </w:r>
      <w:r>
        <w:rPr>
          <w:rFonts w:ascii="Times New Roman" w:hAnsi="Times New Roman" w:cs="Times New Roman"/>
          <w:sz w:val="24"/>
          <w:szCs w:val="24"/>
        </w:rPr>
        <w:t>bros podría alcanzar”, remarca.</w:t>
      </w:r>
    </w:p>
    <w:p w:rsidR="00D60305" w:rsidRPr="00B71C41" w:rsidRDefault="00D60305" w:rsidP="00FA4DA9">
      <w:pPr>
        <w:spacing w:line="240" w:lineRule="auto"/>
        <w:jc w:val="both"/>
        <w:rPr>
          <w:rFonts w:ascii="Times New Roman" w:hAnsi="Times New Roman" w:cs="Times New Roman"/>
          <w:sz w:val="24"/>
          <w:szCs w:val="24"/>
        </w:rPr>
      </w:pPr>
      <w:r w:rsidRPr="00B71C41">
        <w:rPr>
          <w:rFonts w:ascii="Times New Roman" w:hAnsi="Times New Roman" w:cs="Times New Roman"/>
          <w:sz w:val="24"/>
          <w:szCs w:val="24"/>
        </w:rPr>
        <w:t>Por este motivo, el Parlamento Europeo de</w:t>
      </w:r>
      <w:r>
        <w:rPr>
          <w:rFonts w:ascii="Times New Roman" w:hAnsi="Times New Roman" w:cs="Times New Roman"/>
          <w:sz w:val="24"/>
          <w:szCs w:val="24"/>
        </w:rPr>
        <w:t>fiende que haya un “movimiento decidido”</w:t>
      </w:r>
      <w:r w:rsidRPr="00B71C41">
        <w:rPr>
          <w:rFonts w:ascii="Times New Roman" w:hAnsi="Times New Roman" w:cs="Times New Roman"/>
          <w:sz w:val="24"/>
          <w:szCs w:val="24"/>
        </w:rPr>
        <w:t xml:space="preserve"> hacia una mayor acción de política</w:t>
      </w:r>
      <w:r>
        <w:rPr>
          <w:rFonts w:ascii="Times New Roman" w:hAnsi="Times New Roman" w:cs="Times New Roman"/>
          <w:sz w:val="24"/>
          <w:szCs w:val="24"/>
        </w:rPr>
        <w:t xml:space="preserve"> común, ya que podría fomentar “</w:t>
      </w:r>
      <w:r w:rsidRPr="00B71C41">
        <w:rPr>
          <w:rFonts w:ascii="Times New Roman" w:hAnsi="Times New Roman" w:cs="Times New Roman"/>
          <w:sz w:val="24"/>
          <w:szCs w:val="24"/>
        </w:rPr>
        <w:t>una recuperación más rápida, más sosten</w:t>
      </w:r>
      <w:r>
        <w:rPr>
          <w:rFonts w:ascii="Times New Roman" w:hAnsi="Times New Roman" w:cs="Times New Roman"/>
          <w:sz w:val="24"/>
          <w:szCs w:val="24"/>
        </w:rPr>
        <w:t>ible y verdaderamente inclusiva”</w:t>
      </w:r>
      <w:r w:rsidRPr="00B71C41">
        <w:rPr>
          <w:rFonts w:ascii="Times New Roman" w:hAnsi="Times New Roman" w:cs="Times New Roman"/>
          <w:sz w:val="24"/>
          <w:szCs w:val="24"/>
        </w:rPr>
        <w:t>.</w:t>
      </w:r>
    </w:p>
    <w:p w:rsidR="00D60305" w:rsidRPr="00B71C41" w:rsidRDefault="00D60305"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71C41">
        <w:rPr>
          <w:rFonts w:ascii="Times New Roman" w:hAnsi="Times New Roman" w:cs="Times New Roman"/>
          <w:sz w:val="24"/>
          <w:szCs w:val="24"/>
        </w:rPr>
        <w:t>Las respuestas de los Estados miembros y las intervenciones económicas deben coordinarse, ya que de lo contrario podrían terminar creando una mayor divergencia a medio plazo, poniendo en riesgo la recuperación, en particular en los E</w:t>
      </w:r>
      <w:r>
        <w:rPr>
          <w:rFonts w:ascii="Times New Roman" w:hAnsi="Times New Roman" w:cs="Times New Roman"/>
          <w:sz w:val="24"/>
          <w:szCs w:val="24"/>
        </w:rPr>
        <w:t>stados miembros más vulnerables”</w:t>
      </w:r>
      <w:r w:rsidRPr="00B71C41">
        <w:rPr>
          <w:rFonts w:ascii="Times New Roman" w:hAnsi="Times New Roman" w:cs="Times New Roman"/>
          <w:sz w:val="24"/>
          <w:szCs w:val="24"/>
        </w:rPr>
        <w:t>, incide.</w:t>
      </w:r>
    </w:p>
    <w:p w:rsidR="00D60305" w:rsidRDefault="00D60305" w:rsidP="00FA4DA9">
      <w:pPr>
        <w:spacing w:line="240" w:lineRule="auto"/>
        <w:jc w:val="both"/>
        <w:rPr>
          <w:rFonts w:ascii="Times New Roman" w:hAnsi="Times New Roman" w:cs="Times New Roman"/>
          <w:sz w:val="24"/>
          <w:szCs w:val="24"/>
        </w:rPr>
      </w:pPr>
      <w:r w:rsidRPr="001738B3">
        <w:rPr>
          <w:rFonts w:ascii="Times New Roman" w:eastAsia="Times New Roman" w:hAnsi="Times New Roman" w:cs="Times New Roman"/>
          <w:noProof/>
          <w:sz w:val="24"/>
          <w:szCs w:val="24"/>
          <w:lang w:eastAsia="es-ES"/>
        </w:rPr>
        <w:drawing>
          <wp:inline distT="0" distB="0" distL="0" distR="0" wp14:anchorId="2F69DC96" wp14:editId="0B402BBB">
            <wp:extent cx="5689438" cy="3168650"/>
            <wp:effectExtent l="0" t="0" r="6985" b="0"/>
            <wp:docPr id="250" name="Imagen 250" descr="https://webapi.project-syndicate.org/library/94a69353e398f9c9974eb9fee41a193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ebapi.project-syndicate.org/library/94a69353e398f9c9974eb9fee41a193e.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687960" cy="3167827"/>
                    </a:xfrm>
                    <a:prstGeom prst="rect">
                      <a:avLst/>
                    </a:prstGeom>
                    <a:noFill/>
                    <a:ln>
                      <a:noFill/>
                    </a:ln>
                  </pic:spPr>
                </pic:pic>
              </a:graphicData>
            </a:graphic>
          </wp:inline>
        </w:drawing>
      </w:r>
    </w:p>
    <w:p w:rsidR="00D60305" w:rsidRPr="00D60305" w:rsidRDefault="00D60305" w:rsidP="00FA4DA9">
      <w:pPr>
        <w:spacing w:line="240" w:lineRule="auto"/>
        <w:jc w:val="both"/>
        <w:rPr>
          <w:rFonts w:ascii="Times New Roman" w:hAnsi="Times New Roman" w:cs="Times New Roman"/>
          <w:sz w:val="24"/>
          <w:szCs w:val="24"/>
        </w:rPr>
      </w:pPr>
      <w:r w:rsidRPr="00FD25A1">
        <w:rPr>
          <w:rFonts w:ascii="Times New Roman" w:eastAsia="Times New Roman" w:hAnsi="Times New Roman" w:cs="Times New Roman"/>
          <w:noProof/>
          <w:sz w:val="24"/>
          <w:szCs w:val="24"/>
          <w:lang w:eastAsia="es-ES"/>
        </w:rPr>
        <w:lastRenderedPageBreak/>
        <w:drawing>
          <wp:inline distT="0" distB="0" distL="0" distR="0" wp14:anchorId="37DA521E" wp14:editId="4D8D10AE">
            <wp:extent cx="5727184" cy="3365500"/>
            <wp:effectExtent l="0" t="0" r="6985" b="6350"/>
            <wp:docPr id="274" name="Imagen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31510" cy="3368042"/>
                    </a:xfrm>
                    <a:prstGeom prst="rect">
                      <a:avLst/>
                    </a:prstGeom>
                  </pic:spPr>
                </pic:pic>
              </a:graphicData>
            </a:graphic>
          </wp:inline>
        </w:drawing>
      </w:r>
    </w:p>
    <w:p w:rsidR="00DB4714" w:rsidRPr="00B71C41" w:rsidRDefault="00DB4714"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71C41">
        <w:rPr>
          <w:rFonts w:ascii="Times New Roman" w:hAnsi="Times New Roman" w:cs="Times New Roman"/>
          <w:sz w:val="24"/>
          <w:szCs w:val="24"/>
        </w:rPr>
        <w:t>¿</w:t>
      </w:r>
      <w:r w:rsidRPr="00B71C41">
        <w:rPr>
          <w:rFonts w:ascii="Times New Roman" w:hAnsi="Times New Roman" w:cs="Times New Roman"/>
          <w:sz w:val="24"/>
          <w:szCs w:val="24"/>
          <w:u w:val="single"/>
        </w:rPr>
        <w:t>Terminarán los bancos centrales comprando Bolsa</w:t>
      </w:r>
      <w:r w:rsidRPr="00B71C41">
        <w:rPr>
          <w:rFonts w:ascii="Times New Roman" w:hAnsi="Times New Roman" w:cs="Times New Roman"/>
          <w:sz w:val="24"/>
          <w:szCs w:val="24"/>
        </w:rPr>
        <w:t>?</w:t>
      </w:r>
      <w:r>
        <w:rPr>
          <w:rFonts w:ascii="Times New Roman" w:hAnsi="Times New Roman" w:cs="Times New Roman"/>
          <w:sz w:val="24"/>
          <w:szCs w:val="24"/>
        </w:rPr>
        <w:t xml:space="preserve"> (Cinco Días - </w:t>
      </w:r>
      <w:r w:rsidRPr="00B71C41">
        <w:rPr>
          <w:rFonts w:ascii="Times New Roman" w:hAnsi="Times New Roman" w:cs="Times New Roman"/>
          <w:b/>
          <w:sz w:val="24"/>
          <w:szCs w:val="24"/>
        </w:rPr>
        <w:t>17/5/20</w:t>
      </w:r>
      <w:r>
        <w:rPr>
          <w:rFonts w:ascii="Times New Roman" w:hAnsi="Times New Roman" w:cs="Times New Roman"/>
          <w:sz w:val="24"/>
          <w:szCs w:val="24"/>
        </w:rPr>
        <w:t>)</w:t>
      </w:r>
    </w:p>
    <w:p w:rsidR="00DB4714" w:rsidRDefault="00DB4714"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(Por Luis Aparicio)</w:t>
      </w:r>
    </w:p>
    <w:p w:rsidR="00DB4714" w:rsidRPr="00C05E95" w:rsidRDefault="00DB4714" w:rsidP="00FA4DA9">
      <w:pPr>
        <w:spacing w:line="240" w:lineRule="auto"/>
        <w:jc w:val="both"/>
        <w:rPr>
          <w:rFonts w:ascii="Times New Roman" w:hAnsi="Times New Roman" w:cs="Times New Roman"/>
          <w:color w:val="FF0000"/>
          <w:sz w:val="24"/>
          <w:szCs w:val="24"/>
          <w:u w:val="single"/>
        </w:rPr>
      </w:pPr>
      <w:r w:rsidRPr="002975DF">
        <w:rPr>
          <w:rFonts w:ascii="Times New Roman" w:hAnsi="Times New Roman" w:cs="Times New Roman"/>
          <w:b/>
          <w:color w:val="FF0000"/>
          <w:sz w:val="24"/>
          <w:szCs w:val="24"/>
          <w:u w:val="single"/>
        </w:rPr>
        <w:t>Los bancos centrales están cada día asumiendo más riesgos en los mercados</w:t>
      </w:r>
      <w:r w:rsidRPr="00C05E95">
        <w:rPr>
          <w:rFonts w:ascii="Times New Roman" w:hAnsi="Times New Roman" w:cs="Times New Roman"/>
          <w:color w:val="FF0000"/>
          <w:sz w:val="24"/>
          <w:szCs w:val="24"/>
          <w:u w:val="single"/>
        </w:rPr>
        <w:t xml:space="preserve">. </w:t>
      </w:r>
      <w:r w:rsidRPr="002975DF">
        <w:rPr>
          <w:rFonts w:ascii="Times New Roman" w:hAnsi="Times New Roman" w:cs="Times New Roman"/>
          <w:color w:val="FF0000"/>
          <w:sz w:val="24"/>
          <w:szCs w:val="24"/>
          <w:u w:val="single"/>
        </w:rPr>
        <w:t>El Banco de</w:t>
      </w:r>
      <w:r w:rsidRPr="00C05E95">
        <w:rPr>
          <w:rFonts w:ascii="Times New Roman" w:hAnsi="Times New Roman" w:cs="Times New Roman"/>
          <w:color w:val="FF0000"/>
          <w:sz w:val="24"/>
          <w:szCs w:val="24"/>
          <w:u w:val="single"/>
        </w:rPr>
        <w:t xml:space="preserve"> Japón lleva la delantera y compra sin ningún rubor acciones de su Bolsa; mientras tanto, la Reserva Federal (Fed) estadounidense anunció al inicio de esta crisis que adquiriría bonos sin grado de inversión, es decir, los de mayor riesgo (high yield), y el Banco Central Europeo (BCE) ya se ha mostrado abierto a hacerlo próximamente ante la gravedad de la crisis económica. Por lo pronto, ya ha aceptado por vez primera los bonos de alto riesgo como garantía (colateral) para dar liquidez a la banca y Christine Lagarde reitera una y otra vez estar dispuesta a todo lo necesario para afrontar la crisis, en respuesta a las críticas del Constitucional alemán al programa de compras de deuda.</w:t>
      </w:r>
    </w:p>
    <w:p w:rsidR="00DB4714" w:rsidRPr="00C05E95" w:rsidRDefault="00DB4714" w:rsidP="00FA4DA9">
      <w:pPr>
        <w:spacing w:line="240" w:lineRule="auto"/>
        <w:jc w:val="both"/>
        <w:rPr>
          <w:rFonts w:ascii="Times New Roman" w:hAnsi="Times New Roman" w:cs="Times New Roman"/>
          <w:sz w:val="24"/>
          <w:szCs w:val="24"/>
          <w:u w:val="single"/>
        </w:rPr>
      </w:pPr>
      <w:r w:rsidRPr="00C05E95">
        <w:rPr>
          <w:rFonts w:ascii="Times New Roman" w:hAnsi="Times New Roman" w:cs="Times New Roman"/>
          <w:b/>
          <w:color w:val="FF0000"/>
          <w:sz w:val="24"/>
          <w:szCs w:val="24"/>
          <w:u w:val="single"/>
        </w:rPr>
        <w:t>Un paso aún más allá en la asunción de riesgo, la compra de acciones por parte de los bancos centrales, no le suena descabellada a los analistas</w:t>
      </w:r>
      <w:r w:rsidRPr="00B71C41">
        <w:rPr>
          <w:rFonts w:ascii="Times New Roman" w:hAnsi="Times New Roman" w:cs="Times New Roman"/>
          <w:sz w:val="24"/>
          <w:szCs w:val="24"/>
        </w:rPr>
        <w:t xml:space="preserve">. El en su día criticado modelo japonés de intervención en su mercado de bonos fue luego replicado por la Fed y el BCE a raíz de la crisis financiera de 2008. Tampoco se ven con buenos ojos sus compras sin ningún disimulo en las Bolsas, pero puede que, como ocurriera con los bonos, sea solo una cuestión de tiempo. </w:t>
      </w:r>
      <w:r w:rsidRPr="00C05E95">
        <w:rPr>
          <w:rFonts w:ascii="Times New Roman" w:hAnsi="Times New Roman" w:cs="Times New Roman"/>
          <w:sz w:val="24"/>
          <w:szCs w:val="24"/>
          <w:u w:val="single"/>
        </w:rPr>
        <w:t>Así lo cree el experto de la gestora Jupiter AM Ariel Bezalel: “No sería descartable que podamos ver a la Fed saliendo al mercado a comprar acciones, como, de hecho, el Banco de Japón lleva tiempo haciendo. Mantenemos desde hace tiempo que los mercados desarrollados terminarán siguiendo la senda económica trazada por Japón”, explica.</w:t>
      </w:r>
    </w:p>
    <w:p w:rsidR="00DB4714" w:rsidRPr="00C05E95" w:rsidRDefault="00DB4714" w:rsidP="00FA4DA9">
      <w:pPr>
        <w:spacing w:line="240" w:lineRule="auto"/>
        <w:jc w:val="both"/>
        <w:rPr>
          <w:rFonts w:ascii="Times New Roman" w:hAnsi="Times New Roman" w:cs="Times New Roman"/>
          <w:sz w:val="24"/>
          <w:szCs w:val="24"/>
          <w:u w:val="single"/>
        </w:rPr>
      </w:pPr>
      <w:r w:rsidRPr="00C05E95">
        <w:rPr>
          <w:rFonts w:ascii="Times New Roman" w:hAnsi="Times New Roman" w:cs="Times New Roman"/>
          <w:sz w:val="24"/>
          <w:szCs w:val="24"/>
          <w:u w:val="single"/>
        </w:rPr>
        <w:t>Un reciente estudio de Bank of America apunta también a la posibilidad de que la Fed tome partido en el mercado de acciones. “El estímulo monetario no tiene precedentes, ya que la Reserva Federal creó el Servicio de Crédito Corporativo del Mercado Secundario (SMCCF) y prometió comprar ETF de bonos corporativos, incluidos los de alto rendimiento de EE UU”. Y agrega: “Si bien el BCE puede hacerse eco de la Reserva Federal al proporcionar un apoyo explícito a los bonos de más riesgo, es poco probable que esto se extienda a las acciones dado que las más capitalizadas ya han rebotado agresivamente desde los mínimos de marzo”.</w:t>
      </w:r>
    </w:p>
    <w:p w:rsidR="00DB4714" w:rsidRPr="00C05E95" w:rsidRDefault="00DB4714" w:rsidP="00FA4DA9">
      <w:pPr>
        <w:spacing w:line="240" w:lineRule="auto"/>
        <w:jc w:val="both"/>
        <w:rPr>
          <w:rFonts w:ascii="Times New Roman" w:hAnsi="Times New Roman" w:cs="Times New Roman"/>
          <w:color w:val="FF0000"/>
          <w:sz w:val="24"/>
          <w:szCs w:val="24"/>
          <w:u w:val="single"/>
        </w:rPr>
      </w:pPr>
      <w:r w:rsidRPr="00C05E95">
        <w:rPr>
          <w:rFonts w:ascii="Times New Roman" w:hAnsi="Times New Roman" w:cs="Times New Roman"/>
          <w:color w:val="FF0000"/>
          <w:sz w:val="24"/>
          <w:szCs w:val="24"/>
          <w:u w:val="single"/>
        </w:rPr>
        <w:lastRenderedPageBreak/>
        <w:t>Pero según añaden en Bank of America, los altos multiplicadores de las acciones estadounidenses son una señal de que los inversores “están apostando por una recesión corta, o por la compra de acciones de la Fed, creyendo que los fundamentales de las empresas no importan. Es probable que la Fed considere esas compras en Bolsa si se ve presionada por nuevos derrumbes de los índices”.</w:t>
      </w:r>
    </w:p>
    <w:p w:rsidR="00DB4714" w:rsidRPr="00B71C41" w:rsidRDefault="00DB4714"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Las líneas rojas</w:t>
      </w:r>
    </w:p>
    <w:p w:rsidR="00DB4714" w:rsidRPr="00C05E95" w:rsidRDefault="00DB4714" w:rsidP="00FA4DA9">
      <w:pPr>
        <w:spacing w:line="240" w:lineRule="auto"/>
        <w:jc w:val="both"/>
        <w:rPr>
          <w:rFonts w:ascii="Times New Roman" w:hAnsi="Times New Roman" w:cs="Times New Roman"/>
          <w:color w:val="FF0000"/>
          <w:sz w:val="24"/>
          <w:szCs w:val="24"/>
          <w:u w:val="single"/>
        </w:rPr>
      </w:pPr>
      <w:r w:rsidRPr="00C05E95">
        <w:rPr>
          <w:rFonts w:ascii="Times New Roman" w:hAnsi="Times New Roman" w:cs="Times New Roman"/>
          <w:color w:val="FF0000"/>
          <w:sz w:val="24"/>
          <w:szCs w:val="24"/>
          <w:u w:val="single"/>
        </w:rPr>
        <w:t>Domingo García Coto, director del Servicio de Estudios de Bolsas y Mercados Españoles (BME), recuerda que los bancos centrales están explorando nuevas vías en la política monetaria. De comprar deuda, pasaron a adquirir bonos corporativos con grado de inversión, y ahora están entrando en el terreno de los bonos high yield. “El tema es muy delicado. Comprar Bolsa por parte de los bancos centrales supondría reducir la aversión al riesgo de los inversores, y crear un suelo, un colchón que redujera la volatilidad. Ahora bien, esta creación de dinero debe estar controlada y no se puede perder la confianza en las autoridades monetarias. Si se pierde esa confianza, el dinero creado no tiene valor, y es una frontera muy sutil que no se debe cruzar”, apunta García Coto.</w:t>
      </w:r>
    </w:p>
    <w:p w:rsidR="00DB4714" w:rsidRPr="00C05E95" w:rsidRDefault="00DB4714" w:rsidP="00FA4DA9">
      <w:pPr>
        <w:spacing w:line="240" w:lineRule="auto"/>
        <w:jc w:val="both"/>
        <w:rPr>
          <w:rFonts w:ascii="Times New Roman" w:hAnsi="Times New Roman" w:cs="Times New Roman"/>
          <w:color w:val="FF0000"/>
          <w:sz w:val="24"/>
          <w:szCs w:val="24"/>
          <w:u w:val="single"/>
        </w:rPr>
      </w:pPr>
      <w:r w:rsidRPr="00B71C41">
        <w:rPr>
          <w:rFonts w:ascii="Times New Roman" w:hAnsi="Times New Roman" w:cs="Times New Roman"/>
          <w:sz w:val="24"/>
          <w:szCs w:val="24"/>
        </w:rPr>
        <w:t xml:space="preserve">A pesar de que los mercados de deuda llevan años intervenidos con un comprador final como el BCE y cuya estrategia ha podido crear una burbuja en estos activos –ahí están los tipos negativos–, </w:t>
      </w:r>
      <w:r w:rsidRPr="00C05E95">
        <w:rPr>
          <w:rFonts w:ascii="Times New Roman" w:hAnsi="Times New Roman" w:cs="Times New Roman"/>
          <w:color w:val="FF0000"/>
          <w:sz w:val="24"/>
          <w:szCs w:val="24"/>
          <w:u w:val="single"/>
        </w:rPr>
        <w:t>la posibilidad de comprar Bolsa sí sería muy cuestionada en la zona euro y crearía una fuerte y previsible oposición política</w:t>
      </w:r>
      <w:r w:rsidRPr="00B71C41">
        <w:rPr>
          <w:rFonts w:ascii="Times New Roman" w:hAnsi="Times New Roman" w:cs="Times New Roman"/>
          <w:sz w:val="24"/>
          <w:szCs w:val="24"/>
        </w:rPr>
        <w:t xml:space="preserve">. Una voz crítica es la de Juan Carlos Ureta, presidente y fundador de Renta 4 Banco, que considera que </w:t>
      </w:r>
      <w:r w:rsidRPr="00C05E95">
        <w:rPr>
          <w:rFonts w:ascii="Times New Roman" w:hAnsi="Times New Roman" w:cs="Times New Roman"/>
          <w:color w:val="FF0000"/>
          <w:sz w:val="24"/>
          <w:szCs w:val="24"/>
          <w:u w:val="single"/>
        </w:rPr>
        <w:t>los bancos centrales se crearon para hacer la política monetaria, cuidar de su estabilidad y asegurar la supervisión financiera y bancaria, y no para invertir en la Bolsa.</w:t>
      </w:r>
    </w:p>
    <w:p w:rsidR="00DB4714" w:rsidRPr="00B71C41" w:rsidRDefault="00DB4714" w:rsidP="00FA4DA9">
      <w:pPr>
        <w:spacing w:line="240" w:lineRule="auto"/>
        <w:jc w:val="both"/>
        <w:rPr>
          <w:rFonts w:ascii="Times New Roman" w:hAnsi="Times New Roman" w:cs="Times New Roman"/>
          <w:sz w:val="24"/>
          <w:szCs w:val="24"/>
        </w:rPr>
      </w:pPr>
      <w:r w:rsidRPr="00352BAC">
        <w:rPr>
          <w:rFonts w:ascii="Times New Roman" w:hAnsi="Times New Roman" w:cs="Times New Roman"/>
          <w:color w:val="FF0000"/>
          <w:sz w:val="24"/>
          <w:szCs w:val="24"/>
          <w:u w:val="single"/>
        </w:rPr>
        <w:t>“Estas compras chocan con una economía liberal, distorsionando la asignación de recursos cuyo mecanismo es el precio”. Y comenta: “Tiene sentido la compra de deuda como elemento de intervención de la política monetaria, inyectando liquidez al mercado. Considero que la compra de bonos corporativos tampoco debería ser función de los bancos centrales”.</w:t>
      </w:r>
      <w:r w:rsidRPr="00352BAC">
        <w:rPr>
          <w:rFonts w:ascii="Times New Roman" w:hAnsi="Times New Roman" w:cs="Times New Roman"/>
          <w:color w:val="FF0000"/>
          <w:sz w:val="24"/>
          <w:szCs w:val="24"/>
        </w:rPr>
        <w:t xml:space="preserve"> </w:t>
      </w:r>
      <w:r w:rsidRPr="00B71C41">
        <w:rPr>
          <w:rFonts w:ascii="Times New Roman" w:hAnsi="Times New Roman" w:cs="Times New Roman"/>
          <w:sz w:val="24"/>
          <w:szCs w:val="24"/>
        </w:rPr>
        <w:t>Ureta marca, asimismo, una diferencia con pasadas crisis bancarias donde los distintos Gobiernos con la ayuda de los bancos centrales pueden intervenir con el fin de garantizar la estabilidad financiera de un país. El cas</w:t>
      </w:r>
      <w:r>
        <w:rPr>
          <w:rFonts w:ascii="Times New Roman" w:hAnsi="Times New Roman" w:cs="Times New Roman"/>
          <w:sz w:val="24"/>
          <w:szCs w:val="24"/>
        </w:rPr>
        <w:t>o más reciente es el de Bankia.</w:t>
      </w:r>
    </w:p>
    <w:p w:rsidR="00DB4714" w:rsidRDefault="00DB4714" w:rsidP="00FA4DA9">
      <w:pPr>
        <w:spacing w:line="240" w:lineRule="auto"/>
        <w:jc w:val="both"/>
        <w:rPr>
          <w:rFonts w:ascii="Times New Roman" w:hAnsi="Times New Roman" w:cs="Times New Roman"/>
          <w:sz w:val="24"/>
          <w:szCs w:val="24"/>
        </w:rPr>
      </w:pPr>
      <w:r w:rsidRPr="00B71C41">
        <w:rPr>
          <w:rFonts w:ascii="Times New Roman" w:hAnsi="Times New Roman" w:cs="Times New Roman"/>
          <w:sz w:val="24"/>
          <w:szCs w:val="24"/>
        </w:rPr>
        <w:t>El responsable de inversión de UBS en España, Roberto Scholtes, ve improbable que la Fed o el BCE compren acciones, ya que esta medida “no sirve para la política monetaria”. Pero, además, considera que a efectos de liquidez, no hace</w:t>
      </w:r>
      <w:r w:rsidR="002975DF">
        <w:rPr>
          <w:rFonts w:ascii="Times New Roman" w:hAnsi="Times New Roman" w:cs="Times New Roman"/>
          <w:sz w:val="24"/>
          <w:szCs w:val="24"/>
        </w:rPr>
        <w:t xml:space="preserve"> falta: “El mercado de crédito (bonos)</w:t>
      </w:r>
      <w:r w:rsidRPr="00B71C41">
        <w:rPr>
          <w:rFonts w:ascii="Times New Roman" w:hAnsi="Times New Roman" w:cs="Times New Roman"/>
          <w:sz w:val="24"/>
          <w:szCs w:val="24"/>
        </w:rPr>
        <w:t xml:space="preserve"> se rompió durante esta crisis, pero las Bolsas lograron mantener la liquidez. Las intervenciones en los mercados de bonos tienen más sentido en Estados Unidos, mientras que en Europa la financiación empresarial sigue siendo mayoritariamente bancaria”, concluye.</w:t>
      </w:r>
    </w:p>
    <w:p w:rsidR="00DB4714" w:rsidRPr="00FD25A1" w:rsidRDefault="00DB4714"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C48F5">
        <w:rPr>
          <w:rFonts w:ascii="Times New Roman" w:hAnsi="Times New Roman" w:cs="Times New Roman"/>
          <w:sz w:val="24"/>
          <w:szCs w:val="24"/>
          <w:u w:val="single"/>
        </w:rPr>
        <w:t>Los dividendos mundiales caerán un 35% este año si se da el peor de los escenarios</w:t>
      </w:r>
      <w:r>
        <w:rPr>
          <w:rFonts w:ascii="Times New Roman" w:hAnsi="Times New Roman" w:cs="Times New Roman"/>
          <w:sz w:val="24"/>
          <w:szCs w:val="24"/>
        </w:rPr>
        <w:t xml:space="preserve"> (Cinco Días - </w:t>
      </w:r>
      <w:r w:rsidRPr="002C48F5">
        <w:rPr>
          <w:rFonts w:ascii="Times New Roman" w:hAnsi="Times New Roman" w:cs="Times New Roman"/>
          <w:b/>
          <w:sz w:val="24"/>
          <w:szCs w:val="24"/>
        </w:rPr>
        <w:t>17/5/20</w:t>
      </w:r>
      <w:r>
        <w:rPr>
          <w:rFonts w:ascii="Times New Roman" w:hAnsi="Times New Roman" w:cs="Times New Roman"/>
          <w:sz w:val="24"/>
          <w:szCs w:val="24"/>
        </w:rPr>
        <w:t>)</w:t>
      </w:r>
    </w:p>
    <w:p w:rsidR="00DB4714" w:rsidRDefault="00DB4714"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FD25A1">
        <w:rPr>
          <w:rFonts w:ascii="Times New Roman" w:hAnsi="Times New Roman" w:cs="Times New Roman"/>
          <w:sz w:val="24"/>
          <w:szCs w:val="24"/>
        </w:rPr>
        <w:t>Virginia Gómez Jiménez</w:t>
      </w:r>
      <w:r>
        <w:rPr>
          <w:rFonts w:ascii="Times New Roman" w:hAnsi="Times New Roman" w:cs="Times New Roman"/>
          <w:sz w:val="24"/>
          <w:szCs w:val="24"/>
        </w:rPr>
        <w:t>)</w:t>
      </w:r>
    </w:p>
    <w:p w:rsidR="006A3B06" w:rsidRPr="002C48F5" w:rsidRDefault="006A3B06" w:rsidP="006A3B06">
      <w:pPr>
        <w:spacing w:line="240" w:lineRule="auto"/>
        <w:jc w:val="both"/>
        <w:rPr>
          <w:rFonts w:ascii="Times New Roman" w:hAnsi="Times New Roman" w:cs="Times New Roman"/>
          <w:sz w:val="24"/>
          <w:szCs w:val="24"/>
        </w:rPr>
      </w:pPr>
      <w:r w:rsidRPr="002C48F5">
        <w:rPr>
          <w:rFonts w:ascii="Times New Roman" w:hAnsi="Times New Roman" w:cs="Times New Roman"/>
          <w:sz w:val="24"/>
          <w:szCs w:val="24"/>
        </w:rPr>
        <w:t xml:space="preserve">Los dividendos repartidos en los tres primeros meses del año a nivel mundial marcaron récord al alcanzar los 275.400 millones de dólares (254.469 millones de euros), lo que supone un aumento del 3,6% de forma general respecto al primer trimestre de 2019, según los últimos datos del </w:t>
      </w:r>
      <w:r w:rsidRPr="002975DF">
        <w:rPr>
          <w:rFonts w:ascii="Times New Roman" w:hAnsi="Times New Roman" w:cs="Times New Roman"/>
          <w:color w:val="FF0000"/>
          <w:sz w:val="24"/>
          <w:szCs w:val="24"/>
          <w:u w:val="single"/>
        </w:rPr>
        <w:t>Global Dividend Index de Janus Henderson</w:t>
      </w:r>
      <w:r w:rsidRPr="002C48F5">
        <w:rPr>
          <w:rFonts w:ascii="Times New Roman" w:hAnsi="Times New Roman" w:cs="Times New Roman"/>
          <w:sz w:val="24"/>
          <w:szCs w:val="24"/>
        </w:rPr>
        <w:t>. Los pagos de cupón por tanto no se vieron afectados por la pandemia de la Covid-19 hasta marzo, pero durante el resto del año el impacto será importante.</w:t>
      </w:r>
    </w:p>
    <w:p w:rsidR="006A3B06" w:rsidRPr="002C48F5" w:rsidRDefault="006A3B06" w:rsidP="006A3B06">
      <w:pPr>
        <w:spacing w:line="240" w:lineRule="auto"/>
        <w:jc w:val="both"/>
        <w:rPr>
          <w:rFonts w:ascii="Times New Roman" w:hAnsi="Times New Roman" w:cs="Times New Roman"/>
          <w:sz w:val="24"/>
          <w:szCs w:val="24"/>
        </w:rPr>
      </w:pPr>
      <w:r w:rsidRPr="002C48F5">
        <w:rPr>
          <w:rFonts w:ascii="Times New Roman" w:hAnsi="Times New Roman" w:cs="Times New Roman"/>
          <w:sz w:val="24"/>
          <w:szCs w:val="24"/>
        </w:rPr>
        <w:lastRenderedPageBreak/>
        <w:t>Tanto será así que Janus Henderson ha hecho unas nuevas previsiones para 2020 en las que contempla varios escenarios de cara al ejercicio completo y parte de 2021. En el más optimista, la caída prevista en los pagos mundiales será del 15%, 213.000 millones de dólares (196.812 millones de euros), has</w:t>
      </w:r>
      <w:r>
        <w:rPr>
          <w:rFonts w:ascii="Times New Roman" w:hAnsi="Times New Roman" w:cs="Times New Roman"/>
          <w:sz w:val="24"/>
          <w:szCs w:val="24"/>
        </w:rPr>
        <w:t xml:space="preserve">ta los 1,21 billones de euros. </w:t>
      </w:r>
    </w:p>
    <w:p w:rsidR="006A3B06" w:rsidRDefault="006A3B06" w:rsidP="00FA4DA9">
      <w:pPr>
        <w:spacing w:line="240" w:lineRule="auto"/>
        <w:jc w:val="both"/>
        <w:rPr>
          <w:rFonts w:ascii="Times New Roman" w:hAnsi="Times New Roman" w:cs="Times New Roman"/>
          <w:sz w:val="24"/>
          <w:szCs w:val="24"/>
        </w:rPr>
      </w:pPr>
    </w:p>
    <w:p w:rsidR="00DB4714" w:rsidRDefault="00DB4714" w:rsidP="00FA4DA9">
      <w:pPr>
        <w:spacing w:line="240" w:lineRule="auto"/>
        <w:jc w:val="both"/>
        <w:rPr>
          <w:rFonts w:ascii="Times New Roman" w:hAnsi="Times New Roman" w:cs="Times New Roman"/>
          <w:sz w:val="24"/>
          <w:szCs w:val="24"/>
        </w:rPr>
      </w:pPr>
      <w:r>
        <w:rPr>
          <w:noProof/>
          <w:lang w:eastAsia="es-ES"/>
        </w:rPr>
        <w:drawing>
          <wp:inline distT="0" distB="0" distL="0" distR="0" wp14:anchorId="37C5BD80" wp14:editId="3803AC9F">
            <wp:extent cx="5731510" cy="2853275"/>
            <wp:effectExtent l="0" t="0" r="2540" b="4445"/>
            <wp:docPr id="225" name="Imagen 225" descr="Dividendos anu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videndos anuales"/>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31510" cy="2853275"/>
                    </a:xfrm>
                    <a:prstGeom prst="rect">
                      <a:avLst/>
                    </a:prstGeom>
                    <a:noFill/>
                    <a:ln>
                      <a:noFill/>
                    </a:ln>
                  </pic:spPr>
                </pic:pic>
              </a:graphicData>
            </a:graphic>
          </wp:inline>
        </w:drawing>
      </w:r>
    </w:p>
    <w:p w:rsidR="00DB4714" w:rsidRPr="002C48F5" w:rsidRDefault="00DB4714" w:rsidP="00FA4DA9">
      <w:pPr>
        <w:spacing w:line="240" w:lineRule="auto"/>
        <w:jc w:val="both"/>
        <w:rPr>
          <w:rFonts w:ascii="Times New Roman" w:hAnsi="Times New Roman" w:cs="Times New Roman"/>
          <w:sz w:val="24"/>
          <w:szCs w:val="24"/>
        </w:rPr>
      </w:pPr>
      <w:r w:rsidRPr="002C48F5">
        <w:rPr>
          <w:rFonts w:ascii="Times New Roman" w:hAnsi="Times New Roman" w:cs="Times New Roman"/>
          <w:sz w:val="24"/>
          <w:szCs w:val="24"/>
        </w:rPr>
        <w:t>Sin embargo, en el peor escenario, es decir en el que el nivel de endeudamiento de las empresas empeore- algunas de las cuales tienen demasiada deuda para hacer frente a una contracción económica tan repentina e inesperada- la caída de los pagos de dividendos este año sería del 35%, bajando hasta los 933.000 millones de dólares (862.092 millones de euros</w:t>
      </w:r>
      <w:r>
        <w:rPr>
          <w:rFonts w:ascii="Times New Roman" w:hAnsi="Times New Roman" w:cs="Times New Roman"/>
          <w:sz w:val="24"/>
          <w:szCs w:val="24"/>
        </w:rPr>
        <w:t>), prevé Janus Henderson.</w:t>
      </w:r>
    </w:p>
    <w:p w:rsidR="00DB4714" w:rsidRPr="002C48F5" w:rsidRDefault="00DB4714" w:rsidP="00FA4DA9">
      <w:pPr>
        <w:spacing w:line="240" w:lineRule="auto"/>
        <w:jc w:val="both"/>
        <w:rPr>
          <w:rFonts w:ascii="Times New Roman" w:hAnsi="Times New Roman" w:cs="Times New Roman"/>
          <w:sz w:val="24"/>
          <w:szCs w:val="24"/>
        </w:rPr>
      </w:pPr>
      <w:r w:rsidRPr="002C48F5">
        <w:rPr>
          <w:rFonts w:ascii="Times New Roman" w:hAnsi="Times New Roman" w:cs="Times New Roman"/>
          <w:sz w:val="24"/>
          <w:szCs w:val="24"/>
        </w:rPr>
        <w:t>“La amplitud del intervalo se debe a la rápida evolución de la crisis y la probabilidad de que muchas empresas simplemente reduzcan sus dividendos en lugar de suspenderlos totalmente, ya que buscan conservar su liquidez y reforzar sus balances”, explican en el informe.</w:t>
      </w:r>
    </w:p>
    <w:p w:rsidR="00DB4714" w:rsidRPr="002C48F5" w:rsidRDefault="00DB4714" w:rsidP="00FA4DA9">
      <w:pPr>
        <w:spacing w:line="240" w:lineRule="auto"/>
        <w:jc w:val="both"/>
        <w:rPr>
          <w:rFonts w:ascii="Times New Roman" w:hAnsi="Times New Roman" w:cs="Times New Roman"/>
          <w:sz w:val="24"/>
          <w:szCs w:val="24"/>
        </w:rPr>
      </w:pPr>
      <w:r w:rsidRPr="002C48F5">
        <w:rPr>
          <w:rFonts w:ascii="Times New Roman" w:hAnsi="Times New Roman" w:cs="Times New Roman"/>
          <w:sz w:val="24"/>
          <w:szCs w:val="24"/>
        </w:rPr>
        <w:t>La caída no afectará por igual ni a todos los sectore</w:t>
      </w:r>
      <w:r w:rsidR="00324F4A">
        <w:rPr>
          <w:rFonts w:ascii="Times New Roman" w:hAnsi="Times New Roman" w:cs="Times New Roman"/>
          <w:sz w:val="24"/>
          <w:szCs w:val="24"/>
        </w:rPr>
        <w:t>s ni a los países. Janus Henders</w:t>
      </w:r>
      <w:r w:rsidRPr="002C48F5">
        <w:rPr>
          <w:rFonts w:ascii="Times New Roman" w:hAnsi="Times New Roman" w:cs="Times New Roman"/>
          <w:sz w:val="24"/>
          <w:szCs w:val="24"/>
        </w:rPr>
        <w:t>on cree que por diferentes motivos, Norteamérica y Asia serán probablemente las regiones menos afectadas. La primera tiene una diversidad sectorial favorable y citan como ejemplo el gran número de empresas tecnológicas y los esfuerzos de las empresas para preservar su liquidez se centrarán principalmente en la reducción de las recompras de accio</w:t>
      </w:r>
      <w:r>
        <w:rPr>
          <w:rFonts w:ascii="Times New Roman" w:hAnsi="Times New Roman" w:cs="Times New Roman"/>
          <w:sz w:val="24"/>
          <w:szCs w:val="24"/>
        </w:rPr>
        <w:t>nes, más que en los dividendos.</w:t>
      </w:r>
    </w:p>
    <w:p w:rsidR="00DB4714" w:rsidRPr="002C48F5" w:rsidRDefault="00DB4714" w:rsidP="00FA4DA9">
      <w:pPr>
        <w:spacing w:line="240" w:lineRule="auto"/>
        <w:jc w:val="both"/>
        <w:rPr>
          <w:rFonts w:ascii="Times New Roman" w:hAnsi="Times New Roman" w:cs="Times New Roman"/>
          <w:sz w:val="24"/>
          <w:szCs w:val="24"/>
        </w:rPr>
      </w:pPr>
      <w:r w:rsidRPr="002C48F5">
        <w:rPr>
          <w:rFonts w:ascii="Times New Roman" w:hAnsi="Times New Roman" w:cs="Times New Roman"/>
          <w:sz w:val="24"/>
          <w:szCs w:val="24"/>
        </w:rPr>
        <w:t>Europa y Reino Unido</w:t>
      </w:r>
    </w:p>
    <w:p w:rsidR="00DB4714" w:rsidRPr="002C48F5" w:rsidRDefault="00DB4714" w:rsidP="00FA4DA9">
      <w:pPr>
        <w:spacing w:line="240" w:lineRule="auto"/>
        <w:jc w:val="both"/>
        <w:rPr>
          <w:rFonts w:ascii="Times New Roman" w:hAnsi="Times New Roman" w:cs="Times New Roman"/>
          <w:sz w:val="24"/>
          <w:szCs w:val="24"/>
        </w:rPr>
      </w:pPr>
      <w:r w:rsidRPr="002C48F5">
        <w:rPr>
          <w:rFonts w:ascii="Times New Roman" w:hAnsi="Times New Roman" w:cs="Times New Roman"/>
          <w:sz w:val="24"/>
          <w:szCs w:val="24"/>
        </w:rPr>
        <w:t>En China y el resto de Asia, las empresas ya han estipulado sus repartos de dividendos en 2020 de acuerdo con los beneficios de 2019, por lo que el impacto probablemente será mayor en 2021. Europa y el Reino Unido serán los peor parados, según Janus Henderson que recuerda que los  reguladores han obligado a los bancos a suspender dividendos y las grandes petroleras, así como otras grandes empresas, y</w:t>
      </w:r>
      <w:r>
        <w:rPr>
          <w:rFonts w:ascii="Times New Roman" w:hAnsi="Times New Roman" w:cs="Times New Roman"/>
          <w:sz w:val="24"/>
          <w:szCs w:val="24"/>
        </w:rPr>
        <w:t>a han recortado sus dividendos.</w:t>
      </w:r>
    </w:p>
    <w:p w:rsidR="00DB4714" w:rsidRPr="002C48F5" w:rsidRDefault="00DB4714" w:rsidP="00FA4DA9">
      <w:pPr>
        <w:spacing w:line="240" w:lineRule="auto"/>
        <w:jc w:val="both"/>
        <w:rPr>
          <w:rFonts w:ascii="Times New Roman" w:hAnsi="Times New Roman" w:cs="Times New Roman"/>
          <w:sz w:val="24"/>
          <w:szCs w:val="24"/>
        </w:rPr>
      </w:pPr>
      <w:r w:rsidRPr="002C48F5">
        <w:rPr>
          <w:rFonts w:ascii="Times New Roman" w:hAnsi="Times New Roman" w:cs="Times New Roman"/>
          <w:sz w:val="24"/>
          <w:szCs w:val="24"/>
        </w:rPr>
        <w:t xml:space="preserve">Desde el punto de vista sectorial, bancos, consumo discrecional y algunas industrias y sectores, como el aeroespacial, son los que corren más riesgo. Los sectores del petróleo y minería, finanzas en general y construcción son especialmente débiles, mientras que las </w:t>
      </w:r>
      <w:r w:rsidRPr="002C48F5">
        <w:rPr>
          <w:rFonts w:ascii="Times New Roman" w:hAnsi="Times New Roman" w:cs="Times New Roman"/>
          <w:sz w:val="24"/>
          <w:szCs w:val="24"/>
        </w:rPr>
        <w:lastRenderedPageBreak/>
        <w:t>compañías tecnológicas y los sectores defensivos, como salud, alimentación y la mayoría del consumo básico (excepto el sector de bebidas, muy dependientes del negocio de bares y restauran</w:t>
      </w:r>
      <w:r>
        <w:rPr>
          <w:rFonts w:ascii="Times New Roman" w:hAnsi="Times New Roman" w:cs="Times New Roman"/>
          <w:sz w:val="24"/>
          <w:szCs w:val="24"/>
        </w:rPr>
        <w:t>tes) son relativamente seguros.</w:t>
      </w:r>
    </w:p>
    <w:p w:rsidR="00DB4714" w:rsidRPr="002C48F5" w:rsidRDefault="00DB4714" w:rsidP="00FA4DA9">
      <w:pPr>
        <w:spacing w:line="240" w:lineRule="auto"/>
        <w:jc w:val="both"/>
        <w:rPr>
          <w:rFonts w:ascii="Times New Roman" w:hAnsi="Times New Roman" w:cs="Times New Roman"/>
          <w:sz w:val="24"/>
          <w:szCs w:val="24"/>
        </w:rPr>
      </w:pPr>
      <w:r w:rsidRPr="002C48F5">
        <w:rPr>
          <w:rFonts w:ascii="Times New Roman" w:hAnsi="Times New Roman" w:cs="Times New Roman"/>
          <w:sz w:val="24"/>
          <w:szCs w:val="24"/>
        </w:rPr>
        <w:t>Janus Henderson explica que la amplitud del interval</w:t>
      </w:r>
      <w:r w:rsidR="00371866">
        <w:rPr>
          <w:rFonts w:ascii="Times New Roman" w:hAnsi="Times New Roman" w:cs="Times New Roman"/>
          <w:sz w:val="24"/>
          <w:szCs w:val="24"/>
        </w:rPr>
        <w:t>o de las previsiones se debe a “</w:t>
      </w:r>
      <w:r w:rsidRPr="002C48F5">
        <w:rPr>
          <w:rFonts w:ascii="Times New Roman" w:hAnsi="Times New Roman" w:cs="Times New Roman"/>
          <w:sz w:val="24"/>
          <w:szCs w:val="24"/>
        </w:rPr>
        <w:t>la rápida evolución de la crisis y la probabilidad de que muchas empresas simplemente reduzcan sus dividendos en lugar de suspenderlos totalmente, ya que buscan conservar su liq</w:t>
      </w:r>
      <w:r>
        <w:rPr>
          <w:rFonts w:ascii="Times New Roman" w:hAnsi="Times New Roman" w:cs="Times New Roman"/>
          <w:sz w:val="24"/>
          <w:szCs w:val="24"/>
        </w:rPr>
        <w:t>uidez y reforzar sus balan</w:t>
      </w:r>
      <w:r w:rsidR="00371866">
        <w:rPr>
          <w:rFonts w:ascii="Times New Roman" w:hAnsi="Times New Roman" w:cs="Times New Roman"/>
          <w:sz w:val="24"/>
          <w:szCs w:val="24"/>
        </w:rPr>
        <w:t>ces”</w:t>
      </w:r>
      <w:r>
        <w:rPr>
          <w:rFonts w:ascii="Times New Roman" w:hAnsi="Times New Roman" w:cs="Times New Roman"/>
          <w:sz w:val="24"/>
          <w:szCs w:val="24"/>
        </w:rPr>
        <w:t>.</w:t>
      </w:r>
    </w:p>
    <w:p w:rsidR="00DB4714" w:rsidRPr="002C48F5" w:rsidRDefault="00DB4714" w:rsidP="00FA4DA9">
      <w:pPr>
        <w:spacing w:line="240" w:lineRule="auto"/>
        <w:jc w:val="both"/>
        <w:rPr>
          <w:rFonts w:ascii="Times New Roman" w:hAnsi="Times New Roman" w:cs="Times New Roman"/>
          <w:sz w:val="24"/>
          <w:szCs w:val="24"/>
        </w:rPr>
      </w:pPr>
      <w:r w:rsidRPr="002C48F5">
        <w:rPr>
          <w:rFonts w:ascii="Times New Roman" w:hAnsi="Times New Roman" w:cs="Times New Roman"/>
          <w:sz w:val="24"/>
          <w:szCs w:val="24"/>
        </w:rPr>
        <w:t>Además, estos expertos adelantan que, a su juicio, el impacto se prolongará en parte hasta 2021, cuando los pagos de dividendos probablemente serán inferiores a los e</w:t>
      </w:r>
      <w:r w:rsidR="002975DF">
        <w:rPr>
          <w:rFonts w:ascii="Times New Roman" w:hAnsi="Times New Roman" w:cs="Times New Roman"/>
          <w:sz w:val="24"/>
          <w:szCs w:val="24"/>
        </w:rPr>
        <w:t>sperados antes de la pandemia. “</w:t>
      </w:r>
      <w:r w:rsidRPr="002C48F5">
        <w:rPr>
          <w:rFonts w:ascii="Times New Roman" w:hAnsi="Times New Roman" w:cs="Times New Roman"/>
          <w:sz w:val="24"/>
          <w:szCs w:val="24"/>
        </w:rPr>
        <w:t>Varios sectores podrían retomar el pago de dividendos en 2021, siempre y cuando el crecimiento de casos alcance su pico, los confinamientos actuales impuestos por los gobiernos finalicen y la economía global empi</w:t>
      </w:r>
      <w:r w:rsidR="002975DF">
        <w:rPr>
          <w:rFonts w:ascii="Times New Roman" w:hAnsi="Times New Roman" w:cs="Times New Roman"/>
          <w:sz w:val="24"/>
          <w:szCs w:val="24"/>
        </w:rPr>
        <w:t>ece a funcionar y a recuperarse”</w:t>
      </w:r>
      <w:r w:rsidRPr="002C48F5">
        <w:rPr>
          <w:rFonts w:ascii="Times New Roman" w:hAnsi="Times New Roman" w:cs="Times New Roman"/>
          <w:sz w:val="24"/>
          <w:szCs w:val="24"/>
        </w:rPr>
        <w:t>, explican.</w:t>
      </w:r>
    </w:p>
    <w:p w:rsidR="00DB4714" w:rsidRDefault="00DB4714" w:rsidP="00FA4DA9">
      <w:pPr>
        <w:spacing w:line="240" w:lineRule="auto"/>
        <w:jc w:val="both"/>
        <w:rPr>
          <w:rFonts w:ascii="Times New Roman" w:hAnsi="Times New Roman" w:cs="Times New Roman"/>
          <w:sz w:val="24"/>
          <w:szCs w:val="24"/>
        </w:rPr>
      </w:pPr>
      <w:r w:rsidRPr="002C48F5">
        <w:rPr>
          <w:rFonts w:ascii="Times New Roman" w:hAnsi="Times New Roman" w:cs="Times New Roman"/>
          <w:sz w:val="24"/>
          <w:szCs w:val="24"/>
        </w:rPr>
        <w:t>Durante el primer trimestre de 2020, la región de Nortea</w:t>
      </w:r>
      <w:r w:rsidR="007B4B16">
        <w:rPr>
          <w:rFonts w:ascii="Times New Roman" w:hAnsi="Times New Roman" w:cs="Times New Roman"/>
          <w:sz w:val="24"/>
          <w:szCs w:val="24"/>
        </w:rPr>
        <w:t>mérica es la que ha repartido m</w:t>
      </w:r>
      <w:r w:rsidR="007B4B16" w:rsidRPr="002C48F5">
        <w:rPr>
          <w:rFonts w:ascii="Times New Roman" w:hAnsi="Times New Roman" w:cs="Times New Roman"/>
          <w:sz w:val="24"/>
          <w:szCs w:val="24"/>
        </w:rPr>
        <w:t>ás</w:t>
      </w:r>
      <w:r w:rsidRPr="002C48F5">
        <w:rPr>
          <w:rFonts w:ascii="Times New Roman" w:hAnsi="Times New Roman" w:cs="Times New Roman"/>
          <w:sz w:val="24"/>
          <w:szCs w:val="24"/>
        </w:rPr>
        <w:t xml:space="preserve"> dividendos. Concretame</w:t>
      </w:r>
      <w:r>
        <w:rPr>
          <w:rFonts w:ascii="Times New Roman" w:hAnsi="Times New Roman" w:cs="Times New Roman"/>
          <w:sz w:val="24"/>
          <w:szCs w:val="24"/>
        </w:rPr>
        <w:t>n</w:t>
      </w:r>
      <w:r w:rsidR="007B4B16">
        <w:rPr>
          <w:rFonts w:ascii="Times New Roman" w:hAnsi="Times New Roman" w:cs="Times New Roman"/>
          <w:sz w:val="24"/>
          <w:szCs w:val="24"/>
        </w:rPr>
        <w:t>te, las cotizadas de EE</w:t>
      </w:r>
      <w:r w:rsidRPr="002C48F5">
        <w:rPr>
          <w:rFonts w:ascii="Times New Roman" w:hAnsi="Times New Roman" w:cs="Times New Roman"/>
          <w:sz w:val="24"/>
          <w:szCs w:val="24"/>
        </w:rPr>
        <w:t>UU y Canadá desembolsaro</w:t>
      </w:r>
      <w:r>
        <w:rPr>
          <w:rFonts w:ascii="Times New Roman" w:hAnsi="Times New Roman" w:cs="Times New Roman"/>
          <w:sz w:val="24"/>
          <w:szCs w:val="24"/>
        </w:rPr>
        <w:t>n 151.400 millones de dólares (</w:t>
      </w:r>
      <w:r w:rsidRPr="002C48F5">
        <w:rPr>
          <w:rFonts w:ascii="Times New Roman" w:hAnsi="Times New Roman" w:cs="Times New Roman"/>
          <w:sz w:val="24"/>
          <w:szCs w:val="24"/>
        </w:rPr>
        <w:t>139.636 millones de euros), lo que supone una mejora del 13% respecto al mismo período de 2019. El segundo puesto es para Europa que desembolsó 36.000 millones de dólares (33.202 millones de euros) en retribuir al accionista, un 10% menos que en el primer trimestre de 2019. En tercer lugar, se colocan las cotizadas de Reino Unido, que repartieron 18.600 millones de dólares (17.154 millones de euros), un 10,4% menos que un año antes.</w:t>
      </w:r>
    </w:p>
    <w:p w:rsidR="006A3B06" w:rsidRDefault="006A3B06" w:rsidP="00FA4DA9">
      <w:pPr>
        <w:spacing w:line="240" w:lineRule="auto"/>
        <w:jc w:val="both"/>
        <w:rPr>
          <w:rFonts w:ascii="Times New Roman" w:hAnsi="Times New Roman" w:cs="Times New Roman"/>
          <w:sz w:val="24"/>
          <w:szCs w:val="24"/>
        </w:rPr>
      </w:pPr>
    </w:p>
    <w:p w:rsidR="00DB4714" w:rsidRDefault="00DB4714" w:rsidP="00FA4DA9">
      <w:pPr>
        <w:spacing w:line="240" w:lineRule="auto"/>
        <w:jc w:val="both"/>
        <w:rPr>
          <w:rFonts w:ascii="Times New Roman" w:hAnsi="Times New Roman" w:cs="Times New Roman"/>
          <w:sz w:val="24"/>
          <w:szCs w:val="24"/>
        </w:rPr>
      </w:pPr>
      <w:r>
        <w:rPr>
          <w:noProof/>
          <w:lang w:eastAsia="es-ES"/>
        </w:rPr>
        <w:drawing>
          <wp:inline distT="0" distB="0" distL="0" distR="0" wp14:anchorId="0002106E" wp14:editId="6A3CF612">
            <wp:extent cx="5731510" cy="3014980"/>
            <wp:effectExtent l="0" t="0" r="2540" b="0"/>
            <wp:docPr id="226" name="Imagen 226" descr="https://s03.s3c.es/imag/_v0/770x405/9/c/f/tasa-paro-europa-eeuu-ej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770x405/9/c/f/tasa-paro-europa-eeuu-ejes.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31510" cy="3014980"/>
                    </a:xfrm>
                    <a:prstGeom prst="rect">
                      <a:avLst/>
                    </a:prstGeom>
                    <a:noFill/>
                    <a:ln>
                      <a:noFill/>
                    </a:ln>
                  </pic:spPr>
                </pic:pic>
              </a:graphicData>
            </a:graphic>
          </wp:inline>
        </w:drawing>
      </w:r>
    </w:p>
    <w:p w:rsidR="00DB4714" w:rsidRDefault="00DB4714" w:rsidP="00FA4DA9">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3FB8ED87" wp14:editId="347D2557">
            <wp:extent cx="5728975" cy="2863850"/>
            <wp:effectExtent l="0" t="0" r="5080" b="0"/>
            <wp:docPr id="227" name="Imagen 227" descr="https://s03.s3c.es/imag/_v0/770x579/3/4/2/destruccion-empleo-eeu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03.s3c.es/imag/_v0/770x579/3/4/2/destruccion-empleo-eeuu.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31510" cy="2865117"/>
                    </a:xfrm>
                    <a:prstGeom prst="rect">
                      <a:avLst/>
                    </a:prstGeom>
                    <a:noFill/>
                    <a:ln>
                      <a:noFill/>
                    </a:ln>
                  </pic:spPr>
                </pic:pic>
              </a:graphicData>
            </a:graphic>
          </wp:inline>
        </w:drawing>
      </w:r>
    </w:p>
    <w:p w:rsidR="00DB4714" w:rsidRDefault="00DB4714" w:rsidP="00FA4DA9">
      <w:pPr>
        <w:spacing w:line="240" w:lineRule="auto"/>
        <w:jc w:val="both"/>
        <w:rPr>
          <w:rFonts w:ascii="Times New Roman" w:hAnsi="Times New Roman" w:cs="Times New Roman"/>
          <w:b/>
          <w:color w:val="FF0000"/>
          <w:sz w:val="24"/>
          <w:szCs w:val="24"/>
          <w:lang w:val="en-US"/>
        </w:rPr>
      </w:pPr>
      <w:r>
        <w:rPr>
          <w:noProof/>
          <w:lang w:eastAsia="es-ES"/>
        </w:rPr>
        <w:drawing>
          <wp:inline distT="0" distB="0" distL="0" distR="0" wp14:anchorId="400E5784" wp14:editId="014045CA">
            <wp:extent cx="5735171" cy="2743200"/>
            <wp:effectExtent l="0" t="0" r="0" b="0"/>
            <wp:docPr id="228" name="Imagen 228" descr="Evolución histórica del S&amp;P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volución histórica del S&amp;P 50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31510" cy="2741449"/>
                    </a:xfrm>
                    <a:prstGeom prst="rect">
                      <a:avLst/>
                    </a:prstGeom>
                    <a:noFill/>
                    <a:ln>
                      <a:noFill/>
                    </a:ln>
                  </pic:spPr>
                </pic:pic>
              </a:graphicData>
            </a:graphic>
          </wp:inline>
        </w:drawing>
      </w:r>
    </w:p>
    <w:p w:rsidR="00DB4714" w:rsidRDefault="00DB4714" w:rsidP="00FA4DA9">
      <w:pPr>
        <w:spacing w:line="240" w:lineRule="auto"/>
        <w:jc w:val="both"/>
        <w:rPr>
          <w:rFonts w:ascii="Times New Roman" w:hAnsi="Times New Roman" w:cs="Times New Roman"/>
          <w:b/>
          <w:color w:val="FF0000"/>
          <w:sz w:val="24"/>
          <w:szCs w:val="24"/>
          <w:lang w:val="en-US"/>
        </w:rPr>
      </w:pPr>
      <w:r>
        <w:rPr>
          <w:noProof/>
          <w:lang w:eastAsia="es-ES"/>
        </w:rPr>
        <w:drawing>
          <wp:inline distT="0" distB="0" distL="0" distR="0" wp14:anchorId="19C1F9E7" wp14:editId="419CCA24">
            <wp:extent cx="5726780" cy="2850777"/>
            <wp:effectExtent l="0" t="0" r="7620" b="6985"/>
            <wp:docPr id="229" name="Imagen 229" descr="Evolución histórica del SP 500 desde 1964-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volución histórica del SP 500 desde 1964-201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26780" cy="2850777"/>
                    </a:xfrm>
                    <a:prstGeom prst="rect">
                      <a:avLst/>
                    </a:prstGeom>
                    <a:noFill/>
                    <a:ln>
                      <a:noFill/>
                    </a:ln>
                  </pic:spPr>
                </pic:pic>
              </a:graphicData>
            </a:graphic>
          </wp:inline>
        </w:drawing>
      </w:r>
    </w:p>
    <w:p w:rsidR="00DB4714" w:rsidRDefault="00DB4714" w:rsidP="00FA4DA9">
      <w:pPr>
        <w:spacing w:line="240" w:lineRule="auto"/>
        <w:jc w:val="both"/>
        <w:rPr>
          <w:rFonts w:ascii="Times New Roman" w:hAnsi="Times New Roman" w:cs="Times New Roman"/>
          <w:b/>
          <w:color w:val="FF0000"/>
          <w:sz w:val="24"/>
          <w:szCs w:val="24"/>
          <w:lang w:val="en-US"/>
        </w:rPr>
      </w:pPr>
      <w:r>
        <w:rPr>
          <w:noProof/>
          <w:lang w:eastAsia="es-ES"/>
        </w:rPr>
        <w:lastRenderedPageBreak/>
        <w:drawing>
          <wp:inline distT="0" distB="0" distL="0" distR="0" wp14:anchorId="3703A766" wp14:editId="2239CDD2">
            <wp:extent cx="5724877" cy="2324100"/>
            <wp:effectExtent l="0" t="0" r="9525" b="0"/>
            <wp:docPr id="230" name="Imagen 230" descr="S&amp;P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amp;P 50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31510" cy="2326793"/>
                    </a:xfrm>
                    <a:prstGeom prst="rect">
                      <a:avLst/>
                    </a:prstGeom>
                    <a:noFill/>
                    <a:ln>
                      <a:noFill/>
                    </a:ln>
                  </pic:spPr>
                </pic:pic>
              </a:graphicData>
            </a:graphic>
          </wp:inline>
        </w:drawing>
      </w:r>
    </w:p>
    <w:p w:rsidR="002975DF" w:rsidRDefault="00DB4714" w:rsidP="00FA4DA9">
      <w:pPr>
        <w:spacing w:line="240" w:lineRule="auto"/>
        <w:jc w:val="both"/>
        <w:rPr>
          <w:rFonts w:ascii="Times New Roman" w:hAnsi="Times New Roman" w:cs="Times New Roman"/>
          <w:sz w:val="24"/>
          <w:szCs w:val="24"/>
          <w:lang w:val="en-US"/>
        </w:rPr>
      </w:pPr>
      <w:r>
        <w:rPr>
          <w:noProof/>
          <w:lang w:eastAsia="es-ES"/>
        </w:rPr>
        <w:drawing>
          <wp:inline distT="0" distB="0" distL="0" distR="0" wp14:anchorId="1E99BBFF" wp14:editId="0ACDDCCA">
            <wp:extent cx="5733679" cy="2844800"/>
            <wp:effectExtent l="0" t="0" r="635" b="0"/>
            <wp:docPr id="231" name="Imagen 231" descr="El S&amp;P 500 bate récord en resultados gracias a la reforma fisc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l S&amp;P 500 bate récord en resultados gracias a la reforma fiscal ..."/>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31510" cy="2843724"/>
                    </a:xfrm>
                    <a:prstGeom prst="rect">
                      <a:avLst/>
                    </a:prstGeom>
                    <a:noFill/>
                    <a:ln>
                      <a:noFill/>
                    </a:ln>
                  </pic:spPr>
                </pic:pic>
              </a:graphicData>
            </a:graphic>
          </wp:inline>
        </w:drawing>
      </w:r>
    </w:p>
    <w:p w:rsidR="006A3B06" w:rsidRDefault="00DB4714" w:rsidP="00FA4DA9">
      <w:pPr>
        <w:spacing w:line="240" w:lineRule="auto"/>
        <w:jc w:val="both"/>
        <w:rPr>
          <w:rFonts w:ascii="Times New Roman" w:hAnsi="Times New Roman" w:cs="Times New Roman"/>
          <w:sz w:val="24"/>
          <w:szCs w:val="24"/>
          <w:lang w:val="en-US"/>
        </w:rPr>
      </w:pPr>
      <w:r>
        <w:rPr>
          <w:noProof/>
          <w:lang w:eastAsia="es-ES"/>
        </w:rPr>
        <w:drawing>
          <wp:inline distT="0" distB="0" distL="0" distR="0" wp14:anchorId="169BD8DF" wp14:editId="73DBB248">
            <wp:extent cx="5731991" cy="3346450"/>
            <wp:effectExtent l="0" t="0" r="2540" b="6350"/>
            <wp:docPr id="232" name="Imagen 232" descr="El S&amp;P 500 lleva una década subiendo al 17,5% anual, y este 201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l S&amp;P 500 lleva una década subiendo al 17,5% anual, y este 2019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31510" cy="3346169"/>
                    </a:xfrm>
                    <a:prstGeom prst="rect">
                      <a:avLst/>
                    </a:prstGeom>
                    <a:noFill/>
                    <a:ln>
                      <a:noFill/>
                    </a:ln>
                  </pic:spPr>
                </pic:pic>
              </a:graphicData>
            </a:graphic>
          </wp:inline>
        </w:drawing>
      </w:r>
    </w:p>
    <w:p w:rsidR="002975DF" w:rsidRPr="005B490A" w:rsidRDefault="00DB4714" w:rsidP="00FA4DA9">
      <w:pPr>
        <w:spacing w:line="240" w:lineRule="auto"/>
        <w:jc w:val="both"/>
        <w:rPr>
          <w:rFonts w:ascii="Times New Roman" w:hAnsi="Times New Roman" w:cs="Times New Roman"/>
          <w:sz w:val="24"/>
          <w:szCs w:val="24"/>
        </w:rPr>
      </w:pPr>
      <w:r w:rsidRPr="002975DF">
        <w:rPr>
          <w:rFonts w:ascii="Times New Roman" w:hAnsi="Times New Roman" w:cs="Times New Roman"/>
          <w:b/>
          <w:sz w:val="24"/>
          <w:szCs w:val="24"/>
        </w:rPr>
        <w:lastRenderedPageBreak/>
        <w:t xml:space="preserve">S&amp;P 500 </w:t>
      </w:r>
    </w:p>
    <w:p w:rsidR="00DB4714" w:rsidRPr="002975DF" w:rsidRDefault="00DB4714" w:rsidP="00FA4DA9">
      <w:pPr>
        <w:spacing w:line="240" w:lineRule="auto"/>
        <w:jc w:val="both"/>
        <w:rPr>
          <w:rFonts w:ascii="Times New Roman" w:hAnsi="Times New Roman" w:cs="Times New Roman"/>
          <w:sz w:val="24"/>
          <w:szCs w:val="24"/>
        </w:rPr>
      </w:pPr>
      <w:r w:rsidRPr="002975DF">
        <w:rPr>
          <w:rFonts w:ascii="Times New Roman" w:hAnsi="Times New Roman" w:cs="Times New Roman"/>
          <w:sz w:val="24"/>
          <w:szCs w:val="24"/>
        </w:rPr>
        <w:t>(</w:t>
      </w:r>
      <w:r w:rsidR="002975DF" w:rsidRPr="002975DF">
        <w:rPr>
          <w:rFonts w:ascii="Times New Roman" w:hAnsi="Times New Roman" w:cs="Times New Roman"/>
          <w:sz w:val="24"/>
          <w:szCs w:val="24"/>
        </w:rPr>
        <w:t xml:space="preserve">Fuente: </w:t>
      </w:r>
      <w:r w:rsidRPr="002975DF">
        <w:rPr>
          <w:rFonts w:ascii="Times New Roman" w:hAnsi="Times New Roman" w:cs="Times New Roman"/>
          <w:sz w:val="24"/>
          <w:szCs w:val="24"/>
        </w:rPr>
        <w:t xml:space="preserve">El Economista - </w:t>
      </w:r>
      <w:r w:rsidRPr="002975DF">
        <w:rPr>
          <w:rFonts w:ascii="Times New Roman" w:hAnsi="Times New Roman" w:cs="Times New Roman"/>
          <w:b/>
          <w:sz w:val="24"/>
          <w:szCs w:val="24"/>
        </w:rPr>
        <w:t>23/5/20</w:t>
      </w:r>
      <w:r w:rsidRPr="002975DF">
        <w:rPr>
          <w:rFonts w:ascii="Times New Roman" w:hAnsi="Times New Roman" w:cs="Times New Roman"/>
          <w:sz w:val="24"/>
          <w:szCs w:val="24"/>
        </w:rPr>
        <w:t>)</w:t>
      </w:r>
    </w:p>
    <w:p w:rsidR="00DB4714" w:rsidRDefault="00DB4714" w:rsidP="00FA4DA9">
      <w:pPr>
        <w:spacing w:line="240" w:lineRule="auto"/>
        <w:jc w:val="both"/>
        <w:rPr>
          <w:rFonts w:ascii="Times New Roman" w:hAnsi="Times New Roman" w:cs="Times New Roman"/>
          <w:sz w:val="24"/>
          <w:szCs w:val="24"/>
          <w:lang w:val="en-US"/>
        </w:rPr>
      </w:pPr>
      <w:r w:rsidRPr="00612FE0">
        <w:rPr>
          <w:rFonts w:ascii="Times New Roman" w:hAnsi="Times New Roman" w:cs="Times New Roman"/>
          <w:noProof/>
          <w:sz w:val="24"/>
          <w:szCs w:val="24"/>
          <w:lang w:eastAsia="es-ES"/>
        </w:rPr>
        <w:drawing>
          <wp:inline distT="0" distB="0" distL="0" distR="0" wp14:anchorId="4E537B1A" wp14:editId="73A67387">
            <wp:extent cx="5735171" cy="2642347"/>
            <wp:effectExtent l="0" t="0" r="0" b="5715"/>
            <wp:docPr id="233" name="Imagen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731510" cy="2640660"/>
                    </a:xfrm>
                    <a:prstGeom prst="rect">
                      <a:avLst/>
                    </a:prstGeom>
                  </pic:spPr>
                </pic:pic>
              </a:graphicData>
            </a:graphic>
          </wp:inline>
        </w:drawing>
      </w:r>
    </w:p>
    <w:p w:rsidR="00DB4714" w:rsidRDefault="00DB4714" w:rsidP="00FA4DA9">
      <w:pPr>
        <w:spacing w:line="240" w:lineRule="auto"/>
        <w:jc w:val="both"/>
        <w:rPr>
          <w:rFonts w:ascii="Times New Roman" w:hAnsi="Times New Roman" w:cs="Times New Roman"/>
          <w:sz w:val="24"/>
          <w:szCs w:val="24"/>
          <w:lang w:val="en-US"/>
        </w:rPr>
      </w:pPr>
      <w:r w:rsidRPr="006F489F">
        <w:rPr>
          <w:rFonts w:ascii="Times New Roman" w:hAnsi="Times New Roman" w:cs="Times New Roman"/>
          <w:noProof/>
          <w:sz w:val="24"/>
          <w:szCs w:val="24"/>
          <w:lang w:eastAsia="es-ES"/>
        </w:rPr>
        <w:drawing>
          <wp:inline distT="0" distB="0" distL="0" distR="0" wp14:anchorId="53AAEF23" wp14:editId="5FA4FD89">
            <wp:extent cx="5727208" cy="2763371"/>
            <wp:effectExtent l="0" t="0" r="6985" b="0"/>
            <wp:docPr id="234" name="Imagen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731510" cy="2765446"/>
                    </a:xfrm>
                    <a:prstGeom prst="rect">
                      <a:avLst/>
                    </a:prstGeom>
                  </pic:spPr>
                </pic:pic>
              </a:graphicData>
            </a:graphic>
          </wp:inline>
        </w:drawing>
      </w:r>
    </w:p>
    <w:p w:rsidR="00DB4714" w:rsidRDefault="00DB4714" w:rsidP="00FA4DA9">
      <w:pPr>
        <w:spacing w:line="240" w:lineRule="auto"/>
        <w:jc w:val="both"/>
        <w:rPr>
          <w:rFonts w:ascii="Times New Roman" w:hAnsi="Times New Roman" w:cs="Times New Roman"/>
          <w:sz w:val="24"/>
          <w:szCs w:val="24"/>
          <w:lang w:val="en-US"/>
        </w:rPr>
      </w:pPr>
      <w:r w:rsidRPr="00612FE0">
        <w:rPr>
          <w:rFonts w:ascii="Times New Roman" w:hAnsi="Times New Roman" w:cs="Times New Roman"/>
          <w:noProof/>
          <w:sz w:val="24"/>
          <w:szCs w:val="24"/>
          <w:lang w:eastAsia="es-ES"/>
        </w:rPr>
        <w:drawing>
          <wp:inline distT="0" distB="0" distL="0" distR="0" wp14:anchorId="579F5938" wp14:editId="172E9B21">
            <wp:extent cx="5735168" cy="2568388"/>
            <wp:effectExtent l="0" t="0" r="0" b="3810"/>
            <wp:docPr id="235" name="Imagen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31510" cy="2566750"/>
                    </a:xfrm>
                    <a:prstGeom prst="rect">
                      <a:avLst/>
                    </a:prstGeom>
                  </pic:spPr>
                </pic:pic>
              </a:graphicData>
            </a:graphic>
          </wp:inline>
        </w:drawing>
      </w:r>
    </w:p>
    <w:p w:rsidR="00DB4714" w:rsidRPr="00506746" w:rsidRDefault="00DB4714" w:rsidP="00FA4DA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 xml:space="preserve">- </w:t>
      </w:r>
      <w:r w:rsidRPr="00506746">
        <w:rPr>
          <w:rFonts w:ascii="Times New Roman" w:hAnsi="Times New Roman" w:cs="Times New Roman"/>
          <w:sz w:val="24"/>
          <w:szCs w:val="24"/>
          <w:shd w:val="clear" w:color="auto" w:fill="FFFFFF"/>
        </w:rPr>
        <w:t>¿</w:t>
      </w:r>
      <w:r w:rsidRPr="00194E57">
        <w:rPr>
          <w:rFonts w:ascii="Times New Roman" w:hAnsi="Times New Roman" w:cs="Times New Roman"/>
          <w:sz w:val="24"/>
          <w:szCs w:val="24"/>
          <w:u w:val="single"/>
          <w:shd w:val="clear" w:color="auto" w:fill="FFFFFF"/>
        </w:rPr>
        <w:t>Qué forma tendrá la salida de la crisis? Las nueve opciones que estudian los líderes</w:t>
      </w:r>
      <w:r>
        <w:rPr>
          <w:rFonts w:ascii="Times New Roman" w:hAnsi="Times New Roman" w:cs="Times New Roman"/>
          <w:sz w:val="24"/>
          <w:szCs w:val="24"/>
          <w:shd w:val="clear" w:color="auto" w:fill="FFFFFF"/>
        </w:rPr>
        <w:t xml:space="preserve"> (El Español - </w:t>
      </w:r>
      <w:r w:rsidRPr="00194E57">
        <w:rPr>
          <w:rFonts w:ascii="Times New Roman" w:hAnsi="Times New Roman" w:cs="Times New Roman"/>
          <w:b/>
          <w:sz w:val="24"/>
          <w:szCs w:val="24"/>
          <w:shd w:val="clear" w:color="auto" w:fill="FFFFFF"/>
        </w:rPr>
        <w:t>24/5/20</w:t>
      </w:r>
      <w:r>
        <w:rPr>
          <w:rFonts w:ascii="Times New Roman" w:hAnsi="Times New Roman" w:cs="Times New Roman"/>
          <w:sz w:val="24"/>
          <w:szCs w:val="24"/>
          <w:shd w:val="clear" w:color="auto" w:fill="FFFFFF"/>
        </w:rPr>
        <w:t>)</w:t>
      </w:r>
    </w:p>
    <w:p w:rsidR="00DB4714" w:rsidRPr="00506746" w:rsidRDefault="00DB4714" w:rsidP="00FA4DA9">
      <w:pPr>
        <w:spacing w:line="240" w:lineRule="auto"/>
        <w:jc w:val="both"/>
        <w:rPr>
          <w:rFonts w:ascii="Times New Roman" w:hAnsi="Times New Roman" w:cs="Times New Roman"/>
          <w:sz w:val="24"/>
          <w:szCs w:val="24"/>
          <w:shd w:val="clear" w:color="auto" w:fill="FFFFFF"/>
        </w:rPr>
      </w:pPr>
      <w:r w:rsidRPr="006251EA">
        <w:rPr>
          <w:rFonts w:ascii="Times New Roman" w:hAnsi="Times New Roman" w:cs="Times New Roman"/>
          <w:sz w:val="24"/>
          <w:szCs w:val="24"/>
          <w:u w:val="single"/>
          <w:shd w:val="clear" w:color="auto" w:fill="FFFFFF"/>
        </w:rPr>
        <w:t>Acaba la emergencia sanitaria. El Covid-19 empieza a remitir y comienza la desescalada económica. Llega el momento de hacer balance de daños y de pensar en lo que está por venir. Hacer planes, mirar al futuro y decidir qué medidas hay que adoptar para garantizar la continuidad de la empresa</w:t>
      </w:r>
      <w:r w:rsidRPr="00506746">
        <w:rPr>
          <w:rFonts w:ascii="Times New Roman" w:hAnsi="Times New Roman" w:cs="Times New Roman"/>
          <w:sz w:val="24"/>
          <w:szCs w:val="24"/>
          <w:shd w:val="clear" w:color="auto" w:fill="FFFFFF"/>
        </w:rPr>
        <w:t>. Algo para lo que será esencial conocer cómo será la recuperación económica de España, Europa y de las pri</w:t>
      </w:r>
      <w:r>
        <w:rPr>
          <w:rFonts w:ascii="Times New Roman" w:hAnsi="Times New Roman" w:cs="Times New Roman"/>
          <w:sz w:val="24"/>
          <w:szCs w:val="24"/>
          <w:shd w:val="clear" w:color="auto" w:fill="FFFFFF"/>
        </w:rPr>
        <w:t xml:space="preserve">ncipales regiones económicas.  </w:t>
      </w:r>
    </w:p>
    <w:p w:rsidR="00DB4714" w:rsidRPr="006251EA" w:rsidRDefault="00DB4714" w:rsidP="00FA4DA9">
      <w:pPr>
        <w:spacing w:line="240" w:lineRule="auto"/>
        <w:jc w:val="both"/>
        <w:rPr>
          <w:rFonts w:ascii="Times New Roman" w:hAnsi="Times New Roman" w:cs="Times New Roman"/>
          <w:color w:val="FF0000"/>
          <w:sz w:val="24"/>
          <w:szCs w:val="24"/>
          <w:u w:val="single"/>
          <w:shd w:val="clear" w:color="auto" w:fill="FFFFFF"/>
        </w:rPr>
      </w:pPr>
      <w:r w:rsidRPr="00506746">
        <w:rPr>
          <w:rFonts w:ascii="Times New Roman" w:hAnsi="Times New Roman" w:cs="Times New Roman"/>
          <w:sz w:val="24"/>
          <w:szCs w:val="24"/>
          <w:shd w:val="clear" w:color="auto" w:fill="FFFFFF"/>
        </w:rPr>
        <w:t xml:space="preserve">Este es el ejercicio que están haciendo estos días los consejos de administración de las empresas de todo el mundo. Unas reuniones en las que circula </w:t>
      </w:r>
      <w:r w:rsidRPr="006251EA">
        <w:rPr>
          <w:rFonts w:ascii="Times New Roman" w:hAnsi="Times New Roman" w:cs="Times New Roman"/>
          <w:color w:val="FF0000"/>
          <w:sz w:val="24"/>
          <w:szCs w:val="24"/>
          <w:u w:val="single"/>
          <w:shd w:val="clear" w:color="auto" w:fill="FFFFFF"/>
        </w:rPr>
        <w:t xml:space="preserve">una encuesta a nivel global elaborada por McKinsey en la que más de 2.000 directivos muestran cuáles son sus vaticinios para los próximos meses. </w:t>
      </w:r>
    </w:p>
    <w:p w:rsidR="00DB4714" w:rsidRPr="006251EA" w:rsidRDefault="00DB4714" w:rsidP="00FA4DA9">
      <w:pPr>
        <w:spacing w:line="240" w:lineRule="auto"/>
        <w:jc w:val="both"/>
        <w:rPr>
          <w:rFonts w:ascii="Times New Roman" w:hAnsi="Times New Roman" w:cs="Times New Roman"/>
          <w:color w:val="FF0000"/>
          <w:sz w:val="24"/>
          <w:szCs w:val="24"/>
          <w:u w:val="single"/>
          <w:shd w:val="clear" w:color="auto" w:fill="FFFFFF"/>
        </w:rPr>
      </w:pPr>
      <w:r w:rsidRPr="006251EA">
        <w:rPr>
          <w:rFonts w:ascii="Times New Roman" w:hAnsi="Times New Roman" w:cs="Times New Roman"/>
          <w:color w:val="FF0000"/>
          <w:sz w:val="24"/>
          <w:szCs w:val="24"/>
          <w:u w:val="single"/>
          <w:shd w:val="clear" w:color="auto" w:fill="FFFFFF"/>
        </w:rPr>
        <w:t>¿Y qué dicen? Básicamente se muestran prudentes y estiman que habrá una recuperación en forma de logotipo de Nike (figura A1 en el gráfico). Es decir, que habrá una caída profunda que poco a poco se irá recuperando.</w:t>
      </w:r>
    </w:p>
    <w:p w:rsidR="00DB4714" w:rsidRPr="00506746" w:rsidRDefault="00DB4714" w:rsidP="00FA4DA9">
      <w:pPr>
        <w:spacing w:line="240" w:lineRule="auto"/>
        <w:jc w:val="both"/>
        <w:rPr>
          <w:rFonts w:ascii="Times New Roman" w:hAnsi="Times New Roman" w:cs="Times New Roman"/>
          <w:sz w:val="24"/>
          <w:szCs w:val="24"/>
          <w:shd w:val="clear" w:color="auto" w:fill="FFFFFF"/>
        </w:rPr>
      </w:pPr>
      <w:r>
        <w:rPr>
          <w:noProof/>
          <w:lang w:eastAsia="es-ES"/>
        </w:rPr>
        <w:drawing>
          <wp:inline distT="0" distB="0" distL="0" distR="0" wp14:anchorId="7201F609" wp14:editId="5048A830">
            <wp:extent cx="5731510" cy="3223135"/>
            <wp:effectExtent l="0" t="0" r="2540" b="0"/>
            <wp:docPr id="236" name="Imagen 236" descr="Escenarios planteados por McKines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cenarios planteados por McKinesey."/>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31510" cy="3223135"/>
                    </a:xfrm>
                    <a:prstGeom prst="rect">
                      <a:avLst/>
                    </a:prstGeom>
                    <a:noFill/>
                    <a:ln>
                      <a:noFill/>
                    </a:ln>
                  </pic:spPr>
                </pic:pic>
              </a:graphicData>
            </a:graphic>
          </wp:inline>
        </w:drawing>
      </w:r>
    </w:p>
    <w:p w:rsidR="00DB4714" w:rsidRPr="00506746" w:rsidRDefault="00DB4714" w:rsidP="00FA4DA9">
      <w:pPr>
        <w:spacing w:line="240" w:lineRule="auto"/>
        <w:jc w:val="both"/>
        <w:rPr>
          <w:rFonts w:ascii="Times New Roman" w:hAnsi="Times New Roman" w:cs="Times New Roman"/>
          <w:sz w:val="24"/>
          <w:szCs w:val="24"/>
          <w:shd w:val="clear" w:color="auto" w:fill="FFFFFF"/>
        </w:rPr>
      </w:pPr>
      <w:r w:rsidRPr="00506746">
        <w:rPr>
          <w:rFonts w:ascii="Times New Roman" w:hAnsi="Times New Roman" w:cs="Times New Roman"/>
          <w:sz w:val="24"/>
          <w:szCs w:val="24"/>
          <w:shd w:val="clear" w:color="auto" w:fill="FFFFFF"/>
        </w:rPr>
        <w:t>Escen</w:t>
      </w:r>
      <w:r>
        <w:rPr>
          <w:rFonts w:ascii="Times New Roman" w:hAnsi="Times New Roman" w:cs="Times New Roman"/>
          <w:sz w:val="24"/>
          <w:szCs w:val="24"/>
          <w:shd w:val="clear" w:color="auto" w:fill="FFFFFF"/>
        </w:rPr>
        <w:t>arios planteados por McKinsey.</w:t>
      </w:r>
    </w:p>
    <w:p w:rsidR="00DB4714" w:rsidRPr="006251EA" w:rsidRDefault="00DB4714" w:rsidP="00FA4DA9">
      <w:pPr>
        <w:spacing w:line="240" w:lineRule="auto"/>
        <w:jc w:val="both"/>
        <w:rPr>
          <w:rFonts w:ascii="Times New Roman" w:hAnsi="Times New Roman" w:cs="Times New Roman"/>
          <w:sz w:val="24"/>
          <w:szCs w:val="24"/>
          <w:u w:val="single"/>
          <w:shd w:val="clear" w:color="auto" w:fill="FFFFFF"/>
        </w:rPr>
      </w:pPr>
      <w:r w:rsidRPr="006251EA">
        <w:rPr>
          <w:rFonts w:ascii="Times New Roman" w:hAnsi="Times New Roman" w:cs="Times New Roman"/>
          <w:sz w:val="24"/>
          <w:szCs w:val="24"/>
          <w:u w:val="single"/>
          <w:shd w:val="clear" w:color="auto" w:fill="FFFFFF"/>
        </w:rPr>
        <w:t xml:space="preserve">Se da por descontado que habrá rebrotes del virus a nivel regional que obligarán a adoptar medidas sanitarias y de distanciamiento social después del verano. </w:t>
      </w:r>
    </w:p>
    <w:p w:rsidR="00DB4714" w:rsidRPr="006251EA" w:rsidRDefault="00DB4714" w:rsidP="00FA4DA9">
      <w:pPr>
        <w:spacing w:line="240" w:lineRule="auto"/>
        <w:jc w:val="both"/>
        <w:rPr>
          <w:rFonts w:ascii="Times New Roman" w:hAnsi="Times New Roman" w:cs="Times New Roman"/>
          <w:color w:val="FF0000"/>
          <w:sz w:val="24"/>
          <w:szCs w:val="24"/>
          <w:u w:val="single"/>
          <w:shd w:val="clear" w:color="auto" w:fill="FFFFFF"/>
        </w:rPr>
      </w:pPr>
      <w:r w:rsidRPr="006251EA">
        <w:rPr>
          <w:rFonts w:ascii="Times New Roman" w:hAnsi="Times New Roman" w:cs="Times New Roman"/>
          <w:color w:val="FF0000"/>
          <w:sz w:val="24"/>
          <w:szCs w:val="24"/>
          <w:u w:val="single"/>
          <w:shd w:val="clear" w:color="auto" w:fill="FFFFFF"/>
        </w:rPr>
        <w:t xml:space="preserve">Un escenario en el que las políticas económicas responderán parcialmente a los daños producidos en la economía, y la crisis bancaria está </w:t>
      </w:r>
      <w:r w:rsidR="002975DF" w:rsidRPr="006251EA">
        <w:rPr>
          <w:rFonts w:ascii="Times New Roman" w:hAnsi="Times New Roman" w:cs="Times New Roman"/>
          <w:color w:val="FF0000"/>
          <w:sz w:val="24"/>
          <w:szCs w:val="24"/>
          <w:u w:val="single"/>
          <w:shd w:val="clear" w:color="auto" w:fill="FFFFFF"/>
        </w:rPr>
        <w:t>descartado</w:t>
      </w:r>
      <w:r w:rsidRPr="006251EA">
        <w:rPr>
          <w:rFonts w:ascii="Times New Roman" w:hAnsi="Times New Roman" w:cs="Times New Roman"/>
          <w:color w:val="FF0000"/>
          <w:sz w:val="24"/>
          <w:szCs w:val="24"/>
          <w:u w:val="single"/>
          <w:shd w:val="clear" w:color="auto" w:fill="FFFFFF"/>
        </w:rPr>
        <w:t>. Pese a todo habrá unos niveles de crecimiento bastante bajos. Es decir, que costará volver a la situación de partida.</w:t>
      </w:r>
      <w:r w:rsidRPr="006251EA">
        <w:rPr>
          <w:rFonts w:ascii="Times New Roman" w:hAnsi="Times New Roman" w:cs="Times New Roman"/>
          <w:color w:val="FF0000"/>
          <w:sz w:val="24"/>
          <w:szCs w:val="24"/>
          <w:shd w:val="clear" w:color="auto" w:fill="FFFFFF"/>
        </w:rPr>
        <w:t xml:space="preserve"> </w:t>
      </w:r>
      <w:r w:rsidRPr="006251EA">
        <w:rPr>
          <w:rFonts w:ascii="Times New Roman" w:hAnsi="Times New Roman" w:cs="Times New Roman"/>
          <w:color w:val="FF0000"/>
          <w:sz w:val="24"/>
          <w:szCs w:val="24"/>
          <w:u w:val="single"/>
          <w:shd w:val="clear" w:color="auto" w:fill="FFFFFF"/>
        </w:rPr>
        <w:t>Tanto que, según la propia consultora, no será hasta septiembre de 2022 cuando vuelvan los niveles de PIB previos al coronavirus.</w:t>
      </w:r>
    </w:p>
    <w:p w:rsidR="00DB4714" w:rsidRPr="00506746" w:rsidRDefault="00DB4714" w:rsidP="00FA4DA9">
      <w:pPr>
        <w:spacing w:line="240" w:lineRule="auto"/>
        <w:jc w:val="both"/>
        <w:rPr>
          <w:rFonts w:ascii="Times New Roman" w:hAnsi="Times New Roman" w:cs="Times New Roman"/>
          <w:sz w:val="24"/>
          <w:szCs w:val="24"/>
          <w:shd w:val="clear" w:color="auto" w:fill="FFFFFF"/>
        </w:rPr>
      </w:pPr>
      <w:r w:rsidRPr="00506746">
        <w:rPr>
          <w:rFonts w:ascii="Times New Roman" w:hAnsi="Times New Roman" w:cs="Times New Roman"/>
          <w:sz w:val="24"/>
          <w:szCs w:val="24"/>
          <w:shd w:val="clear" w:color="auto" w:fill="FFFFFF"/>
        </w:rPr>
        <w:t>Dicen los ejecutivos que en este escenario las políticas económicas podrían fallar a la hora de frenar un gran aumento del paro y de cierre de empresas, lo que generaría una recuperación muy lenta, incluso cuan</w:t>
      </w:r>
      <w:r>
        <w:rPr>
          <w:rFonts w:ascii="Times New Roman" w:hAnsi="Times New Roman" w:cs="Times New Roman"/>
          <w:sz w:val="24"/>
          <w:szCs w:val="24"/>
          <w:shd w:val="clear" w:color="auto" w:fill="FFFFFF"/>
        </w:rPr>
        <w:t xml:space="preserve">do el virus esté bajo control. </w:t>
      </w:r>
    </w:p>
    <w:p w:rsidR="00DB4714" w:rsidRPr="006251EA" w:rsidRDefault="00DB4714" w:rsidP="00FA4DA9">
      <w:pPr>
        <w:spacing w:line="240" w:lineRule="auto"/>
        <w:jc w:val="both"/>
        <w:rPr>
          <w:rFonts w:ascii="Times New Roman" w:hAnsi="Times New Roman" w:cs="Times New Roman"/>
          <w:b/>
          <w:color w:val="FF0000"/>
          <w:sz w:val="24"/>
          <w:szCs w:val="24"/>
          <w:u w:val="single"/>
          <w:shd w:val="clear" w:color="auto" w:fill="FFFFFF"/>
        </w:rPr>
      </w:pPr>
      <w:r w:rsidRPr="006251EA">
        <w:rPr>
          <w:rFonts w:ascii="Times New Roman" w:hAnsi="Times New Roman" w:cs="Times New Roman"/>
          <w:b/>
          <w:color w:val="FF0000"/>
          <w:sz w:val="24"/>
          <w:szCs w:val="24"/>
          <w:u w:val="single"/>
          <w:shd w:val="clear" w:color="auto" w:fill="FFFFFF"/>
        </w:rPr>
        <w:lastRenderedPageBreak/>
        <w:t xml:space="preserve">Para este año (2020) se estima una recesión del -6,5% global que llegará al -11,1% en Europa y al -8,1% en EEUU. ¿Cuándo saldrán definitivamente de la crisis? Pues entre el primer y el tercer trimestre del ejercicio 2023. </w:t>
      </w:r>
    </w:p>
    <w:p w:rsidR="00DB4714" w:rsidRPr="00506746" w:rsidRDefault="00DB4714" w:rsidP="00FA4DA9">
      <w:pPr>
        <w:spacing w:line="240" w:lineRule="auto"/>
        <w:jc w:val="both"/>
        <w:rPr>
          <w:rFonts w:ascii="Times New Roman" w:hAnsi="Times New Roman" w:cs="Times New Roman"/>
          <w:sz w:val="24"/>
          <w:szCs w:val="24"/>
          <w:shd w:val="clear" w:color="auto" w:fill="FFFFFF"/>
        </w:rPr>
      </w:pPr>
      <w:r w:rsidRPr="006251EA">
        <w:rPr>
          <w:rFonts w:ascii="Times New Roman" w:hAnsi="Times New Roman" w:cs="Times New Roman"/>
          <w:color w:val="FF0000"/>
          <w:sz w:val="24"/>
          <w:szCs w:val="24"/>
          <w:u w:val="single"/>
          <w:shd w:val="clear" w:color="auto" w:fill="FFFFFF"/>
        </w:rPr>
        <w:t>El documento de McKinsey, titulado Respuesta global a la crisis sanitaria y económica, detalla el otro escenario favorito de los directivos. Es más optimista que el anterior y sería parecido a la famosa V asimétrica (gráfico A3)</w:t>
      </w:r>
      <w:r w:rsidR="002975DF" w:rsidRPr="002975DF">
        <w:rPr>
          <w:rFonts w:ascii="Times New Roman" w:hAnsi="Times New Roman" w:cs="Times New Roman"/>
          <w:color w:val="FF0000"/>
          <w:sz w:val="24"/>
          <w:szCs w:val="24"/>
          <w:shd w:val="clear" w:color="auto" w:fill="FFFFFF"/>
        </w:rPr>
        <w:t>.</w:t>
      </w:r>
    </w:p>
    <w:p w:rsidR="00DB4714" w:rsidRPr="006251EA" w:rsidRDefault="00DB4714" w:rsidP="00FA4DA9">
      <w:pPr>
        <w:spacing w:line="240" w:lineRule="auto"/>
        <w:jc w:val="both"/>
        <w:rPr>
          <w:rFonts w:ascii="Times New Roman" w:hAnsi="Times New Roman" w:cs="Times New Roman"/>
          <w:color w:val="FF0000"/>
          <w:sz w:val="24"/>
          <w:szCs w:val="24"/>
          <w:u w:val="single"/>
          <w:shd w:val="clear" w:color="auto" w:fill="FFFFFF"/>
        </w:rPr>
      </w:pPr>
      <w:r w:rsidRPr="006251EA">
        <w:rPr>
          <w:rFonts w:ascii="Times New Roman" w:hAnsi="Times New Roman" w:cs="Times New Roman"/>
          <w:color w:val="FF0000"/>
          <w:sz w:val="24"/>
          <w:szCs w:val="24"/>
          <w:u w:val="single"/>
          <w:shd w:val="clear" w:color="auto" w:fill="FFFFFF"/>
        </w:rPr>
        <w:t xml:space="preserve">Esta opción es la favorita para el 16% de los directivos, y es mucho más optimista que el primer escenario. ¿Por qué? Básicamente porque estima que el coronavirus estará controlado en China antes del verano, y que en Europa y EEUU (tras un cierre de dos meses de la economía) las cosas habrán mejorado en junio gracias a la respuesta sanitaria y la estacionalidad del virus. </w:t>
      </w:r>
    </w:p>
    <w:p w:rsidR="00DB4714" w:rsidRPr="00506746" w:rsidRDefault="00DB4714" w:rsidP="00FA4DA9">
      <w:pPr>
        <w:spacing w:line="240" w:lineRule="auto"/>
        <w:jc w:val="both"/>
        <w:rPr>
          <w:rFonts w:ascii="Times New Roman" w:hAnsi="Times New Roman" w:cs="Times New Roman"/>
          <w:sz w:val="24"/>
          <w:szCs w:val="24"/>
          <w:shd w:val="clear" w:color="auto" w:fill="FFFFFF"/>
        </w:rPr>
      </w:pPr>
      <w:r>
        <w:rPr>
          <w:noProof/>
          <w:lang w:eastAsia="es-ES"/>
        </w:rPr>
        <w:drawing>
          <wp:inline distT="0" distB="0" distL="0" distR="0" wp14:anchorId="0E690917" wp14:editId="6E8E6E0D">
            <wp:extent cx="5731510" cy="2814693"/>
            <wp:effectExtent l="0" t="0" r="2540" b="5080"/>
            <wp:docPr id="237" name="Imagen 237" descr="Previsión de los escenarios elegidos por los ejecutivos encuestados por McKins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evisión de los escenarios elegidos por los ejecutivos encuestados por McKinsey."/>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31510" cy="2814693"/>
                    </a:xfrm>
                    <a:prstGeom prst="rect">
                      <a:avLst/>
                    </a:prstGeom>
                    <a:noFill/>
                    <a:ln>
                      <a:noFill/>
                    </a:ln>
                  </pic:spPr>
                </pic:pic>
              </a:graphicData>
            </a:graphic>
          </wp:inline>
        </w:drawing>
      </w:r>
    </w:p>
    <w:p w:rsidR="00DB4714" w:rsidRPr="00506746" w:rsidRDefault="00DB4714" w:rsidP="00FA4DA9">
      <w:pPr>
        <w:spacing w:line="240" w:lineRule="auto"/>
        <w:jc w:val="both"/>
        <w:rPr>
          <w:rFonts w:ascii="Times New Roman" w:hAnsi="Times New Roman" w:cs="Times New Roman"/>
          <w:sz w:val="24"/>
          <w:szCs w:val="24"/>
          <w:shd w:val="clear" w:color="auto" w:fill="FFFFFF"/>
        </w:rPr>
      </w:pPr>
      <w:r w:rsidRPr="00506746">
        <w:rPr>
          <w:rFonts w:ascii="Times New Roman" w:hAnsi="Times New Roman" w:cs="Times New Roman"/>
          <w:sz w:val="24"/>
          <w:szCs w:val="24"/>
          <w:shd w:val="clear" w:color="auto" w:fill="FFFFFF"/>
        </w:rPr>
        <w:t>Previsión de los escenarios elegidos por los ejecu</w:t>
      </w:r>
      <w:r>
        <w:rPr>
          <w:rFonts w:ascii="Times New Roman" w:hAnsi="Times New Roman" w:cs="Times New Roman"/>
          <w:sz w:val="24"/>
          <w:szCs w:val="24"/>
          <w:shd w:val="clear" w:color="auto" w:fill="FFFFFF"/>
        </w:rPr>
        <w:t>tivos encuestados por McKinsey.</w:t>
      </w:r>
    </w:p>
    <w:p w:rsidR="00DB4714" w:rsidRPr="006251EA" w:rsidRDefault="00DB4714" w:rsidP="00FA4DA9">
      <w:pPr>
        <w:spacing w:line="240" w:lineRule="auto"/>
        <w:jc w:val="both"/>
        <w:rPr>
          <w:rFonts w:ascii="Times New Roman" w:hAnsi="Times New Roman" w:cs="Times New Roman"/>
          <w:color w:val="FF0000"/>
          <w:sz w:val="24"/>
          <w:szCs w:val="24"/>
          <w:u w:val="single"/>
          <w:shd w:val="clear" w:color="auto" w:fill="FFFFFF"/>
        </w:rPr>
      </w:pPr>
      <w:r w:rsidRPr="006251EA">
        <w:rPr>
          <w:rFonts w:ascii="Times New Roman" w:hAnsi="Times New Roman" w:cs="Times New Roman"/>
          <w:color w:val="FF0000"/>
          <w:sz w:val="24"/>
          <w:szCs w:val="24"/>
          <w:u w:val="single"/>
          <w:shd w:val="clear" w:color="auto" w:fill="FFFFFF"/>
        </w:rPr>
        <w:t xml:space="preserve">China y EEUU verán cerrar 2020 con el PIB en el -2% y el -2,5%, respectivamente. Sin embargo, la Eurozona tendrá que esperar a marzo del año siguiente y ver cómo la caída de la economía alcanza el -5,2%. A nivel mundial, la recuperación llegará al tiempo que en la Unión Europea, aunque el PIB descenderá al -2,7% este año. </w:t>
      </w:r>
    </w:p>
    <w:p w:rsidR="00DB4714" w:rsidRDefault="00DB4714" w:rsidP="00FA4DA9">
      <w:pPr>
        <w:spacing w:line="240" w:lineRule="auto"/>
        <w:jc w:val="both"/>
        <w:rPr>
          <w:rFonts w:ascii="Times New Roman" w:hAnsi="Times New Roman" w:cs="Times New Roman"/>
          <w:color w:val="FF0000"/>
          <w:sz w:val="24"/>
          <w:szCs w:val="24"/>
          <w:u w:val="single"/>
          <w:shd w:val="clear" w:color="auto" w:fill="FFFFFF"/>
        </w:rPr>
      </w:pPr>
      <w:r w:rsidRPr="006251EA">
        <w:rPr>
          <w:rFonts w:ascii="Times New Roman" w:hAnsi="Times New Roman" w:cs="Times New Roman"/>
          <w:color w:val="FF0000"/>
          <w:sz w:val="24"/>
          <w:szCs w:val="24"/>
          <w:u w:val="single"/>
          <w:shd w:val="clear" w:color="auto" w:fill="FFFFFF"/>
        </w:rPr>
        <w:t xml:space="preserve">En esta recuperación la más beneficiada será la economía China, que tras una rápida desaceleración verá un fuerte rebrote llevándole a niveles precrisis. Sin embargo, en Europa y EEUU la política fiscal y monetaria mitigará parcialmente los daños provocados por la pandemia, aunque tardará tiempo en surtir efecto. Eso hará que haya un fuerte rebote a partir del tercer trimestre de este año. </w:t>
      </w:r>
    </w:p>
    <w:p w:rsidR="00DB4714" w:rsidRPr="006251EA" w:rsidRDefault="00DB4714" w:rsidP="00FA4DA9">
      <w:pPr>
        <w:spacing w:line="240" w:lineRule="auto"/>
        <w:jc w:val="both"/>
        <w:rPr>
          <w:rFonts w:ascii="Times New Roman" w:hAnsi="Times New Roman" w:cs="Times New Roman"/>
          <w:color w:val="FF0000"/>
          <w:sz w:val="24"/>
          <w:szCs w:val="24"/>
          <w:u w:val="single"/>
          <w:shd w:val="clear" w:color="auto" w:fill="FFFFFF"/>
        </w:rPr>
      </w:pPr>
      <w:r w:rsidRPr="006251EA">
        <w:rPr>
          <w:rFonts w:ascii="Times New Roman" w:hAnsi="Times New Roman" w:cs="Times New Roman"/>
          <w:color w:val="FF0000"/>
          <w:sz w:val="24"/>
          <w:szCs w:val="24"/>
          <w:u w:val="single"/>
          <w:shd w:val="clear" w:color="auto" w:fill="FFFFFF"/>
        </w:rPr>
        <w:t>Advierte, eso sí, de que la mayor parte de los países verán una caída del PIB en el segundo trimestre del año que no tendrá precedentes desde la II Guerra Mundial</w:t>
      </w:r>
      <w:r w:rsidR="00371866" w:rsidRPr="00371866">
        <w:rPr>
          <w:rFonts w:ascii="Times New Roman" w:hAnsi="Times New Roman" w:cs="Times New Roman"/>
          <w:color w:val="FF0000"/>
          <w:sz w:val="24"/>
          <w:szCs w:val="24"/>
          <w:shd w:val="clear" w:color="auto" w:fill="FFFFFF"/>
        </w:rPr>
        <w:t>…</w:t>
      </w:r>
      <w:r w:rsidRPr="00371866">
        <w:rPr>
          <w:rFonts w:ascii="Times New Roman" w:hAnsi="Times New Roman" w:cs="Times New Roman"/>
          <w:color w:val="FF0000"/>
          <w:sz w:val="24"/>
          <w:szCs w:val="24"/>
          <w:shd w:val="clear" w:color="auto" w:fill="FFFFFF"/>
        </w:rPr>
        <w:t xml:space="preserve"> </w:t>
      </w:r>
    </w:p>
    <w:p w:rsidR="00DB4714" w:rsidRPr="00536F20" w:rsidRDefault="00DB4714" w:rsidP="00FA4DA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DD5436">
        <w:rPr>
          <w:rFonts w:ascii="Times New Roman" w:hAnsi="Times New Roman" w:cs="Times New Roman"/>
          <w:sz w:val="24"/>
          <w:szCs w:val="24"/>
          <w:u w:val="single"/>
          <w:shd w:val="clear" w:color="auto" w:fill="FFFFFF"/>
        </w:rPr>
        <w:t>La OCDE constata que 2020 arranca con el peor trimestre desde el apogeo de la crisis financiera</w:t>
      </w:r>
      <w:r>
        <w:rPr>
          <w:rFonts w:ascii="Times New Roman" w:hAnsi="Times New Roman" w:cs="Times New Roman"/>
          <w:sz w:val="24"/>
          <w:szCs w:val="24"/>
          <w:shd w:val="clear" w:color="auto" w:fill="FFFFFF"/>
        </w:rPr>
        <w:t xml:space="preserve"> (Cinco Días - </w:t>
      </w:r>
      <w:r w:rsidRPr="00DD5436">
        <w:rPr>
          <w:rFonts w:ascii="Times New Roman" w:hAnsi="Times New Roman" w:cs="Times New Roman"/>
          <w:b/>
          <w:sz w:val="24"/>
          <w:szCs w:val="24"/>
          <w:shd w:val="clear" w:color="auto" w:fill="FFFFFF"/>
        </w:rPr>
        <w:t>26/5/20</w:t>
      </w:r>
      <w:r>
        <w:rPr>
          <w:rFonts w:ascii="Times New Roman" w:hAnsi="Times New Roman" w:cs="Times New Roman"/>
          <w:sz w:val="24"/>
          <w:szCs w:val="24"/>
          <w:shd w:val="clear" w:color="auto" w:fill="FFFFFF"/>
        </w:rPr>
        <w:t>)</w:t>
      </w:r>
    </w:p>
    <w:p w:rsidR="00DB4714" w:rsidRPr="002975DF" w:rsidRDefault="00DB4714" w:rsidP="00FA4DA9">
      <w:pPr>
        <w:spacing w:line="240" w:lineRule="auto"/>
        <w:jc w:val="both"/>
        <w:rPr>
          <w:rFonts w:ascii="Times New Roman" w:hAnsi="Times New Roman" w:cs="Times New Roman"/>
          <w:color w:val="FF0000"/>
          <w:sz w:val="24"/>
          <w:szCs w:val="24"/>
          <w:u w:val="single"/>
          <w:shd w:val="clear" w:color="auto" w:fill="FFFFFF"/>
        </w:rPr>
      </w:pPr>
      <w:r w:rsidRPr="002975DF">
        <w:rPr>
          <w:rFonts w:ascii="Times New Roman" w:hAnsi="Times New Roman" w:cs="Times New Roman"/>
          <w:color w:val="FF0000"/>
          <w:sz w:val="24"/>
          <w:szCs w:val="24"/>
          <w:u w:val="single"/>
          <w:shd w:val="clear" w:color="auto" w:fill="FFFFFF"/>
        </w:rPr>
        <w:t xml:space="preserve">Las economías desarrolladas sufrieron una caída media del 1,8% entre enero y marzo de 2020 como consecuencia de la propagación de la pandemia de coronavirus, lo que supone el peor </w:t>
      </w:r>
      <w:r w:rsidRPr="002975DF">
        <w:rPr>
          <w:rFonts w:ascii="Times New Roman" w:hAnsi="Times New Roman" w:cs="Times New Roman"/>
          <w:color w:val="FF0000"/>
          <w:sz w:val="24"/>
          <w:szCs w:val="24"/>
          <w:u w:val="single"/>
          <w:shd w:val="clear" w:color="auto" w:fill="FFFFFF"/>
        </w:rPr>
        <w:lastRenderedPageBreak/>
        <w:t>trimestre desde el apogeo de la Gran Recesión, que tuvo lugar en el arranque de 2009 como consecuencia de la crisis financiera.</w:t>
      </w:r>
    </w:p>
    <w:p w:rsidR="00DB4714" w:rsidRDefault="00DB4714" w:rsidP="00FA4DA9">
      <w:pPr>
        <w:spacing w:line="240" w:lineRule="auto"/>
        <w:jc w:val="both"/>
        <w:rPr>
          <w:rFonts w:ascii="Times New Roman" w:hAnsi="Times New Roman" w:cs="Times New Roman"/>
          <w:sz w:val="24"/>
          <w:szCs w:val="24"/>
          <w:shd w:val="clear" w:color="auto" w:fill="FFFFFF"/>
        </w:rPr>
      </w:pPr>
      <w:r w:rsidRPr="00536F20">
        <w:rPr>
          <w:rFonts w:ascii="Times New Roman" w:hAnsi="Times New Roman" w:cs="Times New Roman"/>
          <w:sz w:val="24"/>
          <w:szCs w:val="24"/>
          <w:shd w:val="clear" w:color="auto" w:fill="FFFFFF"/>
        </w:rPr>
        <w:t>Así lo ha constatado este martes la Organización para la Cooperación y el Desarrollo Económico (OCDE) en un informe que subrayas las fuertes oscilaciones que provoca, dentro del retroceso generalizado, el grado de severidad de las medidas de confinamiento adoptadas en cada país para hacer frente a la pandemia del Covid-19.</w:t>
      </w:r>
    </w:p>
    <w:p w:rsidR="00371866" w:rsidRDefault="00DB4714" w:rsidP="00FA4DA9">
      <w:pPr>
        <w:spacing w:line="240" w:lineRule="auto"/>
        <w:jc w:val="both"/>
        <w:rPr>
          <w:rFonts w:ascii="Times New Roman" w:hAnsi="Times New Roman" w:cs="Times New Roman"/>
          <w:sz w:val="24"/>
          <w:szCs w:val="24"/>
          <w:shd w:val="clear" w:color="auto" w:fill="FFFFFF"/>
        </w:rPr>
      </w:pPr>
      <w:r w:rsidRPr="00536F20">
        <w:rPr>
          <w:rFonts w:ascii="Times New Roman" w:hAnsi="Times New Roman" w:cs="Times New Roman"/>
          <w:sz w:val="24"/>
          <w:szCs w:val="24"/>
          <w:shd w:val="clear" w:color="auto" w:fill="FFFFFF"/>
        </w:rPr>
        <w:t xml:space="preserve">Así, en países donde las medidas de confinamiento y cierre </w:t>
      </w:r>
      <w:r w:rsidR="00371866">
        <w:rPr>
          <w:rFonts w:ascii="Times New Roman" w:hAnsi="Times New Roman" w:cs="Times New Roman"/>
          <w:sz w:val="24"/>
          <w:szCs w:val="24"/>
          <w:shd w:val="clear" w:color="auto" w:fill="FFFFFF"/>
        </w:rPr>
        <w:t>de comercios fueron más estricto</w:t>
      </w:r>
      <w:r w:rsidRPr="00536F20">
        <w:rPr>
          <w:rFonts w:ascii="Times New Roman" w:hAnsi="Times New Roman" w:cs="Times New Roman"/>
          <w:sz w:val="24"/>
          <w:szCs w:val="24"/>
          <w:shd w:val="clear" w:color="auto" w:fill="FFFFFF"/>
        </w:rPr>
        <w:t>s, las caídas de PIB fueron más acusadas. Es el caso de Francia, que cede un 5,8% tras la caída del 0,1% del último trimestre de 2019, o de Italia, que cae un 4,7% frente al -0,3% del periodo de octubre a diciembre del año pasado, según los datos provisionales manejados por la OCDE.</w:t>
      </w:r>
    </w:p>
    <w:p w:rsidR="00DB4714" w:rsidRDefault="00DB4714" w:rsidP="00FA4DA9">
      <w:pPr>
        <w:spacing w:line="240" w:lineRule="auto"/>
        <w:jc w:val="both"/>
        <w:rPr>
          <w:rFonts w:ascii="Times New Roman" w:hAnsi="Times New Roman" w:cs="Times New Roman"/>
          <w:sz w:val="24"/>
          <w:szCs w:val="24"/>
          <w:shd w:val="clear" w:color="auto" w:fill="FFFFFF"/>
        </w:rPr>
      </w:pPr>
      <w:r>
        <w:rPr>
          <w:noProof/>
          <w:lang w:eastAsia="es-ES"/>
        </w:rPr>
        <w:drawing>
          <wp:inline distT="0" distB="0" distL="0" distR="0" wp14:anchorId="6920D97D" wp14:editId="2C44787D">
            <wp:extent cx="5727700" cy="3308350"/>
            <wp:effectExtent l="0" t="0" r="6350" b="6350"/>
            <wp:docPr id="238" name="Imagen 238" descr="La OCDE constata que 2020 arranca con el peor trimestre desde el apogeo de la crisis financi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a OCDE constata que 2020 arranca con el peor trimestre desde el apogeo de la crisis financiera"/>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31510" cy="3310551"/>
                    </a:xfrm>
                    <a:prstGeom prst="rect">
                      <a:avLst/>
                    </a:prstGeom>
                    <a:noFill/>
                    <a:ln>
                      <a:noFill/>
                    </a:ln>
                  </pic:spPr>
                </pic:pic>
              </a:graphicData>
            </a:graphic>
          </wp:inline>
        </w:drawing>
      </w:r>
    </w:p>
    <w:p w:rsidR="00FE22A4" w:rsidRPr="00FE22A4" w:rsidRDefault="00FE22A4" w:rsidP="00FA4DA9">
      <w:pPr>
        <w:spacing w:line="240" w:lineRule="auto"/>
        <w:jc w:val="both"/>
        <w:rPr>
          <w:rFonts w:ascii="Times New Roman" w:hAnsi="Times New Roman" w:cs="Times New Roman"/>
          <w:b/>
          <w:sz w:val="24"/>
          <w:szCs w:val="24"/>
          <w:shd w:val="clear" w:color="auto" w:fill="FFFFFF"/>
        </w:rPr>
      </w:pPr>
      <w:r w:rsidRPr="00FE22A4">
        <w:rPr>
          <w:rFonts w:ascii="Times New Roman" w:hAnsi="Times New Roman" w:cs="Times New Roman"/>
          <w:b/>
          <w:sz w:val="24"/>
          <w:szCs w:val="24"/>
          <w:shd w:val="clear" w:color="auto" w:fill="FFFFFF"/>
        </w:rPr>
        <w:t>S&amp;P 500</w:t>
      </w:r>
    </w:p>
    <w:p w:rsidR="00DB4714" w:rsidRDefault="00DB4714" w:rsidP="00FA4DA9">
      <w:pPr>
        <w:spacing w:line="240" w:lineRule="auto"/>
        <w:jc w:val="both"/>
        <w:rPr>
          <w:rFonts w:ascii="Times New Roman" w:hAnsi="Times New Roman" w:cs="Times New Roman"/>
          <w:b/>
          <w:color w:val="FF0000"/>
          <w:sz w:val="24"/>
          <w:szCs w:val="24"/>
        </w:rPr>
      </w:pPr>
      <w:r w:rsidRPr="00DD5436">
        <w:rPr>
          <w:rFonts w:ascii="Times New Roman" w:hAnsi="Times New Roman" w:cs="Times New Roman"/>
          <w:noProof/>
          <w:sz w:val="24"/>
          <w:szCs w:val="24"/>
          <w:shd w:val="clear" w:color="auto" w:fill="FFFFFF"/>
          <w:lang w:eastAsia="es-ES"/>
        </w:rPr>
        <w:drawing>
          <wp:inline distT="0" distB="0" distL="0" distR="0" wp14:anchorId="59CF1259" wp14:editId="77FFD059">
            <wp:extent cx="5728733" cy="2584450"/>
            <wp:effectExtent l="0" t="0" r="5715" b="6350"/>
            <wp:docPr id="239" name="Imagen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31510" cy="2585703"/>
                    </a:xfrm>
                    <a:prstGeom prst="rect">
                      <a:avLst/>
                    </a:prstGeom>
                  </pic:spPr>
                </pic:pic>
              </a:graphicData>
            </a:graphic>
          </wp:inline>
        </w:drawing>
      </w:r>
    </w:p>
    <w:p w:rsidR="00D60305" w:rsidRPr="00536F20" w:rsidRDefault="00D60305" w:rsidP="00FA4DA9">
      <w:pPr>
        <w:spacing w:line="240" w:lineRule="auto"/>
        <w:jc w:val="both"/>
        <w:rPr>
          <w:rFonts w:ascii="Times New Roman" w:hAnsi="Times New Roman" w:cs="Times New Roman"/>
          <w:sz w:val="24"/>
          <w:szCs w:val="24"/>
          <w:shd w:val="clear" w:color="auto" w:fill="FFFFFF"/>
        </w:rPr>
      </w:pPr>
      <w:r w:rsidRPr="00DD5436">
        <w:rPr>
          <w:rFonts w:ascii="Times New Roman" w:hAnsi="Times New Roman" w:cs="Times New Roman"/>
          <w:sz w:val="24"/>
          <w:szCs w:val="24"/>
          <w:shd w:val="clear" w:color="auto" w:fill="FFFFFF"/>
        </w:rPr>
        <w:lastRenderedPageBreak/>
        <w:t xml:space="preserve">- </w:t>
      </w:r>
      <w:r w:rsidRPr="00DD5436">
        <w:rPr>
          <w:rFonts w:ascii="Times New Roman" w:hAnsi="Times New Roman" w:cs="Times New Roman"/>
          <w:sz w:val="24"/>
          <w:szCs w:val="24"/>
          <w:u w:val="single"/>
          <w:shd w:val="clear" w:color="auto" w:fill="FFFFFF"/>
        </w:rPr>
        <w:t>El mercado empuja a la Fed y al Banco de Inglaterra hacia los tipos negativos</w:t>
      </w:r>
      <w:r>
        <w:rPr>
          <w:rFonts w:ascii="Times New Roman" w:hAnsi="Times New Roman" w:cs="Times New Roman"/>
          <w:sz w:val="24"/>
          <w:szCs w:val="24"/>
          <w:shd w:val="clear" w:color="auto" w:fill="FFFFFF"/>
        </w:rPr>
        <w:t xml:space="preserve"> </w:t>
      </w:r>
      <w:r w:rsidRPr="00DD5436">
        <w:rPr>
          <w:rFonts w:ascii="Times New Roman" w:hAnsi="Times New Roman" w:cs="Times New Roman"/>
          <w:sz w:val="24"/>
          <w:szCs w:val="24"/>
          <w:shd w:val="clear" w:color="auto" w:fill="FFFFFF"/>
        </w:rPr>
        <w:t xml:space="preserve">(Cinco Días - </w:t>
      </w:r>
      <w:r w:rsidRPr="00DD5436">
        <w:rPr>
          <w:rFonts w:ascii="Times New Roman" w:hAnsi="Times New Roman" w:cs="Times New Roman"/>
          <w:b/>
          <w:sz w:val="24"/>
          <w:szCs w:val="24"/>
          <w:shd w:val="clear" w:color="auto" w:fill="FFFFFF"/>
        </w:rPr>
        <w:t>27/5/20</w:t>
      </w:r>
      <w:r w:rsidRPr="00DD5436">
        <w:rPr>
          <w:rFonts w:ascii="Times New Roman" w:hAnsi="Times New Roman" w:cs="Times New Roman"/>
          <w:sz w:val="24"/>
          <w:szCs w:val="24"/>
          <w:shd w:val="clear" w:color="auto" w:fill="FFFFFF"/>
        </w:rPr>
        <w:t>)</w:t>
      </w:r>
    </w:p>
    <w:p w:rsidR="00D60305" w:rsidRPr="00FE22A4" w:rsidRDefault="00D60305" w:rsidP="00FA4DA9">
      <w:pPr>
        <w:spacing w:line="240" w:lineRule="auto"/>
        <w:jc w:val="both"/>
        <w:rPr>
          <w:rFonts w:ascii="Times New Roman" w:hAnsi="Times New Roman" w:cs="Times New Roman"/>
          <w:b/>
          <w:color w:val="FF0000"/>
          <w:sz w:val="24"/>
          <w:szCs w:val="24"/>
          <w:u w:val="single"/>
          <w:shd w:val="clear" w:color="auto" w:fill="FFFFFF"/>
        </w:rPr>
      </w:pPr>
      <w:r w:rsidRPr="00FE22A4">
        <w:rPr>
          <w:rFonts w:ascii="Times New Roman" w:hAnsi="Times New Roman" w:cs="Times New Roman"/>
          <w:b/>
          <w:color w:val="FF0000"/>
          <w:sz w:val="24"/>
          <w:szCs w:val="24"/>
          <w:u w:val="single"/>
          <w:shd w:val="clear" w:color="auto" w:fill="FFFFFF"/>
        </w:rPr>
        <w:t>El mercado está empujando a la deuda soberana de Estados Unidos y Reino Unido hacia un terreno desconocido al que la Reserva Federal y el Banco de Inglaterra se resisten. Los rendimientos están cayendo en picado, no solo ante las drásticas rebajas de tipos de interés con las que se respondió en marzo al impacto económico de la pandemia y que han dejado el precio del dinero al cero en Estados Unidos y al 0,1% en Reino Unido, sino ante la gravedad de una crisis que avanza a pasos agigantados.</w:t>
      </w:r>
    </w:p>
    <w:p w:rsidR="00D60305" w:rsidRDefault="00D60305" w:rsidP="00FA4DA9">
      <w:pPr>
        <w:spacing w:line="240" w:lineRule="auto"/>
        <w:jc w:val="both"/>
        <w:rPr>
          <w:rFonts w:ascii="Times New Roman" w:hAnsi="Times New Roman" w:cs="Times New Roman"/>
          <w:sz w:val="24"/>
          <w:szCs w:val="24"/>
          <w:shd w:val="clear" w:color="auto" w:fill="FFFFFF"/>
        </w:rPr>
      </w:pPr>
      <w:r w:rsidRPr="00536F20">
        <w:rPr>
          <w:rFonts w:ascii="Times New Roman" w:hAnsi="Times New Roman" w:cs="Times New Roman"/>
          <w:sz w:val="24"/>
          <w:szCs w:val="24"/>
          <w:shd w:val="clear" w:color="auto" w:fill="FFFFFF"/>
        </w:rPr>
        <w:t>La profundidad del derrumbe económico es tal que los bancos centrales han disparado con una intensidad sin precedentes toda su artillería monetaria. Pero aún se espera más, una nueva oleada de compras de deuda y también, como medida extraordinaria donde las haya, tipos de referencia en negativo</w:t>
      </w:r>
      <w:r>
        <w:rPr>
          <w:rFonts w:ascii="Times New Roman" w:hAnsi="Times New Roman" w:cs="Times New Roman"/>
          <w:sz w:val="24"/>
          <w:szCs w:val="24"/>
          <w:shd w:val="clear" w:color="auto" w:fill="FFFFFF"/>
        </w:rPr>
        <w:t>…</w:t>
      </w:r>
    </w:p>
    <w:p w:rsidR="00EA1637" w:rsidRPr="006A754D" w:rsidRDefault="00EA1637" w:rsidP="00FA4DA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6A754D">
        <w:rPr>
          <w:rFonts w:ascii="Times New Roman" w:hAnsi="Times New Roman" w:cs="Times New Roman"/>
          <w:sz w:val="24"/>
          <w:szCs w:val="24"/>
          <w:u w:val="single"/>
          <w:shd w:val="clear" w:color="auto" w:fill="FFFFFF"/>
        </w:rPr>
        <w:t>Bruselas propone un presupuesto de 1,85 billones, de los que 750.000 millones irían a la reconstrucción poscovid</w:t>
      </w:r>
      <w:r>
        <w:rPr>
          <w:rFonts w:ascii="Times New Roman" w:hAnsi="Times New Roman" w:cs="Times New Roman"/>
          <w:sz w:val="24"/>
          <w:szCs w:val="24"/>
          <w:shd w:val="clear" w:color="auto" w:fill="FFFFFF"/>
        </w:rPr>
        <w:t xml:space="preserve"> (Cinco Días - </w:t>
      </w:r>
      <w:r w:rsidRPr="006A754D">
        <w:rPr>
          <w:rFonts w:ascii="Times New Roman" w:hAnsi="Times New Roman" w:cs="Times New Roman"/>
          <w:b/>
          <w:sz w:val="24"/>
          <w:szCs w:val="24"/>
          <w:shd w:val="clear" w:color="auto" w:fill="FFFFFF"/>
        </w:rPr>
        <w:t>27/5/20</w:t>
      </w:r>
      <w:r>
        <w:rPr>
          <w:rFonts w:ascii="Times New Roman" w:hAnsi="Times New Roman" w:cs="Times New Roman"/>
          <w:sz w:val="24"/>
          <w:szCs w:val="24"/>
          <w:shd w:val="clear" w:color="auto" w:fill="FFFFFF"/>
        </w:rPr>
        <w:t>)</w:t>
      </w:r>
    </w:p>
    <w:p w:rsidR="00EA1637" w:rsidRPr="00FE22A4" w:rsidRDefault="00EA1637" w:rsidP="00FA4DA9">
      <w:pPr>
        <w:spacing w:line="240" w:lineRule="auto"/>
        <w:jc w:val="both"/>
        <w:rPr>
          <w:rFonts w:ascii="Times New Roman" w:hAnsi="Times New Roman" w:cs="Times New Roman"/>
          <w:b/>
          <w:color w:val="FF0000"/>
          <w:sz w:val="24"/>
          <w:szCs w:val="24"/>
          <w:u w:val="single"/>
          <w:shd w:val="clear" w:color="auto" w:fill="FFFFFF"/>
        </w:rPr>
      </w:pPr>
      <w:r w:rsidRPr="00FE22A4">
        <w:rPr>
          <w:rFonts w:ascii="Times New Roman" w:hAnsi="Times New Roman" w:cs="Times New Roman"/>
          <w:b/>
          <w:color w:val="FF0000"/>
          <w:sz w:val="24"/>
          <w:szCs w:val="24"/>
          <w:u w:val="single"/>
          <w:shd w:val="clear" w:color="auto" w:fill="FFFFFF"/>
        </w:rPr>
        <w:t>La Comisión Europea ha desvelado este miércoles el ansiado borrador del plan de recuperación económica de la UE para los próximos años, basado en la emisión de bonos europeos para su financiación y canalizado a los gobiernos europeos mediante un híbrido de transferencias directas y préstamos reembolsables. La propuesta de Bruselas para el fondo de reconstrucción alcanza la cifra total de 750.000 millones de euros en dos años. De ellos, la mayoría son transferencias directas (500.000 millones) que se repartirían en base a la incidencia de la pandemia en cada región, situando a España como uno de los miembros más beneficiados por las ayudas. Los 250.000 millones restantes corresponden a préstamos reembolsables. El fondo, por su parte, se incluye en la propuesta de presupuesto comunitario para el marco 2021-2027, que Bruselas eleva en su borrador a los 1,85 billones de euros en total.</w:t>
      </w:r>
    </w:p>
    <w:p w:rsidR="00EA1637" w:rsidRPr="0038551C" w:rsidRDefault="00EA1637" w:rsidP="00FA4DA9">
      <w:pPr>
        <w:spacing w:line="240" w:lineRule="auto"/>
        <w:jc w:val="both"/>
        <w:rPr>
          <w:rFonts w:ascii="Times New Roman" w:hAnsi="Times New Roman" w:cs="Times New Roman"/>
          <w:sz w:val="24"/>
          <w:szCs w:val="24"/>
          <w:u w:val="single"/>
          <w:shd w:val="clear" w:color="auto" w:fill="FFFFFF"/>
        </w:rPr>
      </w:pPr>
      <w:r w:rsidRPr="0038551C">
        <w:rPr>
          <w:rFonts w:ascii="Times New Roman" w:hAnsi="Times New Roman" w:cs="Times New Roman"/>
          <w:color w:val="FF0000"/>
          <w:sz w:val="24"/>
          <w:szCs w:val="24"/>
          <w:u w:val="single"/>
          <w:shd w:val="clear" w:color="auto" w:fill="FFFFFF"/>
        </w:rPr>
        <w:t>Junto al acceso al fondo, los socios tendrán que adoptar reformas en línea con las prioridades comunitarias. Queda por ver, entre otros detalles, el criterio exacto de reparto entre los países.</w:t>
      </w:r>
      <w:r w:rsidRPr="0038551C">
        <w:rPr>
          <w:rFonts w:ascii="Times New Roman" w:hAnsi="Times New Roman" w:cs="Times New Roman"/>
          <w:color w:val="FF0000"/>
          <w:sz w:val="24"/>
          <w:szCs w:val="24"/>
          <w:shd w:val="clear" w:color="auto" w:fill="FFFFFF"/>
        </w:rPr>
        <w:t xml:space="preserve"> </w:t>
      </w:r>
      <w:r w:rsidRPr="006A754D">
        <w:rPr>
          <w:rFonts w:ascii="Times New Roman" w:hAnsi="Times New Roman" w:cs="Times New Roman"/>
          <w:sz w:val="24"/>
          <w:szCs w:val="24"/>
          <w:shd w:val="clear" w:color="auto" w:fill="FFFFFF"/>
        </w:rPr>
        <w:t xml:space="preserve">El borrador de la Comisión fija para España unos 77.000 millones en subsidios y transferencias directas (el 15% del total) y unos 63.000 millones en préstamos. </w:t>
      </w:r>
      <w:r w:rsidRPr="0038551C">
        <w:rPr>
          <w:rFonts w:ascii="Times New Roman" w:hAnsi="Times New Roman" w:cs="Times New Roman"/>
          <w:sz w:val="24"/>
          <w:szCs w:val="24"/>
          <w:u w:val="single"/>
          <w:shd w:val="clear" w:color="auto" w:fill="FFFFFF"/>
        </w:rPr>
        <w:t>El país recibiría, por lo tanto, unos 140.000 millones en total, el equivalente al 11% del PIB.</w:t>
      </w:r>
    </w:p>
    <w:p w:rsidR="00EA1637" w:rsidRPr="00FE22A4" w:rsidRDefault="00EA1637" w:rsidP="00FA4DA9">
      <w:pPr>
        <w:spacing w:line="240" w:lineRule="auto"/>
        <w:jc w:val="both"/>
        <w:rPr>
          <w:rFonts w:ascii="Times New Roman" w:hAnsi="Times New Roman" w:cs="Times New Roman"/>
          <w:sz w:val="24"/>
          <w:szCs w:val="24"/>
          <w:shd w:val="clear" w:color="auto" w:fill="FFFFFF"/>
        </w:rPr>
      </w:pPr>
      <w:r w:rsidRPr="0038551C">
        <w:rPr>
          <w:rFonts w:ascii="Times New Roman" w:hAnsi="Times New Roman" w:cs="Times New Roman"/>
          <w:sz w:val="24"/>
          <w:szCs w:val="24"/>
          <w:u w:val="single"/>
          <w:shd w:val="clear" w:color="auto" w:fill="FFFFFF"/>
        </w:rPr>
        <w:t>Italia, el socio europeo más castigado por la pandemia, sería el que más fondos recibiría, con casi 82.000 millones en subvenciones y 90.000 millones en préstamos (unos 172.000 millones en total). Francia y Polonia recibirían casi 40.000 millones respectivamente solo en transferencias. A Alemania llegarían unos 28.000 millones en subsidios y Grecia, por su parte, obtendría algo más de 22.000 millones en transferencias</w:t>
      </w:r>
      <w:r w:rsidR="00FE22A4" w:rsidRPr="00FE22A4">
        <w:rPr>
          <w:rFonts w:ascii="Times New Roman" w:hAnsi="Times New Roman" w:cs="Times New Roman"/>
          <w:sz w:val="24"/>
          <w:szCs w:val="24"/>
          <w:shd w:val="clear" w:color="auto" w:fill="FFFFFF"/>
        </w:rPr>
        <w:t>…</w:t>
      </w:r>
    </w:p>
    <w:p w:rsidR="00EA1637" w:rsidRPr="006A754D" w:rsidRDefault="00EA1637" w:rsidP="00FA4DA9">
      <w:pPr>
        <w:spacing w:line="240" w:lineRule="auto"/>
        <w:jc w:val="both"/>
        <w:rPr>
          <w:rFonts w:ascii="Times New Roman" w:hAnsi="Times New Roman" w:cs="Times New Roman"/>
          <w:sz w:val="24"/>
          <w:szCs w:val="24"/>
          <w:shd w:val="clear" w:color="auto" w:fill="FFFFFF"/>
        </w:rPr>
      </w:pPr>
      <w:r w:rsidRPr="006A754D">
        <w:rPr>
          <w:rFonts w:ascii="Times New Roman" w:hAnsi="Times New Roman" w:cs="Times New Roman"/>
          <w:sz w:val="24"/>
          <w:szCs w:val="24"/>
          <w:shd w:val="clear" w:color="auto" w:fill="FFFFFF"/>
        </w:rPr>
        <w:t xml:space="preserve">Por su parte, el jefe del Consejo, Charles Michel, señala que el </w:t>
      </w:r>
      <w:r w:rsidR="00371866">
        <w:rPr>
          <w:rFonts w:ascii="Times New Roman" w:hAnsi="Times New Roman" w:cs="Times New Roman"/>
          <w:sz w:val="24"/>
          <w:szCs w:val="24"/>
          <w:shd w:val="clear" w:color="auto" w:fill="FFFFFF"/>
        </w:rPr>
        <w:t>objetivo es lograr un acuerdo “</w:t>
      </w:r>
      <w:r w:rsidRPr="006A754D">
        <w:rPr>
          <w:rFonts w:ascii="Times New Roman" w:hAnsi="Times New Roman" w:cs="Times New Roman"/>
          <w:sz w:val="24"/>
          <w:szCs w:val="24"/>
          <w:shd w:val="clear" w:color="auto" w:fill="FFFFFF"/>
        </w:rPr>
        <w:t>an</w:t>
      </w:r>
      <w:r w:rsidR="00371866">
        <w:rPr>
          <w:rFonts w:ascii="Times New Roman" w:hAnsi="Times New Roman" w:cs="Times New Roman"/>
          <w:sz w:val="24"/>
          <w:szCs w:val="24"/>
          <w:shd w:val="clear" w:color="auto" w:fill="FFFFFF"/>
        </w:rPr>
        <w:t>tes de las vacaciones de verano”</w:t>
      </w:r>
      <w:r w:rsidRPr="006A754D">
        <w:rPr>
          <w:rFonts w:ascii="Times New Roman" w:hAnsi="Times New Roman" w:cs="Times New Roman"/>
          <w:sz w:val="24"/>
          <w:szCs w:val="24"/>
          <w:shd w:val="clear" w:color="auto" w:fill="FFFFFF"/>
        </w:rPr>
        <w:t>. Los jefes de Estado debatirán en la cumbre el próximo 19 de junio.</w:t>
      </w:r>
    </w:p>
    <w:p w:rsidR="00EA1637" w:rsidRPr="006A754D" w:rsidRDefault="00EA1637" w:rsidP="00FA4DA9">
      <w:pPr>
        <w:spacing w:line="240" w:lineRule="auto"/>
        <w:jc w:val="both"/>
        <w:rPr>
          <w:rFonts w:ascii="Times New Roman" w:hAnsi="Times New Roman" w:cs="Times New Roman"/>
          <w:sz w:val="24"/>
          <w:szCs w:val="24"/>
          <w:shd w:val="clear" w:color="auto" w:fill="FFFFFF"/>
        </w:rPr>
      </w:pPr>
      <w:r w:rsidRPr="006A754D">
        <w:rPr>
          <w:rFonts w:ascii="Times New Roman" w:hAnsi="Times New Roman" w:cs="Times New Roman"/>
          <w:sz w:val="24"/>
          <w:szCs w:val="24"/>
          <w:shd w:val="clear" w:color="auto" w:fill="FFFFFF"/>
        </w:rPr>
        <w:t>El comisario de Economía, Paolo Gentiloni, ha avanzado la cifra del fondo en la red social Twitter, donde h</w:t>
      </w:r>
      <w:r w:rsidR="00371866">
        <w:rPr>
          <w:rFonts w:ascii="Times New Roman" w:hAnsi="Times New Roman" w:cs="Times New Roman"/>
          <w:sz w:val="24"/>
          <w:szCs w:val="24"/>
          <w:shd w:val="clear" w:color="auto" w:fill="FFFFFF"/>
        </w:rPr>
        <w:t>a destacado que se trata de un “</w:t>
      </w:r>
      <w:r w:rsidRPr="006A754D">
        <w:rPr>
          <w:rFonts w:ascii="Times New Roman" w:hAnsi="Times New Roman" w:cs="Times New Roman"/>
          <w:sz w:val="24"/>
          <w:szCs w:val="24"/>
          <w:shd w:val="clear" w:color="auto" w:fill="FFFFFF"/>
        </w:rPr>
        <w:t>punto de inflexión europeo para enfrentar</w:t>
      </w:r>
      <w:r w:rsidR="00371866">
        <w:rPr>
          <w:rFonts w:ascii="Times New Roman" w:hAnsi="Times New Roman" w:cs="Times New Roman"/>
          <w:sz w:val="24"/>
          <w:szCs w:val="24"/>
          <w:shd w:val="clear" w:color="auto" w:fill="FFFFFF"/>
        </w:rPr>
        <w:t>se a una crisis sin precedentes”</w:t>
      </w:r>
      <w:r w:rsidRPr="006A754D">
        <w:rPr>
          <w:rFonts w:ascii="Times New Roman" w:hAnsi="Times New Roman" w:cs="Times New Roman"/>
          <w:sz w:val="24"/>
          <w:szCs w:val="24"/>
          <w:shd w:val="clear" w:color="auto" w:fill="FFFFFF"/>
        </w:rPr>
        <w:t>.</w:t>
      </w:r>
    </w:p>
    <w:p w:rsidR="00EA1637" w:rsidRPr="006A754D" w:rsidRDefault="00EA1637" w:rsidP="00FA4DA9">
      <w:pPr>
        <w:spacing w:line="240" w:lineRule="auto"/>
        <w:jc w:val="both"/>
        <w:rPr>
          <w:rFonts w:ascii="Times New Roman" w:hAnsi="Times New Roman" w:cs="Times New Roman"/>
          <w:sz w:val="24"/>
          <w:szCs w:val="24"/>
          <w:shd w:val="clear" w:color="auto" w:fill="FFFFFF"/>
        </w:rPr>
      </w:pPr>
      <w:r w:rsidRPr="0038551C">
        <w:rPr>
          <w:rFonts w:ascii="Times New Roman" w:hAnsi="Times New Roman" w:cs="Times New Roman"/>
          <w:sz w:val="24"/>
          <w:szCs w:val="24"/>
          <w:u w:val="single"/>
          <w:shd w:val="clear" w:color="auto" w:fill="FFFFFF"/>
        </w:rPr>
        <w:t xml:space="preserve">Con este paso, Bruselas abrirá la puerta a las negociaciones entre los Estados miembros y el Parlamento Europeo para cerrar en los próximos meses un acuerdo sobre este fondo de reconstrucción y sobre el presupuesto de la UE para el periodo 2021-2027, al que estará </w:t>
      </w:r>
      <w:r w:rsidRPr="0038551C">
        <w:rPr>
          <w:rFonts w:ascii="Times New Roman" w:hAnsi="Times New Roman" w:cs="Times New Roman"/>
          <w:sz w:val="24"/>
          <w:szCs w:val="24"/>
          <w:u w:val="single"/>
          <w:shd w:val="clear" w:color="auto" w:fill="FFFFFF"/>
        </w:rPr>
        <w:lastRenderedPageBreak/>
        <w:t>vinculado la herramienta de reconstitución. Los márgenes temporales para la negociación de este presupuesto son limitados, y se prevé una pugna entre los dos bloques principales. Por un lado están los países más ortodoxos, los conocidos como frugales (Holanda, Austria, Suecia y Dinamarca), que se decantan por los préstamos reembolsables. Al otro lado están los socios más castigados por la pandemia, que insisten en el carácter simétrico de la crisis y prefieren subvenciones a fondo perdido. El acuerdo final debe ser validado por el conjunto de los socios</w:t>
      </w:r>
      <w:r>
        <w:rPr>
          <w:rFonts w:ascii="Times New Roman" w:hAnsi="Times New Roman" w:cs="Times New Roman"/>
          <w:sz w:val="24"/>
          <w:szCs w:val="24"/>
          <w:shd w:val="clear" w:color="auto" w:fill="FFFFFF"/>
        </w:rPr>
        <w:t>.</w:t>
      </w:r>
    </w:p>
    <w:p w:rsidR="00EA1637" w:rsidRPr="0038551C" w:rsidRDefault="00EA1637" w:rsidP="00FA4DA9">
      <w:pPr>
        <w:spacing w:line="240" w:lineRule="auto"/>
        <w:jc w:val="both"/>
        <w:rPr>
          <w:rFonts w:ascii="Times New Roman" w:hAnsi="Times New Roman" w:cs="Times New Roman"/>
          <w:color w:val="FF0000"/>
          <w:sz w:val="24"/>
          <w:szCs w:val="24"/>
          <w:u w:val="single"/>
          <w:shd w:val="clear" w:color="auto" w:fill="FFFFFF"/>
        </w:rPr>
      </w:pPr>
      <w:r w:rsidRPr="0038551C">
        <w:rPr>
          <w:rFonts w:ascii="Times New Roman" w:hAnsi="Times New Roman" w:cs="Times New Roman"/>
          <w:color w:val="FF0000"/>
          <w:sz w:val="24"/>
          <w:szCs w:val="24"/>
          <w:u w:val="single"/>
          <w:shd w:val="clear" w:color="auto" w:fill="FFFFFF"/>
        </w:rPr>
        <w:t>La jefa del Ejecutivo comunitario, Ursula von der Leyen, planteará a los socios un aumento sustancial y temporal en el techo de gasto del presupuesto comunitario. A día de hoy, este límite se sitúa en el 1,2% de la renta nacional bruta (RNB) de la Unión, y el objetivo de Von der Leyen es elevarlo hasta el 2% de la RNB, doblando así las partidas actuales: el límite fijado por los socios llega al 1,2%, pero el presupuesto actual equivale al 0,904% de la RNB. De aprobarse, este sería el mayor presupuesto del club hasta la fecha, y con ese excedente se podría emitir deuda por valor de entre 500.000 millones y 750.000 millones, con la Comisión como órgano emisor.</w:t>
      </w:r>
    </w:p>
    <w:p w:rsidR="00FE22A4" w:rsidRPr="0038551C" w:rsidRDefault="00EA1637" w:rsidP="00FA4DA9">
      <w:pPr>
        <w:spacing w:line="240" w:lineRule="auto"/>
        <w:jc w:val="both"/>
        <w:rPr>
          <w:rFonts w:ascii="Times New Roman" w:hAnsi="Times New Roman" w:cs="Times New Roman"/>
          <w:b/>
          <w:color w:val="FF0000"/>
          <w:sz w:val="24"/>
          <w:szCs w:val="24"/>
          <w:u w:val="single"/>
          <w:shd w:val="clear" w:color="auto" w:fill="FFFFFF"/>
        </w:rPr>
      </w:pPr>
      <w:r w:rsidRPr="0038551C">
        <w:rPr>
          <w:rFonts w:ascii="Times New Roman" w:hAnsi="Times New Roman" w:cs="Times New Roman"/>
          <w:b/>
          <w:color w:val="FF0000"/>
          <w:sz w:val="24"/>
          <w:szCs w:val="24"/>
          <w:u w:val="single"/>
          <w:shd w:val="clear" w:color="auto" w:fill="FFFFFF"/>
        </w:rPr>
        <w:t>La Comisión ha ideado un híbrido entre transferencias y préstamos para intentar contentar en la medida de lo posible a los dos principales bloques. También vinculará el fondo de recuperación a ciertas reformas de carácter macroeconómico aún por detallar. Además, ya está descartado que los bonos europeos carezcan de vencimiento, como propuso el Gobierno español con el concepto de deuda perpetua. Se habla, por lo tanto, de un vencimiento a 20 o 30 años.</w:t>
      </w:r>
    </w:p>
    <w:p w:rsidR="00EA1637" w:rsidRPr="006A754D" w:rsidRDefault="00EA1637" w:rsidP="00FA4DA9">
      <w:pPr>
        <w:spacing w:line="240" w:lineRule="auto"/>
        <w:jc w:val="both"/>
        <w:rPr>
          <w:rFonts w:ascii="Times New Roman" w:hAnsi="Times New Roman" w:cs="Times New Roman"/>
          <w:sz w:val="24"/>
          <w:szCs w:val="24"/>
          <w:shd w:val="clear" w:color="auto" w:fill="FFFFFF"/>
        </w:rPr>
      </w:pPr>
      <w:r w:rsidRPr="006A754D">
        <w:rPr>
          <w:rFonts w:ascii="Times New Roman" w:hAnsi="Times New Roman" w:cs="Times New Roman"/>
          <w:sz w:val="24"/>
          <w:szCs w:val="24"/>
          <w:shd w:val="clear" w:color="auto" w:fill="FFFFFF"/>
        </w:rPr>
        <w:t>80% para la cohesión y la reconstrucción</w:t>
      </w:r>
    </w:p>
    <w:p w:rsidR="00EA1637" w:rsidRPr="0038551C" w:rsidRDefault="00EA1637" w:rsidP="00FA4DA9">
      <w:pPr>
        <w:spacing w:line="240" w:lineRule="auto"/>
        <w:jc w:val="both"/>
        <w:rPr>
          <w:rFonts w:ascii="Times New Roman" w:hAnsi="Times New Roman" w:cs="Times New Roman"/>
          <w:sz w:val="24"/>
          <w:szCs w:val="24"/>
          <w:u w:val="single"/>
          <w:shd w:val="clear" w:color="auto" w:fill="FFFFFF"/>
        </w:rPr>
      </w:pPr>
      <w:r w:rsidRPr="0038551C">
        <w:rPr>
          <w:rFonts w:ascii="Times New Roman" w:hAnsi="Times New Roman" w:cs="Times New Roman"/>
          <w:sz w:val="24"/>
          <w:szCs w:val="24"/>
          <w:u w:val="single"/>
          <w:shd w:val="clear" w:color="auto" w:fill="FFFFFF"/>
        </w:rPr>
        <w:t>El plan de Von der Leyen recogerá que aproximadamente el 80% del dinero captado en los mercados sea transferido a los Estados miembros a través de una herramienta llamada Facilidad para la Resiliencia y la Reconstrucción (RRF) y de una dotación adicional a la Política de Cohesión que se distribuirá entre los socios europeos con una clave de reparto distinta a la tradicional y relacionada con el impacto de la pandemia. No obstante, el instrumento, vinculado al llamado Semestre Europeo, supondrá para las socios la obligación de llevar a cabo reformas.</w:t>
      </w:r>
    </w:p>
    <w:p w:rsidR="00EA1637" w:rsidRPr="0038551C" w:rsidRDefault="00EA1637" w:rsidP="00FA4DA9">
      <w:pPr>
        <w:spacing w:line="240" w:lineRule="auto"/>
        <w:jc w:val="both"/>
        <w:rPr>
          <w:rFonts w:ascii="Times New Roman" w:hAnsi="Times New Roman" w:cs="Times New Roman"/>
          <w:sz w:val="24"/>
          <w:szCs w:val="24"/>
          <w:u w:val="single"/>
          <w:shd w:val="clear" w:color="auto" w:fill="FFFFFF"/>
        </w:rPr>
      </w:pPr>
      <w:r w:rsidRPr="0038551C">
        <w:rPr>
          <w:rFonts w:ascii="Times New Roman" w:hAnsi="Times New Roman" w:cs="Times New Roman"/>
          <w:sz w:val="24"/>
          <w:szCs w:val="24"/>
          <w:u w:val="single"/>
          <w:shd w:val="clear" w:color="auto" w:fill="FFFFFF"/>
        </w:rPr>
        <w:t>La segunda columna del plan aglutinará entorno al 15% del fondo, y centrará su atención en el sector privado y en las empresas golpeadas por la pandemia. Por último, el tercer pilar del fondo de recuperación (el 5%) incluirá un nuevo programa europeo centrado en el sector sanitario.</w:t>
      </w:r>
    </w:p>
    <w:p w:rsidR="00EA1637" w:rsidRPr="006A754D" w:rsidRDefault="00EA1637" w:rsidP="00FA4DA9">
      <w:pPr>
        <w:spacing w:line="240" w:lineRule="auto"/>
        <w:jc w:val="both"/>
        <w:rPr>
          <w:rFonts w:ascii="Times New Roman" w:hAnsi="Times New Roman" w:cs="Times New Roman"/>
          <w:sz w:val="24"/>
          <w:szCs w:val="24"/>
          <w:shd w:val="clear" w:color="auto" w:fill="FFFFFF"/>
        </w:rPr>
      </w:pPr>
      <w:r w:rsidRPr="006A754D">
        <w:rPr>
          <w:rFonts w:ascii="Times New Roman" w:hAnsi="Times New Roman" w:cs="Times New Roman"/>
          <w:sz w:val="24"/>
          <w:szCs w:val="24"/>
          <w:shd w:val="clear" w:color="auto" w:fill="FFFFFF"/>
        </w:rPr>
        <w:t>Presupuesto europeo</w:t>
      </w:r>
    </w:p>
    <w:p w:rsidR="00EA1637" w:rsidRDefault="00EA1637" w:rsidP="00FA4DA9">
      <w:pPr>
        <w:spacing w:line="240" w:lineRule="auto"/>
        <w:jc w:val="both"/>
        <w:rPr>
          <w:rFonts w:ascii="Times New Roman" w:hAnsi="Times New Roman" w:cs="Times New Roman"/>
          <w:sz w:val="24"/>
          <w:szCs w:val="24"/>
          <w:shd w:val="clear" w:color="auto" w:fill="FFFFFF"/>
        </w:rPr>
      </w:pPr>
      <w:r w:rsidRPr="0038551C">
        <w:rPr>
          <w:rFonts w:ascii="Times New Roman" w:hAnsi="Times New Roman" w:cs="Times New Roman"/>
          <w:b/>
          <w:color w:val="FF0000"/>
          <w:sz w:val="24"/>
          <w:szCs w:val="24"/>
          <w:u w:val="single"/>
          <w:shd w:val="clear" w:color="auto" w:fill="FFFFFF"/>
        </w:rPr>
        <w:t>El fondo de recuperación estará integrado en el presupuesto comunitario, vinculado al Marco Financiero Plurianual (MFP) de 2021-2027. La propuesta de la Comisión pasa por elevar este marco a los 1,85 billones de euros en total, incluyendo los 750.000 millones del fondo</w:t>
      </w:r>
      <w:r w:rsidRPr="006A754D">
        <w:rPr>
          <w:rFonts w:ascii="Times New Roman" w:hAnsi="Times New Roman" w:cs="Times New Roman"/>
          <w:sz w:val="24"/>
          <w:szCs w:val="24"/>
          <w:shd w:val="clear" w:color="auto" w:fill="FFFFFF"/>
        </w:rPr>
        <w:t>. Las partidas del presupuesto comunitario se reparten entre los diferentes socios y los propios organismos europeos. Estas cantidades son las que financian las diferentes políticas de tinte comunitario, como la PAC y la cohesión, dos de las más tradicionales y de las que más fondos reciben. En el nuevo marco, no obstante, se le quiere dar más peso a otros aspectos como la digitalización, la descarbonización y transición ecológica o la seguridad.</w:t>
      </w:r>
    </w:p>
    <w:p w:rsidR="006A3B06" w:rsidRPr="006A754D" w:rsidRDefault="006A3B06" w:rsidP="00FA4DA9">
      <w:pPr>
        <w:spacing w:line="240" w:lineRule="auto"/>
        <w:jc w:val="both"/>
        <w:rPr>
          <w:rFonts w:ascii="Times New Roman" w:hAnsi="Times New Roman" w:cs="Times New Roman"/>
          <w:sz w:val="24"/>
          <w:szCs w:val="24"/>
          <w:shd w:val="clear" w:color="auto" w:fill="FFFFFF"/>
        </w:rPr>
      </w:pPr>
    </w:p>
    <w:p w:rsidR="00EA1637" w:rsidRPr="006A754D" w:rsidRDefault="00EA1637" w:rsidP="00FA4DA9">
      <w:pPr>
        <w:spacing w:line="240" w:lineRule="auto"/>
        <w:jc w:val="both"/>
        <w:rPr>
          <w:rFonts w:ascii="Times New Roman" w:hAnsi="Times New Roman" w:cs="Times New Roman"/>
          <w:sz w:val="24"/>
          <w:szCs w:val="24"/>
          <w:shd w:val="clear" w:color="auto" w:fill="FFFFFF"/>
        </w:rPr>
      </w:pPr>
      <w:r w:rsidRPr="006A754D">
        <w:rPr>
          <w:rFonts w:ascii="Times New Roman" w:hAnsi="Times New Roman" w:cs="Times New Roman"/>
          <w:sz w:val="24"/>
          <w:szCs w:val="24"/>
          <w:shd w:val="clear" w:color="auto" w:fill="FFFFFF"/>
        </w:rPr>
        <w:lastRenderedPageBreak/>
        <w:t>Plan a largo plazo</w:t>
      </w:r>
    </w:p>
    <w:p w:rsidR="00EA1637" w:rsidRDefault="00EA1637" w:rsidP="00FA4DA9">
      <w:pPr>
        <w:spacing w:line="240" w:lineRule="auto"/>
        <w:jc w:val="both"/>
        <w:rPr>
          <w:rFonts w:ascii="Times New Roman" w:hAnsi="Times New Roman" w:cs="Times New Roman"/>
          <w:b/>
          <w:color w:val="FF0000"/>
          <w:sz w:val="24"/>
          <w:szCs w:val="24"/>
          <w:u w:val="single"/>
          <w:shd w:val="clear" w:color="auto" w:fill="FFFFFF"/>
        </w:rPr>
      </w:pPr>
      <w:r w:rsidRPr="0038551C">
        <w:rPr>
          <w:rFonts w:ascii="Times New Roman" w:hAnsi="Times New Roman" w:cs="Times New Roman"/>
          <w:b/>
          <w:color w:val="FF0000"/>
          <w:sz w:val="24"/>
          <w:szCs w:val="24"/>
          <w:u w:val="single"/>
          <w:shd w:val="clear" w:color="auto" w:fill="FFFFFF"/>
        </w:rPr>
        <w:t>La propuesta de Von der Leyen, integrada en el presupuesto europeo, supone la respuesta de la Unión ante la pandemia con vistas al largo plazo. Previamente, los socios, a través del Eurogrupo y el Consejo, han conseguido poner en marcha la conocida como Triple Red de Seguridad para estados, empresas y trabajadores, que movilizará unos 540.000 millones de euros. Por un lado se encuentran los 240.000 millones del MEDE (el fondo de rescate europeo), a los que se le unen otros 200.000 del Banco Europeo de Inversiones (BEI) y otros 100.000 del mecanismo para costear los ERTE y mecanismos similares, bautizado como SURE.</w:t>
      </w:r>
    </w:p>
    <w:p w:rsidR="00D60305" w:rsidRPr="002D06C6" w:rsidRDefault="00D60305" w:rsidP="00FA4DA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Pr>
          <w:rFonts w:ascii="Times New Roman" w:hAnsi="Times New Roman" w:cs="Times New Roman"/>
          <w:sz w:val="24"/>
          <w:szCs w:val="24"/>
          <w:u w:val="single"/>
          <w:shd w:val="clear" w:color="auto" w:fill="FFFFFF"/>
        </w:rPr>
        <w:t>La crisis del coronavirus “borra”</w:t>
      </w:r>
      <w:r w:rsidRPr="002D06C6">
        <w:rPr>
          <w:rFonts w:ascii="Times New Roman" w:hAnsi="Times New Roman" w:cs="Times New Roman"/>
          <w:sz w:val="24"/>
          <w:szCs w:val="24"/>
          <w:u w:val="single"/>
          <w:shd w:val="clear" w:color="auto" w:fill="FFFFFF"/>
        </w:rPr>
        <w:t xml:space="preserve"> 40 millones de empleos en diez semanas en EEUU</w:t>
      </w:r>
      <w:r>
        <w:rPr>
          <w:rFonts w:ascii="Times New Roman" w:hAnsi="Times New Roman" w:cs="Times New Roman"/>
          <w:sz w:val="24"/>
          <w:szCs w:val="24"/>
          <w:shd w:val="clear" w:color="auto" w:fill="FFFFFF"/>
        </w:rPr>
        <w:t xml:space="preserve"> (El Economista - </w:t>
      </w:r>
      <w:r w:rsidRPr="002D06C6">
        <w:rPr>
          <w:rFonts w:ascii="Times New Roman" w:hAnsi="Times New Roman" w:cs="Times New Roman"/>
          <w:b/>
          <w:sz w:val="24"/>
          <w:szCs w:val="24"/>
          <w:shd w:val="clear" w:color="auto" w:fill="FFFFFF"/>
        </w:rPr>
        <w:t>28/5/20</w:t>
      </w:r>
      <w:r>
        <w:rPr>
          <w:rFonts w:ascii="Times New Roman" w:hAnsi="Times New Roman" w:cs="Times New Roman"/>
          <w:sz w:val="24"/>
          <w:szCs w:val="24"/>
          <w:shd w:val="clear" w:color="auto" w:fill="FFFFFF"/>
        </w:rPr>
        <w:t>)</w:t>
      </w:r>
    </w:p>
    <w:p w:rsidR="00D60305" w:rsidRDefault="00D60305" w:rsidP="00FA4DA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(Por Vicente Nieves)</w:t>
      </w:r>
    </w:p>
    <w:p w:rsidR="00D60305" w:rsidRPr="00FE22A4" w:rsidRDefault="00D60305" w:rsidP="00FA4DA9">
      <w:pPr>
        <w:spacing w:line="240" w:lineRule="auto"/>
        <w:jc w:val="both"/>
        <w:rPr>
          <w:rFonts w:ascii="Times New Roman" w:hAnsi="Times New Roman" w:cs="Times New Roman"/>
          <w:b/>
          <w:color w:val="FF0000"/>
          <w:sz w:val="24"/>
          <w:szCs w:val="24"/>
          <w:u w:val="single"/>
          <w:shd w:val="clear" w:color="auto" w:fill="FFFFFF"/>
        </w:rPr>
      </w:pPr>
      <w:r w:rsidRPr="009E1478">
        <w:rPr>
          <w:rFonts w:ascii="Times New Roman" w:hAnsi="Times New Roman" w:cs="Times New Roman"/>
          <w:sz w:val="24"/>
          <w:szCs w:val="24"/>
          <w:u w:val="single"/>
          <w:shd w:val="clear" w:color="auto" w:fill="FFFFFF"/>
        </w:rPr>
        <w:t>Aunque lo peor de la crisis podría haber pasado ya (en términos de actividad y PIB), el impacto sobre el mercado laboral sigue siendo extraordinario</w:t>
      </w:r>
      <w:r w:rsidRPr="002D06C6">
        <w:rPr>
          <w:rFonts w:ascii="Times New Roman" w:hAnsi="Times New Roman" w:cs="Times New Roman"/>
          <w:sz w:val="24"/>
          <w:szCs w:val="24"/>
          <w:shd w:val="clear" w:color="auto" w:fill="FFFFFF"/>
        </w:rPr>
        <w:t xml:space="preserve">. </w:t>
      </w:r>
      <w:r w:rsidRPr="00FE22A4">
        <w:rPr>
          <w:rFonts w:ascii="Times New Roman" w:hAnsi="Times New Roman" w:cs="Times New Roman"/>
          <w:b/>
          <w:color w:val="FF0000"/>
          <w:sz w:val="24"/>
          <w:szCs w:val="24"/>
          <w:u w:val="single"/>
          <w:shd w:val="clear" w:color="auto" w:fill="FFFFFF"/>
        </w:rPr>
        <w:t>La peticiones iniciales de subsidio por desempleo han superado los dos millones por décima semana consecutiva, según ha publicado el Departamento de Trabajo de EEUU (2,123 millones). Este dato revela que se han destruido 40 millones de empleos en las últimas diez semanas, pese a que la destrucción se ha ido moderando poco a poco, desde los 6,8 millones de la última semana de marzo a los 2,1 de este jueves, los datos siguen superando de forma abrumadora la media 215.000 peticiones semanales antes de la crisis.</w:t>
      </w:r>
    </w:p>
    <w:p w:rsidR="00D60305" w:rsidRDefault="00D60305" w:rsidP="00FA4DA9">
      <w:pPr>
        <w:spacing w:line="240" w:lineRule="auto"/>
        <w:jc w:val="both"/>
        <w:rPr>
          <w:rFonts w:ascii="Times New Roman" w:hAnsi="Times New Roman" w:cs="Times New Roman"/>
          <w:b/>
          <w:color w:val="FF0000"/>
          <w:sz w:val="24"/>
          <w:szCs w:val="24"/>
          <w:u w:val="single"/>
          <w:shd w:val="clear" w:color="auto" w:fill="FFFFFF"/>
        </w:rPr>
      </w:pPr>
      <w:r w:rsidRPr="009E1478">
        <w:rPr>
          <w:rFonts w:ascii="Times New Roman" w:hAnsi="Times New Roman" w:cs="Times New Roman"/>
          <w:color w:val="FF0000"/>
          <w:sz w:val="24"/>
          <w:szCs w:val="24"/>
          <w:u w:val="single"/>
          <w:shd w:val="clear" w:color="auto" w:fill="FFFFFF"/>
        </w:rPr>
        <w:t>EEUU ha decidido hacer frente a esta crisis ampliando la red de seguridad para sus ciudadanos (a través de nuevas prestaciones y subsidios), pero permitiendo que el</w:t>
      </w:r>
      <w:r>
        <w:rPr>
          <w:rFonts w:ascii="Times New Roman" w:hAnsi="Times New Roman" w:cs="Times New Roman"/>
          <w:color w:val="FF0000"/>
          <w:sz w:val="24"/>
          <w:szCs w:val="24"/>
          <w:u w:val="single"/>
          <w:shd w:val="clear" w:color="auto" w:fill="FFFFFF"/>
        </w:rPr>
        <w:t xml:space="preserve"> mercado laboral se ajuste por “cantidades”</w:t>
      </w:r>
      <w:r w:rsidRPr="009E1478">
        <w:rPr>
          <w:rFonts w:ascii="Times New Roman" w:hAnsi="Times New Roman" w:cs="Times New Roman"/>
          <w:color w:val="FF0000"/>
          <w:sz w:val="24"/>
          <w:szCs w:val="24"/>
          <w:u w:val="single"/>
          <w:shd w:val="clear" w:color="auto" w:fill="FFFFFF"/>
        </w:rPr>
        <w:t>, es decir, destruyendo millones de empleos. En Europa se ha abogado por un ajuste a través de las horas de trabajo y la suspensión tempo</w:t>
      </w:r>
      <w:r>
        <w:rPr>
          <w:rFonts w:ascii="Times New Roman" w:hAnsi="Times New Roman" w:cs="Times New Roman"/>
          <w:color w:val="FF0000"/>
          <w:sz w:val="24"/>
          <w:szCs w:val="24"/>
          <w:u w:val="single"/>
          <w:shd w:val="clear" w:color="auto" w:fill="FFFFFF"/>
        </w:rPr>
        <w:t>ral del empleo, lo que “maquilla”</w:t>
      </w:r>
      <w:r w:rsidRPr="009E1478">
        <w:rPr>
          <w:rFonts w:ascii="Times New Roman" w:hAnsi="Times New Roman" w:cs="Times New Roman"/>
          <w:color w:val="FF0000"/>
          <w:sz w:val="24"/>
          <w:szCs w:val="24"/>
          <w:u w:val="single"/>
          <w:shd w:val="clear" w:color="auto" w:fill="FFFFFF"/>
        </w:rPr>
        <w:t xml:space="preserve"> en gran medida los datos de paro. </w:t>
      </w:r>
      <w:r w:rsidRPr="00FE22A4">
        <w:rPr>
          <w:rFonts w:ascii="Times New Roman" w:hAnsi="Times New Roman" w:cs="Times New Roman"/>
          <w:b/>
          <w:color w:val="FF0000"/>
          <w:sz w:val="24"/>
          <w:szCs w:val="24"/>
          <w:u w:val="single"/>
          <w:shd w:val="clear" w:color="auto" w:fill="FFFFFF"/>
        </w:rPr>
        <w:t>Por ahora, las personas que están recibiendo un seguro por desempleo (no son todas personas paradas ni mucho menos) superan los 21 millones, según el Departamento de Trabajo.</w:t>
      </w:r>
    </w:p>
    <w:p w:rsidR="006A3B06" w:rsidRPr="00FE22A4" w:rsidRDefault="006A3B06" w:rsidP="00FA4DA9">
      <w:pPr>
        <w:spacing w:line="240" w:lineRule="auto"/>
        <w:jc w:val="both"/>
        <w:rPr>
          <w:rFonts w:ascii="Times New Roman" w:hAnsi="Times New Roman" w:cs="Times New Roman"/>
          <w:b/>
          <w:color w:val="FF0000"/>
          <w:sz w:val="24"/>
          <w:szCs w:val="24"/>
          <w:u w:val="single"/>
          <w:shd w:val="clear" w:color="auto" w:fill="FFFFFF"/>
        </w:rPr>
      </w:pPr>
      <w:r>
        <w:rPr>
          <w:noProof/>
          <w:lang w:eastAsia="es-ES"/>
        </w:rPr>
        <w:drawing>
          <wp:inline distT="0" distB="0" distL="0" distR="0" wp14:anchorId="0BBD8E81" wp14:editId="0210A2D7">
            <wp:extent cx="5734050" cy="2686050"/>
            <wp:effectExtent l="0" t="0" r="0" b="0"/>
            <wp:docPr id="20" name="Imagen 20" descr="https://s03.s3c.es/imag/_v0/770x572/7/3/9/eeuu-covid-emple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70x572/7/3/9/eeuu-covid-empleo.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31510" cy="2684860"/>
                    </a:xfrm>
                    <a:prstGeom prst="rect">
                      <a:avLst/>
                    </a:prstGeom>
                    <a:noFill/>
                    <a:ln>
                      <a:noFill/>
                    </a:ln>
                  </pic:spPr>
                </pic:pic>
              </a:graphicData>
            </a:graphic>
          </wp:inline>
        </w:drawing>
      </w:r>
    </w:p>
    <w:p w:rsidR="00D60305" w:rsidRDefault="00D60305" w:rsidP="00FA4DA9">
      <w:pPr>
        <w:spacing w:line="240" w:lineRule="auto"/>
        <w:jc w:val="both"/>
        <w:rPr>
          <w:rFonts w:ascii="Times New Roman" w:hAnsi="Times New Roman" w:cs="Times New Roman"/>
          <w:b/>
          <w:color w:val="FF0000"/>
          <w:sz w:val="24"/>
          <w:szCs w:val="24"/>
          <w:u w:val="single"/>
          <w:shd w:val="clear" w:color="auto" w:fill="FFFFFF"/>
        </w:rPr>
      </w:pPr>
      <w:r w:rsidRPr="002D06C6">
        <w:rPr>
          <w:rFonts w:ascii="Times New Roman" w:hAnsi="Times New Roman" w:cs="Times New Roman"/>
          <w:sz w:val="24"/>
          <w:szCs w:val="24"/>
          <w:shd w:val="clear" w:color="auto" w:fill="FFFFFF"/>
        </w:rPr>
        <w:t>Los datos de desempleo son el reflejo de lo que ha estado ocurr</w:t>
      </w:r>
      <w:r>
        <w:rPr>
          <w:rFonts w:ascii="Times New Roman" w:hAnsi="Times New Roman" w:cs="Times New Roman"/>
          <w:sz w:val="24"/>
          <w:szCs w:val="24"/>
          <w:shd w:val="clear" w:color="auto" w:fill="FFFFFF"/>
        </w:rPr>
        <w:t>iendo en la economía del país. “</w:t>
      </w:r>
      <w:r w:rsidRPr="002D06C6">
        <w:rPr>
          <w:rFonts w:ascii="Times New Roman" w:hAnsi="Times New Roman" w:cs="Times New Roman"/>
          <w:sz w:val="24"/>
          <w:szCs w:val="24"/>
          <w:shd w:val="clear" w:color="auto" w:fill="FFFFFF"/>
        </w:rPr>
        <w:t>Todos los indicadores económicos de marzo y abril han sido terribles, pero estamos viendo algunos signos de mejora en los dat</w:t>
      </w:r>
      <w:r>
        <w:rPr>
          <w:rFonts w:ascii="Times New Roman" w:hAnsi="Times New Roman" w:cs="Times New Roman"/>
          <w:sz w:val="24"/>
          <w:szCs w:val="24"/>
          <w:shd w:val="clear" w:color="auto" w:fill="FFFFFF"/>
        </w:rPr>
        <w:t>os de alta frecuencia para mayo”</w:t>
      </w:r>
      <w:r w:rsidRPr="002D06C6">
        <w:rPr>
          <w:rFonts w:ascii="Times New Roman" w:hAnsi="Times New Roman" w:cs="Times New Roman"/>
          <w:sz w:val="24"/>
          <w:szCs w:val="24"/>
          <w:shd w:val="clear" w:color="auto" w:fill="FFFFFF"/>
        </w:rPr>
        <w:t xml:space="preserve">, explican desde Danske </w:t>
      </w:r>
      <w:r w:rsidRPr="002D06C6">
        <w:rPr>
          <w:rFonts w:ascii="Times New Roman" w:hAnsi="Times New Roman" w:cs="Times New Roman"/>
          <w:sz w:val="24"/>
          <w:szCs w:val="24"/>
          <w:shd w:val="clear" w:color="auto" w:fill="FFFFFF"/>
        </w:rPr>
        <w:lastRenderedPageBreak/>
        <w:t xml:space="preserve">Bank. </w:t>
      </w:r>
      <w:r w:rsidRPr="00FE22A4">
        <w:rPr>
          <w:rFonts w:ascii="Times New Roman" w:hAnsi="Times New Roman" w:cs="Times New Roman"/>
          <w:b/>
          <w:color w:val="FF0000"/>
          <w:sz w:val="24"/>
          <w:szCs w:val="24"/>
          <w:u w:val="single"/>
          <w:shd w:val="clear" w:color="auto" w:fill="FFFFFF"/>
        </w:rPr>
        <w:t>Hoy Jueves también se ha publicado que el PIB se desplomó un 5% en el primer trimestre del año, un dato peor de lo esperado.</w:t>
      </w:r>
    </w:p>
    <w:p w:rsidR="00D60305" w:rsidRPr="002D06C6" w:rsidRDefault="00D60305" w:rsidP="00FA4DA9">
      <w:pPr>
        <w:spacing w:line="240" w:lineRule="auto"/>
        <w:jc w:val="both"/>
        <w:rPr>
          <w:rFonts w:ascii="Times New Roman" w:hAnsi="Times New Roman" w:cs="Times New Roman"/>
          <w:sz w:val="24"/>
          <w:szCs w:val="24"/>
          <w:shd w:val="clear" w:color="auto" w:fill="FFFFFF"/>
        </w:rPr>
      </w:pPr>
      <w:r w:rsidRPr="002D06C6">
        <w:rPr>
          <w:rFonts w:ascii="Times New Roman" w:hAnsi="Times New Roman" w:cs="Times New Roman"/>
          <w:sz w:val="24"/>
          <w:szCs w:val="24"/>
          <w:shd w:val="clear" w:color="auto" w:fill="FFFFFF"/>
        </w:rPr>
        <w:t xml:space="preserve">Aun así, desde la firma Jefferies se muestran sorprendidos porque su índice de datos de alta frecuencia en general, no muestra un repunte decisivo de la actividad ahora que la gran mayoría </w:t>
      </w:r>
      <w:r>
        <w:rPr>
          <w:rFonts w:ascii="Times New Roman" w:hAnsi="Times New Roman" w:cs="Times New Roman"/>
          <w:sz w:val="24"/>
          <w:szCs w:val="24"/>
          <w:shd w:val="clear" w:color="auto" w:fill="FFFFFF"/>
        </w:rPr>
        <w:t>de los estados han levantado la</w:t>
      </w:r>
      <w:r w:rsidRPr="002D06C6">
        <w:rPr>
          <w:rFonts w:ascii="Times New Roman" w:hAnsi="Times New Roman" w:cs="Times New Roman"/>
          <w:sz w:val="24"/>
          <w:szCs w:val="24"/>
          <w:shd w:val="clear" w:color="auto" w:fill="FFFFFF"/>
        </w:rPr>
        <w:t xml:space="preserve"> orden de </w:t>
      </w:r>
      <w:r>
        <w:rPr>
          <w:rFonts w:ascii="Times New Roman" w:hAnsi="Times New Roman" w:cs="Times New Roman"/>
          <w:sz w:val="24"/>
          <w:szCs w:val="24"/>
          <w:shd w:val="clear" w:color="auto" w:fill="FFFFFF"/>
        </w:rPr>
        <w:t>quedarse en casa. Por ahora, “</w:t>
      </w:r>
      <w:r w:rsidRPr="002D06C6">
        <w:rPr>
          <w:rFonts w:ascii="Times New Roman" w:hAnsi="Times New Roman" w:cs="Times New Roman"/>
          <w:sz w:val="24"/>
          <w:szCs w:val="24"/>
          <w:shd w:val="clear" w:color="auto" w:fill="FFFFFF"/>
        </w:rPr>
        <w:t>suponemos que es cuestión de tiempo y seguiremos esperando a las próximas semanas. De hecho, vemos algunos puntos brillantes en varios otros indicadores en tiempo real que no están incluidos en nuestro í</w:t>
      </w:r>
      <w:r>
        <w:rPr>
          <w:rFonts w:ascii="Times New Roman" w:hAnsi="Times New Roman" w:cs="Times New Roman"/>
          <w:sz w:val="24"/>
          <w:szCs w:val="24"/>
          <w:shd w:val="clear" w:color="auto" w:fill="FFFFFF"/>
        </w:rPr>
        <w:t>ndice”, reconocen los expertos.</w:t>
      </w:r>
    </w:p>
    <w:p w:rsidR="00D60305" w:rsidRPr="002D06C6" w:rsidRDefault="00D60305" w:rsidP="00FA4DA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No habrá recuperación en “V”</w:t>
      </w:r>
    </w:p>
    <w:p w:rsidR="00D60305" w:rsidRPr="002D06C6" w:rsidRDefault="00D60305" w:rsidP="00FA4DA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u w:val="single"/>
          <w:shd w:val="clear" w:color="auto" w:fill="FFFFFF"/>
        </w:rPr>
        <w:t>“</w:t>
      </w:r>
      <w:r w:rsidRPr="009E1478">
        <w:rPr>
          <w:rFonts w:ascii="Times New Roman" w:hAnsi="Times New Roman" w:cs="Times New Roman"/>
          <w:sz w:val="24"/>
          <w:szCs w:val="24"/>
          <w:u w:val="single"/>
          <w:shd w:val="clear" w:color="auto" w:fill="FFFFFF"/>
        </w:rPr>
        <w:t>Al menos los datos de alta frecuencia sugieren que la sangría se está deteniendo. Aun así, no hay signos de una recuperación en forma de V (solo mejora gradualmente), por lo que la herida está muy lejos de la curación</w:t>
      </w:r>
      <w:r w:rsidRPr="002D06C6">
        <w:rPr>
          <w:rFonts w:ascii="Times New Roman" w:hAnsi="Times New Roman" w:cs="Times New Roman"/>
          <w:sz w:val="24"/>
          <w:szCs w:val="24"/>
          <w:shd w:val="clear" w:color="auto" w:fill="FFFFFF"/>
        </w:rPr>
        <w:t>. Una de las señales positivas, al observar los datos transacciones diarias con tarjeta, es que el consumo en EEUU parece estar mejorando poco a poco. Otro aspecto positivo es que la mayoría de las pérdidas de empleo se consideran temporales (desafortunadamente pueden volv</w:t>
      </w:r>
      <w:r>
        <w:rPr>
          <w:rFonts w:ascii="Times New Roman" w:hAnsi="Times New Roman" w:cs="Times New Roman"/>
          <w:sz w:val="24"/>
          <w:szCs w:val="24"/>
          <w:shd w:val="clear" w:color="auto" w:fill="FFFFFF"/>
        </w:rPr>
        <w:t>erse permanentes con el tiempo)”</w:t>
      </w:r>
      <w:r w:rsidRPr="002D06C6">
        <w:rPr>
          <w:rFonts w:ascii="Times New Roman" w:hAnsi="Times New Roman" w:cs="Times New Roman"/>
          <w:sz w:val="24"/>
          <w:szCs w:val="24"/>
          <w:shd w:val="clear" w:color="auto" w:fill="FFFFFF"/>
        </w:rPr>
        <w:t>, explican estos</w:t>
      </w:r>
      <w:r>
        <w:rPr>
          <w:rFonts w:ascii="Times New Roman" w:hAnsi="Times New Roman" w:cs="Times New Roman"/>
          <w:sz w:val="24"/>
          <w:szCs w:val="24"/>
          <w:shd w:val="clear" w:color="auto" w:fill="FFFFFF"/>
        </w:rPr>
        <w:t xml:space="preserve"> expertos.</w:t>
      </w:r>
    </w:p>
    <w:p w:rsidR="00D60305" w:rsidRPr="00FE22A4" w:rsidRDefault="00D60305" w:rsidP="00FA4DA9">
      <w:pPr>
        <w:spacing w:line="240" w:lineRule="auto"/>
        <w:jc w:val="both"/>
        <w:rPr>
          <w:rFonts w:ascii="Times New Roman" w:hAnsi="Times New Roman" w:cs="Times New Roman"/>
          <w:sz w:val="24"/>
          <w:szCs w:val="24"/>
          <w:u w:val="single"/>
          <w:shd w:val="clear" w:color="auto" w:fill="FFFFFF"/>
        </w:rPr>
      </w:pPr>
      <w:r w:rsidRPr="00FE22A4">
        <w:rPr>
          <w:rFonts w:ascii="Times New Roman" w:hAnsi="Times New Roman" w:cs="Times New Roman"/>
          <w:sz w:val="24"/>
          <w:szCs w:val="24"/>
          <w:u w:val="single"/>
          <w:shd w:val="clear" w:color="auto" w:fill="FFFFFF"/>
        </w:rPr>
        <w:t xml:space="preserve">Desde la propia Reserva Federal de EEUU publicaban en un estudio la semana pasada que “la tremenda incertidumbre que rodea a las proyecciones para la trayectoria de la tasa de desempleo en los próximos años, no permite que ningún escenario específico se califique como “probable””. Normalmente, los estudios de este tipo suelen contar con un escenario probable o base, otro pesimista y otro optimista. </w:t>
      </w:r>
    </w:p>
    <w:p w:rsidR="00D60305" w:rsidRPr="00F47E85" w:rsidRDefault="00D60305" w:rsidP="00FA4DA9">
      <w:pPr>
        <w:spacing w:line="240" w:lineRule="auto"/>
        <w:jc w:val="both"/>
        <w:rPr>
          <w:rFonts w:ascii="Times New Roman" w:hAnsi="Times New Roman" w:cs="Times New Roman"/>
          <w:sz w:val="24"/>
          <w:szCs w:val="24"/>
          <w:u w:val="single"/>
          <w:shd w:val="clear" w:color="auto" w:fill="FFFFFF"/>
        </w:rPr>
      </w:pPr>
      <w:r w:rsidRPr="00F47E85">
        <w:rPr>
          <w:rFonts w:ascii="Times New Roman" w:hAnsi="Times New Roman" w:cs="Times New Roman"/>
          <w:sz w:val="24"/>
          <w:szCs w:val="24"/>
          <w:u w:val="single"/>
          <w:shd w:val="clear" w:color="auto" w:fill="FFFFFF"/>
        </w:rPr>
        <w:t>Sin embargo, estos economistas si han creado un mode</w:t>
      </w:r>
      <w:r>
        <w:rPr>
          <w:rFonts w:ascii="Times New Roman" w:hAnsi="Times New Roman" w:cs="Times New Roman"/>
          <w:sz w:val="24"/>
          <w:szCs w:val="24"/>
          <w:u w:val="single"/>
          <w:shd w:val="clear" w:color="auto" w:fill="FFFFFF"/>
        </w:rPr>
        <w:t>lo optimista y otro pesimista. “</w:t>
      </w:r>
      <w:r w:rsidRPr="00F47E85">
        <w:rPr>
          <w:rFonts w:ascii="Times New Roman" w:hAnsi="Times New Roman" w:cs="Times New Roman"/>
          <w:sz w:val="24"/>
          <w:szCs w:val="24"/>
          <w:u w:val="single"/>
          <w:shd w:val="clear" w:color="auto" w:fill="FFFFFF"/>
        </w:rPr>
        <w:t>En el lado pesimista, si no se produce una oleada de contrataciones sin precedentes a finales de este año y el próximo, la tasa de desempleo podría perma</w:t>
      </w:r>
      <w:r>
        <w:rPr>
          <w:rFonts w:ascii="Times New Roman" w:hAnsi="Times New Roman" w:cs="Times New Roman"/>
          <w:sz w:val="24"/>
          <w:szCs w:val="24"/>
          <w:u w:val="single"/>
          <w:shd w:val="clear" w:color="auto" w:fill="FFFFFF"/>
        </w:rPr>
        <w:t>necer en dos dígitos hasta 2021”</w:t>
      </w:r>
      <w:r w:rsidRPr="00F47E85">
        <w:rPr>
          <w:rFonts w:ascii="Times New Roman" w:hAnsi="Times New Roman" w:cs="Times New Roman"/>
          <w:sz w:val="24"/>
          <w:szCs w:val="24"/>
          <w:u w:val="single"/>
          <w:shd w:val="clear" w:color="auto" w:fill="FFFFFF"/>
        </w:rPr>
        <w:t>. Desde una perspectiva más optimista, si los cierres en respuesta al virus se levantan rápidamente, y los empresarios aumentan la contratación rápidamente, la tasa de desempleo podría volver a bajar cerca del nivel previo al virus a mediados de 2021, concluyen estos expertos.</w:t>
      </w:r>
    </w:p>
    <w:p w:rsidR="00D60305" w:rsidRPr="00D60305" w:rsidRDefault="00D60305" w:rsidP="00FA4DA9">
      <w:pPr>
        <w:spacing w:line="240" w:lineRule="auto"/>
        <w:jc w:val="both"/>
        <w:rPr>
          <w:rFonts w:ascii="Times New Roman" w:hAnsi="Times New Roman" w:cs="Times New Roman"/>
          <w:color w:val="FF0000"/>
          <w:sz w:val="24"/>
          <w:szCs w:val="24"/>
          <w:u w:val="single"/>
          <w:shd w:val="clear" w:color="auto" w:fill="FFFFFF"/>
        </w:rPr>
      </w:pPr>
      <w:r w:rsidRPr="002D06C6">
        <w:rPr>
          <w:rFonts w:ascii="Times New Roman" w:hAnsi="Times New Roman" w:cs="Times New Roman"/>
          <w:sz w:val="24"/>
          <w:szCs w:val="24"/>
          <w:shd w:val="clear" w:color="auto" w:fill="FFFFFF"/>
        </w:rPr>
        <w:t>Desde Jefferies apuntan a que la vuelta al crecimiento vigoroso dependerá en mayor medidas de las miles de pequeñas empresas que se debaten en</w:t>
      </w:r>
      <w:r>
        <w:rPr>
          <w:rFonts w:ascii="Times New Roman" w:hAnsi="Times New Roman" w:cs="Times New Roman"/>
          <w:sz w:val="24"/>
          <w:szCs w:val="24"/>
          <w:shd w:val="clear" w:color="auto" w:fill="FFFFFF"/>
        </w:rPr>
        <w:t xml:space="preserve">tre reabrir o echar el cierre: </w:t>
      </w:r>
      <w:r w:rsidRPr="00371866">
        <w:rPr>
          <w:rFonts w:ascii="Times New Roman" w:hAnsi="Times New Roman" w:cs="Times New Roman"/>
          <w:color w:val="FF0000"/>
          <w:sz w:val="24"/>
          <w:szCs w:val="24"/>
          <w:shd w:val="clear" w:color="auto" w:fill="FFFFFF"/>
        </w:rPr>
        <w:t>“</w:t>
      </w:r>
      <w:r w:rsidRPr="00F47E85">
        <w:rPr>
          <w:rFonts w:ascii="Times New Roman" w:hAnsi="Times New Roman" w:cs="Times New Roman"/>
          <w:color w:val="FF0000"/>
          <w:sz w:val="24"/>
          <w:szCs w:val="24"/>
          <w:u w:val="single"/>
          <w:shd w:val="clear" w:color="auto" w:fill="FFFFFF"/>
        </w:rPr>
        <w:t>Las pequeñas empresas, incluidos los restaurantes, se encontraban en el epicentro de la recesión del Covid-19, y su capacidad para volver determinará la velocid</w:t>
      </w:r>
      <w:r>
        <w:rPr>
          <w:rFonts w:ascii="Times New Roman" w:hAnsi="Times New Roman" w:cs="Times New Roman"/>
          <w:color w:val="FF0000"/>
          <w:sz w:val="24"/>
          <w:szCs w:val="24"/>
          <w:u w:val="single"/>
          <w:shd w:val="clear" w:color="auto" w:fill="FFFFFF"/>
        </w:rPr>
        <w:t>ad de la recuperación económica”.</w:t>
      </w:r>
    </w:p>
    <w:p w:rsidR="00EA1637" w:rsidRDefault="00EA1637" w:rsidP="00FA4DA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D168C2">
        <w:rPr>
          <w:rFonts w:ascii="Times New Roman" w:hAnsi="Times New Roman" w:cs="Times New Roman"/>
          <w:sz w:val="24"/>
          <w:szCs w:val="24"/>
          <w:u w:val="single"/>
          <w:shd w:val="clear" w:color="auto" w:fill="FFFFFF"/>
        </w:rPr>
        <w:t>Así impacta la crisis en Europa por países y en los principales sectores</w:t>
      </w:r>
      <w:r>
        <w:rPr>
          <w:rFonts w:ascii="Times New Roman" w:hAnsi="Times New Roman" w:cs="Times New Roman"/>
          <w:sz w:val="24"/>
          <w:szCs w:val="24"/>
          <w:shd w:val="clear" w:color="auto" w:fill="FFFFFF"/>
        </w:rPr>
        <w:t xml:space="preserve"> (Expansión - </w:t>
      </w:r>
      <w:r w:rsidRPr="00D168C2">
        <w:rPr>
          <w:rFonts w:ascii="Times New Roman" w:hAnsi="Times New Roman" w:cs="Times New Roman"/>
          <w:b/>
          <w:sz w:val="24"/>
          <w:szCs w:val="24"/>
          <w:shd w:val="clear" w:color="auto" w:fill="FFFFFF"/>
        </w:rPr>
        <w:t>28/5/20</w:t>
      </w:r>
      <w:r>
        <w:rPr>
          <w:rFonts w:ascii="Times New Roman" w:hAnsi="Times New Roman" w:cs="Times New Roman"/>
          <w:sz w:val="24"/>
          <w:szCs w:val="24"/>
          <w:shd w:val="clear" w:color="auto" w:fill="FFFFFF"/>
        </w:rPr>
        <w:t>)</w:t>
      </w:r>
    </w:p>
    <w:p w:rsidR="006A3B06" w:rsidRDefault="006A3B06" w:rsidP="006A3B06">
      <w:pPr>
        <w:spacing w:line="240" w:lineRule="auto"/>
        <w:jc w:val="both"/>
        <w:rPr>
          <w:rFonts w:ascii="Times New Roman" w:hAnsi="Times New Roman" w:cs="Times New Roman"/>
          <w:sz w:val="24"/>
          <w:szCs w:val="24"/>
          <w:shd w:val="clear" w:color="auto" w:fill="FFFFFF"/>
        </w:rPr>
      </w:pPr>
      <w:r w:rsidRPr="00D168C2">
        <w:rPr>
          <w:rFonts w:ascii="Times New Roman" w:hAnsi="Times New Roman" w:cs="Times New Roman"/>
          <w:sz w:val="24"/>
          <w:szCs w:val="24"/>
          <w:shd w:val="clear" w:color="auto" w:fill="FFFFFF"/>
        </w:rPr>
        <w:t>La hostelería, el transporte, la construcción, la distribución y la industria automovilística son las más perjudicadas por la paralización de la actividad. España es, además, el país más afectado de la eurozona</w:t>
      </w:r>
      <w:r>
        <w:rPr>
          <w:rFonts w:ascii="Times New Roman" w:hAnsi="Times New Roman" w:cs="Times New Roman"/>
          <w:sz w:val="24"/>
          <w:szCs w:val="24"/>
          <w:shd w:val="clear" w:color="auto" w:fill="FFFFFF"/>
        </w:rPr>
        <w:t>…</w:t>
      </w:r>
    </w:p>
    <w:p w:rsidR="006A3B06" w:rsidRPr="00D168C2" w:rsidRDefault="006A3B06" w:rsidP="006A3B06">
      <w:pPr>
        <w:spacing w:line="240" w:lineRule="auto"/>
        <w:jc w:val="both"/>
        <w:rPr>
          <w:rFonts w:ascii="Times New Roman" w:hAnsi="Times New Roman" w:cs="Times New Roman"/>
          <w:sz w:val="24"/>
          <w:szCs w:val="24"/>
          <w:shd w:val="clear" w:color="auto" w:fill="FFFFFF"/>
        </w:rPr>
      </w:pPr>
      <w:r w:rsidRPr="00D168C2">
        <w:rPr>
          <w:rFonts w:ascii="Times New Roman" w:hAnsi="Times New Roman" w:cs="Times New Roman"/>
          <w:sz w:val="24"/>
          <w:szCs w:val="24"/>
          <w:shd w:val="clear" w:color="auto" w:fill="FFFFFF"/>
        </w:rPr>
        <w:t>El coronavirus ha provocado un terremoto sobre la economía, al provocar la paralización de numerosas actividades, lo que conlleva cuantiosas pérdidas y ci</w:t>
      </w:r>
      <w:r>
        <w:rPr>
          <w:rFonts w:ascii="Times New Roman" w:hAnsi="Times New Roman" w:cs="Times New Roman"/>
          <w:sz w:val="24"/>
          <w:szCs w:val="24"/>
          <w:shd w:val="clear" w:color="auto" w:fill="FFFFFF"/>
        </w:rPr>
        <w:t>entos de miles de despidos…</w:t>
      </w:r>
    </w:p>
    <w:p w:rsidR="006A3B06" w:rsidRDefault="006A3B06" w:rsidP="00FA4DA9">
      <w:pPr>
        <w:spacing w:line="240" w:lineRule="auto"/>
        <w:jc w:val="both"/>
        <w:rPr>
          <w:rFonts w:ascii="Times New Roman" w:hAnsi="Times New Roman" w:cs="Times New Roman"/>
          <w:sz w:val="24"/>
          <w:szCs w:val="24"/>
          <w:shd w:val="clear" w:color="auto" w:fill="FFFFFF"/>
        </w:rPr>
      </w:pPr>
    </w:p>
    <w:p w:rsidR="00EA1637" w:rsidRDefault="00EA1637" w:rsidP="00FA4DA9">
      <w:pPr>
        <w:spacing w:line="240" w:lineRule="auto"/>
        <w:jc w:val="both"/>
        <w:rPr>
          <w:rFonts w:ascii="Times New Roman" w:hAnsi="Times New Roman" w:cs="Times New Roman"/>
          <w:sz w:val="24"/>
          <w:szCs w:val="24"/>
          <w:shd w:val="clear" w:color="auto" w:fill="FFFFFF"/>
        </w:rPr>
      </w:pPr>
      <w:r>
        <w:rPr>
          <w:noProof/>
          <w:lang w:eastAsia="es-ES"/>
        </w:rPr>
        <w:lastRenderedPageBreak/>
        <w:drawing>
          <wp:inline distT="0" distB="0" distL="0" distR="0" wp14:anchorId="4A24BA38" wp14:editId="7E08D99F">
            <wp:extent cx="5730086" cy="4552950"/>
            <wp:effectExtent l="0" t="0" r="4445" b="0"/>
            <wp:docPr id="241" name="Imagen 241" descr="https://e00-expansion.uecdn.es/assets/multimedia/imagenes/2020/05/27/159061225946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00-expansion.uecdn.es/assets/multimedia/imagenes/2020/05/27/15906122594691.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31510" cy="4554081"/>
                    </a:xfrm>
                    <a:prstGeom prst="rect">
                      <a:avLst/>
                    </a:prstGeom>
                    <a:noFill/>
                    <a:ln>
                      <a:noFill/>
                    </a:ln>
                  </pic:spPr>
                </pic:pic>
              </a:graphicData>
            </a:graphic>
          </wp:inline>
        </w:drawing>
      </w:r>
    </w:p>
    <w:p w:rsidR="00EA1637" w:rsidRDefault="00EA1637" w:rsidP="00FA4DA9">
      <w:pPr>
        <w:pStyle w:val="NormalWeb"/>
        <w:spacing w:after="420"/>
        <w:jc w:val="both"/>
        <w:textAlignment w:val="baseline"/>
      </w:pPr>
      <w:r>
        <w:t xml:space="preserve">- </w:t>
      </w:r>
      <w:r w:rsidRPr="003B2FEC">
        <w:rPr>
          <w:u w:val="single"/>
        </w:rPr>
        <w:t>La pandemia del coronavirus costará a EEUU casi 8 billones de dólares y hasta una década de recuperación</w:t>
      </w:r>
      <w:r>
        <w:t xml:space="preserve"> (El Economista - </w:t>
      </w:r>
      <w:r w:rsidRPr="003B2FEC">
        <w:rPr>
          <w:b/>
        </w:rPr>
        <w:t>2/6/20</w:t>
      </w:r>
      <w:r>
        <w:t>)</w:t>
      </w:r>
    </w:p>
    <w:p w:rsidR="00EA1637" w:rsidRDefault="00EA1637" w:rsidP="00FA4DA9">
      <w:pPr>
        <w:pStyle w:val="NormalWeb"/>
        <w:spacing w:after="420"/>
        <w:jc w:val="both"/>
        <w:textAlignment w:val="baseline"/>
      </w:pPr>
      <w:r>
        <w:t>(Por José Luis de Haro)</w:t>
      </w:r>
    </w:p>
    <w:p w:rsidR="00EA1637" w:rsidRPr="00DC51D8" w:rsidRDefault="00EA1637" w:rsidP="00FA4DA9">
      <w:pPr>
        <w:pStyle w:val="NormalWeb"/>
        <w:spacing w:after="420"/>
        <w:jc w:val="both"/>
        <w:textAlignment w:val="baseline"/>
        <w:rPr>
          <w:b/>
          <w:color w:val="FF0000"/>
          <w:u w:val="single"/>
        </w:rPr>
      </w:pPr>
      <w:r w:rsidRPr="00DC51D8">
        <w:rPr>
          <w:b/>
          <w:color w:val="FF0000"/>
          <w:u w:val="single"/>
        </w:rPr>
        <w:t>La Oficina Presupuestaria del Congreso (CBO, por sus siglas en inglés) estima que la pandemia del Covid-19 costará a la economía de Estados Unidos 7,9 billones de dólares en la próxima década incluso después de los distintos planes de estímulos ya aprobados por el Congreso y la Casa Blanca.</w:t>
      </w:r>
    </w:p>
    <w:p w:rsidR="00EA1637" w:rsidRDefault="00EA1637" w:rsidP="00FA4DA9">
      <w:pPr>
        <w:pStyle w:val="NormalWeb"/>
        <w:spacing w:after="420"/>
        <w:jc w:val="both"/>
        <w:textAlignment w:val="baseline"/>
      </w:pPr>
      <w:r w:rsidRPr="00DC51D8">
        <w:rPr>
          <w:color w:val="FF0000"/>
          <w:u w:val="single"/>
        </w:rPr>
        <w:t>De esta forma, hasta el año fiscal 2030, el virus reducirá la producción económica real (el PIB nominal ajustado a la inflación) en un 3% con respecto a las estimaciones económicas iniciales publicadas en enero antes de la pandemia</w:t>
      </w:r>
      <w:r w:rsidRPr="00FE22A4">
        <w:rPr>
          <w:color w:val="FF0000"/>
        </w:rPr>
        <w:t>.</w:t>
      </w:r>
      <w:r>
        <w:t xml:space="preserve"> En estos momentos, el país cuenta con 1,79 millones de infecciones que han provocado 104.484 muertes. Aun así, sus 50 estados han reabierto ya en mayor o menor grado sus servicios no esenciales.</w:t>
      </w:r>
    </w:p>
    <w:p w:rsidR="00EA1637" w:rsidRPr="00DC51D8" w:rsidRDefault="00371866" w:rsidP="00FA4DA9">
      <w:pPr>
        <w:pStyle w:val="NormalWeb"/>
        <w:spacing w:after="420"/>
        <w:jc w:val="both"/>
        <w:textAlignment w:val="baseline"/>
        <w:rPr>
          <w:u w:val="single"/>
        </w:rPr>
      </w:pPr>
      <w:r>
        <w:t>“</w:t>
      </w:r>
      <w:r w:rsidR="00EA1637">
        <w:t xml:space="preserve">Se espera que los cierres de negocios y las medidas de distanciamiento social reduzcan el gasto de los consumidores, mientras que la reciente caída en los precios de la energía reducirá severamente la inversión </w:t>
      </w:r>
      <w:r>
        <w:t>de EEUU en el sector energético”</w:t>
      </w:r>
      <w:r w:rsidR="00EA1637">
        <w:t xml:space="preserve">, señaló el director de la CBO, Phillip L. Swagel, en una respuesta escrita al senador demócrata de Nueva York, Chuck Schumer, y su homólogo en Vermont, Bernie Sanders, quienes habían solicitado esta información. </w:t>
      </w:r>
      <w:r>
        <w:rPr>
          <w:u w:val="single"/>
        </w:rPr>
        <w:t>“</w:t>
      </w:r>
      <w:r w:rsidR="00EA1637" w:rsidRPr="00DC51D8">
        <w:rPr>
          <w:u w:val="single"/>
        </w:rPr>
        <w:t>La legislación reciente mitigará parcialmente el deterior</w:t>
      </w:r>
      <w:r>
        <w:rPr>
          <w:u w:val="single"/>
        </w:rPr>
        <w:t>o de las condiciones económicas”</w:t>
      </w:r>
      <w:r w:rsidR="00EA1637" w:rsidRPr="00DC51D8">
        <w:rPr>
          <w:u w:val="single"/>
        </w:rPr>
        <w:t>, añadió Swagel en referencia a los estímulos aprobados hasta la fecha.</w:t>
      </w:r>
    </w:p>
    <w:p w:rsidR="00EA1637" w:rsidRPr="00BF6483" w:rsidRDefault="00EA1637" w:rsidP="00FA4DA9">
      <w:pPr>
        <w:pStyle w:val="NormalWeb"/>
        <w:spacing w:after="420"/>
        <w:jc w:val="both"/>
        <w:textAlignment w:val="baseline"/>
        <w:rPr>
          <w:b/>
          <w:color w:val="FF0000"/>
          <w:u w:val="single"/>
        </w:rPr>
      </w:pPr>
      <w:r w:rsidRPr="00BF6483">
        <w:rPr>
          <w:b/>
          <w:color w:val="FF0000"/>
          <w:u w:val="single"/>
        </w:rPr>
        <w:lastRenderedPageBreak/>
        <w:t>A finales de marzo, los legisladores ya aprobaron un gran paquete de 2,2 billones de dólares con el objetivo de amortiguar el golpe de la pandemia, tras haber pasado otras medidas previas, que incluyó pagos directos de hasta 1.200 dólares por individuo y el rescate a las aerolíneas. Posteriormente tuvieron que incrementar algunas de las partidas, como los préstamos a crédito perdido a las pequeñas y medianas empresas con el objetivo de proteger el mayor número de nóminas posible, elevando la factura total a casi 3 billones de dólares.</w:t>
      </w:r>
    </w:p>
    <w:p w:rsidR="00EA1637" w:rsidRPr="00BF6483" w:rsidRDefault="00EA1637" w:rsidP="00FA4DA9">
      <w:pPr>
        <w:pStyle w:val="NormalWeb"/>
        <w:spacing w:after="420"/>
        <w:jc w:val="both"/>
        <w:textAlignment w:val="baseline"/>
        <w:rPr>
          <w:b/>
          <w:color w:val="FF0000"/>
          <w:u w:val="single"/>
        </w:rPr>
      </w:pPr>
      <w:r w:rsidRPr="00BF6483">
        <w:rPr>
          <w:b/>
          <w:color w:val="FF0000"/>
          <w:u w:val="single"/>
        </w:rPr>
        <w:t>La Cámara de Representantes, en manos de los demócratas, ya dio luz verde el pasado mes a un proyecto de Ley que ampliaba los estímulos, incluyendo financiación para los gobiernos estatales y locales, por valor total de otros 3 billones de dólares. De todas formas, el Senado, controlado por los republicanos, continúa debatiendo la forma y el tamaño final que tendrá la próxima remesa de ayudas.</w:t>
      </w:r>
    </w:p>
    <w:p w:rsidR="00EA1637" w:rsidRDefault="00371866" w:rsidP="00FA4DA9">
      <w:pPr>
        <w:pStyle w:val="NormalWeb"/>
        <w:spacing w:after="420"/>
        <w:jc w:val="both"/>
        <w:textAlignment w:val="baseline"/>
      </w:pPr>
      <w:r>
        <w:t>“</w:t>
      </w:r>
      <w:r w:rsidR="00EA1637">
        <w:t>Para evitar el riesgo de otra Gran Depresión, el Senado debe actuar con un feroz sentido de urgencia para asegurarse de que todos en EEUU tengan los ingresos que necesitan para alimentar a sus familias y p</w:t>
      </w:r>
      <w:r>
        <w:t>oner un techo sobre sus cabezas”</w:t>
      </w:r>
      <w:r w:rsidR="00EA1637">
        <w:t>, indicó Schumer a los senadores de la Cámara Alta.</w:t>
      </w:r>
    </w:p>
    <w:p w:rsidR="00EA1637" w:rsidRPr="00FE22A4" w:rsidRDefault="00EA1637" w:rsidP="00FA4DA9">
      <w:pPr>
        <w:pStyle w:val="NormalWeb"/>
        <w:spacing w:after="420"/>
        <w:jc w:val="both"/>
        <w:textAlignment w:val="baseline"/>
        <w:rPr>
          <w:b/>
          <w:color w:val="FF0000"/>
          <w:u w:val="single"/>
        </w:rPr>
      </w:pPr>
      <w:r w:rsidRPr="00FE22A4">
        <w:rPr>
          <w:b/>
          <w:color w:val="FF0000"/>
          <w:u w:val="single"/>
        </w:rPr>
        <w:t>De momento, el GDPNow que elabora la Reserva Federal de Atlanta estima que en el trimestre en curso, el PIB de EEUU podría contraerse un 52,8%, según su estimación más reciente, tras haber registrado un crecimiento negativo del 5%.</w:t>
      </w:r>
      <w:r w:rsidRPr="00BF6483">
        <w:rPr>
          <w:color w:val="FF0000"/>
        </w:rPr>
        <w:t xml:space="preserve"> </w:t>
      </w:r>
      <w:r>
        <w:t xml:space="preserve">El viernes se publicará el dato de empleo correspondiente al mes de mayo, </w:t>
      </w:r>
      <w:r w:rsidRPr="00FE22A4">
        <w:rPr>
          <w:b/>
          <w:color w:val="FF0000"/>
          <w:u w:val="single"/>
        </w:rPr>
        <w:t xml:space="preserve">cuando se espera que la tasa de paro a este lado del Atlántico </w:t>
      </w:r>
      <w:r w:rsidR="00FE22A4" w:rsidRPr="00FE22A4">
        <w:rPr>
          <w:b/>
          <w:color w:val="FF0000"/>
          <w:u w:val="single"/>
        </w:rPr>
        <w:t>pudiera</w:t>
      </w:r>
      <w:r w:rsidRPr="00FE22A4">
        <w:rPr>
          <w:b/>
          <w:color w:val="FF0000"/>
          <w:u w:val="single"/>
        </w:rPr>
        <w:t xml:space="preserve"> crecer hasta acercarse al 20%, su nivel más alto desde la Gran Depresión.</w:t>
      </w:r>
    </w:p>
    <w:p w:rsidR="00EA1637" w:rsidRPr="007E54A8" w:rsidRDefault="00EA1637"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E54A8">
        <w:rPr>
          <w:rFonts w:ascii="Times New Roman" w:hAnsi="Times New Roman" w:cs="Times New Roman"/>
          <w:sz w:val="24"/>
          <w:szCs w:val="24"/>
          <w:u w:val="single"/>
        </w:rPr>
        <w:t>Italia y España se llevan un tercio de las compras antipandemia de deuda soberana del BCE</w:t>
      </w:r>
      <w:r>
        <w:rPr>
          <w:rFonts w:ascii="Times New Roman" w:hAnsi="Times New Roman" w:cs="Times New Roman"/>
          <w:sz w:val="24"/>
          <w:szCs w:val="24"/>
        </w:rPr>
        <w:t xml:space="preserve"> (Cinco Días - </w:t>
      </w:r>
      <w:r w:rsidRPr="007E54A8">
        <w:rPr>
          <w:rFonts w:ascii="Times New Roman" w:hAnsi="Times New Roman" w:cs="Times New Roman"/>
          <w:b/>
          <w:sz w:val="24"/>
          <w:szCs w:val="24"/>
        </w:rPr>
        <w:t>3/6/20</w:t>
      </w:r>
      <w:r>
        <w:rPr>
          <w:rFonts w:ascii="Times New Roman" w:hAnsi="Times New Roman" w:cs="Times New Roman"/>
          <w:sz w:val="24"/>
          <w:szCs w:val="24"/>
        </w:rPr>
        <w:t>)</w:t>
      </w:r>
    </w:p>
    <w:p w:rsidR="00EA1637" w:rsidRDefault="00EA1637" w:rsidP="00FA4DA9">
      <w:pPr>
        <w:spacing w:line="240" w:lineRule="auto"/>
        <w:jc w:val="both"/>
        <w:rPr>
          <w:rFonts w:ascii="Times New Roman" w:hAnsi="Times New Roman" w:cs="Times New Roman"/>
          <w:sz w:val="24"/>
          <w:szCs w:val="24"/>
          <w:lang w:val="en-US"/>
        </w:rPr>
      </w:pPr>
      <w:r>
        <w:rPr>
          <w:noProof/>
          <w:lang w:eastAsia="es-ES"/>
        </w:rPr>
        <w:drawing>
          <wp:inline distT="0" distB="0" distL="0" distR="0" wp14:anchorId="34919C74" wp14:editId="512BD300">
            <wp:extent cx="5731510" cy="3786556"/>
            <wp:effectExtent l="0" t="0" r="2540" b="4445"/>
            <wp:docPr id="170" name="Imagen 170" descr="Italia y España se llevan un tercio de las compras antipandemia de deuda soberana del B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talia y España se llevan un tercio de las compras antipandemia de deuda soberana del BCE"/>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31510" cy="3786556"/>
                    </a:xfrm>
                    <a:prstGeom prst="rect">
                      <a:avLst/>
                    </a:prstGeom>
                    <a:noFill/>
                    <a:ln>
                      <a:noFill/>
                    </a:ln>
                  </pic:spPr>
                </pic:pic>
              </a:graphicData>
            </a:graphic>
          </wp:inline>
        </w:drawing>
      </w:r>
    </w:p>
    <w:p w:rsidR="00EA1637" w:rsidRDefault="00EA1637" w:rsidP="00FA4DA9">
      <w:pPr>
        <w:spacing w:line="240" w:lineRule="auto"/>
        <w:jc w:val="both"/>
        <w:rPr>
          <w:rFonts w:ascii="Times New Roman" w:hAnsi="Times New Roman" w:cs="Times New Roman"/>
          <w:color w:val="FF0000"/>
          <w:sz w:val="24"/>
          <w:szCs w:val="24"/>
          <w:u w:val="single"/>
        </w:rPr>
      </w:pPr>
      <w:r w:rsidRPr="00DE5DA7">
        <w:rPr>
          <w:rFonts w:ascii="Times New Roman" w:hAnsi="Times New Roman" w:cs="Times New Roman"/>
          <w:color w:val="FF0000"/>
          <w:sz w:val="24"/>
          <w:szCs w:val="24"/>
          <w:u w:val="single"/>
        </w:rPr>
        <w:lastRenderedPageBreak/>
        <w:t>Junto a los 186.603 millones de euros en bonos soberanos, el programa de compras antipandemia se desglosa en otros 35.384 millones de euros en pagarés -siendo la primera vez que el BCE adquiere deuda a un plazo mínimo de hasta 70 días-; 10.579 millones en bonos corporativos y 2.099 millones más en cédulas hipotecarias. El BCE ha copado las colocaciones de pagarés, ya que el 81,2% de lo adquirido ha sido en el mercado primario.</w:t>
      </w:r>
    </w:p>
    <w:p w:rsidR="006B02FD" w:rsidRDefault="006B02FD" w:rsidP="00FA4DA9">
      <w:pPr>
        <w:spacing w:line="240" w:lineRule="auto"/>
        <w:jc w:val="both"/>
        <w:rPr>
          <w:rFonts w:ascii="Times New Roman" w:hAnsi="Times New Roman" w:cs="Times New Roman"/>
          <w:sz w:val="24"/>
          <w:szCs w:val="24"/>
        </w:rPr>
      </w:pPr>
      <w:r w:rsidRPr="0082389C">
        <w:rPr>
          <w:rFonts w:ascii="Times New Roman" w:hAnsi="Times New Roman" w:cs="Times New Roman"/>
          <w:sz w:val="24"/>
          <w:szCs w:val="24"/>
        </w:rPr>
        <w:t xml:space="preserve">- </w:t>
      </w:r>
      <w:r w:rsidRPr="00DE44C1">
        <w:rPr>
          <w:rFonts w:ascii="Times New Roman" w:hAnsi="Times New Roman" w:cs="Times New Roman"/>
          <w:sz w:val="24"/>
          <w:szCs w:val="24"/>
          <w:u w:val="single"/>
        </w:rPr>
        <w:t>Así quedan las bolsas tras el golpe del covid</w:t>
      </w:r>
      <w:r>
        <w:rPr>
          <w:rFonts w:ascii="Times New Roman" w:hAnsi="Times New Roman" w:cs="Times New Roman"/>
          <w:sz w:val="24"/>
          <w:szCs w:val="24"/>
        </w:rPr>
        <w:t xml:space="preserve"> (Fuente: El confidencial - </w:t>
      </w:r>
      <w:r w:rsidRPr="00DE44C1">
        <w:rPr>
          <w:rFonts w:ascii="Times New Roman" w:hAnsi="Times New Roman" w:cs="Times New Roman"/>
          <w:b/>
          <w:sz w:val="24"/>
          <w:szCs w:val="24"/>
        </w:rPr>
        <w:t>4/6/20</w:t>
      </w:r>
      <w:r>
        <w:rPr>
          <w:rFonts w:ascii="Times New Roman" w:hAnsi="Times New Roman" w:cs="Times New Roman"/>
          <w:sz w:val="24"/>
          <w:szCs w:val="24"/>
        </w:rPr>
        <w:t xml:space="preserve">) </w:t>
      </w:r>
    </w:p>
    <w:p w:rsidR="006B02FD" w:rsidRPr="00DE44C1" w:rsidRDefault="006B02FD" w:rsidP="00FA4DA9">
      <w:pPr>
        <w:spacing w:line="240" w:lineRule="auto"/>
        <w:jc w:val="both"/>
        <w:rPr>
          <w:rFonts w:ascii="Times New Roman" w:hAnsi="Times New Roman" w:cs="Times New Roman"/>
          <w:sz w:val="24"/>
          <w:szCs w:val="24"/>
        </w:rPr>
      </w:pPr>
      <w:r w:rsidRPr="00EF21EF">
        <w:rPr>
          <w:rFonts w:ascii="Times New Roman" w:hAnsi="Times New Roman" w:cs="Times New Roman"/>
          <w:sz w:val="24"/>
          <w:szCs w:val="24"/>
          <w:u w:val="single"/>
        </w:rPr>
        <w:t>El azote de la pandemia ha provocado movimientos tan bruscos y dejado secuelas tan dispares que casi todas las lecturas tienen cabida al analizar la evolución de las bolsas durante la crisis, en función de dónde y en qué plazo se fije la atención</w:t>
      </w:r>
      <w:r w:rsidRPr="00DE44C1">
        <w:rPr>
          <w:rFonts w:ascii="Times New Roman" w:hAnsi="Times New Roman" w:cs="Times New Roman"/>
          <w:sz w:val="24"/>
          <w:szCs w:val="24"/>
        </w:rPr>
        <w:t>. Las lecturas unívocas no tienen cabida para interpretar la primera mitad del año, aunque sí es posible distinguir, en términos generales, un movimiento en dos fases llamativamente pronunciadas: el hundimiento inicial, que comprendió la segunda mitad de febrero y la primera de marzo, y la recuperación posterior, acelerada en sus primeros momentos, luego más inconstante, y muy heterogénea, en fu</w:t>
      </w:r>
      <w:r>
        <w:rPr>
          <w:rFonts w:ascii="Times New Roman" w:hAnsi="Times New Roman" w:cs="Times New Roman"/>
          <w:sz w:val="24"/>
          <w:szCs w:val="24"/>
        </w:rPr>
        <w:t>nción de geografías y sectores.</w:t>
      </w:r>
    </w:p>
    <w:p w:rsidR="006B02FD" w:rsidRDefault="006B02FD" w:rsidP="00FA4DA9">
      <w:pPr>
        <w:spacing w:line="240" w:lineRule="auto"/>
        <w:jc w:val="both"/>
        <w:rPr>
          <w:rFonts w:ascii="Times New Roman" w:hAnsi="Times New Roman" w:cs="Times New Roman"/>
          <w:sz w:val="24"/>
          <w:szCs w:val="24"/>
        </w:rPr>
      </w:pPr>
      <w:r w:rsidRPr="00FE22A4">
        <w:rPr>
          <w:rFonts w:ascii="Times New Roman" w:hAnsi="Times New Roman" w:cs="Times New Roman"/>
          <w:color w:val="FF0000"/>
          <w:sz w:val="24"/>
          <w:szCs w:val="24"/>
          <w:u w:val="single"/>
        </w:rPr>
        <w:t>Como resultado de todo esto, las bolsas mundiales, medidas por el índice MSCI World, cerraron en junio un semestre negativo, con recortes superiores al 6,6%, tras firmar entre abril y junio una remontada próxima al 19%, su mejor registro trimestral desde 2009</w:t>
      </w:r>
      <w:r w:rsidRPr="00DE44C1">
        <w:rPr>
          <w:rFonts w:ascii="Times New Roman" w:hAnsi="Times New Roman" w:cs="Times New Roman"/>
          <w:sz w:val="24"/>
          <w:szCs w:val="24"/>
        </w:rPr>
        <w:t>. Un cuadro global, que permite, cuando se profundiza en él, distinguir entre el 9,4% que sube en el semestre el mercado danés o el 33% que pierde el colombiano; entre el 16,5% sumado por el Nasdaq estadounidense o el 24,3% perdido por el Ibex español. Y que deja a todos preguntándose qué les queda por delante a los mercados de valores.</w:t>
      </w:r>
    </w:p>
    <w:p w:rsidR="006B02FD" w:rsidRPr="00DE44C1" w:rsidRDefault="006B02FD" w:rsidP="00FA4DA9">
      <w:pPr>
        <w:spacing w:line="240" w:lineRule="auto"/>
        <w:jc w:val="both"/>
        <w:rPr>
          <w:rFonts w:ascii="Times New Roman" w:hAnsi="Times New Roman" w:cs="Times New Roman"/>
          <w:sz w:val="24"/>
          <w:szCs w:val="24"/>
        </w:rPr>
      </w:pPr>
      <w:r>
        <w:rPr>
          <w:noProof/>
          <w:lang w:eastAsia="es-ES"/>
        </w:rPr>
        <w:drawing>
          <wp:inline distT="0" distB="0" distL="0" distR="0" wp14:anchorId="194A7E12" wp14:editId="59D32E90">
            <wp:extent cx="5731510" cy="2505706"/>
            <wp:effectExtent l="0" t="0" r="2540" b="9525"/>
            <wp:docPr id="280" name="Imagen 280" descr="Evolución del índice MSCI World durante el primer semestre de 2020. (Bloombe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volución del índice MSCI World durante el primer semestre de 2020. (Bloomber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31510" cy="2505706"/>
                    </a:xfrm>
                    <a:prstGeom prst="rect">
                      <a:avLst/>
                    </a:prstGeom>
                    <a:noFill/>
                    <a:ln>
                      <a:noFill/>
                    </a:ln>
                  </pic:spPr>
                </pic:pic>
              </a:graphicData>
            </a:graphic>
          </wp:inline>
        </w:drawing>
      </w:r>
      <w:r w:rsidRPr="00DE44C1">
        <w:rPr>
          <w:rFonts w:ascii="Times New Roman" w:hAnsi="Times New Roman" w:cs="Times New Roman"/>
          <w:sz w:val="24"/>
          <w:szCs w:val="24"/>
        </w:rPr>
        <w:t>Evolución del índice MSCI World durante el primer semestre de 2020. (Bloomberg)</w:t>
      </w:r>
    </w:p>
    <w:p w:rsidR="006B02FD" w:rsidRPr="00EF21EF" w:rsidRDefault="006B02FD" w:rsidP="00FA4DA9">
      <w:pPr>
        <w:spacing w:line="240" w:lineRule="auto"/>
        <w:jc w:val="both"/>
        <w:rPr>
          <w:rFonts w:ascii="Times New Roman" w:hAnsi="Times New Roman" w:cs="Times New Roman"/>
          <w:sz w:val="24"/>
          <w:szCs w:val="24"/>
          <w:u w:val="single"/>
        </w:rPr>
      </w:pPr>
      <w:r w:rsidRPr="00EF21EF">
        <w:rPr>
          <w:rFonts w:ascii="Times New Roman" w:hAnsi="Times New Roman" w:cs="Times New Roman"/>
          <w:sz w:val="24"/>
          <w:szCs w:val="24"/>
          <w:u w:val="single"/>
        </w:rPr>
        <w:t>Lógicamente, para esa cuestión no existen respuestas fiables. Nunca las ha habido para el mercado de valores y menos en un escenario de incertidumbre como el que rodea hoy en día a la economía mundial. Cualquier previsión económica a corto o medio plazo pende de la evolución de un virus que se resiste a remitir, según los últimos datos, pero que ha perdido fuerza de manera ostensible en algunas geografías, como es el caso de Europa.</w:t>
      </w:r>
    </w:p>
    <w:p w:rsidR="006B02FD" w:rsidRPr="00DE44C1" w:rsidRDefault="006B02FD" w:rsidP="00FA4DA9">
      <w:pPr>
        <w:spacing w:line="240" w:lineRule="auto"/>
        <w:jc w:val="both"/>
        <w:rPr>
          <w:rFonts w:ascii="Times New Roman" w:hAnsi="Times New Roman" w:cs="Times New Roman"/>
          <w:sz w:val="24"/>
          <w:szCs w:val="24"/>
        </w:rPr>
      </w:pPr>
      <w:r w:rsidRPr="00EF21EF">
        <w:rPr>
          <w:rFonts w:ascii="Times New Roman" w:hAnsi="Times New Roman" w:cs="Times New Roman"/>
          <w:color w:val="FF0000"/>
          <w:sz w:val="24"/>
          <w:szCs w:val="24"/>
          <w:u w:val="single"/>
        </w:rPr>
        <w:t>Con todo, esa elevada incertidumbre, unida a la perplejidad que ha causado la rápida remontada de las bolsas, que por momentos han parecido obviar cualquier razón para el pesimismo, ha generalizado los llamamientos a la cautela entre los expertos.</w:t>
      </w:r>
      <w:r w:rsidRPr="00DE44C1">
        <w:rPr>
          <w:rFonts w:ascii="Times New Roman" w:hAnsi="Times New Roman" w:cs="Times New Roman"/>
          <w:sz w:val="24"/>
          <w:szCs w:val="24"/>
        </w:rPr>
        <w:t xml:space="preserve"> No es que no existan razones para ser optimistas. Al contrario, en las últimas semanas se han ido </w:t>
      </w:r>
      <w:r w:rsidRPr="00DE44C1">
        <w:rPr>
          <w:rFonts w:ascii="Times New Roman" w:hAnsi="Times New Roman" w:cs="Times New Roman"/>
          <w:sz w:val="24"/>
          <w:szCs w:val="24"/>
        </w:rPr>
        <w:lastRenderedPageBreak/>
        <w:t>sucediendo una serie de datos que reflejan una recuperación de la actividad económica mucho mayor de lo que se venía descontando, lo que está llevando a algunos analis</w:t>
      </w:r>
      <w:r>
        <w:rPr>
          <w:rFonts w:ascii="Times New Roman" w:hAnsi="Times New Roman" w:cs="Times New Roman"/>
          <w:sz w:val="24"/>
          <w:szCs w:val="24"/>
        </w:rPr>
        <w:t>tas a mejorar sus proyecciones.</w:t>
      </w:r>
    </w:p>
    <w:p w:rsidR="006B02FD" w:rsidRPr="00FE22A4" w:rsidRDefault="006B02FD" w:rsidP="00FA4DA9">
      <w:pPr>
        <w:spacing w:line="240" w:lineRule="auto"/>
        <w:jc w:val="both"/>
        <w:rPr>
          <w:rFonts w:ascii="Times New Roman" w:hAnsi="Times New Roman" w:cs="Times New Roman"/>
          <w:color w:val="FF0000"/>
          <w:sz w:val="24"/>
          <w:szCs w:val="24"/>
          <w:u w:val="single"/>
        </w:rPr>
      </w:pPr>
      <w:r w:rsidRPr="00DE44C1">
        <w:rPr>
          <w:rFonts w:ascii="Times New Roman" w:hAnsi="Times New Roman" w:cs="Times New Roman"/>
          <w:sz w:val="24"/>
          <w:szCs w:val="24"/>
        </w:rPr>
        <w:t>Pero nada de esto puede entenderse como el fin de las dificultade</w:t>
      </w:r>
      <w:r>
        <w:rPr>
          <w:rFonts w:ascii="Times New Roman" w:hAnsi="Times New Roman" w:cs="Times New Roman"/>
          <w:sz w:val="24"/>
          <w:szCs w:val="24"/>
        </w:rPr>
        <w:t>s para la economía a causa del “shock” del covid-19. “</w:t>
      </w:r>
      <w:r w:rsidRPr="00DE44C1">
        <w:rPr>
          <w:rFonts w:ascii="Times New Roman" w:hAnsi="Times New Roman" w:cs="Times New Roman"/>
          <w:sz w:val="24"/>
          <w:szCs w:val="24"/>
        </w:rPr>
        <w:t xml:space="preserve">El rebote, más rápido de lo previsto en mayo y junio, significa que el daño a largo plazo del bloqueo del coronavirus también debería ser menor de lo que temíamos. Pero no altera el hecho de que </w:t>
      </w:r>
      <w:r w:rsidRPr="00FE22A4">
        <w:rPr>
          <w:rFonts w:ascii="Times New Roman" w:hAnsi="Times New Roman" w:cs="Times New Roman"/>
          <w:color w:val="FF0000"/>
          <w:sz w:val="24"/>
          <w:szCs w:val="24"/>
          <w:u w:val="single"/>
        </w:rPr>
        <w:t>esta será la mayor recesión desde la Segunda Guerra Mundial y no cambia nuestra opinión de que la economía no volverá a los niveles previos al coronavirus en el corto plazo”, explican desde Capital Economics.</w:t>
      </w:r>
    </w:p>
    <w:p w:rsidR="00EA1637" w:rsidRDefault="00EA1637"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B5236">
        <w:rPr>
          <w:rFonts w:ascii="Times New Roman" w:hAnsi="Times New Roman" w:cs="Times New Roman"/>
          <w:sz w:val="24"/>
          <w:szCs w:val="24"/>
          <w:u w:val="single"/>
        </w:rPr>
        <w:t>Los mercados apuntan a nuevas subidas tras el espaldarazo del BCE</w:t>
      </w:r>
      <w:r>
        <w:rPr>
          <w:rFonts w:ascii="Times New Roman" w:hAnsi="Times New Roman" w:cs="Times New Roman"/>
          <w:sz w:val="24"/>
          <w:szCs w:val="24"/>
        </w:rPr>
        <w:t xml:space="preserve"> (Cinco Días - </w:t>
      </w:r>
      <w:r w:rsidRPr="00DB5236">
        <w:rPr>
          <w:rFonts w:ascii="Times New Roman" w:hAnsi="Times New Roman" w:cs="Times New Roman"/>
          <w:b/>
          <w:sz w:val="24"/>
          <w:szCs w:val="24"/>
        </w:rPr>
        <w:t>5/6/20</w:t>
      </w:r>
      <w:r>
        <w:rPr>
          <w:rFonts w:ascii="Times New Roman" w:hAnsi="Times New Roman" w:cs="Times New Roman"/>
          <w:sz w:val="24"/>
          <w:szCs w:val="24"/>
        </w:rPr>
        <w:t>)</w:t>
      </w:r>
    </w:p>
    <w:p w:rsidR="00EA1637" w:rsidRPr="00FE22A4" w:rsidRDefault="00EA1637" w:rsidP="00FA4DA9">
      <w:pPr>
        <w:spacing w:line="240" w:lineRule="auto"/>
        <w:jc w:val="both"/>
        <w:rPr>
          <w:rFonts w:ascii="Times New Roman" w:hAnsi="Times New Roman" w:cs="Times New Roman"/>
          <w:b/>
          <w:color w:val="FF0000"/>
          <w:sz w:val="24"/>
          <w:szCs w:val="24"/>
          <w:u w:val="single"/>
        </w:rPr>
      </w:pPr>
      <w:r w:rsidRPr="00FE22A4">
        <w:rPr>
          <w:rFonts w:ascii="Times New Roman" w:hAnsi="Times New Roman" w:cs="Times New Roman"/>
          <w:b/>
          <w:color w:val="FF0000"/>
          <w:sz w:val="24"/>
          <w:szCs w:val="24"/>
          <w:u w:val="single"/>
        </w:rPr>
        <w:t>Los mercados europeos agradecen el compromiso de BCE y se preparan para volver a las subidas. Tras el anuncio de ayer de la institución, que aumentará un 80% las compras de deuda del programa contra la pandemia, los inversores regresan al parqué</w:t>
      </w:r>
      <w:r w:rsidRPr="00DE4A72">
        <w:rPr>
          <w:rFonts w:ascii="Times New Roman" w:hAnsi="Times New Roman" w:cs="Times New Roman"/>
          <w:b/>
          <w:color w:val="FF0000"/>
          <w:sz w:val="24"/>
          <w:szCs w:val="24"/>
        </w:rPr>
        <w:t>…</w:t>
      </w:r>
    </w:p>
    <w:p w:rsidR="00EA1637" w:rsidRPr="00FE22A4" w:rsidRDefault="00EA1637" w:rsidP="00FA4DA9">
      <w:pPr>
        <w:spacing w:line="240" w:lineRule="auto"/>
        <w:jc w:val="both"/>
        <w:rPr>
          <w:rFonts w:ascii="Times New Roman" w:hAnsi="Times New Roman" w:cs="Times New Roman"/>
          <w:b/>
          <w:color w:val="FF0000"/>
          <w:sz w:val="24"/>
          <w:szCs w:val="24"/>
        </w:rPr>
      </w:pPr>
      <w:r w:rsidRPr="00FE22A4">
        <w:rPr>
          <w:rFonts w:ascii="Times New Roman" w:hAnsi="Times New Roman" w:cs="Times New Roman"/>
          <w:b/>
          <w:color w:val="FF0000"/>
          <w:sz w:val="24"/>
          <w:szCs w:val="24"/>
          <w:u w:val="single"/>
        </w:rPr>
        <w:t>El BCE anunció un incremento de su plan extraordinario de compras por la pandemia de 600.000 millones de euros, hasta un total de 1,35 billones de euros. La institución que preside Christine Lagarde ha decidido además que este programa se extenderá al menos hasta junio de 2021, en lugar de hasta finales de este año como estaba previsto inicialmente. Mercados y analistas aplauden la medida</w:t>
      </w:r>
      <w:r w:rsidR="00FE22A4" w:rsidRPr="00FE22A4">
        <w:rPr>
          <w:rFonts w:ascii="Times New Roman" w:hAnsi="Times New Roman" w:cs="Times New Roman"/>
          <w:b/>
          <w:color w:val="FF0000"/>
          <w:sz w:val="24"/>
          <w:szCs w:val="24"/>
        </w:rPr>
        <w:t>…</w:t>
      </w:r>
    </w:p>
    <w:p w:rsidR="00EA1637" w:rsidRDefault="00EA1637" w:rsidP="00FA4DA9">
      <w:pPr>
        <w:spacing w:line="240" w:lineRule="auto"/>
        <w:jc w:val="both"/>
        <w:rPr>
          <w:rFonts w:ascii="Times New Roman" w:hAnsi="Times New Roman" w:cs="Times New Roman"/>
          <w:sz w:val="24"/>
          <w:szCs w:val="24"/>
        </w:rPr>
      </w:pPr>
      <w:r w:rsidRPr="00DB5236">
        <w:rPr>
          <w:rFonts w:ascii="Times New Roman" w:hAnsi="Times New Roman" w:cs="Times New Roman"/>
          <w:sz w:val="24"/>
          <w:szCs w:val="24"/>
        </w:rPr>
        <w:t>Hoy, la atención de los inversores se centrará en el dato de empleo de Estados Unidos en mayo. Los analistas esperan que el número de empleos caiga en 8 millones y la tasa de desempleo aumente a un histórico 19,8%.</w:t>
      </w:r>
      <w:r>
        <w:rPr>
          <w:rFonts w:ascii="Times New Roman" w:hAnsi="Times New Roman" w:cs="Times New Roman"/>
          <w:sz w:val="24"/>
          <w:szCs w:val="24"/>
        </w:rPr>
        <w:t>..</w:t>
      </w:r>
    </w:p>
    <w:p w:rsidR="00EA1637" w:rsidRDefault="00EA1637" w:rsidP="00FA4DA9">
      <w:pPr>
        <w:spacing w:line="240" w:lineRule="auto"/>
        <w:jc w:val="both"/>
        <w:rPr>
          <w:rFonts w:ascii="Times New Roman" w:hAnsi="Times New Roman" w:cs="Times New Roman"/>
          <w:sz w:val="24"/>
          <w:szCs w:val="24"/>
        </w:rPr>
      </w:pPr>
      <w:r w:rsidRPr="00DB5236">
        <w:rPr>
          <w:rFonts w:ascii="Times New Roman" w:hAnsi="Times New Roman" w:cs="Times New Roman"/>
          <w:sz w:val="24"/>
          <w:szCs w:val="24"/>
        </w:rPr>
        <w:t xml:space="preserve">Ayer se conoció que en la semana del 30 de mayo las peticiones de </w:t>
      </w:r>
      <w:r w:rsidR="00324F4A" w:rsidRPr="00DB5236">
        <w:rPr>
          <w:rFonts w:ascii="Times New Roman" w:hAnsi="Times New Roman" w:cs="Times New Roman"/>
          <w:sz w:val="24"/>
          <w:szCs w:val="24"/>
        </w:rPr>
        <w:t>subsidio</w:t>
      </w:r>
      <w:r w:rsidRPr="00DB5236">
        <w:rPr>
          <w:rFonts w:ascii="Times New Roman" w:hAnsi="Times New Roman" w:cs="Times New Roman"/>
          <w:sz w:val="24"/>
          <w:szCs w:val="24"/>
        </w:rPr>
        <w:t xml:space="preserve"> por desempleo alcanzaron los 1,877 millones, cifra que se sitúa por debajo de las registradas semanas anteriores aunque superó las previsiones. En 12 semanas, un total de 43 millones de estadounidenses han solicitado las ayudas</w:t>
      </w:r>
      <w:r>
        <w:rPr>
          <w:rFonts w:ascii="Times New Roman" w:hAnsi="Times New Roman" w:cs="Times New Roman"/>
          <w:sz w:val="24"/>
          <w:szCs w:val="24"/>
        </w:rPr>
        <w:t>…</w:t>
      </w:r>
    </w:p>
    <w:p w:rsidR="006B02FD" w:rsidRDefault="006B02FD" w:rsidP="00FA4DA9">
      <w:pPr>
        <w:pStyle w:val="Estndar"/>
        <w:jc w:val="both"/>
        <w:rPr>
          <w:color w:val="auto"/>
        </w:rPr>
      </w:pPr>
      <w:r>
        <w:rPr>
          <w:color w:val="auto"/>
        </w:rPr>
        <w:t xml:space="preserve">- </w:t>
      </w:r>
      <w:r w:rsidRPr="00002114">
        <w:rPr>
          <w:color w:val="auto"/>
          <w:u w:val="single"/>
        </w:rPr>
        <w:t>Un tsunami de liquidez de más de 15 billones de dólares impulsará a las bolsas, según JPMorgan</w:t>
      </w:r>
      <w:r>
        <w:rPr>
          <w:color w:val="auto"/>
        </w:rPr>
        <w:t xml:space="preserve"> (El Economista - </w:t>
      </w:r>
      <w:r w:rsidRPr="00002114">
        <w:rPr>
          <w:b/>
          <w:color w:val="auto"/>
        </w:rPr>
        <w:t>7/6/20</w:t>
      </w:r>
      <w:r>
        <w:rPr>
          <w:color w:val="auto"/>
        </w:rPr>
        <w:t>)</w:t>
      </w:r>
    </w:p>
    <w:p w:rsidR="006B02FD" w:rsidRPr="00002114" w:rsidRDefault="006B02FD" w:rsidP="00FA4DA9">
      <w:pPr>
        <w:pStyle w:val="Estndar"/>
        <w:jc w:val="both"/>
        <w:rPr>
          <w:color w:val="auto"/>
        </w:rPr>
      </w:pPr>
    </w:p>
    <w:p w:rsidR="006B02FD" w:rsidRPr="00D9104E" w:rsidRDefault="006B02FD" w:rsidP="00FA4DA9">
      <w:pPr>
        <w:pStyle w:val="Estndar"/>
        <w:jc w:val="both"/>
        <w:rPr>
          <w:color w:val="FF0000"/>
          <w:u w:val="single"/>
        </w:rPr>
      </w:pPr>
      <w:r w:rsidRPr="00D9104E">
        <w:rPr>
          <w:color w:val="FF0000"/>
          <w:u w:val="single"/>
        </w:rPr>
        <w:t>Al igual que ocurrió con la crisis financiera de 2008 y el colapso de Lehman Brothers, la pandemia del Covid-19 ha desencadenado un aumento gradual en la cantidad de deuda en el sistema financiero. La necesidad de reemplazar los ingresos perdidos induce a un mayor apalancamiento tanto por parte del sector público como el privado, donde se incluyen los hogares y las empresas no financieras.</w:t>
      </w:r>
    </w:p>
    <w:p w:rsidR="006B02FD" w:rsidRPr="00002114" w:rsidRDefault="006B02FD" w:rsidP="00FA4DA9">
      <w:pPr>
        <w:pStyle w:val="Estndar"/>
        <w:jc w:val="both"/>
        <w:rPr>
          <w:color w:val="auto"/>
        </w:rPr>
      </w:pPr>
    </w:p>
    <w:p w:rsidR="006B02FD" w:rsidRPr="00D9104E" w:rsidRDefault="006B02FD" w:rsidP="00FA4DA9">
      <w:pPr>
        <w:pStyle w:val="Estndar"/>
        <w:jc w:val="both"/>
        <w:rPr>
          <w:b/>
          <w:color w:val="FF0000"/>
          <w:u w:val="single"/>
        </w:rPr>
      </w:pPr>
      <w:r w:rsidRPr="00D9104E">
        <w:rPr>
          <w:b/>
          <w:color w:val="FF0000"/>
          <w:u w:val="single"/>
        </w:rPr>
        <w:t>Según señala el analista de JPMorgan Nikolaos Panigirtzoglou, en un informe distribuido entre sus clientes, este año se sumarán un total de 16 billones de dólares en deuda adicional si se incluye la generada tanto por el sector privado como el público. Asumiendo que el PIB se contraerá en un 5% este año, la relación entre la deuda total y el PIB mundial ascenderá en alrededor de 35 puntos porcentuales hasta el 278% del PIB a fines de 2020.</w:t>
      </w:r>
    </w:p>
    <w:p w:rsidR="006B02FD" w:rsidRPr="00D9104E" w:rsidRDefault="006B02FD" w:rsidP="00FA4DA9">
      <w:pPr>
        <w:pStyle w:val="Estndar"/>
        <w:jc w:val="both"/>
        <w:rPr>
          <w:b/>
          <w:color w:val="auto"/>
        </w:rPr>
      </w:pPr>
    </w:p>
    <w:p w:rsidR="006B02FD" w:rsidRDefault="006B02FD" w:rsidP="00FA4DA9">
      <w:pPr>
        <w:pStyle w:val="Estndar"/>
        <w:jc w:val="both"/>
        <w:rPr>
          <w:color w:val="auto"/>
          <w:u w:val="single"/>
        </w:rPr>
      </w:pPr>
      <w:r>
        <w:rPr>
          <w:b/>
          <w:color w:val="FF0000"/>
          <w:u w:val="single"/>
        </w:rPr>
        <w:t>“</w:t>
      </w:r>
      <w:r w:rsidRPr="007D1A63">
        <w:rPr>
          <w:b/>
          <w:color w:val="FF0000"/>
          <w:u w:val="single"/>
        </w:rPr>
        <w:t xml:space="preserve">Este aumento en el endeudamiento global es aún mayor que el aumento del 20% del PIB observado en el año </w:t>
      </w:r>
      <w:r w:rsidR="00D9104E">
        <w:rPr>
          <w:b/>
          <w:color w:val="FF0000"/>
          <w:u w:val="single"/>
        </w:rPr>
        <w:t>posterior a la crisis de Lehman</w:t>
      </w:r>
      <w:r w:rsidR="00D9104E" w:rsidRPr="00D9104E">
        <w:rPr>
          <w:b/>
          <w:color w:val="FF0000"/>
        </w:rPr>
        <w:t>”</w:t>
      </w:r>
      <w:r w:rsidR="00DA3540">
        <w:rPr>
          <w:color w:val="auto"/>
        </w:rPr>
        <w:t>,</w:t>
      </w:r>
      <w:r w:rsidRPr="00002114">
        <w:rPr>
          <w:color w:val="auto"/>
        </w:rPr>
        <w:t xml:space="preserve"> indica Panigirtzoglou, quien considera que </w:t>
      </w:r>
      <w:r w:rsidRPr="007D1A63">
        <w:rPr>
          <w:color w:val="auto"/>
          <w:u w:val="single"/>
        </w:rPr>
        <w:t>esto tendrá distintas implicaciones.</w:t>
      </w:r>
    </w:p>
    <w:p w:rsidR="006A3B06" w:rsidRPr="00002114" w:rsidRDefault="006A3B06" w:rsidP="00FA4DA9">
      <w:pPr>
        <w:pStyle w:val="Estndar"/>
        <w:jc w:val="both"/>
        <w:rPr>
          <w:color w:val="auto"/>
        </w:rPr>
      </w:pPr>
      <w:r>
        <w:rPr>
          <w:noProof/>
          <w:lang w:val="es-ES"/>
        </w:rPr>
        <w:lastRenderedPageBreak/>
        <w:drawing>
          <wp:inline distT="0" distB="0" distL="0" distR="0" wp14:anchorId="19745533" wp14:editId="1EF55747">
            <wp:extent cx="5727700" cy="7759700"/>
            <wp:effectExtent l="0" t="0" r="6350" b="0"/>
            <wp:docPr id="25" name="Imagen 25" descr="https://s03.s3c.es/imag/_v0/770x1540/3/7/1/050620-BC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70x1540/3/7/1/050620-BCE.gif"/>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31510" cy="7764862"/>
                    </a:xfrm>
                    <a:prstGeom prst="rect">
                      <a:avLst/>
                    </a:prstGeom>
                    <a:noFill/>
                    <a:ln>
                      <a:noFill/>
                    </a:ln>
                  </pic:spPr>
                </pic:pic>
              </a:graphicData>
            </a:graphic>
          </wp:inline>
        </w:drawing>
      </w:r>
    </w:p>
    <w:p w:rsidR="006B02FD" w:rsidRPr="00002114" w:rsidRDefault="006B02FD" w:rsidP="00FA4DA9">
      <w:pPr>
        <w:pStyle w:val="Estndar"/>
        <w:jc w:val="both"/>
        <w:rPr>
          <w:color w:val="auto"/>
        </w:rPr>
      </w:pPr>
    </w:p>
    <w:p w:rsidR="006B02FD" w:rsidRPr="00002114" w:rsidRDefault="006B02FD" w:rsidP="00FA4DA9">
      <w:pPr>
        <w:pStyle w:val="Estndar"/>
        <w:jc w:val="both"/>
        <w:rPr>
          <w:color w:val="auto"/>
        </w:rPr>
      </w:pPr>
      <w:r w:rsidRPr="007D1A63">
        <w:rPr>
          <w:color w:val="auto"/>
          <w:u w:val="single"/>
        </w:rPr>
        <w:t>La primera es que el sector privado probablemente estará más inclinado a ahorrar en el futuro</w:t>
      </w:r>
      <w:r w:rsidRPr="00002114">
        <w:rPr>
          <w:color w:val="auto"/>
        </w:rPr>
        <w:t>. Una tasa de ahorro persistentemente elevada puede lastrar tanto al crecimiento económico como a la inflación y dificultaría aún más la disminución de los niveles de deuda frente a los ingresos en el futuro.</w:t>
      </w:r>
    </w:p>
    <w:p w:rsidR="006B02FD" w:rsidRPr="00002114" w:rsidRDefault="006B02FD" w:rsidP="00FA4DA9">
      <w:pPr>
        <w:pStyle w:val="Estndar"/>
        <w:jc w:val="both"/>
        <w:rPr>
          <w:color w:val="auto"/>
        </w:rPr>
      </w:pPr>
    </w:p>
    <w:p w:rsidR="006B02FD" w:rsidRPr="00D9104E" w:rsidRDefault="006B02FD" w:rsidP="00FA4DA9">
      <w:pPr>
        <w:pStyle w:val="Estndar"/>
        <w:jc w:val="both"/>
        <w:rPr>
          <w:color w:val="FF0000"/>
          <w:u w:val="single"/>
        </w:rPr>
      </w:pPr>
      <w:r w:rsidRPr="00D9104E">
        <w:rPr>
          <w:color w:val="FF0000"/>
          <w:u w:val="single"/>
        </w:rPr>
        <w:lastRenderedPageBreak/>
        <w:t>Por otro lado, los bancos centrales se verán obligados a mantener políticas muy acomodaticias y las tasas de interés bajas continuarán durante mucho tiempo para que así tanto el sector público como el privado puedan mantener niveles de deuda mucho más altos. En sus últimas proyecciones económicas, la Reserva Federal ya telegrafió que no se plantea volver a subir los tipos por lo menos hasta 2023.</w:t>
      </w:r>
    </w:p>
    <w:p w:rsidR="006B02FD" w:rsidRPr="00002114" w:rsidRDefault="006B02FD" w:rsidP="00FA4DA9">
      <w:pPr>
        <w:pStyle w:val="Estndar"/>
        <w:jc w:val="both"/>
        <w:rPr>
          <w:color w:val="auto"/>
        </w:rPr>
      </w:pPr>
    </w:p>
    <w:p w:rsidR="006B02FD" w:rsidRPr="00D9104E" w:rsidRDefault="006B02FD" w:rsidP="00FA4DA9">
      <w:pPr>
        <w:pStyle w:val="Estndar"/>
        <w:jc w:val="both"/>
        <w:rPr>
          <w:b/>
          <w:color w:val="FF0000"/>
          <w:u w:val="single"/>
        </w:rPr>
      </w:pPr>
      <w:r w:rsidRPr="00D9104E">
        <w:rPr>
          <w:b/>
          <w:color w:val="FF0000"/>
          <w:u w:val="single"/>
        </w:rPr>
        <w:t>Esto a su vez implica una mayor liquidez. Más crédito y más estímulos monetarios en forma de compras de activos (el conocido como Quantitative Easing o QE, por sus siglas en inglés), garantizan una mayor oferta de dinero adicional y saldos de efectivo, lo que a su vez, según explica el analista de JPMorgan, beneficiará a la renta variable.</w:t>
      </w:r>
    </w:p>
    <w:p w:rsidR="006B02FD" w:rsidRPr="00002114" w:rsidRDefault="006B02FD" w:rsidP="00FA4DA9">
      <w:pPr>
        <w:pStyle w:val="Estndar"/>
        <w:jc w:val="both"/>
        <w:rPr>
          <w:color w:val="auto"/>
        </w:rPr>
      </w:pPr>
    </w:p>
    <w:p w:rsidR="006B02FD" w:rsidRPr="007D1A63" w:rsidRDefault="006B02FD" w:rsidP="00FA4DA9">
      <w:pPr>
        <w:pStyle w:val="Estndar"/>
        <w:jc w:val="both"/>
        <w:rPr>
          <w:b/>
          <w:color w:val="FF0000"/>
          <w:u w:val="single"/>
        </w:rPr>
      </w:pPr>
      <w:r>
        <w:rPr>
          <w:b/>
          <w:color w:val="FF0000"/>
          <w:u w:val="single"/>
        </w:rPr>
        <w:t>“</w:t>
      </w:r>
      <w:r w:rsidRPr="007D1A63">
        <w:rPr>
          <w:b/>
          <w:color w:val="FF0000"/>
          <w:u w:val="single"/>
        </w:rPr>
        <w:t>Dado que la creación de deuda y el QE continuarán siendo más fuertes de lo normal hasta 2021, creemos que la creación total de dinero o liquidez podría superar los 15 billones de dólares a nivel mun</w:t>
      </w:r>
      <w:r>
        <w:rPr>
          <w:b/>
          <w:color w:val="FF0000"/>
          <w:u w:val="single"/>
        </w:rPr>
        <w:t>dial a mediados del próximo año”</w:t>
      </w:r>
      <w:r w:rsidRPr="007D1A63">
        <w:rPr>
          <w:b/>
          <w:color w:val="FF0000"/>
          <w:u w:val="single"/>
        </w:rPr>
        <w:t>, asegura.</w:t>
      </w:r>
    </w:p>
    <w:p w:rsidR="006B02FD" w:rsidRPr="00002114" w:rsidRDefault="006B02FD" w:rsidP="00FA4DA9">
      <w:pPr>
        <w:pStyle w:val="Estndar"/>
        <w:jc w:val="both"/>
        <w:rPr>
          <w:color w:val="auto"/>
        </w:rPr>
      </w:pPr>
    </w:p>
    <w:p w:rsidR="006B02FD" w:rsidRPr="00002114" w:rsidRDefault="006B02FD" w:rsidP="00FA4DA9">
      <w:pPr>
        <w:pStyle w:val="Estndar"/>
        <w:jc w:val="both"/>
        <w:rPr>
          <w:color w:val="auto"/>
        </w:rPr>
      </w:pPr>
      <w:r w:rsidRPr="00002114">
        <w:rPr>
          <w:color w:val="auto"/>
        </w:rPr>
        <w:t>Como resultado de esta creación de liquidez, JPMorgan estima que las tenencias de efectivo en las carteras de los inversores mundiales, que aumentó considerablemente en marzo, se mantienen muy por encima de los niveles previos a la pandemia a pesar del repunte experimentado por las bolsas de todo el mundo.</w:t>
      </w:r>
    </w:p>
    <w:p w:rsidR="006B02FD" w:rsidRPr="00002114" w:rsidRDefault="006B02FD" w:rsidP="00FA4DA9">
      <w:pPr>
        <w:pStyle w:val="Estndar"/>
        <w:jc w:val="both"/>
        <w:rPr>
          <w:color w:val="auto"/>
        </w:rPr>
      </w:pPr>
    </w:p>
    <w:p w:rsidR="006B02FD" w:rsidRDefault="006B02FD" w:rsidP="00FA4DA9">
      <w:pPr>
        <w:pStyle w:val="Estndar"/>
        <w:jc w:val="both"/>
        <w:rPr>
          <w:color w:val="auto"/>
        </w:rPr>
      </w:pPr>
      <w:r w:rsidRPr="00002114">
        <w:rPr>
          <w:color w:val="auto"/>
        </w:rPr>
        <w:t xml:space="preserve">Este nivel elevado de efectivo en manos de los inversores respaldaría, según Panigirtzoglou, un próximo impulso tanto para el mercado de renta fija como el de acciones. </w:t>
      </w:r>
      <w:r w:rsidR="00324F4A" w:rsidRPr="00002114">
        <w:rPr>
          <w:color w:val="auto"/>
        </w:rPr>
        <w:t>Aun</w:t>
      </w:r>
      <w:r w:rsidRPr="00002114">
        <w:rPr>
          <w:color w:val="auto"/>
        </w:rPr>
        <w:t xml:space="preserve"> así, dada la baja rentabilidad de los bonos en </w:t>
      </w:r>
      <w:r>
        <w:rPr>
          <w:color w:val="auto"/>
        </w:rPr>
        <w:t>este momento, “</w:t>
      </w:r>
      <w:r w:rsidRPr="00002114">
        <w:rPr>
          <w:color w:val="auto"/>
        </w:rPr>
        <w:t>creemos que la mayor parte de esta liquidez eventualmente se destinará a la renta variable a medida que la necesidad de ahorros prev</w:t>
      </w:r>
      <w:r>
        <w:rPr>
          <w:color w:val="auto"/>
        </w:rPr>
        <w:t>entivos disminuye con el tiempo”</w:t>
      </w:r>
      <w:r w:rsidRPr="00002114">
        <w:rPr>
          <w:color w:val="auto"/>
        </w:rPr>
        <w:t>, añade el analista de JPMorgan.</w:t>
      </w:r>
    </w:p>
    <w:p w:rsidR="00D9104E" w:rsidRDefault="00D9104E" w:rsidP="00FA4DA9">
      <w:pPr>
        <w:pStyle w:val="Estndar"/>
        <w:jc w:val="both"/>
        <w:rPr>
          <w:color w:val="auto"/>
        </w:rPr>
      </w:pPr>
    </w:p>
    <w:p w:rsidR="00D9104E" w:rsidRPr="00002114" w:rsidRDefault="00D9104E" w:rsidP="00FA4DA9">
      <w:pPr>
        <w:pStyle w:val="Estndar"/>
        <w:jc w:val="both"/>
        <w:rPr>
          <w:color w:val="auto"/>
        </w:rPr>
      </w:pPr>
    </w:p>
    <w:p w:rsidR="00EA1637" w:rsidRPr="0082389C" w:rsidRDefault="00D9104E" w:rsidP="00FA4DA9">
      <w:pPr>
        <w:spacing w:line="240" w:lineRule="auto"/>
        <w:jc w:val="both"/>
        <w:rPr>
          <w:rFonts w:ascii="Times New Roman" w:hAnsi="Times New Roman" w:cs="Times New Roman"/>
          <w:sz w:val="24"/>
          <w:szCs w:val="24"/>
        </w:rPr>
      </w:pPr>
      <w:r w:rsidRPr="0082389C">
        <w:rPr>
          <w:rFonts w:ascii="Times New Roman" w:hAnsi="Times New Roman" w:cs="Times New Roman"/>
          <w:b/>
          <w:sz w:val="24"/>
          <w:szCs w:val="24"/>
        </w:rPr>
        <w:t>Nota</w:t>
      </w:r>
      <w:r w:rsidRPr="0082389C">
        <w:rPr>
          <w:rFonts w:ascii="Times New Roman" w:hAnsi="Times New Roman" w:cs="Times New Roman"/>
          <w:sz w:val="24"/>
          <w:szCs w:val="24"/>
        </w:rPr>
        <w:t xml:space="preserve">: </w:t>
      </w:r>
      <w:r w:rsidR="00BE3BD3" w:rsidRPr="0082389C">
        <w:rPr>
          <w:rFonts w:ascii="Times New Roman" w:hAnsi="Times New Roman" w:cs="Times New Roman"/>
          <w:sz w:val="24"/>
          <w:szCs w:val="24"/>
        </w:rPr>
        <w:t>“</w:t>
      </w:r>
      <w:r w:rsidR="00EA1637" w:rsidRPr="0082389C">
        <w:rPr>
          <w:rFonts w:ascii="Times New Roman" w:hAnsi="Times New Roman" w:cs="Times New Roman"/>
          <w:sz w:val="24"/>
          <w:szCs w:val="24"/>
        </w:rPr>
        <w:t>La zona euro vivido una contra</w:t>
      </w:r>
      <w:r w:rsidR="00BE3BD3" w:rsidRPr="0082389C">
        <w:rPr>
          <w:rFonts w:ascii="Times New Roman" w:hAnsi="Times New Roman" w:cs="Times New Roman"/>
          <w:sz w:val="24"/>
          <w:szCs w:val="24"/>
        </w:rPr>
        <w:t xml:space="preserve">cción económica sin </w:t>
      </w:r>
      <w:r w:rsidR="00324F4A" w:rsidRPr="0082389C">
        <w:rPr>
          <w:rFonts w:ascii="Times New Roman" w:hAnsi="Times New Roman" w:cs="Times New Roman"/>
          <w:sz w:val="24"/>
          <w:szCs w:val="24"/>
        </w:rPr>
        <w:t>precedentes</w:t>
      </w:r>
      <w:r w:rsidR="00BE3BD3" w:rsidRPr="0082389C">
        <w:rPr>
          <w:rFonts w:ascii="Times New Roman" w:hAnsi="Times New Roman" w:cs="Times New Roman"/>
          <w:sz w:val="24"/>
          <w:szCs w:val="24"/>
        </w:rPr>
        <w:t>”</w:t>
      </w:r>
      <w:r w:rsidR="00EA1637" w:rsidRPr="0082389C">
        <w:rPr>
          <w:rFonts w:ascii="Times New Roman" w:hAnsi="Times New Roman" w:cs="Times New Roman"/>
          <w:sz w:val="24"/>
          <w:szCs w:val="24"/>
        </w:rPr>
        <w:t>, ha asegurado</w:t>
      </w:r>
      <w:r w:rsidR="00BE3BD3" w:rsidRPr="0082389C">
        <w:rPr>
          <w:rFonts w:ascii="Times New Roman" w:hAnsi="Times New Roman" w:cs="Times New Roman"/>
          <w:sz w:val="24"/>
          <w:szCs w:val="24"/>
        </w:rPr>
        <w:t xml:space="preserve"> Christine Lagarde, que ve una “tibia”</w:t>
      </w:r>
      <w:r w:rsidR="00EA1637" w:rsidRPr="0082389C">
        <w:rPr>
          <w:rFonts w:ascii="Times New Roman" w:hAnsi="Times New Roman" w:cs="Times New Roman"/>
          <w:sz w:val="24"/>
          <w:szCs w:val="24"/>
        </w:rPr>
        <w:t xml:space="preserve"> mejora tras haber tocado fondo y que prevé la recuperación en el segundo semestre del año, después de un derrumbe en el PIB del segundo trimestre en la zona euro que el BCE cifra en el 13%. Su previsión para la zona euro es de una contracción del PIB este año del 8,7%, seguida de una recuperación del 5,2% en 2021 y del 3,3% en 2022…</w:t>
      </w:r>
    </w:p>
    <w:p w:rsidR="00EA1637" w:rsidRPr="0082389C" w:rsidRDefault="00EA1637" w:rsidP="00FA4DA9">
      <w:pPr>
        <w:spacing w:line="240" w:lineRule="auto"/>
        <w:jc w:val="both"/>
        <w:rPr>
          <w:rFonts w:ascii="Times New Roman" w:hAnsi="Times New Roman" w:cs="Times New Roman"/>
          <w:sz w:val="24"/>
          <w:szCs w:val="24"/>
        </w:rPr>
      </w:pPr>
      <w:r w:rsidRPr="0082389C">
        <w:rPr>
          <w:rFonts w:ascii="Times New Roman" w:hAnsi="Times New Roman" w:cs="Times New Roman"/>
          <w:sz w:val="24"/>
          <w:szCs w:val="24"/>
        </w:rPr>
        <w:t>La propuesta de un fondo europeo de reconstrucción de la Comisión Europea, por un total de 750.000 millones de euros, también ha contribuido de forma notable a rebajar la tensión para la deuda soberana de la zona euro. La iniciativa aún debe ser debatida en la cumbre europea del 18 de junio y deberá pasar por arduas negociaciones hasta su puesta en marcha, pero es un primer paso decisivo para una respuesta europea conjunta y de medio plazo para la reconstrucción económica y que incluye transferencias directas, sin reembolso, por 500.000 millones de euros. Lagarde ha dado la bienvenida</w:t>
      </w:r>
      <w:r w:rsidR="00BE3BD3" w:rsidRPr="0082389C">
        <w:rPr>
          <w:rFonts w:ascii="Times New Roman" w:hAnsi="Times New Roman" w:cs="Times New Roman"/>
          <w:sz w:val="24"/>
          <w:szCs w:val="24"/>
        </w:rPr>
        <w:t xml:space="preserve"> a la propuesta y ha destacado “</w:t>
      </w:r>
      <w:r w:rsidRPr="0082389C">
        <w:rPr>
          <w:rFonts w:ascii="Times New Roman" w:hAnsi="Times New Roman" w:cs="Times New Roman"/>
          <w:sz w:val="24"/>
          <w:szCs w:val="24"/>
        </w:rPr>
        <w:t>la determ</w:t>
      </w:r>
      <w:r w:rsidR="00BE3BD3" w:rsidRPr="0082389C">
        <w:rPr>
          <w:rFonts w:ascii="Times New Roman" w:hAnsi="Times New Roman" w:cs="Times New Roman"/>
          <w:sz w:val="24"/>
          <w:szCs w:val="24"/>
        </w:rPr>
        <w:t>inación de los líderes europeos”</w:t>
      </w:r>
      <w:r w:rsidR="00D9104E" w:rsidRPr="0082389C">
        <w:rPr>
          <w:rFonts w:ascii="Times New Roman" w:hAnsi="Times New Roman" w:cs="Times New Roman"/>
          <w:sz w:val="24"/>
          <w:szCs w:val="24"/>
        </w:rPr>
        <w:t xml:space="preserve"> para responder a la crisis.</w:t>
      </w:r>
    </w:p>
    <w:p w:rsidR="00EA1637" w:rsidRDefault="00EA1637" w:rsidP="00FA4DA9">
      <w:pPr>
        <w:spacing w:line="240" w:lineRule="auto"/>
        <w:jc w:val="both"/>
        <w:rPr>
          <w:rFonts w:ascii="Times New Roman" w:hAnsi="Times New Roman" w:cs="Times New Roman"/>
          <w:b/>
          <w:sz w:val="24"/>
          <w:szCs w:val="24"/>
        </w:rPr>
      </w:pPr>
      <w:r>
        <w:rPr>
          <w:noProof/>
          <w:lang w:eastAsia="es-ES"/>
        </w:rPr>
        <w:lastRenderedPageBreak/>
        <w:drawing>
          <wp:inline distT="0" distB="0" distL="0" distR="0" wp14:anchorId="791EDE92" wp14:editId="304D7483">
            <wp:extent cx="5733573" cy="3752850"/>
            <wp:effectExtent l="0" t="0" r="635" b="0"/>
            <wp:docPr id="196" name="Imagen 19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31510" cy="3751500"/>
                    </a:xfrm>
                    <a:prstGeom prst="rect">
                      <a:avLst/>
                    </a:prstGeom>
                    <a:noFill/>
                    <a:ln>
                      <a:noFill/>
                    </a:ln>
                  </pic:spPr>
                </pic:pic>
              </a:graphicData>
            </a:graphic>
          </wp:inline>
        </w:drawing>
      </w:r>
    </w:p>
    <w:p w:rsidR="00D9104E" w:rsidRPr="0082389C" w:rsidRDefault="00D9104E" w:rsidP="00FA4DA9">
      <w:pPr>
        <w:spacing w:line="240" w:lineRule="auto"/>
        <w:jc w:val="both"/>
        <w:rPr>
          <w:rFonts w:ascii="Times New Roman" w:hAnsi="Times New Roman" w:cs="Times New Roman"/>
          <w:sz w:val="24"/>
          <w:szCs w:val="24"/>
        </w:rPr>
      </w:pPr>
      <w:r w:rsidRPr="0082389C">
        <w:rPr>
          <w:rFonts w:ascii="Times New Roman" w:hAnsi="Times New Roman" w:cs="Times New Roman"/>
          <w:sz w:val="24"/>
          <w:szCs w:val="24"/>
        </w:rPr>
        <w:t>Ignoran la pandemia… ignoran la crisis económica… ignoran la conflictividad social… ¿Qué es lo que de verdad importa? ¿el dopaje de los bancos centrales? ¿la regadera monetaria? ¿el gas de la risa? ¿el espejismo del riesgo moral? ¿los algoritmos de la exuberancia irracional? … ¿A qué viene tanta euforia?... ¿un altra volta? ¿volvemos a disfrazar el riesgo? ¿empezamos a vivir los engaños de la pospandemia? ¿siguen intentando negocios epilépticos (especulativos, improductivos, y ficticios) con costos infinitos para los contribuyentes (sociedad civil) y ganancias infinitas para sus protagonistas (ladronazos), que repartieron y reparten su rapiña con los funcionarios d</w:t>
      </w:r>
      <w:r w:rsidR="00324F4A">
        <w:rPr>
          <w:rFonts w:ascii="Times New Roman" w:hAnsi="Times New Roman" w:cs="Times New Roman"/>
          <w:sz w:val="24"/>
          <w:szCs w:val="24"/>
        </w:rPr>
        <w:t>e turno (el poder en la sombra)?</w:t>
      </w:r>
    </w:p>
    <w:p w:rsidR="00D9104E" w:rsidRPr="0082389C" w:rsidRDefault="00D9104E" w:rsidP="00FA4DA9">
      <w:pPr>
        <w:spacing w:line="240" w:lineRule="auto"/>
        <w:jc w:val="both"/>
        <w:rPr>
          <w:rFonts w:ascii="Times New Roman" w:hAnsi="Times New Roman" w:cs="Times New Roman"/>
          <w:sz w:val="24"/>
          <w:szCs w:val="24"/>
        </w:rPr>
      </w:pPr>
      <w:r w:rsidRPr="0082389C">
        <w:rPr>
          <w:rFonts w:ascii="Times New Roman" w:hAnsi="Times New Roman" w:cs="Times New Roman"/>
          <w:szCs w:val="24"/>
        </w:rPr>
        <w:t>Según Manuel Romera, director del Sector Financiero de la IE Business School, España</w:t>
      </w:r>
      <w:r w:rsidRPr="0082389C">
        <w:rPr>
          <w:rFonts w:ascii="Times New Roman" w:hAnsi="Times New Roman" w:cs="Times New Roman"/>
          <w:sz w:val="24"/>
          <w:szCs w:val="24"/>
        </w:rPr>
        <w:t xml:space="preserve">, el mercado está apostando por una rápida recuperación de la economía en forma de V. </w:t>
      </w:r>
    </w:p>
    <w:p w:rsidR="00D9104E" w:rsidRPr="0082389C" w:rsidRDefault="00D9104E" w:rsidP="00FA4DA9">
      <w:pPr>
        <w:spacing w:line="240" w:lineRule="auto"/>
        <w:jc w:val="both"/>
        <w:rPr>
          <w:rFonts w:ascii="Times New Roman" w:hAnsi="Times New Roman" w:cs="Times New Roman"/>
          <w:sz w:val="24"/>
          <w:szCs w:val="24"/>
        </w:rPr>
      </w:pPr>
      <w:r w:rsidRPr="0082389C">
        <w:rPr>
          <w:rFonts w:ascii="Times New Roman" w:hAnsi="Times New Roman" w:cs="Times New Roman"/>
          <w:sz w:val="24"/>
          <w:szCs w:val="24"/>
        </w:rPr>
        <w:t>“Los mercados financieros descuentan lo que va a pasar en seis o 12 meses más, es decir, la cotización de hoy está valorando la economía del año que viene”, le dice a BBC Mundo (5/6/20).</w:t>
      </w:r>
    </w:p>
    <w:p w:rsidR="00D9104E" w:rsidRPr="0082389C" w:rsidRDefault="00D9104E" w:rsidP="00FA4DA9">
      <w:pPr>
        <w:spacing w:line="240" w:lineRule="auto"/>
        <w:jc w:val="both"/>
        <w:rPr>
          <w:rFonts w:ascii="Times New Roman" w:hAnsi="Times New Roman" w:cs="Times New Roman"/>
          <w:sz w:val="24"/>
          <w:szCs w:val="24"/>
        </w:rPr>
      </w:pPr>
      <w:r w:rsidRPr="0082389C">
        <w:rPr>
          <w:rFonts w:ascii="Times New Roman" w:hAnsi="Times New Roman" w:cs="Times New Roman"/>
          <w:sz w:val="24"/>
          <w:szCs w:val="24"/>
        </w:rPr>
        <w:t>El mensaje de los inversores es que la pandemia ha sido un shock puntual, y que aunque sus efectos están a la vista, el problema ya tocó fondo, apunta.</w:t>
      </w:r>
    </w:p>
    <w:p w:rsidR="00D9104E" w:rsidRPr="0082389C" w:rsidRDefault="00D9104E" w:rsidP="00FA4DA9">
      <w:pPr>
        <w:spacing w:line="240" w:lineRule="auto"/>
        <w:jc w:val="both"/>
        <w:rPr>
          <w:rFonts w:ascii="Times New Roman" w:hAnsi="Times New Roman" w:cs="Times New Roman"/>
          <w:sz w:val="24"/>
          <w:szCs w:val="24"/>
        </w:rPr>
      </w:pPr>
      <w:r w:rsidRPr="0082389C">
        <w:rPr>
          <w:rFonts w:ascii="Times New Roman" w:hAnsi="Times New Roman" w:cs="Times New Roman"/>
          <w:sz w:val="24"/>
          <w:szCs w:val="24"/>
        </w:rPr>
        <w:t>A eso se suman las grandes inversiones que se han hecho para producir una vacuna y desarrollar tratamientos que, teóricamente, deberían producir resultados el año entrante.</w:t>
      </w:r>
    </w:p>
    <w:p w:rsidR="00D9104E" w:rsidRPr="0082389C" w:rsidRDefault="00D9104E" w:rsidP="00FA4DA9">
      <w:pPr>
        <w:spacing w:line="240" w:lineRule="auto"/>
        <w:jc w:val="both"/>
        <w:rPr>
          <w:rFonts w:ascii="Times New Roman" w:hAnsi="Times New Roman" w:cs="Times New Roman"/>
          <w:sz w:val="24"/>
          <w:szCs w:val="24"/>
        </w:rPr>
      </w:pPr>
      <w:r w:rsidRPr="0082389C">
        <w:rPr>
          <w:rFonts w:ascii="Times New Roman" w:hAnsi="Times New Roman" w:cs="Times New Roman"/>
          <w:sz w:val="24"/>
          <w:szCs w:val="24"/>
        </w:rPr>
        <w:t>“No se consuela el que no quiere”: debo reconocer el placer del conformismo, la ligereza de corazón que otorga, la forma en que resuelve tantos dilemas personales y profesionales.</w:t>
      </w:r>
    </w:p>
    <w:p w:rsidR="00EA1637" w:rsidRDefault="00EA1637" w:rsidP="00FA4DA9">
      <w:pPr>
        <w:spacing w:line="240" w:lineRule="auto"/>
        <w:jc w:val="both"/>
        <w:rPr>
          <w:rFonts w:ascii="Times New Roman" w:hAnsi="Times New Roman" w:cs="Times New Roman"/>
          <w:sz w:val="24"/>
          <w:szCs w:val="24"/>
        </w:rPr>
      </w:pPr>
      <w:r w:rsidRPr="00BD23B0">
        <w:rPr>
          <w:rFonts w:ascii="Times New Roman" w:hAnsi="Times New Roman" w:cs="Times New Roman"/>
          <w:noProof/>
          <w:szCs w:val="24"/>
          <w:lang w:eastAsia="es-ES"/>
        </w:rPr>
        <w:lastRenderedPageBreak/>
        <w:drawing>
          <wp:inline distT="0" distB="0" distL="0" distR="0" wp14:anchorId="267B879B" wp14:editId="6C0DF9C2">
            <wp:extent cx="5727700" cy="2679700"/>
            <wp:effectExtent l="0" t="0" r="6350" b="6350"/>
            <wp:docPr id="197" name="Imagen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31510" cy="2681483"/>
                    </a:xfrm>
                    <a:prstGeom prst="rect">
                      <a:avLst/>
                    </a:prstGeom>
                  </pic:spPr>
                </pic:pic>
              </a:graphicData>
            </a:graphic>
          </wp:inline>
        </w:drawing>
      </w:r>
    </w:p>
    <w:p w:rsidR="00EA1637" w:rsidRPr="0082389C" w:rsidRDefault="00EA1637" w:rsidP="00FA4DA9">
      <w:pPr>
        <w:spacing w:line="240" w:lineRule="auto"/>
        <w:jc w:val="both"/>
        <w:rPr>
          <w:rFonts w:ascii="Times New Roman" w:hAnsi="Times New Roman" w:cs="Times New Roman"/>
          <w:sz w:val="24"/>
          <w:szCs w:val="24"/>
        </w:rPr>
      </w:pPr>
      <w:r w:rsidRPr="0082389C">
        <w:rPr>
          <w:rFonts w:ascii="Times New Roman" w:hAnsi="Times New Roman" w:cs="Times New Roman"/>
          <w:sz w:val="24"/>
          <w:szCs w:val="24"/>
        </w:rPr>
        <w:t>“No se consuela el que no quiere”: debo reconocer el placer del conformismo, la ligereza de corazón que otorga, la forma en que resuelve tantos dilemas personales y profesionales.</w:t>
      </w:r>
    </w:p>
    <w:p w:rsidR="00EA1637" w:rsidRPr="0082389C" w:rsidRDefault="00EA1637" w:rsidP="00FA4DA9">
      <w:pPr>
        <w:spacing w:line="240" w:lineRule="auto"/>
        <w:jc w:val="both"/>
        <w:rPr>
          <w:rFonts w:ascii="Times New Roman" w:hAnsi="Times New Roman" w:cs="Times New Roman"/>
          <w:sz w:val="24"/>
          <w:szCs w:val="24"/>
        </w:rPr>
      </w:pPr>
      <w:r w:rsidRPr="0082389C">
        <w:rPr>
          <w:rFonts w:ascii="Times New Roman" w:hAnsi="Times New Roman" w:cs="Times New Roman"/>
          <w:sz w:val="24"/>
          <w:szCs w:val="24"/>
        </w:rPr>
        <w:t>¿Por qué esta vez iba a ser distinto?</w:t>
      </w:r>
    </w:p>
    <w:p w:rsidR="00EA1637" w:rsidRPr="0082389C" w:rsidRDefault="00EA1637" w:rsidP="00FA4DA9">
      <w:pPr>
        <w:spacing w:line="240" w:lineRule="auto"/>
        <w:jc w:val="both"/>
        <w:rPr>
          <w:rFonts w:ascii="Times New Roman" w:hAnsi="Times New Roman" w:cs="Times New Roman"/>
          <w:sz w:val="24"/>
          <w:szCs w:val="24"/>
        </w:rPr>
      </w:pPr>
      <w:r w:rsidRPr="0082389C">
        <w:rPr>
          <w:rFonts w:ascii="Times New Roman" w:hAnsi="Times New Roman" w:cs="Times New Roman"/>
          <w:sz w:val="24"/>
          <w:szCs w:val="24"/>
        </w:rPr>
        <w:t>A veces la idea no es conseguir que la gente se crea una mentira, sino que el mentiroso meta miedo a la gente. Con el Covid-19, lo están logrando. Mentiras y miedo… miedo y mentiras.</w:t>
      </w:r>
    </w:p>
    <w:p w:rsidR="00EA1637" w:rsidRPr="0082389C" w:rsidRDefault="00EA1637" w:rsidP="00FA4DA9">
      <w:pPr>
        <w:spacing w:line="240" w:lineRule="auto"/>
        <w:jc w:val="both"/>
        <w:rPr>
          <w:rFonts w:ascii="Times New Roman" w:hAnsi="Times New Roman" w:cs="Times New Roman"/>
          <w:sz w:val="24"/>
          <w:szCs w:val="24"/>
        </w:rPr>
      </w:pPr>
      <w:r w:rsidRPr="0082389C">
        <w:rPr>
          <w:rFonts w:ascii="Times New Roman" w:hAnsi="Times New Roman" w:cs="Times New Roman"/>
          <w:sz w:val="24"/>
          <w:szCs w:val="24"/>
        </w:rPr>
        <w:t>Además de mirarse el ombligo en el espejo (global players) no vendría mal echar una ojeada a la involución de buena parte de la sociedad de los países avanzados.</w:t>
      </w:r>
    </w:p>
    <w:p w:rsidR="00EA1637" w:rsidRPr="0082389C" w:rsidRDefault="00EA1637" w:rsidP="00FA4DA9">
      <w:pPr>
        <w:spacing w:line="240" w:lineRule="auto"/>
        <w:jc w:val="both"/>
        <w:rPr>
          <w:rFonts w:ascii="Times New Roman" w:hAnsi="Times New Roman" w:cs="Times New Roman"/>
          <w:sz w:val="24"/>
          <w:szCs w:val="24"/>
        </w:rPr>
      </w:pPr>
      <w:r w:rsidRPr="0082389C">
        <w:rPr>
          <w:rFonts w:ascii="Times New Roman" w:hAnsi="Times New Roman" w:cs="Times New Roman"/>
          <w:sz w:val="24"/>
          <w:szCs w:val="24"/>
        </w:rPr>
        <w:t>A saber: de seguir en la misma, quizás ya sea demasiado tarde hasta para las lágrimas.</w:t>
      </w:r>
    </w:p>
    <w:p w:rsidR="00EA1637" w:rsidRPr="0082389C" w:rsidRDefault="00EA1637" w:rsidP="00FA4DA9">
      <w:pPr>
        <w:spacing w:line="240" w:lineRule="auto"/>
        <w:jc w:val="both"/>
        <w:rPr>
          <w:rFonts w:ascii="Times New Roman" w:hAnsi="Times New Roman" w:cs="Times New Roman"/>
          <w:sz w:val="24"/>
          <w:szCs w:val="24"/>
        </w:rPr>
      </w:pPr>
      <w:r w:rsidRPr="0082389C">
        <w:rPr>
          <w:rFonts w:ascii="Times New Roman" w:hAnsi="Times New Roman" w:cs="Times New Roman"/>
          <w:sz w:val="24"/>
          <w:szCs w:val="24"/>
        </w:rPr>
        <w:t>Cuidado con intentar disparar con armas que desconocen, cuidado con no evaluar la importancia del retroceso, el culatazo que produce un disparo de novato. Si esa fuerza tiende su manto sobre las clases populares de la precariedad laboral y el coronavirus…  entonces sabremos, por quién doblan las campanas (que no serán para dar inicio a la rueda bursátil).</w:t>
      </w:r>
    </w:p>
    <w:p w:rsidR="00EA1637" w:rsidRPr="00951820" w:rsidRDefault="00EA1637" w:rsidP="00FA4DA9">
      <w:pPr>
        <w:spacing w:line="240" w:lineRule="auto"/>
        <w:jc w:val="both"/>
        <w:rPr>
          <w:rFonts w:ascii="Times New Roman" w:hAnsi="Times New Roman" w:cs="Times New Roman"/>
          <w:color w:val="FF0000"/>
          <w:sz w:val="24"/>
          <w:szCs w:val="24"/>
        </w:rPr>
      </w:pPr>
    </w:p>
    <w:p w:rsidR="00EA1637" w:rsidRPr="00951820" w:rsidRDefault="00EA1637" w:rsidP="00FA4DA9">
      <w:pPr>
        <w:spacing w:line="240" w:lineRule="auto"/>
        <w:jc w:val="both"/>
        <w:rPr>
          <w:rFonts w:ascii="Times New Roman" w:hAnsi="Times New Roman" w:cs="Times New Roman"/>
          <w:color w:val="FF0000"/>
          <w:sz w:val="24"/>
          <w:szCs w:val="24"/>
        </w:rPr>
      </w:pPr>
      <w:r w:rsidRPr="00951820">
        <w:rPr>
          <w:noProof/>
          <w:color w:val="FF0000"/>
          <w:lang w:eastAsia="es-ES"/>
        </w:rPr>
        <w:drawing>
          <wp:inline distT="0" distB="0" distL="0" distR="0" wp14:anchorId="6F336702" wp14:editId="2203A859">
            <wp:extent cx="5728446" cy="2649070"/>
            <wp:effectExtent l="0" t="0" r="5715" b="0"/>
            <wp:docPr id="198" name="Imagen 198" descr="El Ibex firma su mejor semana desde 2008 con el impulso del empleo en EE U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l Ibex firma su mejor semana desde 2008 con el impulso del empleo en EE UU"/>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31510" cy="2650487"/>
                    </a:xfrm>
                    <a:prstGeom prst="rect">
                      <a:avLst/>
                    </a:prstGeom>
                    <a:noFill/>
                    <a:ln>
                      <a:noFill/>
                    </a:ln>
                  </pic:spPr>
                </pic:pic>
              </a:graphicData>
            </a:graphic>
          </wp:inline>
        </w:drawing>
      </w:r>
    </w:p>
    <w:p w:rsidR="00EA1637" w:rsidRPr="0082389C" w:rsidRDefault="00EA1637" w:rsidP="00FA4DA9">
      <w:pPr>
        <w:spacing w:line="240" w:lineRule="auto"/>
        <w:jc w:val="both"/>
        <w:rPr>
          <w:rFonts w:ascii="Times New Roman" w:hAnsi="Times New Roman" w:cs="Times New Roman"/>
          <w:sz w:val="24"/>
          <w:szCs w:val="24"/>
        </w:rPr>
      </w:pPr>
      <w:r w:rsidRPr="00951820">
        <w:rPr>
          <w:noProof/>
          <w:color w:val="FF0000"/>
          <w:lang w:eastAsia="es-ES"/>
        </w:rPr>
        <w:lastRenderedPageBreak/>
        <w:drawing>
          <wp:inline distT="0" distB="0" distL="0" distR="0" wp14:anchorId="015E121D" wp14:editId="10E9835B">
            <wp:extent cx="6192371" cy="4134971"/>
            <wp:effectExtent l="0" t="0" r="0" b="0"/>
            <wp:docPr id="199" name="Imagen 199" descr="https://s03.s3c.es/imag/_v0/800x496/1/d/1/060620-SP-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800x496/1/d/1/060620-SP-2.gif"/>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92170" cy="4134837"/>
                    </a:xfrm>
                    <a:prstGeom prst="rect">
                      <a:avLst/>
                    </a:prstGeom>
                    <a:noFill/>
                    <a:ln>
                      <a:noFill/>
                    </a:ln>
                  </pic:spPr>
                </pic:pic>
              </a:graphicData>
            </a:graphic>
          </wp:inline>
        </w:drawing>
      </w:r>
      <w:r w:rsidRPr="0082389C">
        <w:rPr>
          <w:rFonts w:ascii="Times New Roman" w:hAnsi="Times New Roman" w:cs="Times New Roman"/>
          <w:sz w:val="24"/>
          <w:szCs w:val="24"/>
        </w:rPr>
        <w:t>El S&amp;P calca la recuperación de 2009: “un augurio que apunta a más alzas a 12 meses”, según los “analistas”.</w:t>
      </w:r>
    </w:p>
    <w:p w:rsidR="00EA1637" w:rsidRPr="0082389C" w:rsidRDefault="00EA1637" w:rsidP="00FA4DA9">
      <w:pPr>
        <w:spacing w:line="240" w:lineRule="auto"/>
        <w:jc w:val="both"/>
        <w:rPr>
          <w:rFonts w:ascii="Times New Roman" w:hAnsi="Times New Roman" w:cs="Times New Roman"/>
          <w:sz w:val="24"/>
          <w:szCs w:val="24"/>
        </w:rPr>
      </w:pPr>
      <w:r w:rsidRPr="0082389C">
        <w:rPr>
          <w:rFonts w:ascii="Times New Roman" w:hAnsi="Times New Roman" w:cs="Times New Roman"/>
          <w:sz w:val="24"/>
          <w:szCs w:val="24"/>
        </w:rPr>
        <w:t>El 3 de junio cerró su mayor subida en 50 sesiones de la historia y el índice ha ido replicando el ascenso que experimentó desde los mínimos de la gran crisis financiera en marzo de 2009.</w:t>
      </w:r>
    </w:p>
    <w:p w:rsidR="00EA1637" w:rsidRPr="0082389C" w:rsidRDefault="00EA1637" w:rsidP="00FA4DA9">
      <w:pPr>
        <w:spacing w:line="240" w:lineRule="auto"/>
        <w:jc w:val="both"/>
        <w:rPr>
          <w:rFonts w:ascii="Times New Roman" w:hAnsi="Times New Roman" w:cs="Times New Roman"/>
          <w:sz w:val="24"/>
          <w:szCs w:val="24"/>
        </w:rPr>
      </w:pPr>
      <w:r w:rsidRPr="0082389C">
        <w:rPr>
          <w:rFonts w:ascii="Times New Roman" w:hAnsi="Times New Roman" w:cs="Times New Roman"/>
          <w:sz w:val="24"/>
          <w:szCs w:val="24"/>
        </w:rPr>
        <w:t>¿Terminará alguna vez este período de esquizofrenia económica, que ya lleva dos grandes crisis (2008 y 2020) en su haber?</w:t>
      </w:r>
    </w:p>
    <w:p w:rsidR="00EA1637" w:rsidRPr="0082389C" w:rsidRDefault="00EA1637" w:rsidP="00FA4DA9">
      <w:pPr>
        <w:spacing w:line="240" w:lineRule="auto"/>
        <w:jc w:val="both"/>
        <w:rPr>
          <w:rFonts w:ascii="Times New Roman" w:hAnsi="Times New Roman" w:cs="Times New Roman"/>
          <w:sz w:val="24"/>
          <w:szCs w:val="24"/>
        </w:rPr>
      </w:pPr>
      <w:r w:rsidRPr="0082389C">
        <w:rPr>
          <w:rFonts w:ascii="Times New Roman" w:hAnsi="Times New Roman" w:cs="Times New Roman"/>
          <w:sz w:val="24"/>
          <w:szCs w:val="24"/>
        </w:rPr>
        <w:t>¿Se puede terminar con la economía de casino, sin abordar el proceso de desglobalización, para recuperar las actividades productivas perdidas?</w:t>
      </w:r>
    </w:p>
    <w:p w:rsidR="00EA1637" w:rsidRPr="0082389C" w:rsidRDefault="00EA1637" w:rsidP="00FA4DA9">
      <w:pPr>
        <w:spacing w:line="240" w:lineRule="auto"/>
        <w:jc w:val="both"/>
        <w:rPr>
          <w:rFonts w:ascii="Times New Roman" w:hAnsi="Times New Roman" w:cs="Times New Roman"/>
          <w:sz w:val="24"/>
          <w:szCs w:val="24"/>
        </w:rPr>
      </w:pPr>
      <w:r w:rsidRPr="0082389C">
        <w:rPr>
          <w:rFonts w:ascii="Times New Roman" w:hAnsi="Times New Roman" w:cs="Times New Roman"/>
          <w:sz w:val="24"/>
          <w:szCs w:val="24"/>
        </w:rPr>
        <w:t>El miedo de los empresarios y economistas, auténticamente liberales (que no liberticidas) a hacer lo que deben, no lo que se dice o se supone que deben hacer (según el establishment, subvencionado y prebendatario), desemboca en no cambiar lo que hacen los “falsos” librecambistas.</w:t>
      </w:r>
    </w:p>
    <w:p w:rsidR="0082389C" w:rsidRDefault="00EA1637" w:rsidP="00FA4DA9">
      <w:pPr>
        <w:spacing w:line="240" w:lineRule="auto"/>
        <w:jc w:val="both"/>
        <w:rPr>
          <w:rFonts w:ascii="Times New Roman" w:hAnsi="Times New Roman" w:cs="Times New Roman"/>
          <w:sz w:val="24"/>
          <w:szCs w:val="24"/>
        </w:rPr>
      </w:pPr>
      <w:r w:rsidRPr="0082389C">
        <w:rPr>
          <w:rFonts w:ascii="Times New Roman" w:hAnsi="Times New Roman" w:cs="Times New Roman"/>
          <w:sz w:val="24"/>
          <w:szCs w:val="24"/>
        </w:rPr>
        <w:t>Los historiadores (con más tiempo y perspectiva) podrán establecer si en el proceso de globalización económica hubo dolo o culpa.</w:t>
      </w:r>
    </w:p>
    <w:p w:rsidR="0082389C" w:rsidRPr="0082389C" w:rsidRDefault="0082389C" w:rsidP="0082389C">
      <w:pPr>
        <w:spacing w:line="240" w:lineRule="auto"/>
        <w:jc w:val="both"/>
        <w:rPr>
          <w:rFonts w:ascii="Times New Roman" w:hAnsi="Times New Roman" w:cs="Times New Roman"/>
          <w:sz w:val="24"/>
          <w:szCs w:val="24"/>
        </w:rPr>
      </w:pPr>
      <w:r w:rsidRPr="0082389C">
        <w:rPr>
          <w:rFonts w:ascii="Times New Roman" w:hAnsi="Times New Roman" w:cs="Times New Roman"/>
          <w:sz w:val="24"/>
          <w:szCs w:val="24"/>
        </w:rPr>
        <w:t>La diferencia esencial es que en el dolo siempre existe mala fe, un concepto jurídico que se refiere a la intencionalidad, a la premeditación para alcanzar un determinado fin conociendo que supone un daño o perjuicio para alguien. La arbitrariedad en la aplicación de algunas medidas correctivas ante las alarmas manifiestas corrobora la mala fe. Los avisos existieron y daban tiempo a reaccionar para evitar un mal mayor en el tejido industrial de EEUU o la UE.</w:t>
      </w:r>
    </w:p>
    <w:p w:rsidR="0082389C" w:rsidRPr="0082389C" w:rsidRDefault="0082389C" w:rsidP="0082389C">
      <w:pPr>
        <w:spacing w:line="240" w:lineRule="auto"/>
        <w:jc w:val="both"/>
        <w:rPr>
          <w:rFonts w:ascii="Times New Roman" w:hAnsi="Times New Roman" w:cs="Times New Roman"/>
          <w:sz w:val="24"/>
          <w:szCs w:val="24"/>
        </w:rPr>
      </w:pPr>
      <w:r w:rsidRPr="0082389C">
        <w:rPr>
          <w:rFonts w:ascii="Times New Roman" w:hAnsi="Times New Roman" w:cs="Times New Roman"/>
          <w:sz w:val="24"/>
          <w:szCs w:val="24"/>
        </w:rPr>
        <w:lastRenderedPageBreak/>
        <w:t>No hubo desconocimiento ni posible falta de previsión. El proceso de globalización económica se hizo a sabiendas de que podrían ocasionar serios daños en la economía de los países avanzados (ahora, en vías de subdesarrollo).</w:t>
      </w:r>
    </w:p>
    <w:p w:rsidR="0082389C" w:rsidRPr="0082389C" w:rsidRDefault="0082389C" w:rsidP="0082389C">
      <w:pPr>
        <w:spacing w:line="240" w:lineRule="auto"/>
        <w:jc w:val="both"/>
        <w:rPr>
          <w:rFonts w:ascii="Times New Roman" w:hAnsi="Times New Roman" w:cs="Times New Roman"/>
          <w:sz w:val="24"/>
          <w:szCs w:val="24"/>
        </w:rPr>
      </w:pPr>
      <w:r w:rsidRPr="0082389C">
        <w:rPr>
          <w:rFonts w:ascii="Times New Roman" w:hAnsi="Times New Roman" w:cs="Times New Roman"/>
          <w:sz w:val="24"/>
          <w:szCs w:val="24"/>
        </w:rPr>
        <w:t xml:space="preserve">Me resulta difícil saber si estos grandes empresarios son conscientes de lo que se viene encima o les gusta jugar con fuego y quemarse. </w:t>
      </w:r>
    </w:p>
    <w:p w:rsidR="0082389C" w:rsidRPr="0082389C" w:rsidRDefault="0082389C" w:rsidP="0082389C">
      <w:pPr>
        <w:spacing w:line="240" w:lineRule="auto"/>
        <w:jc w:val="both"/>
        <w:rPr>
          <w:rFonts w:ascii="Times New Roman" w:hAnsi="Times New Roman" w:cs="Times New Roman"/>
          <w:sz w:val="24"/>
          <w:szCs w:val="24"/>
        </w:rPr>
      </w:pPr>
      <w:r w:rsidRPr="0082389C">
        <w:rPr>
          <w:rFonts w:ascii="Times New Roman" w:hAnsi="Times New Roman" w:cs="Times New Roman"/>
          <w:sz w:val="24"/>
          <w:szCs w:val="24"/>
        </w:rPr>
        <w:t xml:space="preserve">Los historiadores demostrarán (eso espero) que en el proceso de globalización económica no hubo negligencia sino intencionalidad y una arraigada costumbre por la ocultación. La responsabilidad de las grandes corporaciones multinacionales (deslocalizando o subcontratando operaciones) es del todo ineludible, la de los gobiernos que los ampararon (conniventes, cómplices necesarios, corruptos), es del todo inevitable. </w:t>
      </w:r>
    </w:p>
    <w:p w:rsidR="0082389C" w:rsidRPr="0082389C" w:rsidRDefault="0082389C" w:rsidP="0082389C">
      <w:pPr>
        <w:spacing w:line="240" w:lineRule="auto"/>
        <w:jc w:val="both"/>
        <w:rPr>
          <w:rFonts w:ascii="Times New Roman" w:hAnsi="Times New Roman" w:cs="Times New Roman"/>
          <w:sz w:val="24"/>
          <w:szCs w:val="24"/>
        </w:rPr>
      </w:pPr>
      <w:r w:rsidRPr="0082389C">
        <w:rPr>
          <w:rFonts w:ascii="Times New Roman" w:hAnsi="Times New Roman" w:cs="Times New Roman"/>
          <w:sz w:val="24"/>
          <w:szCs w:val="24"/>
        </w:rPr>
        <w:t>La mala fe de una clase dirigente decadente, anclada en un mundo de economía productiva que desaparece sin que dé muestra de haberse enterado, no tiene excusa y supongo que tampoco perdón.</w:t>
      </w:r>
    </w:p>
    <w:p w:rsidR="00EA1637" w:rsidRPr="0082389C" w:rsidRDefault="0082389C" w:rsidP="0082389C">
      <w:pPr>
        <w:spacing w:line="240" w:lineRule="auto"/>
        <w:jc w:val="both"/>
        <w:rPr>
          <w:rFonts w:ascii="Times New Roman" w:hAnsi="Times New Roman" w:cs="Times New Roman"/>
          <w:sz w:val="24"/>
          <w:szCs w:val="24"/>
        </w:rPr>
      </w:pPr>
      <w:r w:rsidRPr="0082389C">
        <w:rPr>
          <w:rFonts w:ascii="Times New Roman" w:hAnsi="Times New Roman" w:cs="Times New Roman"/>
          <w:sz w:val="24"/>
          <w:szCs w:val="24"/>
        </w:rPr>
        <w:t>Mientras espero a los historiadores (que darán o quitarán razones), no puedo callar (ni quiero) mi mensaje a los “amos del universo” (global players): nos han robado el trabajo, no han robado los ingresos, nos han robado el futuro, pero al menos, no ofendan nuestra inteligencia.</w:t>
      </w:r>
      <w:r w:rsidR="00EA1637" w:rsidRPr="0082389C">
        <w:rPr>
          <w:rFonts w:ascii="Times New Roman" w:hAnsi="Times New Roman" w:cs="Times New Roman"/>
          <w:sz w:val="24"/>
          <w:szCs w:val="24"/>
        </w:rPr>
        <w:t xml:space="preserve"> </w:t>
      </w:r>
    </w:p>
    <w:p w:rsidR="00EA1637" w:rsidRPr="0064575B" w:rsidRDefault="00EA1637"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4575B">
        <w:rPr>
          <w:rFonts w:ascii="Times New Roman" w:hAnsi="Times New Roman" w:cs="Times New Roman"/>
          <w:sz w:val="24"/>
          <w:szCs w:val="24"/>
          <w:u w:val="single"/>
        </w:rPr>
        <w:t>El Banco Mundial prevé la mayor caída del PIB global desde 1945</w:t>
      </w:r>
      <w:r>
        <w:rPr>
          <w:rFonts w:ascii="Times New Roman" w:hAnsi="Times New Roman" w:cs="Times New Roman"/>
          <w:sz w:val="24"/>
          <w:szCs w:val="24"/>
        </w:rPr>
        <w:t xml:space="preserve"> (Cinco Días - </w:t>
      </w:r>
      <w:r>
        <w:rPr>
          <w:rFonts w:ascii="Times New Roman" w:hAnsi="Times New Roman" w:cs="Times New Roman"/>
          <w:b/>
          <w:sz w:val="24"/>
          <w:szCs w:val="24"/>
        </w:rPr>
        <w:t>8</w:t>
      </w:r>
      <w:r w:rsidRPr="0064575B">
        <w:rPr>
          <w:rFonts w:ascii="Times New Roman" w:hAnsi="Times New Roman" w:cs="Times New Roman"/>
          <w:b/>
          <w:sz w:val="24"/>
          <w:szCs w:val="24"/>
        </w:rPr>
        <w:t>/6/20</w:t>
      </w:r>
      <w:r>
        <w:rPr>
          <w:rFonts w:ascii="Times New Roman" w:hAnsi="Times New Roman" w:cs="Times New Roman"/>
          <w:sz w:val="24"/>
          <w:szCs w:val="24"/>
        </w:rPr>
        <w:t>)</w:t>
      </w:r>
    </w:p>
    <w:p w:rsidR="00EA1637" w:rsidRPr="00D9104E" w:rsidRDefault="00EA1637" w:rsidP="00FA4DA9">
      <w:pPr>
        <w:spacing w:line="240" w:lineRule="auto"/>
        <w:jc w:val="both"/>
        <w:rPr>
          <w:rFonts w:ascii="Times New Roman" w:hAnsi="Times New Roman" w:cs="Times New Roman"/>
          <w:b/>
          <w:sz w:val="24"/>
          <w:szCs w:val="24"/>
        </w:rPr>
      </w:pPr>
      <w:r w:rsidRPr="00D9104E">
        <w:rPr>
          <w:rFonts w:ascii="Times New Roman" w:hAnsi="Times New Roman" w:cs="Times New Roman"/>
          <w:b/>
          <w:color w:val="FF0000"/>
          <w:sz w:val="24"/>
          <w:szCs w:val="24"/>
          <w:u w:val="single"/>
        </w:rPr>
        <w:t xml:space="preserve">La economía mundial se contraerá este año un 5,2%, el mayor desplome desde el fin de la II Guerra Mundial </w:t>
      </w:r>
      <w:r w:rsidR="00EC3DB2" w:rsidRPr="00D9104E">
        <w:rPr>
          <w:rFonts w:ascii="Times New Roman" w:hAnsi="Times New Roman" w:cs="Times New Roman"/>
          <w:b/>
          <w:color w:val="FF0000"/>
          <w:sz w:val="24"/>
          <w:szCs w:val="24"/>
          <w:u w:val="single"/>
        </w:rPr>
        <w:t>en 1945, como consecuencia del “rápido y enorme”</w:t>
      </w:r>
      <w:r w:rsidRPr="00D9104E">
        <w:rPr>
          <w:rFonts w:ascii="Times New Roman" w:hAnsi="Times New Roman" w:cs="Times New Roman"/>
          <w:b/>
          <w:color w:val="FF0000"/>
          <w:sz w:val="24"/>
          <w:szCs w:val="24"/>
          <w:u w:val="single"/>
        </w:rPr>
        <w:t xml:space="preserve"> golpe provocado por la pandemia del coronavirus, y Asia será el único continente que crecerá, pronosticó este lunes el Banco Mundial. Sus previsiones son más pesimistas que las dadas por el Fondo Monetario Internacional en abril, cuando estimó que el PIB mundial se contraería un 3% este año</w:t>
      </w:r>
      <w:r w:rsidRPr="00D9104E">
        <w:rPr>
          <w:rFonts w:ascii="Times New Roman" w:hAnsi="Times New Roman" w:cs="Times New Roman"/>
          <w:b/>
          <w:sz w:val="24"/>
          <w:szCs w:val="24"/>
        </w:rPr>
        <w:t>.</w:t>
      </w:r>
    </w:p>
    <w:p w:rsidR="00EA1637" w:rsidRPr="0064575B" w:rsidRDefault="00EC3DB2"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EA1637" w:rsidRPr="0064575B">
        <w:rPr>
          <w:rFonts w:ascii="Times New Roman" w:hAnsi="Times New Roman" w:cs="Times New Roman"/>
          <w:sz w:val="24"/>
          <w:szCs w:val="24"/>
        </w:rPr>
        <w:t>Estas son unas perspectivas profundamente aleccionadoras, con una crisis que probablemente dejará cicatrices duraderas y plant</w:t>
      </w:r>
      <w:r>
        <w:rPr>
          <w:rFonts w:ascii="Times New Roman" w:hAnsi="Times New Roman" w:cs="Times New Roman"/>
          <w:sz w:val="24"/>
          <w:szCs w:val="24"/>
        </w:rPr>
        <w:t>eará gigantes desafíos globales”</w:t>
      </w:r>
      <w:r w:rsidR="00EA1637" w:rsidRPr="0064575B">
        <w:rPr>
          <w:rFonts w:ascii="Times New Roman" w:hAnsi="Times New Roman" w:cs="Times New Roman"/>
          <w:sz w:val="24"/>
          <w:szCs w:val="24"/>
        </w:rPr>
        <w:t>, dijo Ceyla Pazarbasioglu, vicepresidente de Crecimiento Equitativo del BM,</w:t>
      </w:r>
      <w:r w:rsidR="00EA1637">
        <w:rPr>
          <w:rFonts w:ascii="Times New Roman" w:hAnsi="Times New Roman" w:cs="Times New Roman"/>
          <w:sz w:val="24"/>
          <w:szCs w:val="24"/>
        </w:rPr>
        <w:t xml:space="preserve"> en una conferencia telefónica.</w:t>
      </w:r>
    </w:p>
    <w:p w:rsidR="00EA1637" w:rsidRPr="00951820" w:rsidRDefault="00EA1637" w:rsidP="00FA4DA9">
      <w:pPr>
        <w:spacing w:line="240" w:lineRule="auto"/>
        <w:jc w:val="both"/>
        <w:rPr>
          <w:rFonts w:ascii="Times New Roman" w:hAnsi="Times New Roman" w:cs="Times New Roman"/>
          <w:sz w:val="24"/>
          <w:szCs w:val="24"/>
          <w:u w:val="single"/>
        </w:rPr>
      </w:pPr>
      <w:r w:rsidRPr="00951820">
        <w:rPr>
          <w:rFonts w:ascii="Times New Roman" w:hAnsi="Times New Roman" w:cs="Times New Roman"/>
          <w:sz w:val="24"/>
          <w:szCs w:val="24"/>
          <w:u w:val="single"/>
        </w:rPr>
        <w:t>En el nuevo escenario manejado por la institución internacional, en el que la remisión de la pandemia permitirá levantar las medidas nacionales de confinamiento a mediados de año en las economías avanzadas y un poco más tarde en l</w:t>
      </w:r>
      <w:r w:rsidR="00EC3DB2">
        <w:rPr>
          <w:rFonts w:ascii="Times New Roman" w:hAnsi="Times New Roman" w:cs="Times New Roman"/>
          <w:sz w:val="24"/>
          <w:szCs w:val="24"/>
          <w:u w:val="single"/>
        </w:rPr>
        <w:t>as emergentes y en desarrollo, “</w:t>
      </w:r>
      <w:r w:rsidRPr="00951820">
        <w:rPr>
          <w:rFonts w:ascii="Times New Roman" w:hAnsi="Times New Roman" w:cs="Times New Roman"/>
          <w:sz w:val="24"/>
          <w:szCs w:val="24"/>
          <w:u w:val="single"/>
        </w:rPr>
        <w:t>las repercusiones negativas a nivel mundial perderán intensidad durante la segunda mitad del año y las perturbaciones a los mercados financieros</w:t>
      </w:r>
      <w:r w:rsidR="00EC3DB2">
        <w:rPr>
          <w:rFonts w:ascii="Times New Roman" w:hAnsi="Times New Roman" w:cs="Times New Roman"/>
          <w:sz w:val="24"/>
          <w:szCs w:val="24"/>
          <w:u w:val="single"/>
        </w:rPr>
        <w:t xml:space="preserve"> no se prolongarán en el tiempo”</w:t>
      </w:r>
      <w:r w:rsidRPr="00951820">
        <w:rPr>
          <w:rFonts w:ascii="Times New Roman" w:hAnsi="Times New Roman" w:cs="Times New Roman"/>
          <w:sz w:val="24"/>
          <w:szCs w:val="24"/>
          <w:u w:val="single"/>
        </w:rPr>
        <w:t>, lo que permitirá a la economía mundial un rebote del 4,2% en 2021, insuficiente para compensar completamente la pérdida de actividad estimada para 2020.</w:t>
      </w:r>
    </w:p>
    <w:p w:rsidR="00EA1637" w:rsidRPr="00951820" w:rsidRDefault="00EC3DB2" w:rsidP="00FA4DA9">
      <w:pPr>
        <w:spacing w:line="240" w:lineRule="auto"/>
        <w:jc w:val="both"/>
        <w:rPr>
          <w:rFonts w:ascii="Times New Roman" w:hAnsi="Times New Roman" w:cs="Times New Roman"/>
          <w:b/>
          <w:color w:val="FF0000"/>
          <w:sz w:val="24"/>
          <w:szCs w:val="24"/>
          <w:u w:val="single"/>
        </w:rPr>
      </w:pPr>
      <w:r>
        <w:rPr>
          <w:rFonts w:ascii="Times New Roman" w:hAnsi="Times New Roman" w:cs="Times New Roman"/>
          <w:color w:val="FF0000"/>
          <w:sz w:val="24"/>
          <w:szCs w:val="24"/>
        </w:rPr>
        <w:t>“</w:t>
      </w:r>
      <w:r w:rsidR="00EA1637" w:rsidRPr="00951820">
        <w:rPr>
          <w:rFonts w:ascii="Times New Roman" w:hAnsi="Times New Roman" w:cs="Times New Roman"/>
          <w:b/>
          <w:color w:val="FF0000"/>
          <w:sz w:val="24"/>
          <w:szCs w:val="24"/>
          <w:u w:val="single"/>
        </w:rPr>
        <w:t xml:space="preserve">La recesión ocasionada por la Covid-19 es singular en varios aspectos, y es probable que sea la más profunda para las economías avanzadas desde la Segunda Guerra Mundial y la primera contracción del producto en las economías emergentes y en desarrollo en al </w:t>
      </w:r>
      <w:r>
        <w:rPr>
          <w:rFonts w:ascii="Times New Roman" w:hAnsi="Times New Roman" w:cs="Times New Roman"/>
          <w:b/>
          <w:color w:val="FF0000"/>
          <w:sz w:val="24"/>
          <w:szCs w:val="24"/>
          <w:u w:val="single"/>
        </w:rPr>
        <w:t>menos los últimos seis decenios”</w:t>
      </w:r>
      <w:r w:rsidR="00EA1637" w:rsidRPr="00951820">
        <w:rPr>
          <w:rFonts w:ascii="Times New Roman" w:hAnsi="Times New Roman" w:cs="Times New Roman"/>
          <w:b/>
          <w:color w:val="FF0000"/>
          <w:sz w:val="24"/>
          <w:szCs w:val="24"/>
          <w:u w:val="single"/>
        </w:rPr>
        <w:t>, dijo Ayhan Kose, director del Grupo de Perspectivas del Banco Mundial.</w:t>
      </w:r>
    </w:p>
    <w:p w:rsidR="00EA1637" w:rsidRPr="00951820" w:rsidRDefault="00EC3DB2" w:rsidP="00FA4DA9">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EA1637" w:rsidRPr="00951820">
        <w:rPr>
          <w:rFonts w:ascii="Times New Roman" w:hAnsi="Times New Roman" w:cs="Times New Roman"/>
          <w:color w:val="FF0000"/>
          <w:sz w:val="24"/>
          <w:szCs w:val="24"/>
          <w:u w:val="single"/>
        </w:rPr>
        <w:t xml:space="preserve">No existen registros de correcciones a la baja tan súbitas y drásticas de los pronósticos de crecimiento mundial como las que se han visto en la época actual. Si el pasado sirve como referencia, los pronósticos podrían empeorar aún más, lo que implica que los encargados de </w:t>
      </w:r>
      <w:r w:rsidR="00EA1637" w:rsidRPr="00951820">
        <w:rPr>
          <w:rFonts w:ascii="Times New Roman" w:hAnsi="Times New Roman" w:cs="Times New Roman"/>
          <w:color w:val="FF0000"/>
          <w:sz w:val="24"/>
          <w:szCs w:val="24"/>
          <w:u w:val="single"/>
        </w:rPr>
        <w:lastRenderedPageBreak/>
        <w:t xml:space="preserve">formular políticas deben prepararse para la posibilidad de tener que adoptar medidas adicionales para apoyar la </w:t>
      </w:r>
      <w:r>
        <w:rPr>
          <w:rFonts w:ascii="Times New Roman" w:hAnsi="Times New Roman" w:cs="Times New Roman"/>
          <w:color w:val="FF0000"/>
          <w:sz w:val="24"/>
          <w:szCs w:val="24"/>
          <w:u w:val="single"/>
        </w:rPr>
        <w:t>actividad”</w:t>
      </w:r>
      <w:r w:rsidR="00EA1637" w:rsidRPr="00951820">
        <w:rPr>
          <w:rFonts w:ascii="Times New Roman" w:hAnsi="Times New Roman" w:cs="Times New Roman"/>
          <w:color w:val="FF0000"/>
          <w:sz w:val="24"/>
          <w:szCs w:val="24"/>
          <w:u w:val="single"/>
        </w:rPr>
        <w:t>, añadió.</w:t>
      </w:r>
    </w:p>
    <w:p w:rsidR="00EA1637" w:rsidRPr="00951820" w:rsidRDefault="00EA1637" w:rsidP="00FA4DA9">
      <w:pPr>
        <w:spacing w:line="240" w:lineRule="auto"/>
        <w:jc w:val="both"/>
        <w:rPr>
          <w:rFonts w:ascii="Times New Roman" w:hAnsi="Times New Roman" w:cs="Times New Roman"/>
          <w:color w:val="FF0000"/>
          <w:sz w:val="24"/>
          <w:szCs w:val="24"/>
          <w:u w:val="single"/>
        </w:rPr>
      </w:pPr>
      <w:r w:rsidRPr="00951820">
        <w:rPr>
          <w:rFonts w:ascii="Times New Roman" w:hAnsi="Times New Roman" w:cs="Times New Roman"/>
          <w:color w:val="FF0000"/>
          <w:sz w:val="24"/>
          <w:szCs w:val="24"/>
          <w:u w:val="single"/>
        </w:rPr>
        <w:t>En su último informe Perspectivas Económicas Globales, el Banco Mundial detalla que el crecimiento de las economías avanzadas se desplomará un 7% en 2020 mientras que en los países emergentes tan solo lo hará un 2,5%, su primera caída en la serie histórica (que comienza en 1960)</w:t>
      </w:r>
    </w:p>
    <w:p w:rsidR="00EA1637" w:rsidRPr="00951820" w:rsidRDefault="00EA1637" w:rsidP="00FA4DA9">
      <w:pPr>
        <w:spacing w:line="240" w:lineRule="auto"/>
        <w:jc w:val="both"/>
        <w:rPr>
          <w:rFonts w:ascii="Times New Roman" w:hAnsi="Times New Roman" w:cs="Times New Roman"/>
          <w:b/>
          <w:color w:val="FF0000"/>
          <w:sz w:val="24"/>
          <w:szCs w:val="24"/>
          <w:u w:val="single"/>
        </w:rPr>
      </w:pPr>
      <w:r w:rsidRPr="00951820">
        <w:rPr>
          <w:rFonts w:ascii="Times New Roman" w:hAnsi="Times New Roman" w:cs="Times New Roman"/>
          <w:b/>
          <w:color w:val="FF0000"/>
          <w:sz w:val="24"/>
          <w:szCs w:val="24"/>
          <w:u w:val="single"/>
        </w:rPr>
        <w:t>Entre las principales economías mundiales, la zona euro será la que muestre una peor evolución este año, con una caída del PIB estimada del 9,1% ante el peso que el sector turístico tiene en numerosas economías del bloque, mientras que las medidas de expansión monetaria aplicadas por el Banco Central Europeo y los estímulos fiscales permitirán un rebote del 4,5% en 2021.</w:t>
      </w:r>
    </w:p>
    <w:p w:rsidR="00EA1637" w:rsidRPr="00951820" w:rsidRDefault="00EA1637" w:rsidP="00FA4DA9">
      <w:pPr>
        <w:spacing w:line="240" w:lineRule="auto"/>
        <w:jc w:val="both"/>
        <w:rPr>
          <w:rFonts w:ascii="Times New Roman" w:hAnsi="Times New Roman" w:cs="Times New Roman"/>
          <w:b/>
          <w:color w:val="FF0000"/>
          <w:sz w:val="24"/>
          <w:szCs w:val="24"/>
          <w:u w:val="single"/>
        </w:rPr>
      </w:pPr>
      <w:r w:rsidRPr="00951820">
        <w:rPr>
          <w:rFonts w:ascii="Times New Roman" w:hAnsi="Times New Roman" w:cs="Times New Roman"/>
          <w:b/>
          <w:color w:val="FF0000"/>
          <w:sz w:val="24"/>
          <w:szCs w:val="24"/>
          <w:u w:val="single"/>
        </w:rPr>
        <w:t>En el caso de Estados Unidos, el Banco Mundial prevé una contracción de la actividad en 2020 del 6,1%, seguida de una recuperación del 4% el próximo año, mientras que para China, la institución internacional anticipa un crecimiento del 1% en 2020 y una expansión el próximo año del 6,9%.</w:t>
      </w:r>
    </w:p>
    <w:p w:rsidR="00EA1637" w:rsidRPr="00951820" w:rsidRDefault="00EA1637" w:rsidP="00FA4DA9">
      <w:pPr>
        <w:spacing w:line="240" w:lineRule="auto"/>
        <w:jc w:val="both"/>
        <w:rPr>
          <w:rFonts w:ascii="Times New Roman" w:hAnsi="Times New Roman" w:cs="Times New Roman"/>
          <w:b/>
          <w:color w:val="FF0000"/>
          <w:sz w:val="24"/>
          <w:szCs w:val="24"/>
          <w:u w:val="single"/>
        </w:rPr>
      </w:pPr>
      <w:r w:rsidRPr="00951820">
        <w:rPr>
          <w:rFonts w:ascii="Times New Roman" w:hAnsi="Times New Roman" w:cs="Times New Roman"/>
          <w:b/>
          <w:color w:val="FF0000"/>
          <w:sz w:val="24"/>
          <w:szCs w:val="24"/>
          <w:u w:val="single"/>
        </w:rPr>
        <w:t>Según los pronósticos de base de la institución, en 2021 el crecimiento de las economías avanzadas repuntaría un 3,9% y un 4,6% para los países en desarrollo.</w:t>
      </w:r>
    </w:p>
    <w:p w:rsidR="00EA1637" w:rsidRPr="0064575B" w:rsidRDefault="00EA1637" w:rsidP="00FA4DA9">
      <w:pPr>
        <w:spacing w:line="240" w:lineRule="auto"/>
        <w:jc w:val="both"/>
        <w:rPr>
          <w:rFonts w:ascii="Times New Roman" w:hAnsi="Times New Roman" w:cs="Times New Roman"/>
          <w:sz w:val="24"/>
          <w:szCs w:val="24"/>
        </w:rPr>
      </w:pPr>
      <w:r w:rsidRPr="0064575B">
        <w:rPr>
          <w:rFonts w:ascii="Times New Roman" w:hAnsi="Times New Roman" w:cs="Times New Roman"/>
          <w:sz w:val="24"/>
          <w:szCs w:val="24"/>
        </w:rPr>
        <w:t>Sin embargo, el Banco Mundial subraya que las perspectivas son sumamente inciertas y predominan los riesgos de que la situación empeore, debido, por ejemplo, a la posibilidad de que la pandemia se prolongue por más tiempo, que ocurran turbulencias financieras o de que se produzca un repliegue del comercio internacional.</w:t>
      </w:r>
    </w:p>
    <w:p w:rsidR="00EA1637" w:rsidRDefault="00EA1637" w:rsidP="00FA4DA9">
      <w:pPr>
        <w:spacing w:line="240" w:lineRule="auto"/>
        <w:jc w:val="both"/>
        <w:rPr>
          <w:rFonts w:ascii="Times New Roman" w:hAnsi="Times New Roman" w:cs="Times New Roman"/>
          <w:sz w:val="24"/>
          <w:szCs w:val="24"/>
        </w:rPr>
      </w:pPr>
      <w:r w:rsidRPr="0064575B">
        <w:rPr>
          <w:rFonts w:ascii="Times New Roman" w:hAnsi="Times New Roman" w:cs="Times New Roman"/>
          <w:sz w:val="24"/>
          <w:szCs w:val="24"/>
        </w:rPr>
        <w:t>Bajo esta hipótesis menos halagüeña, la economía mundial podría contraerse hasta un 8% este año, para recuperarse apenas por encima de un 1% en 2021, en tanto que el producto de los países en desarrollo disminuiría casi un 5% este año y un 10% el de las economías avanzadas. Por contra, en un escenario optimista, el PIB mundial caería en 2020 un 4% para recuperarse más de un 5% el próximo año.</w:t>
      </w:r>
    </w:p>
    <w:p w:rsidR="00EA1637" w:rsidRPr="0064575B" w:rsidRDefault="00EA1637"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4575B">
        <w:rPr>
          <w:rFonts w:ascii="Times New Roman" w:hAnsi="Times New Roman" w:cs="Times New Roman"/>
          <w:sz w:val="24"/>
          <w:szCs w:val="24"/>
        </w:rPr>
        <w:t>¿</w:t>
      </w:r>
      <w:r w:rsidRPr="002E0696">
        <w:rPr>
          <w:rFonts w:ascii="Times New Roman" w:hAnsi="Times New Roman" w:cs="Times New Roman"/>
          <w:sz w:val="24"/>
          <w:szCs w:val="24"/>
          <w:u w:val="single"/>
        </w:rPr>
        <w:t>Qué ha cambiado con 2008? En unas semanas se ha logrado lo que en la anterior crisis llevó años</w:t>
      </w:r>
      <w:r>
        <w:rPr>
          <w:rFonts w:ascii="Times New Roman" w:hAnsi="Times New Roman" w:cs="Times New Roman"/>
          <w:sz w:val="24"/>
          <w:szCs w:val="24"/>
        </w:rPr>
        <w:t xml:space="preserve"> (El Economista - </w:t>
      </w:r>
      <w:r w:rsidRPr="002E0696">
        <w:rPr>
          <w:rFonts w:ascii="Times New Roman" w:hAnsi="Times New Roman" w:cs="Times New Roman"/>
          <w:b/>
          <w:sz w:val="24"/>
          <w:szCs w:val="24"/>
        </w:rPr>
        <w:t>8/6/20</w:t>
      </w:r>
      <w:r>
        <w:rPr>
          <w:rFonts w:ascii="Times New Roman" w:hAnsi="Times New Roman" w:cs="Times New Roman"/>
          <w:sz w:val="24"/>
          <w:szCs w:val="24"/>
        </w:rPr>
        <w:t>)</w:t>
      </w:r>
    </w:p>
    <w:p w:rsidR="00EA1637" w:rsidRDefault="00EA1637" w:rsidP="00FA4DA9">
      <w:pPr>
        <w:spacing w:line="240" w:lineRule="auto"/>
        <w:jc w:val="both"/>
        <w:rPr>
          <w:rFonts w:ascii="Times New Roman" w:hAnsi="Times New Roman" w:cs="Times New Roman"/>
          <w:sz w:val="24"/>
          <w:szCs w:val="24"/>
        </w:rPr>
      </w:pPr>
      <w:r w:rsidRPr="002E0696">
        <w:rPr>
          <w:rFonts w:ascii="Times New Roman" w:hAnsi="Times New Roman" w:cs="Times New Roman"/>
          <w:sz w:val="24"/>
          <w:szCs w:val="24"/>
        </w:rPr>
        <w:t xml:space="preserve">Las crisis económicas son un trago duro para millones de personas que se ven afectadas de forma directa e indirecta. Sin embargo, cada recesión económica también puede ser una lección para el futuro, un aprendizaje que puede marcar la diferencia. Por ejemplo, en esta ocasión gobiernos y banca central han reaccionado con una intensidad sin precedentes y sin límites aparentes (al menos en el lenguaje) al impacto causado por el coronavirus. </w:t>
      </w:r>
      <w:r w:rsidRPr="00951820">
        <w:rPr>
          <w:rFonts w:ascii="Times New Roman" w:hAnsi="Times New Roman" w:cs="Times New Roman"/>
          <w:color w:val="FF0000"/>
          <w:sz w:val="24"/>
          <w:szCs w:val="24"/>
          <w:u w:val="single"/>
        </w:rPr>
        <w:t>Las políticas que tardaron en desplegarse años durante la crisis de 2007-2008, ahora se han puesto en marcha en cuestión de semanas.</w:t>
      </w:r>
      <w:r w:rsidRPr="002E0696">
        <w:rPr>
          <w:rFonts w:ascii="Times New Roman" w:hAnsi="Times New Roman" w:cs="Times New Roman"/>
          <w:sz w:val="24"/>
          <w:szCs w:val="24"/>
        </w:rPr>
        <w:t xml:space="preserve"> </w:t>
      </w:r>
      <w:r w:rsidRPr="00951820">
        <w:rPr>
          <w:rFonts w:ascii="Times New Roman" w:hAnsi="Times New Roman" w:cs="Times New Roman"/>
          <w:color w:val="FF0000"/>
          <w:sz w:val="24"/>
          <w:szCs w:val="24"/>
          <w:u w:val="single"/>
        </w:rPr>
        <w:t xml:space="preserve">Además, una parte de estas medidas se ha modificado para que sus efectos lleguen casi de forma directa a la población y las empresas más afectadas. </w:t>
      </w:r>
      <w:r w:rsidRPr="00951820">
        <w:rPr>
          <w:rFonts w:ascii="Times New Roman" w:hAnsi="Times New Roman" w:cs="Times New Roman"/>
          <w:b/>
          <w:color w:val="FF0000"/>
          <w:sz w:val="24"/>
          <w:szCs w:val="24"/>
          <w:u w:val="single"/>
        </w:rPr>
        <w:t>Este cambio se puede ver reflejado en el crecimiento de la oferta monetaria (medida por el agregado monetario M3) que crece al mayor ritmo de los últimos doce años.</w:t>
      </w:r>
      <w:r w:rsidRPr="00951820">
        <w:rPr>
          <w:rFonts w:ascii="Times New Roman" w:hAnsi="Times New Roman" w:cs="Times New Roman"/>
          <w:color w:val="FF0000"/>
          <w:sz w:val="24"/>
          <w:szCs w:val="24"/>
        </w:rPr>
        <w:t xml:space="preserve"> </w:t>
      </w:r>
      <w:r w:rsidRPr="00951820">
        <w:rPr>
          <w:rFonts w:ascii="Times New Roman" w:hAnsi="Times New Roman" w:cs="Times New Roman"/>
          <w:color w:val="FF0000"/>
          <w:sz w:val="24"/>
          <w:szCs w:val="24"/>
          <w:u w:val="single"/>
        </w:rPr>
        <w:t>El crédito está fluyendo hacia las empresas más necesitadas, mientras que el gasto público de los gobiernos está llegando directamente a las manos de los ciudadanos más vulnerables, a la par que las primas de riesgo se mantienen a raya en Europa con la decisiva intervención del banco central</w:t>
      </w:r>
      <w:r w:rsidRPr="002E0696">
        <w:rPr>
          <w:rFonts w:ascii="Times New Roman" w:hAnsi="Times New Roman" w:cs="Times New Roman"/>
          <w:sz w:val="24"/>
          <w:szCs w:val="24"/>
        </w:rPr>
        <w:t xml:space="preserve">. Pese a que esta recesión económica no tiene precedentes en la economía moderna, el trago podría terminar siendo menos </w:t>
      </w:r>
      <w:r>
        <w:rPr>
          <w:rFonts w:ascii="Times New Roman" w:hAnsi="Times New Roman" w:cs="Times New Roman"/>
          <w:sz w:val="24"/>
          <w:szCs w:val="24"/>
        </w:rPr>
        <w:t>duro gracias a estas políticas.</w:t>
      </w:r>
    </w:p>
    <w:p w:rsidR="00ED6BB0" w:rsidRPr="002E0696" w:rsidRDefault="00ED6BB0" w:rsidP="00FA4DA9">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696102F6" wp14:editId="49BB98F5">
            <wp:extent cx="5734050" cy="3397250"/>
            <wp:effectExtent l="0" t="0" r="0" b="0"/>
            <wp:docPr id="279" name="Imagen 279" descr="https://s03.s3c.es/imag/_v0/770x504/e/6/a/crecimiento-agregado-M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70x504/e/6/a/crecimiento-agregado-M3.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31510" cy="3395745"/>
                    </a:xfrm>
                    <a:prstGeom prst="rect">
                      <a:avLst/>
                    </a:prstGeom>
                    <a:noFill/>
                    <a:ln>
                      <a:noFill/>
                    </a:ln>
                  </pic:spPr>
                </pic:pic>
              </a:graphicData>
            </a:graphic>
          </wp:inline>
        </w:drawing>
      </w:r>
    </w:p>
    <w:p w:rsidR="00EA1637" w:rsidRPr="00951820" w:rsidRDefault="00EA1637" w:rsidP="00FA4DA9">
      <w:pPr>
        <w:spacing w:line="240" w:lineRule="auto"/>
        <w:jc w:val="both"/>
        <w:rPr>
          <w:rFonts w:ascii="Times New Roman" w:hAnsi="Times New Roman" w:cs="Times New Roman"/>
          <w:color w:val="FF0000"/>
          <w:sz w:val="24"/>
          <w:szCs w:val="24"/>
          <w:u w:val="single"/>
        </w:rPr>
      </w:pPr>
      <w:r w:rsidRPr="00951820">
        <w:rPr>
          <w:rFonts w:ascii="Times New Roman" w:hAnsi="Times New Roman" w:cs="Times New Roman"/>
          <w:color w:val="FF0000"/>
          <w:sz w:val="24"/>
          <w:szCs w:val="24"/>
          <w:u w:val="single"/>
        </w:rPr>
        <w:t>Así lo remarca el Banco Internacional de Pagos (BiS) en un documento en el que analiza las respuesta</w:t>
      </w:r>
      <w:r w:rsidR="00EC3DB2">
        <w:rPr>
          <w:rFonts w:ascii="Times New Roman" w:hAnsi="Times New Roman" w:cs="Times New Roman"/>
          <w:color w:val="FF0000"/>
          <w:sz w:val="24"/>
          <w:szCs w:val="24"/>
          <w:u w:val="single"/>
        </w:rPr>
        <w:t>s a la crisis del coronavirus. “</w:t>
      </w:r>
      <w:r w:rsidRPr="00951820">
        <w:rPr>
          <w:rFonts w:ascii="Times New Roman" w:hAnsi="Times New Roman" w:cs="Times New Roman"/>
          <w:color w:val="FF0000"/>
          <w:sz w:val="24"/>
          <w:szCs w:val="24"/>
          <w:u w:val="single"/>
        </w:rPr>
        <w:t>La capacidad de aprovechar las lecciones aprendidas de la Gran Crisis Financiera (GFC, por sus siglas en inglés) de 2007-09 ha facilitado la rápida intervención de los bancos centrales. Las medidas políticas (monetarias y fiscales) implementadas entre 2007 y 2015 solo han necesitado de unas pocas semanas para implementar</w:t>
      </w:r>
      <w:r w:rsidR="00EC3DB2">
        <w:rPr>
          <w:rFonts w:ascii="Times New Roman" w:hAnsi="Times New Roman" w:cs="Times New Roman"/>
          <w:color w:val="FF0000"/>
          <w:sz w:val="24"/>
          <w:szCs w:val="24"/>
          <w:u w:val="single"/>
        </w:rPr>
        <w:t>se como respuesta a la pandemia”</w:t>
      </w:r>
      <w:r w:rsidRPr="00951820">
        <w:rPr>
          <w:rFonts w:ascii="Times New Roman" w:hAnsi="Times New Roman" w:cs="Times New Roman"/>
          <w:color w:val="FF0000"/>
          <w:sz w:val="24"/>
          <w:szCs w:val="24"/>
          <w:u w:val="single"/>
        </w:rPr>
        <w:t>.</w:t>
      </w:r>
    </w:p>
    <w:p w:rsidR="00EA1637" w:rsidRPr="002E0696" w:rsidRDefault="00EA1637" w:rsidP="00FA4DA9">
      <w:pPr>
        <w:spacing w:line="240" w:lineRule="auto"/>
        <w:jc w:val="both"/>
        <w:rPr>
          <w:rFonts w:ascii="Times New Roman" w:hAnsi="Times New Roman" w:cs="Times New Roman"/>
          <w:sz w:val="24"/>
          <w:szCs w:val="24"/>
        </w:rPr>
      </w:pPr>
      <w:r w:rsidRPr="002E0696">
        <w:rPr>
          <w:rFonts w:ascii="Times New Roman" w:hAnsi="Times New Roman" w:cs="Times New Roman"/>
          <w:sz w:val="24"/>
          <w:szCs w:val="24"/>
        </w:rPr>
        <w:t>Primero los tipos...</w:t>
      </w:r>
    </w:p>
    <w:p w:rsidR="00EA1637" w:rsidRPr="002E0696" w:rsidRDefault="00EA1637" w:rsidP="00FA4DA9">
      <w:pPr>
        <w:spacing w:line="240" w:lineRule="auto"/>
        <w:jc w:val="both"/>
        <w:rPr>
          <w:rFonts w:ascii="Times New Roman" w:hAnsi="Times New Roman" w:cs="Times New Roman"/>
          <w:sz w:val="24"/>
          <w:szCs w:val="24"/>
        </w:rPr>
      </w:pPr>
      <w:r w:rsidRPr="002E0696">
        <w:rPr>
          <w:rFonts w:ascii="Times New Roman" w:hAnsi="Times New Roman" w:cs="Times New Roman"/>
          <w:sz w:val="24"/>
          <w:szCs w:val="24"/>
        </w:rPr>
        <w:t>El principio ha sido similar, aunque a una velocidad muy superior. Cuando el sentimiento comenzó a cambiar en marzo y se pudo ver que el coronavirus iba a tene</w:t>
      </w:r>
      <w:r w:rsidR="00ED6BB0">
        <w:rPr>
          <w:rFonts w:ascii="Times New Roman" w:hAnsi="Times New Roman" w:cs="Times New Roman"/>
          <w:sz w:val="24"/>
          <w:szCs w:val="24"/>
        </w:rPr>
        <w:t>r un impacto global comenzó el “baile”</w:t>
      </w:r>
      <w:r w:rsidRPr="002E0696">
        <w:rPr>
          <w:rFonts w:ascii="Times New Roman" w:hAnsi="Times New Roman" w:cs="Times New Roman"/>
          <w:sz w:val="24"/>
          <w:szCs w:val="24"/>
        </w:rPr>
        <w:t xml:space="preserve">. Como es habitual durante las crisis, </w:t>
      </w:r>
      <w:r w:rsidRPr="00951820">
        <w:rPr>
          <w:rFonts w:ascii="Times New Roman" w:hAnsi="Times New Roman" w:cs="Times New Roman"/>
          <w:color w:val="FF0000"/>
          <w:sz w:val="24"/>
          <w:szCs w:val="24"/>
          <w:u w:val="single"/>
        </w:rPr>
        <w:t>la primera medida fue una reducción de los tipos de interés para aliviar los costes de financiación y respaldar la demanda agregada.</w:t>
      </w:r>
      <w:r w:rsidRPr="00951820">
        <w:rPr>
          <w:rFonts w:ascii="Times New Roman" w:hAnsi="Times New Roman" w:cs="Times New Roman"/>
          <w:color w:val="FF0000"/>
          <w:sz w:val="24"/>
          <w:szCs w:val="24"/>
        </w:rPr>
        <w:t xml:space="preserve"> </w:t>
      </w:r>
      <w:r w:rsidRPr="002E0696">
        <w:rPr>
          <w:rFonts w:ascii="Times New Roman" w:hAnsi="Times New Roman" w:cs="Times New Roman"/>
          <w:sz w:val="24"/>
          <w:szCs w:val="24"/>
        </w:rPr>
        <w:t>Excepto en Japón y la zona del euro, donde los tipos de interés ya se encontraban en territorio negativo, las tipos se han reducido para alcanzar su límite inferior en menos de un mes, mucho</w:t>
      </w:r>
      <w:r>
        <w:rPr>
          <w:rFonts w:ascii="Times New Roman" w:hAnsi="Times New Roman" w:cs="Times New Roman"/>
          <w:sz w:val="24"/>
          <w:szCs w:val="24"/>
        </w:rPr>
        <w:t xml:space="preserve"> más rápido que durante el GFC.</w:t>
      </w:r>
    </w:p>
    <w:p w:rsidR="00EA1637" w:rsidRPr="002E0696" w:rsidRDefault="00EA1637" w:rsidP="00FA4DA9">
      <w:pPr>
        <w:spacing w:line="240" w:lineRule="auto"/>
        <w:jc w:val="both"/>
        <w:rPr>
          <w:rFonts w:ascii="Times New Roman" w:hAnsi="Times New Roman" w:cs="Times New Roman"/>
          <w:sz w:val="24"/>
          <w:szCs w:val="24"/>
        </w:rPr>
      </w:pPr>
      <w:r w:rsidRPr="002E0696">
        <w:rPr>
          <w:rFonts w:ascii="Times New Roman" w:hAnsi="Times New Roman" w:cs="Times New Roman"/>
          <w:sz w:val="24"/>
          <w:szCs w:val="24"/>
        </w:rPr>
        <w:t xml:space="preserve">... Después inyecciones teledirigidas </w:t>
      </w:r>
    </w:p>
    <w:p w:rsidR="00EA1637" w:rsidRPr="002E0696" w:rsidRDefault="00EA1637" w:rsidP="00FA4DA9">
      <w:pPr>
        <w:spacing w:line="240" w:lineRule="auto"/>
        <w:jc w:val="both"/>
        <w:rPr>
          <w:rFonts w:ascii="Times New Roman" w:hAnsi="Times New Roman" w:cs="Times New Roman"/>
          <w:sz w:val="24"/>
          <w:szCs w:val="24"/>
        </w:rPr>
      </w:pPr>
      <w:r w:rsidRPr="00951820">
        <w:rPr>
          <w:rFonts w:ascii="Times New Roman" w:hAnsi="Times New Roman" w:cs="Times New Roman"/>
          <w:color w:val="FF0000"/>
          <w:sz w:val="24"/>
          <w:szCs w:val="24"/>
          <w:u w:val="single"/>
        </w:rPr>
        <w:t>Además, estos recortes de tipos han venido acompañados de grandes inyecciones de liquidez teledirigidas hacia la economía real, en un intento por evitar que estas operaciones se quedaran atascadas en los canales de transmisión (la banca principalmente) como ocurrió en el pasado.</w:t>
      </w:r>
      <w:r w:rsidRPr="00951820">
        <w:rPr>
          <w:rFonts w:ascii="Times New Roman" w:hAnsi="Times New Roman" w:cs="Times New Roman"/>
          <w:color w:val="FF0000"/>
          <w:sz w:val="24"/>
          <w:szCs w:val="24"/>
        </w:rPr>
        <w:t xml:space="preserve"> </w:t>
      </w:r>
      <w:r w:rsidRPr="002E0696">
        <w:rPr>
          <w:rFonts w:ascii="Times New Roman" w:hAnsi="Times New Roman" w:cs="Times New Roman"/>
          <w:sz w:val="24"/>
          <w:szCs w:val="24"/>
        </w:rPr>
        <w:t xml:space="preserve">Estas políticas han venido acompañadas por los vastos sistemas de avales de crédito de los gobiernos, que han animado a que los préstamos fluyesen </w:t>
      </w:r>
      <w:r>
        <w:rPr>
          <w:rFonts w:ascii="Times New Roman" w:hAnsi="Times New Roman" w:cs="Times New Roman"/>
          <w:sz w:val="24"/>
          <w:szCs w:val="24"/>
        </w:rPr>
        <w:t>hacia donde era más necesarios.</w:t>
      </w:r>
    </w:p>
    <w:p w:rsidR="00EA1637" w:rsidRPr="002E0696" w:rsidRDefault="00EC3DB2"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EA1637" w:rsidRPr="002E0696">
        <w:rPr>
          <w:rFonts w:ascii="Times New Roman" w:hAnsi="Times New Roman" w:cs="Times New Roman"/>
          <w:sz w:val="24"/>
          <w:szCs w:val="24"/>
        </w:rPr>
        <w:t xml:space="preserve">La gran diferencia en la respuesta de los bancos centrales al Covid-19 ha sido el uso de medidas diseñadas para apoyar el flujo de crédito a los hogares y empresas. </w:t>
      </w:r>
      <w:r w:rsidR="00EA1637" w:rsidRPr="00132BD6">
        <w:rPr>
          <w:rFonts w:ascii="Times New Roman" w:hAnsi="Times New Roman" w:cs="Times New Roman"/>
          <w:sz w:val="24"/>
          <w:szCs w:val="24"/>
          <w:u w:val="single"/>
        </w:rPr>
        <w:t>Su despliegue ha sido más directo y de mayor alcance que durante el GFC</w:t>
      </w:r>
      <w:r w:rsidR="00EA1637" w:rsidRPr="002E0696">
        <w:rPr>
          <w:rFonts w:ascii="Times New Roman" w:hAnsi="Times New Roman" w:cs="Times New Roman"/>
          <w:sz w:val="24"/>
          <w:szCs w:val="24"/>
        </w:rPr>
        <w:t xml:space="preserve">. </w:t>
      </w:r>
      <w:r w:rsidR="00EA1637" w:rsidRPr="00132BD6">
        <w:rPr>
          <w:rFonts w:ascii="Times New Roman" w:hAnsi="Times New Roman" w:cs="Times New Roman"/>
          <w:sz w:val="24"/>
          <w:szCs w:val="24"/>
          <w:u w:val="single"/>
        </w:rPr>
        <w:t xml:space="preserve">Por el contrario, aunque el apoyo con liquidez al sector financiero fue considerable durante el GFC, ha desempeñado un papel </w:t>
      </w:r>
      <w:r w:rsidR="00EA1637" w:rsidRPr="00132BD6">
        <w:rPr>
          <w:rFonts w:ascii="Times New Roman" w:hAnsi="Times New Roman" w:cs="Times New Roman"/>
          <w:sz w:val="24"/>
          <w:szCs w:val="24"/>
          <w:u w:val="single"/>
        </w:rPr>
        <w:lastRenderedPageBreak/>
        <w:t>más limitado hasta el momento durante la pandemia de Covid-19</w:t>
      </w:r>
      <w:r>
        <w:rPr>
          <w:rFonts w:ascii="Times New Roman" w:hAnsi="Times New Roman" w:cs="Times New Roman"/>
          <w:sz w:val="24"/>
          <w:szCs w:val="24"/>
        </w:rPr>
        <w:t>”</w:t>
      </w:r>
      <w:r w:rsidR="00EA1637" w:rsidRPr="002E0696">
        <w:rPr>
          <w:rFonts w:ascii="Times New Roman" w:hAnsi="Times New Roman" w:cs="Times New Roman"/>
          <w:sz w:val="24"/>
          <w:szCs w:val="24"/>
        </w:rPr>
        <w:t>, comentan Paolo Cavallino y Fiorella De Fiore, economistas del BiS.</w:t>
      </w:r>
    </w:p>
    <w:p w:rsidR="00EA1637" w:rsidRPr="002E0696" w:rsidRDefault="00EA1637" w:rsidP="00FA4DA9">
      <w:pPr>
        <w:spacing w:line="240" w:lineRule="auto"/>
        <w:jc w:val="both"/>
        <w:rPr>
          <w:rFonts w:ascii="Times New Roman" w:hAnsi="Times New Roman" w:cs="Times New Roman"/>
          <w:sz w:val="24"/>
          <w:szCs w:val="24"/>
        </w:rPr>
      </w:pPr>
      <w:r w:rsidRPr="00132BD6">
        <w:rPr>
          <w:rFonts w:ascii="Times New Roman" w:hAnsi="Times New Roman" w:cs="Times New Roman"/>
          <w:b/>
          <w:color w:val="FF0000"/>
          <w:sz w:val="24"/>
          <w:szCs w:val="24"/>
          <w:u w:val="single"/>
        </w:rPr>
        <w:t>Teniendo en cuenta los movimientos del Banco Central Europeo, el Banco de Japón, el de Inglaterra, Canadá y la Re</w:t>
      </w:r>
      <w:r w:rsidR="00356FED">
        <w:rPr>
          <w:rFonts w:ascii="Times New Roman" w:hAnsi="Times New Roman" w:cs="Times New Roman"/>
          <w:b/>
          <w:color w:val="FF0000"/>
          <w:sz w:val="24"/>
          <w:szCs w:val="24"/>
          <w:u w:val="single"/>
        </w:rPr>
        <w:t>serva Federal de EEUU</w:t>
      </w:r>
      <w:r w:rsidRPr="00132BD6">
        <w:rPr>
          <w:rFonts w:ascii="Times New Roman" w:hAnsi="Times New Roman" w:cs="Times New Roman"/>
          <w:b/>
          <w:color w:val="FF0000"/>
          <w:sz w:val="24"/>
          <w:szCs w:val="24"/>
          <w:u w:val="single"/>
        </w:rPr>
        <w:t>, se espera que las medidas diseñadas para proporcionar crédito al sector privado (no financiero) durante la pandemia del Covid-19 incrementen los balances de los bancos centrales en un 6,3% del PIB de media, frente al 2,5% de la GFC</w:t>
      </w:r>
      <w:r w:rsidRPr="002E0696">
        <w:rPr>
          <w:rFonts w:ascii="Times New Roman" w:hAnsi="Times New Roman" w:cs="Times New Roman"/>
          <w:sz w:val="24"/>
          <w:szCs w:val="24"/>
        </w:rPr>
        <w:t>. Hasta ahora, los préstamos de liquidez de emergencia a los bancos, que representan la función tradicional de prestamista de último recurso de los bancos centrales, han sido en m</w:t>
      </w:r>
      <w:r>
        <w:rPr>
          <w:rFonts w:ascii="Times New Roman" w:hAnsi="Times New Roman" w:cs="Times New Roman"/>
          <w:sz w:val="24"/>
          <w:szCs w:val="24"/>
        </w:rPr>
        <w:t>enor escala que durante el GFC.</w:t>
      </w:r>
    </w:p>
    <w:p w:rsidR="00EA1637" w:rsidRPr="002E0696" w:rsidRDefault="00EA1637" w:rsidP="00FA4DA9">
      <w:pPr>
        <w:spacing w:line="240" w:lineRule="auto"/>
        <w:jc w:val="both"/>
        <w:rPr>
          <w:rFonts w:ascii="Times New Roman" w:hAnsi="Times New Roman" w:cs="Times New Roman"/>
          <w:sz w:val="24"/>
          <w:szCs w:val="24"/>
        </w:rPr>
      </w:pPr>
      <w:r w:rsidRPr="002E0696">
        <w:rPr>
          <w:rFonts w:ascii="Times New Roman" w:hAnsi="Times New Roman" w:cs="Times New Roman"/>
          <w:sz w:val="24"/>
          <w:szCs w:val="24"/>
        </w:rPr>
        <w:t>Coordinación en Europa</w:t>
      </w:r>
    </w:p>
    <w:p w:rsidR="00EA1637" w:rsidRPr="002E0696" w:rsidRDefault="00EA1637" w:rsidP="00FA4DA9">
      <w:pPr>
        <w:spacing w:line="240" w:lineRule="auto"/>
        <w:jc w:val="both"/>
        <w:rPr>
          <w:rFonts w:ascii="Times New Roman" w:hAnsi="Times New Roman" w:cs="Times New Roman"/>
          <w:sz w:val="24"/>
          <w:szCs w:val="24"/>
        </w:rPr>
      </w:pPr>
      <w:r w:rsidRPr="00132BD6">
        <w:rPr>
          <w:rFonts w:ascii="Times New Roman" w:hAnsi="Times New Roman" w:cs="Times New Roman"/>
          <w:sz w:val="24"/>
          <w:szCs w:val="24"/>
          <w:u w:val="single"/>
        </w:rPr>
        <w:t>Los gobiernos de Europa, por ejemplo, han aprobado vastos sistemas de trabajo a corto plazo (en España a través de los ERTE) para mantener el empleo. El leve aumento de la tasa de paro en Europa se debe al uso coordinado de estos esquemas para reducir las horas de trabajo de forma temporal en las economías más grandes de la región</w:t>
      </w:r>
      <w:r w:rsidRPr="002E0696">
        <w:rPr>
          <w:rFonts w:ascii="Times New Roman" w:hAnsi="Times New Roman" w:cs="Times New Roman"/>
          <w:sz w:val="24"/>
          <w:szCs w:val="24"/>
        </w:rPr>
        <w:t xml:space="preserve">. Los países europeos se han coordinado para poner en marcha estos esquemas como una alternativa a los despidos masivos que se están produciendo en otros países. </w:t>
      </w:r>
      <w:r w:rsidRPr="00132BD6">
        <w:rPr>
          <w:rFonts w:ascii="Times New Roman" w:hAnsi="Times New Roman" w:cs="Times New Roman"/>
          <w:sz w:val="24"/>
          <w:szCs w:val="24"/>
          <w:u w:val="single"/>
        </w:rPr>
        <w:t>De esta forma, los gobiernos tienen que asumir una parte importante del coste (un porcentaje de la reducción de horas trabajadas), pero se garantiza que los trabajadores volverán a sus puestos cuando la situación haya mejorado. Esto ha permitido que millones de personas mantengan sus trabajos, lo que podría estar impulsando el consumo ahora que la economía comienza a reabrir sus puertas</w:t>
      </w:r>
      <w:r w:rsidRPr="002E0696">
        <w:rPr>
          <w:rFonts w:ascii="Times New Roman" w:hAnsi="Times New Roman" w:cs="Times New Roman"/>
          <w:sz w:val="24"/>
          <w:szCs w:val="24"/>
        </w:rPr>
        <w:t>. Estas políticas coordinadas pueden impulsar la recuperación económica y disminuir los daños en el mercado la</w:t>
      </w:r>
      <w:r>
        <w:rPr>
          <w:rFonts w:ascii="Times New Roman" w:hAnsi="Times New Roman" w:cs="Times New Roman"/>
          <w:sz w:val="24"/>
          <w:szCs w:val="24"/>
        </w:rPr>
        <w:t>boral y la economía en general.</w:t>
      </w:r>
    </w:p>
    <w:p w:rsidR="00EA1637" w:rsidRPr="00132BD6" w:rsidRDefault="00EA1637" w:rsidP="00FA4DA9">
      <w:pPr>
        <w:spacing w:line="240" w:lineRule="auto"/>
        <w:jc w:val="both"/>
        <w:rPr>
          <w:rFonts w:ascii="Times New Roman" w:hAnsi="Times New Roman" w:cs="Times New Roman"/>
          <w:color w:val="FF0000"/>
          <w:sz w:val="24"/>
          <w:szCs w:val="24"/>
          <w:u w:val="single"/>
        </w:rPr>
      </w:pPr>
      <w:r w:rsidRPr="00356FED">
        <w:rPr>
          <w:rFonts w:ascii="Times New Roman" w:hAnsi="Times New Roman" w:cs="Times New Roman"/>
          <w:b/>
          <w:color w:val="FF0000"/>
          <w:sz w:val="24"/>
          <w:szCs w:val="24"/>
          <w:u w:val="single"/>
        </w:rPr>
        <w:t>Los bancos centrales a su vez ha apoyado, aunque sea de forma indirecta (mercado secundario), la expansión fiscal de muchos gobiernos, a través de las medidas adoptadas que pretenden garantizar el logro de sus objetivos (inflación y pleno empleo) han reducido los costes para pagar la deuda pública y privada</w:t>
      </w:r>
      <w:r w:rsidRPr="00777533">
        <w:rPr>
          <w:rFonts w:ascii="Times New Roman" w:hAnsi="Times New Roman" w:cs="Times New Roman"/>
          <w:b/>
          <w:color w:val="FF0000"/>
          <w:sz w:val="24"/>
          <w:szCs w:val="24"/>
        </w:rPr>
        <w:t>.</w:t>
      </w:r>
      <w:r w:rsidRPr="00356FED">
        <w:rPr>
          <w:rFonts w:ascii="Times New Roman" w:hAnsi="Times New Roman" w:cs="Times New Roman"/>
          <w:b/>
          <w:sz w:val="24"/>
          <w:szCs w:val="24"/>
        </w:rPr>
        <w:t xml:space="preserve"> </w:t>
      </w:r>
      <w:r w:rsidR="00EC3DB2" w:rsidRPr="00356FED">
        <w:rPr>
          <w:rFonts w:ascii="Times New Roman" w:hAnsi="Times New Roman" w:cs="Times New Roman"/>
          <w:b/>
          <w:color w:val="FF0000"/>
          <w:sz w:val="24"/>
          <w:szCs w:val="24"/>
          <w:u w:val="single"/>
        </w:rPr>
        <w:t>“</w:t>
      </w:r>
      <w:r w:rsidRPr="00356FED">
        <w:rPr>
          <w:rFonts w:ascii="Times New Roman" w:hAnsi="Times New Roman" w:cs="Times New Roman"/>
          <w:b/>
          <w:color w:val="FF0000"/>
          <w:sz w:val="24"/>
          <w:szCs w:val="24"/>
          <w:u w:val="single"/>
        </w:rPr>
        <w:t xml:space="preserve">Los recortes de los tipos de interés, las operaciones de préstamo y los programas de compra de activos públicos han sido fundamentales a este respecto. Estas medidas también han asegurado que la emisión a gran escala de bonos soberanos se produzca sin perjudicar el funcionamiento adecuado de estos mercados. En general, la política fiscal y monetaria se han apoyado mutuamente en la búsqueda de la estabilidad macroeconómica, un objetivo que generalmente se encuentra en el centro del </w:t>
      </w:r>
      <w:r w:rsidR="00EC3DB2" w:rsidRPr="00356FED">
        <w:rPr>
          <w:rFonts w:ascii="Times New Roman" w:hAnsi="Times New Roman" w:cs="Times New Roman"/>
          <w:b/>
          <w:color w:val="FF0000"/>
          <w:sz w:val="24"/>
          <w:szCs w:val="24"/>
          <w:u w:val="single"/>
        </w:rPr>
        <w:t>mandato de los bancos centrales”</w:t>
      </w:r>
      <w:r w:rsidRPr="00356FED">
        <w:rPr>
          <w:rFonts w:ascii="Times New Roman" w:hAnsi="Times New Roman" w:cs="Times New Roman"/>
          <w:b/>
          <w:color w:val="FF0000"/>
          <w:sz w:val="24"/>
          <w:szCs w:val="24"/>
          <w:u w:val="single"/>
        </w:rPr>
        <w:t>, destaca el</w:t>
      </w:r>
      <w:r w:rsidRPr="00132BD6">
        <w:rPr>
          <w:rFonts w:ascii="Times New Roman" w:hAnsi="Times New Roman" w:cs="Times New Roman"/>
          <w:color w:val="FF0000"/>
          <w:sz w:val="24"/>
          <w:szCs w:val="24"/>
          <w:u w:val="single"/>
        </w:rPr>
        <w:t xml:space="preserve"> </w:t>
      </w:r>
      <w:r w:rsidRPr="00356FED">
        <w:rPr>
          <w:rFonts w:ascii="Times New Roman" w:hAnsi="Times New Roman" w:cs="Times New Roman"/>
          <w:b/>
          <w:color w:val="FF0000"/>
          <w:sz w:val="24"/>
          <w:szCs w:val="24"/>
          <w:u w:val="single"/>
        </w:rPr>
        <w:t>BiS.</w:t>
      </w:r>
    </w:p>
    <w:p w:rsidR="00EA1637" w:rsidRDefault="00EA1637" w:rsidP="00FA4DA9">
      <w:pPr>
        <w:spacing w:line="240" w:lineRule="auto"/>
        <w:jc w:val="both"/>
        <w:rPr>
          <w:rFonts w:ascii="Times New Roman" w:hAnsi="Times New Roman" w:cs="Times New Roman"/>
          <w:color w:val="FF0000"/>
          <w:sz w:val="24"/>
          <w:szCs w:val="24"/>
          <w:u w:val="single"/>
        </w:rPr>
      </w:pPr>
      <w:r w:rsidRPr="002E0696">
        <w:rPr>
          <w:rFonts w:ascii="Times New Roman" w:hAnsi="Times New Roman" w:cs="Times New Roman"/>
          <w:sz w:val="24"/>
          <w:szCs w:val="24"/>
        </w:rPr>
        <w:t>Todas estas políticas están teniendo repercusión en la oferta monetaria, que llevaba años presentando un crecimiento anormalmente bajo. Este indicador se suele analizar por el agregado monetario M3 en la zona euro, que es el más amplio de todos. Para comprender un poco mejor cómo funcionan estos agregados, desde el Ban</w:t>
      </w:r>
      <w:r>
        <w:rPr>
          <w:rFonts w:ascii="Times New Roman" w:hAnsi="Times New Roman" w:cs="Times New Roman"/>
          <w:sz w:val="24"/>
          <w:szCs w:val="24"/>
        </w:rPr>
        <w:t xml:space="preserve">co de España explican que el </w:t>
      </w:r>
      <w:r w:rsidRPr="002E0696">
        <w:rPr>
          <w:rFonts w:ascii="Times New Roman" w:hAnsi="Times New Roman" w:cs="Times New Roman"/>
          <w:sz w:val="24"/>
          <w:szCs w:val="24"/>
        </w:rPr>
        <w:t xml:space="preserve">M1 está compuesto por los billetes y monedas en circulación (efectivo en circulación) y por los depósitos a la vista; el M2 es el M1, más los depósitos a plazo de hasta dos años y los depósitos disponibles con preaviso de hasta tres meses; y el M3 es el M2 más las cesiones temporales, las participaciones en fondos del mercado monetario e instrumentos del mercado monetario y los valores de renta fija de hasta dos años, emitidos por las instituciones financieras monetarias. </w:t>
      </w:r>
      <w:r w:rsidRPr="00132BD6">
        <w:rPr>
          <w:rFonts w:ascii="Times New Roman" w:hAnsi="Times New Roman" w:cs="Times New Roman"/>
          <w:color w:val="FF0000"/>
          <w:sz w:val="24"/>
          <w:szCs w:val="24"/>
          <w:u w:val="single"/>
        </w:rPr>
        <w:t>El agregado monetario M3 es el más estable, por ello, ha sido el elegido por el Eurosistema, dentro de su estrategia de política monetaria, para definir un valor de referencia para el crecimiento del dinero.</w:t>
      </w:r>
    </w:p>
    <w:p w:rsidR="006A3B06" w:rsidRPr="00132BD6" w:rsidRDefault="006A3B06" w:rsidP="00FA4DA9">
      <w:pPr>
        <w:spacing w:line="240" w:lineRule="auto"/>
        <w:jc w:val="both"/>
        <w:rPr>
          <w:rFonts w:ascii="Times New Roman" w:hAnsi="Times New Roman" w:cs="Times New Roman"/>
          <w:color w:val="FF0000"/>
          <w:sz w:val="24"/>
          <w:szCs w:val="24"/>
          <w:u w:val="single"/>
        </w:rPr>
      </w:pPr>
    </w:p>
    <w:p w:rsidR="00EA1637" w:rsidRPr="002E0696" w:rsidRDefault="00EA1637" w:rsidP="00FA4DA9">
      <w:pPr>
        <w:spacing w:line="240" w:lineRule="auto"/>
        <w:jc w:val="both"/>
        <w:rPr>
          <w:rFonts w:ascii="Times New Roman" w:hAnsi="Times New Roman" w:cs="Times New Roman"/>
          <w:sz w:val="24"/>
          <w:szCs w:val="24"/>
        </w:rPr>
      </w:pPr>
      <w:r w:rsidRPr="002E0696">
        <w:rPr>
          <w:rFonts w:ascii="Times New Roman" w:hAnsi="Times New Roman" w:cs="Times New Roman"/>
          <w:sz w:val="24"/>
          <w:szCs w:val="24"/>
        </w:rPr>
        <w:lastRenderedPageBreak/>
        <w:t>El fuerte crecimiento del M3</w:t>
      </w:r>
    </w:p>
    <w:p w:rsidR="00EA1637" w:rsidRPr="00132BD6" w:rsidRDefault="00EA1637" w:rsidP="00FA4DA9">
      <w:pPr>
        <w:spacing w:line="240" w:lineRule="auto"/>
        <w:jc w:val="both"/>
        <w:rPr>
          <w:rFonts w:ascii="Times New Roman" w:hAnsi="Times New Roman" w:cs="Times New Roman"/>
          <w:sz w:val="24"/>
          <w:szCs w:val="24"/>
          <w:u w:val="single"/>
        </w:rPr>
      </w:pPr>
      <w:r w:rsidRPr="00132BD6">
        <w:rPr>
          <w:rFonts w:ascii="Times New Roman" w:hAnsi="Times New Roman" w:cs="Times New Roman"/>
          <w:b/>
          <w:color w:val="FF0000"/>
          <w:sz w:val="24"/>
          <w:szCs w:val="24"/>
          <w:u w:val="single"/>
        </w:rPr>
        <w:t>Este agregado ha presentado un crecimiento interanual del 8,3% en abril, el más elevado desde septiembre de 2008</w:t>
      </w:r>
      <w:r w:rsidRPr="002E0696">
        <w:rPr>
          <w:rFonts w:ascii="Times New Roman" w:hAnsi="Times New Roman" w:cs="Times New Roman"/>
          <w:sz w:val="24"/>
          <w:szCs w:val="24"/>
        </w:rPr>
        <w:t xml:space="preserve">. Esto es una buena señal aunque parte del crecimiento se debe a las fuertes demandas de créditos blandos de las empresas durante lo peor de la crisis para sobrevivir. </w:t>
      </w:r>
      <w:r w:rsidRPr="00132BD6">
        <w:rPr>
          <w:rFonts w:ascii="Times New Roman" w:hAnsi="Times New Roman" w:cs="Times New Roman"/>
          <w:sz w:val="24"/>
          <w:szCs w:val="24"/>
          <w:u w:val="single"/>
        </w:rPr>
        <w:t>No obstante, también indica que el crédito ha llegado a la economía real, frente a 2008 que se quedó en el sistema bancario, también porque la naturaleza de aquella crisis fue bancaria y financiera.</w:t>
      </w:r>
    </w:p>
    <w:p w:rsidR="00EA1637" w:rsidRPr="00132BD6" w:rsidRDefault="00EA1637" w:rsidP="00FA4DA9">
      <w:pPr>
        <w:spacing w:line="240" w:lineRule="auto"/>
        <w:jc w:val="both"/>
        <w:rPr>
          <w:rFonts w:ascii="Times New Roman" w:hAnsi="Times New Roman" w:cs="Times New Roman"/>
          <w:sz w:val="24"/>
          <w:szCs w:val="24"/>
          <w:u w:val="single"/>
        </w:rPr>
      </w:pPr>
      <w:r w:rsidRPr="002E0696">
        <w:rPr>
          <w:rFonts w:ascii="Times New Roman" w:hAnsi="Times New Roman" w:cs="Times New Roman"/>
          <w:sz w:val="24"/>
          <w:szCs w:val="24"/>
        </w:rPr>
        <w:t xml:space="preserve">La tasa de crecimiento de este agregado era de alrededor del 5% en los años previos a la pandemia. </w:t>
      </w:r>
      <w:r w:rsidRPr="00132BD6">
        <w:rPr>
          <w:rFonts w:ascii="Times New Roman" w:hAnsi="Times New Roman" w:cs="Times New Roman"/>
          <w:sz w:val="24"/>
          <w:szCs w:val="24"/>
          <w:u w:val="single"/>
        </w:rPr>
        <w:t>Hay tres razones para la recuperación del crecimiento de la oferta monetaria, que explica Jörg Krämer, economista de Commerzbank.</w:t>
      </w:r>
    </w:p>
    <w:p w:rsidR="00EA1637" w:rsidRPr="002E0696" w:rsidRDefault="00EA1637" w:rsidP="00FA4DA9">
      <w:pPr>
        <w:spacing w:line="240" w:lineRule="auto"/>
        <w:jc w:val="both"/>
        <w:rPr>
          <w:rFonts w:ascii="Times New Roman" w:hAnsi="Times New Roman" w:cs="Times New Roman"/>
          <w:sz w:val="24"/>
          <w:szCs w:val="24"/>
        </w:rPr>
      </w:pPr>
      <w:r w:rsidRPr="00132BD6">
        <w:rPr>
          <w:rFonts w:ascii="Times New Roman" w:hAnsi="Times New Roman" w:cs="Times New Roman"/>
          <w:color w:val="FF0000"/>
          <w:sz w:val="24"/>
          <w:szCs w:val="24"/>
        </w:rPr>
        <w:t>-Más préstamos a empresas</w:t>
      </w:r>
      <w:r w:rsidRPr="002E0696">
        <w:rPr>
          <w:rFonts w:ascii="Times New Roman" w:hAnsi="Times New Roman" w:cs="Times New Roman"/>
          <w:sz w:val="24"/>
          <w:szCs w:val="24"/>
        </w:rPr>
        <w:t>: para sobrevivir a la recesión económica, las empresas de la zona euro necesitan más préstamos bancarios. La tasa de crecimiento de los préstamos a empresas aumentó al 6,6% en abril, después de fluctuar alrededor del 3% antes de la crisis. Si las empresas usan el dinero para pagar facturas, entra en circulación</w:t>
      </w:r>
      <w:r>
        <w:rPr>
          <w:rFonts w:ascii="Times New Roman" w:hAnsi="Times New Roman" w:cs="Times New Roman"/>
          <w:sz w:val="24"/>
          <w:szCs w:val="24"/>
        </w:rPr>
        <w:t xml:space="preserve"> y la oferta de dinero aumenta.</w:t>
      </w:r>
    </w:p>
    <w:p w:rsidR="00EA1637" w:rsidRPr="002E0696" w:rsidRDefault="00EA1637" w:rsidP="00FA4DA9">
      <w:pPr>
        <w:spacing w:line="240" w:lineRule="auto"/>
        <w:jc w:val="both"/>
        <w:rPr>
          <w:rFonts w:ascii="Times New Roman" w:hAnsi="Times New Roman" w:cs="Times New Roman"/>
          <w:sz w:val="24"/>
          <w:szCs w:val="24"/>
        </w:rPr>
      </w:pPr>
      <w:r w:rsidRPr="00132BD6">
        <w:rPr>
          <w:rFonts w:ascii="Times New Roman" w:hAnsi="Times New Roman" w:cs="Times New Roman"/>
          <w:color w:val="FF0000"/>
          <w:sz w:val="24"/>
          <w:szCs w:val="24"/>
        </w:rPr>
        <w:t>-Mayores déficits públicos</w:t>
      </w:r>
      <w:r w:rsidRPr="002E0696">
        <w:rPr>
          <w:rFonts w:ascii="Times New Roman" w:hAnsi="Times New Roman" w:cs="Times New Roman"/>
          <w:sz w:val="24"/>
          <w:szCs w:val="24"/>
        </w:rPr>
        <w:t xml:space="preserve">: no solo las necesidades de crédito de las empresas, sino también las de los estados están aumentando enormemente debido a la crisis. </w:t>
      </w:r>
      <w:r w:rsidRPr="00132BD6">
        <w:rPr>
          <w:rFonts w:ascii="Times New Roman" w:hAnsi="Times New Roman" w:cs="Times New Roman"/>
          <w:sz w:val="24"/>
          <w:szCs w:val="24"/>
          <w:u w:val="single"/>
        </w:rPr>
        <w:t>Es probable que los déficits presupuestarios de los Estados miembros del euro aumenten este año del 0,8% a casi el 10% del PIB</w:t>
      </w:r>
      <w:r w:rsidRPr="002E0696">
        <w:rPr>
          <w:rFonts w:ascii="Times New Roman" w:hAnsi="Times New Roman" w:cs="Times New Roman"/>
          <w:sz w:val="24"/>
          <w:szCs w:val="24"/>
        </w:rPr>
        <w:t>. Algunos de los déficits están siendo financiados por los bancos, por ejemplo comprando bonos de los estados y transfiriendo esa liquidez equivalente a las cuentas públicas. Si los estados gastan el dinero (pagos de prestaciones, por ejemplo)</w:t>
      </w:r>
      <w:r w:rsidR="00EC3DB2">
        <w:rPr>
          <w:rFonts w:ascii="Times New Roman" w:hAnsi="Times New Roman" w:cs="Times New Roman"/>
          <w:sz w:val="24"/>
          <w:szCs w:val="24"/>
        </w:rPr>
        <w:t>, la oferta de dinero aumenta. “</w:t>
      </w:r>
      <w:r w:rsidRPr="002E0696">
        <w:rPr>
          <w:rFonts w:ascii="Times New Roman" w:hAnsi="Times New Roman" w:cs="Times New Roman"/>
          <w:sz w:val="24"/>
          <w:szCs w:val="24"/>
        </w:rPr>
        <w:t>El BCE fomenta estos préstamos de los bancos a los gobiernos porque compra bonos del gobierno a los bancos como parte de sus programas de compras, asumiendo así el ries</w:t>
      </w:r>
      <w:r w:rsidR="00EC3DB2">
        <w:rPr>
          <w:rFonts w:ascii="Times New Roman" w:hAnsi="Times New Roman" w:cs="Times New Roman"/>
          <w:sz w:val="24"/>
          <w:szCs w:val="24"/>
        </w:rPr>
        <w:t>go de incumplimiento crediticio”</w:t>
      </w:r>
      <w:r w:rsidRPr="002E0696">
        <w:rPr>
          <w:rFonts w:ascii="Times New Roman" w:hAnsi="Times New Roman" w:cs="Times New Roman"/>
          <w:sz w:val="24"/>
          <w:szCs w:val="24"/>
        </w:rPr>
        <w:t>, sost</w:t>
      </w:r>
      <w:r w:rsidR="00324F4A">
        <w:rPr>
          <w:rFonts w:ascii="Times New Roman" w:hAnsi="Times New Roman" w:cs="Times New Roman"/>
          <w:sz w:val="24"/>
          <w:szCs w:val="24"/>
        </w:rPr>
        <w:t>iene Krämer</w:t>
      </w:r>
      <w:r>
        <w:rPr>
          <w:rFonts w:ascii="Times New Roman" w:hAnsi="Times New Roman" w:cs="Times New Roman"/>
          <w:sz w:val="24"/>
          <w:szCs w:val="24"/>
        </w:rPr>
        <w:t>.</w:t>
      </w:r>
    </w:p>
    <w:p w:rsidR="00EA1637" w:rsidRPr="00132BD6" w:rsidRDefault="00EA1637" w:rsidP="00FA4DA9">
      <w:pPr>
        <w:spacing w:line="240" w:lineRule="auto"/>
        <w:jc w:val="both"/>
        <w:rPr>
          <w:rFonts w:ascii="Times New Roman" w:hAnsi="Times New Roman" w:cs="Times New Roman"/>
          <w:sz w:val="24"/>
          <w:szCs w:val="24"/>
          <w:u w:val="single"/>
        </w:rPr>
      </w:pPr>
      <w:r w:rsidRPr="00132BD6">
        <w:rPr>
          <w:rFonts w:ascii="Times New Roman" w:hAnsi="Times New Roman" w:cs="Times New Roman"/>
          <w:color w:val="FF0000"/>
          <w:sz w:val="24"/>
          <w:szCs w:val="24"/>
        </w:rPr>
        <w:t>-Movimientos en las carteras</w:t>
      </w:r>
      <w:r w:rsidRPr="002E0696">
        <w:rPr>
          <w:rFonts w:ascii="Times New Roman" w:hAnsi="Times New Roman" w:cs="Times New Roman"/>
          <w:sz w:val="24"/>
          <w:szCs w:val="24"/>
        </w:rPr>
        <w:t xml:space="preserve">: el crecimiento de la oferta monetaria no solo está siendo impulsado por el aumento del crédito a empresas y estados, sino también por el llamado reequilibrio de la cartera. De hecho, </w:t>
      </w:r>
      <w:r w:rsidRPr="00132BD6">
        <w:rPr>
          <w:rFonts w:ascii="Times New Roman" w:hAnsi="Times New Roman" w:cs="Times New Roman"/>
          <w:sz w:val="24"/>
          <w:szCs w:val="24"/>
          <w:u w:val="single"/>
        </w:rPr>
        <w:t>debido a los bajos tipos de interés y al alto nivel de incertidumbre, muchos clientes están llevando su riqueza hacia activos más líquidos que forman parte del agregado M3.</w:t>
      </w:r>
    </w:p>
    <w:p w:rsidR="00EA1637" w:rsidRPr="00132BD6" w:rsidRDefault="00EA1637" w:rsidP="00FA4DA9">
      <w:pPr>
        <w:spacing w:line="240" w:lineRule="auto"/>
        <w:jc w:val="both"/>
        <w:rPr>
          <w:rFonts w:ascii="Times New Roman" w:hAnsi="Times New Roman" w:cs="Times New Roman"/>
          <w:b/>
          <w:color w:val="FF0000"/>
          <w:sz w:val="24"/>
          <w:szCs w:val="24"/>
          <w:u w:val="single"/>
        </w:rPr>
      </w:pPr>
      <w:r w:rsidRPr="002E0696">
        <w:rPr>
          <w:rFonts w:ascii="Times New Roman" w:hAnsi="Times New Roman" w:cs="Times New Roman"/>
          <w:sz w:val="24"/>
          <w:szCs w:val="24"/>
        </w:rPr>
        <w:t xml:space="preserve">Aunque el crecimiento de este agregado monetario suele ir ligado a la inflación (se suele relacionar el bajo IPC de los últimos años al escaso crecimiento </w:t>
      </w:r>
      <w:r w:rsidR="00324F4A">
        <w:rPr>
          <w:rFonts w:ascii="Times New Roman" w:hAnsi="Times New Roman" w:cs="Times New Roman"/>
          <w:sz w:val="24"/>
          <w:szCs w:val="24"/>
        </w:rPr>
        <w:t>de la oferta monetaria), Krä</w:t>
      </w:r>
      <w:r w:rsidRPr="002E0696">
        <w:rPr>
          <w:rFonts w:ascii="Times New Roman" w:hAnsi="Times New Roman" w:cs="Times New Roman"/>
          <w:sz w:val="24"/>
          <w:szCs w:val="24"/>
        </w:rPr>
        <w:t xml:space="preserve">mer explica que para que eso ocurra todo ese dinero debe transformarse en una mayor demanda de bienes y servicios, algo que por ahora no está ocurriendo. Sin embargo, la actuación de bancos centrales y gobiernos está poniendo la primera piedra para que la recuperación sea fuerte y el consumo y la inversión vuelvan lo antes posibles. </w:t>
      </w:r>
      <w:r w:rsidRPr="00132BD6">
        <w:rPr>
          <w:rFonts w:ascii="Times New Roman" w:hAnsi="Times New Roman" w:cs="Times New Roman"/>
          <w:b/>
          <w:color w:val="FF0000"/>
          <w:sz w:val="24"/>
          <w:szCs w:val="24"/>
          <w:u w:val="single"/>
        </w:rPr>
        <w:t>Por ahora, los balances de los bancos centrales han aumentado de media en un 10% del PIB durante los primeros tres meses de la crisis. Los escenarios razonables implican un aumento general de entre el 15 y el 23% del PIB antes de finales de 2020", sentencian los expertos del BiS.</w:t>
      </w:r>
    </w:p>
    <w:p w:rsidR="00EA1637" w:rsidRPr="002739BA" w:rsidRDefault="00EA1637"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739BA">
        <w:rPr>
          <w:rFonts w:ascii="Times New Roman" w:hAnsi="Times New Roman" w:cs="Times New Roman"/>
          <w:sz w:val="24"/>
          <w:szCs w:val="24"/>
          <w:u w:val="single"/>
        </w:rPr>
        <w:t xml:space="preserve">Los cinco gráficos </w:t>
      </w:r>
      <w:r w:rsidR="00EC3DB2">
        <w:rPr>
          <w:rFonts w:ascii="Times New Roman" w:hAnsi="Times New Roman" w:cs="Times New Roman"/>
          <w:sz w:val="24"/>
          <w:szCs w:val="24"/>
          <w:u w:val="single"/>
        </w:rPr>
        <w:t>que explican por qué la Europa “despilfarradora” y la “ahorradora”</w:t>
      </w:r>
      <w:r w:rsidRPr="002739BA">
        <w:rPr>
          <w:rFonts w:ascii="Times New Roman" w:hAnsi="Times New Roman" w:cs="Times New Roman"/>
          <w:sz w:val="24"/>
          <w:szCs w:val="24"/>
          <w:u w:val="single"/>
        </w:rPr>
        <w:t xml:space="preserve"> están condenadas a enfrentarse</w:t>
      </w:r>
      <w:r>
        <w:rPr>
          <w:rFonts w:ascii="Times New Roman" w:hAnsi="Times New Roman" w:cs="Times New Roman"/>
          <w:sz w:val="24"/>
          <w:szCs w:val="24"/>
        </w:rPr>
        <w:t xml:space="preserve"> (El Economista - </w:t>
      </w:r>
      <w:r w:rsidRPr="002739BA">
        <w:rPr>
          <w:rFonts w:ascii="Times New Roman" w:hAnsi="Times New Roman" w:cs="Times New Roman"/>
          <w:b/>
          <w:sz w:val="24"/>
          <w:szCs w:val="24"/>
        </w:rPr>
        <w:t>10/6/20</w:t>
      </w:r>
      <w:r>
        <w:rPr>
          <w:rFonts w:ascii="Times New Roman" w:hAnsi="Times New Roman" w:cs="Times New Roman"/>
          <w:sz w:val="24"/>
          <w:szCs w:val="24"/>
        </w:rPr>
        <w:t>)</w:t>
      </w:r>
    </w:p>
    <w:p w:rsidR="00EA1637" w:rsidRPr="002739BA" w:rsidRDefault="00EA1637"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hyperlink r:id="rId80" w:history="1">
        <w:r w:rsidRPr="00EC3DB2">
          <w:rPr>
            <w:rStyle w:val="Hipervnculo"/>
            <w:rFonts w:ascii="Times New Roman" w:hAnsi="Times New Roman" w:cs="Times New Roman"/>
            <w:color w:val="auto"/>
            <w:sz w:val="24"/>
            <w:szCs w:val="24"/>
            <w:u w:val="none"/>
          </w:rPr>
          <w:t>Vicente Nieves</w:t>
        </w:r>
      </w:hyperlink>
      <w:r>
        <w:rPr>
          <w:rFonts w:ascii="Times New Roman" w:hAnsi="Times New Roman" w:cs="Times New Roman"/>
          <w:bCs/>
          <w:sz w:val="24"/>
          <w:szCs w:val="24"/>
        </w:rPr>
        <w:t>)</w:t>
      </w:r>
    </w:p>
    <w:p w:rsidR="00EA1637" w:rsidRPr="00EC3DB2" w:rsidRDefault="00EA1637" w:rsidP="00FA4DA9">
      <w:pPr>
        <w:pStyle w:val="NormalWeb"/>
        <w:shd w:val="clear" w:color="auto" w:fill="FFFFFF"/>
        <w:spacing w:before="0" w:beforeAutospacing="0" w:after="270" w:afterAutospacing="0"/>
        <w:jc w:val="both"/>
        <w:rPr>
          <w:spacing w:val="-1"/>
        </w:rPr>
      </w:pPr>
      <w:r w:rsidRPr="00356FED">
        <w:rPr>
          <w:spacing w:val="-1"/>
          <w:u w:val="single"/>
        </w:rPr>
        <w:t>Las choques entre los países de la periferia y los del norte de Europa cuando hay dinero de por medio</w:t>
      </w:r>
      <w:hyperlink r:id="rId81" w:history="1">
        <w:r w:rsidRPr="00356FED">
          <w:rPr>
            <w:rStyle w:val="Hipervnculo"/>
            <w:color w:val="auto"/>
            <w:spacing w:val="-1"/>
          </w:rPr>
          <w:t> parecen inevitables</w:t>
        </w:r>
      </w:hyperlink>
      <w:r w:rsidRPr="00356FED">
        <w:rPr>
          <w:spacing w:val="-1"/>
          <w:u w:val="single"/>
        </w:rPr>
        <w:t xml:space="preserve">, como está ocurriendo en la actualidad con los fondos de </w:t>
      </w:r>
      <w:r w:rsidRPr="00356FED">
        <w:rPr>
          <w:spacing w:val="-1"/>
          <w:u w:val="single"/>
        </w:rPr>
        <w:lastRenderedPageBreak/>
        <w:t>recuperación</w:t>
      </w:r>
      <w:r w:rsidRPr="00EC3DB2">
        <w:rPr>
          <w:spacing w:val="-1"/>
        </w:rPr>
        <w:t>. Estas diferencias entorpecen la búsqueda de una </w:t>
      </w:r>
      <w:hyperlink r:id="rId82" w:history="1">
        <w:r w:rsidRPr="00356FED">
          <w:rPr>
            <w:rStyle w:val="Hipervnculo"/>
            <w:color w:val="auto"/>
            <w:spacing w:val="-1"/>
            <w:u w:val="none"/>
          </w:rPr>
          <w:t>solución permanente</w:t>
        </w:r>
      </w:hyperlink>
      <w:r w:rsidRPr="00EC3DB2">
        <w:rPr>
          <w:spacing w:val="-1"/>
        </w:rPr>
        <w:t xml:space="preserve"> a los problemas de la zona euro o de la Unión Europea si se quiere ir más lejos. Además, </w:t>
      </w:r>
      <w:r w:rsidRPr="00EC3DB2">
        <w:rPr>
          <w:spacing w:val="-1"/>
          <w:u w:val="single"/>
        </w:rPr>
        <w:t>las divergencias en sus economías parecen haberse acentuado desde </w:t>
      </w:r>
      <w:hyperlink r:id="rId83" w:history="1">
        <w:r w:rsidRPr="00EC3DB2">
          <w:rPr>
            <w:rStyle w:val="Hipervnculo"/>
            <w:color w:val="auto"/>
            <w:spacing w:val="-1"/>
          </w:rPr>
          <w:t>la creación del euro</w:t>
        </w:r>
      </w:hyperlink>
      <w:r w:rsidRPr="00EC3DB2">
        <w:rPr>
          <w:spacing w:val="-1"/>
          <w:u w:val="single"/>
        </w:rPr>
        <w:t>, que eliminó el filtro de los tipos de cambio, con unas economías que ahorran mucho y venden más al exterior</w:t>
      </w:r>
      <w:r w:rsidRPr="00356FED">
        <w:rPr>
          <w:spacing w:val="-1"/>
        </w:rPr>
        <w:t xml:space="preserve"> (</w:t>
      </w:r>
      <w:r w:rsidR="00EC3DB2" w:rsidRPr="00EC3DB2">
        <w:rPr>
          <w:spacing w:val="-1"/>
        </w:rPr>
        <w:t>supuestamente “</w:t>
      </w:r>
      <w:r w:rsidR="00EC3DB2">
        <w:rPr>
          <w:spacing w:val="-1"/>
        </w:rPr>
        <w:t>ahorradoras”</w:t>
      </w:r>
      <w:r w:rsidRPr="00356FED">
        <w:rPr>
          <w:spacing w:val="-1"/>
        </w:rPr>
        <w:t xml:space="preserve">) </w:t>
      </w:r>
      <w:r w:rsidRPr="00EC3DB2">
        <w:rPr>
          <w:spacing w:val="-1"/>
          <w:u w:val="single"/>
        </w:rPr>
        <w:t>junto a otras que consumen más y compran más bienes y servicios extranjeros</w:t>
      </w:r>
      <w:r w:rsidRPr="00EC3DB2">
        <w:rPr>
          <w:spacing w:val="-1"/>
        </w:rPr>
        <w:t xml:space="preserve"> (supuestamente </w:t>
      </w:r>
      <w:r w:rsidR="00EC3DB2" w:rsidRPr="00EC3DB2">
        <w:rPr>
          <w:spacing w:val="-1"/>
        </w:rPr>
        <w:t>“</w:t>
      </w:r>
      <w:r w:rsidRPr="00EC3DB2">
        <w:rPr>
          <w:spacing w:val="-1"/>
        </w:rPr>
        <w:t>despilfarrador</w:t>
      </w:r>
      <w:r w:rsidR="00356FED">
        <w:rPr>
          <w:spacing w:val="-1"/>
        </w:rPr>
        <w:t>as</w:t>
      </w:r>
      <w:r w:rsidR="00EC3DB2" w:rsidRPr="00EC3DB2">
        <w:rPr>
          <w:spacing w:val="-1"/>
        </w:rPr>
        <w:t>”</w:t>
      </w:r>
      <w:r w:rsidRPr="00EC3DB2">
        <w:rPr>
          <w:spacing w:val="-1"/>
        </w:rPr>
        <w:t>).</w:t>
      </w:r>
    </w:p>
    <w:p w:rsidR="00EA1637" w:rsidRPr="00EC3DB2" w:rsidRDefault="00EA1637" w:rsidP="00FA4DA9">
      <w:pPr>
        <w:pStyle w:val="NormalWeb"/>
        <w:shd w:val="clear" w:color="auto" w:fill="FFFFFF"/>
        <w:spacing w:before="0" w:beforeAutospacing="0" w:after="270" w:afterAutospacing="0"/>
        <w:jc w:val="both"/>
        <w:rPr>
          <w:spacing w:val="-1"/>
        </w:rPr>
      </w:pPr>
      <w:r w:rsidRPr="00EC3DB2">
        <w:rPr>
          <w:spacing w:val="-1"/>
          <w:u w:val="single"/>
        </w:rPr>
        <w:t>Esta situación lleva a que un bloque (acreedores-ahorradores) prefiera unos </w:t>
      </w:r>
      <w:hyperlink r:id="rId84" w:history="1">
        <w:r w:rsidRPr="00EC3DB2">
          <w:rPr>
            <w:rStyle w:val="Hipervnculo"/>
            <w:color w:val="auto"/>
            <w:spacing w:val="-1"/>
          </w:rPr>
          <w:t>tipos de interés más altos</w:t>
        </w:r>
      </w:hyperlink>
      <w:r w:rsidRPr="00EC3DB2">
        <w:rPr>
          <w:spacing w:val="-1"/>
          <w:u w:val="single"/>
        </w:rPr>
        <w:t> y no compartir riesgos, mientras que el otro (deudores-despilfarradores) aboguen por unos tipos bajos y compartir gastos</w:t>
      </w:r>
      <w:r w:rsidRPr="00EC3DB2">
        <w:rPr>
          <w:spacing w:val="-1"/>
        </w:rPr>
        <w:t>. La deuda pública, el déficit, la tasa de ahorro, la posición de inversión internacional neta (PIIN) y la tasa de paro explicados en cinco gráficos pueden ayudar a entender las posiciones encontradas de estos países.</w:t>
      </w:r>
    </w:p>
    <w:p w:rsidR="00EA1637" w:rsidRPr="00401351" w:rsidRDefault="00EA1637" w:rsidP="00FA4DA9">
      <w:pPr>
        <w:pStyle w:val="NormalWeb"/>
        <w:shd w:val="clear" w:color="auto" w:fill="FFFFFF"/>
        <w:spacing w:before="0" w:beforeAutospacing="0" w:after="270" w:afterAutospacing="0"/>
        <w:jc w:val="both"/>
        <w:rPr>
          <w:color w:val="212529"/>
          <w:spacing w:val="-1"/>
          <w:u w:val="single"/>
        </w:rPr>
      </w:pPr>
      <w:r w:rsidRPr="00EC3DB2">
        <w:rPr>
          <w:b/>
          <w:bCs/>
          <w:spacing w:val="-1"/>
        </w:rPr>
        <w:t>-Deuda pública</w:t>
      </w:r>
      <w:r w:rsidRPr="00EC3DB2">
        <w:rPr>
          <w:spacing w:val="-1"/>
        </w:rPr>
        <w:t xml:space="preserve">: una de las cuestiones más debatidas y que más titulares llenan en la prensa es la deuda pública sobre PIB, que es la consecuencia de años de déficits/superávits fiscales y el crecimiento económico. </w:t>
      </w:r>
      <w:r w:rsidRPr="00EC3DB2">
        <w:rPr>
          <w:spacing w:val="-1"/>
          <w:u w:val="single"/>
        </w:rPr>
        <w:t>Los países que presentan </w:t>
      </w:r>
      <w:hyperlink r:id="rId85" w:history="1">
        <w:r w:rsidRPr="00EC3DB2">
          <w:rPr>
            <w:rStyle w:val="Hipervnculo"/>
            <w:color w:val="auto"/>
            <w:spacing w:val="-1"/>
          </w:rPr>
          <w:t>una línea más dura</w:t>
        </w:r>
      </w:hyperlink>
      <w:r w:rsidRPr="00EC3DB2">
        <w:rPr>
          <w:spacing w:val="-1"/>
          <w:u w:val="single"/>
        </w:rPr>
        <w:t xml:space="preserve"> a la hora negociar las </w:t>
      </w:r>
      <w:r w:rsidRPr="00401351">
        <w:rPr>
          <w:color w:val="212529"/>
          <w:spacing w:val="-1"/>
          <w:u w:val="single"/>
        </w:rPr>
        <w:t xml:space="preserve">ayudas en la Unión Europea suelen presentar unos niveles de deuda relativamente bajos, como  es el caso </w:t>
      </w:r>
      <w:r w:rsidRPr="00EC3DB2">
        <w:rPr>
          <w:color w:val="212529"/>
          <w:spacing w:val="-1"/>
          <w:u w:val="single"/>
        </w:rPr>
        <w:t>de </w:t>
      </w:r>
      <w:r w:rsidRPr="00EC3DB2">
        <w:rPr>
          <w:bCs/>
          <w:color w:val="212529"/>
          <w:spacing w:val="-1"/>
          <w:u w:val="single"/>
        </w:rPr>
        <w:t>Dinamarca, Suecia, Países Bajos, Finlandia o Alemania (ahorradores)</w:t>
      </w:r>
      <w:r w:rsidRPr="00401351">
        <w:rPr>
          <w:color w:val="212529"/>
          <w:spacing w:val="-1"/>
          <w:u w:val="single"/>
        </w:rPr>
        <w:t>, todos ellos con una deuda pública por debajo del 60%</w:t>
      </w:r>
      <w:r w:rsidR="00EC3DB2">
        <w:rPr>
          <w:color w:val="212529"/>
          <w:spacing w:val="-1"/>
          <w:u w:val="single"/>
        </w:rPr>
        <w:t>. Por el lado de los supuestos “despilfarradores”</w:t>
      </w:r>
      <w:r w:rsidRPr="00401351">
        <w:rPr>
          <w:color w:val="212529"/>
          <w:spacing w:val="-1"/>
          <w:u w:val="single"/>
        </w:rPr>
        <w:t>, España y Francia (Francia solía ser un híbrido que cada vez está más cerca del sur) tienen una deuda pública que ronda el 100% del PIB, con Portugal e Italia superando el 120% y el caso extremo de Grecia que alcanza el 176% tras años bajo crecimiento y reestructuración de sus cuentas.</w:t>
      </w:r>
    </w:p>
    <w:p w:rsidR="00EA1637" w:rsidRPr="002739BA" w:rsidRDefault="00EA1637" w:rsidP="00FA4DA9">
      <w:pPr>
        <w:shd w:val="clear" w:color="auto" w:fill="FFFFFF"/>
        <w:spacing w:line="240" w:lineRule="auto"/>
        <w:jc w:val="both"/>
        <w:rPr>
          <w:rFonts w:ascii="Times New Roman" w:hAnsi="Times New Roman" w:cs="Times New Roman"/>
          <w:color w:val="212529"/>
          <w:sz w:val="24"/>
          <w:szCs w:val="24"/>
        </w:rPr>
      </w:pPr>
      <w:r w:rsidRPr="002739BA">
        <w:rPr>
          <w:rFonts w:ascii="Times New Roman" w:hAnsi="Times New Roman" w:cs="Times New Roman"/>
          <w:noProof/>
          <w:color w:val="212529"/>
          <w:sz w:val="24"/>
          <w:szCs w:val="24"/>
          <w:lang w:eastAsia="es-ES"/>
        </w:rPr>
        <w:drawing>
          <wp:inline distT="0" distB="0" distL="0" distR="0" wp14:anchorId="3CE7BB48" wp14:editId="21088F8D">
            <wp:extent cx="5676900" cy="2774950"/>
            <wp:effectExtent l="0" t="0" r="0" b="6350"/>
            <wp:docPr id="201" name="Imagen 201" descr="https://s03.s3c.es/imag/_v0/770x506/8/5/1/deuda-publica-banderit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70x506/8/5/1/deuda-publica-banderitas.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676900" cy="2774950"/>
                    </a:xfrm>
                    <a:prstGeom prst="rect">
                      <a:avLst/>
                    </a:prstGeom>
                    <a:noFill/>
                    <a:ln>
                      <a:noFill/>
                    </a:ln>
                  </pic:spPr>
                </pic:pic>
              </a:graphicData>
            </a:graphic>
          </wp:inline>
        </w:drawing>
      </w:r>
    </w:p>
    <w:p w:rsidR="00EA1637" w:rsidRPr="002739BA" w:rsidRDefault="00EA1637" w:rsidP="00FA4DA9">
      <w:pPr>
        <w:pStyle w:val="NormalWeb"/>
        <w:shd w:val="clear" w:color="auto" w:fill="FFFFFF"/>
        <w:spacing w:before="0" w:beforeAutospacing="0" w:after="270" w:afterAutospacing="0"/>
        <w:jc w:val="both"/>
        <w:rPr>
          <w:color w:val="212529"/>
          <w:spacing w:val="-1"/>
        </w:rPr>
      </w:pPr>
      <w:r w:rsidRPr="002739BA">
        <w:rPr>
          <w:b/>
          <w:bCs/>
          <w:color w:val="212529"/>
          <w:spacing w:val="-1"/>
        </w:rPr>
        <w:t>-Déficits fiscales</w:t>
      </w:r>
      <w:r w:rsidRPr="002739BA">
        <w:rPr>
          <w:color w:val="212529"/>
          <w:spacing w:val="-1"/>
        </w:rPr>
        <w:t xml:space="preserve">: </w:t>
      </w:r>
      <w:r w:rsidRPr="00401351">
        <w:rPr>
          <w:color w:val="212529"/>
          <w:spacing w:val="-1"/>
          <w:u w:val="single"/>
        </w:rPr>
        <w:t>ahora que se está negociando el plan de Recuperación para Europa, que incluye ayudas directas en forma de subvenciones para los países más vulnerables, han surgido las críticas desde diferentes gobiernos que acusan al sur de no haber aprovechado los años de crecimiento económico para reducir su deuda pública</w:t>
      </w:r>
      <w:r w:rsidRPr="002739BA">
        <w:rPr>
          <w:color w:val="212529"/>
          <w:spacing w:val="-1"/>
        </w:rPr>
        <w:t>. Unos </w:t>
      </w:r>
      <w:hyperlink r:id="rId87" w:history="1">
        <w:r w:rsidRPr="00EC3DB2">
          <w:rPr>
            <w:rStyle w:val="Hipervnculo"/>
            <w:color w:val="auto"/>
            <w:spacing w:val="-1"/>
            <w:u w:val="none"/>
          </w:rPr>
          <w:t>déficits estructurales relativamente elevados</w:t>
        </w:r>
      </w:hyperlink>
      <w:r w:rsidRPr="00EC3DB2">
        <w:rPr>
          <w:spacing w:val="-1"/>
        </w:rPr>
        <w:t> </w:t>
      </w:r>
      <w:r w:rsidRPr="002739BA">
        <w:rPr>
          <w:color w:val="212529"/>
          <w:spacing w:val="-1"/>
        </w:rPr>
        <w:t xml:space="preserve">han impedido que la mayor parte de los países del sur cuadren sus cuentas antes de que llegase la pandemia del coronavirus. También es verdad que los países del sur pagan unos intereses acumulados mucho más elevados de emisiones de deuda de hace años, cuentan con unos mercados laborales que no han vuelto a recuperar los niveles previos a 2008 y tuvieron que lidiar, en algunos casos, con el impacto retardado (balances bancarios </w:t>
      </w:r>
      <w:r w:rsidRPr="002739BA">
        <w:rPr>
          <w:color w:val="212529"/>
          <w:spacing w:val="-1"/>
        </w:rPr>
        <w:lastRenderedPageBreak/>
        <w:t>dañados, </w:t>
      </w:r>
      <w:r w:rsidRPr="002739BA">
        <w:rPr>
          <w:b/>
          <w:bCs/>
          <w:color w:val="212529"/>
          <w:spacing w:val="-1"/>
        </w:rPr>
        <w:t>devaluaciones internas</w:t>
      </w:r>
      <w:r w:rsidRPr="002739BA">
        <w:rPr>
          <w:color w:val="212529"/>
          <w:spacing w:val="-1"/>
        </w:rPr>
        <w:t>...) del estallido de las burbujas generadas tras la entrada en el euro.</w:t>
      </w:r>
    </w:p>
    <w:p w:rsidR="00EA1637" w:rsidRPr="002739BA" w:rsidRDefault="00EA1637" w:rsidP="00FA4DA9">
      <w:pPr>
        <w:shd w:val="clear" w:color="auto" w:fill="FFFFFF"/>
        <w:spacing w:line="240" w:lineRule="auto"/>
        <w:jc w:val="both"/>
        <w:rPr>
          <w:rFonts w:ascii="Times New Roman" w:hAnsi="Times New Roman" w:cs="Times New Roman"/>
          <w:color w:val="212529"/>
          <w:sz w:val="24"/>
          <w:szCs w:val="24"/>
        </w:rPr>
      </w:pPr>
      <w:r w:rsidRPr="002739BA">
        <w:rPr>
          <w:rFonts w:ascii="Times New Roman" w:hAnsi="Times New Roman" w:cs="Times New Roman"/>
          <w:noProof/>
          <w:color w:val="212529"/>
          <w:sz w:val="24"/>
          <w:szCs w:val="24"/>
          <w:lang w:eastAsia="es-ES"/>
        </w:rPr>
        <w:drawing>
          <wp:inline distT="0" distB="0" distL="0" distR="0" wp14:anchorId="6077D842" wp14:editId="70B0331E">
            <wp:extent cx="5721120" cy="2755900"/>
            <wp:effectExtent l="0" t="0" r="0" b="6350"/>
            <wp:docPr id="202" name="Imagen 202" descr="https://s03.s3c.es/imag/_v0/770x509/5/b/c/deficit-publico-banderit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03.s3c.es/imag/_v0/770x509/5/b/c/deficit-publico-banderitas.jp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21841" cy="2756247"/>
                    </a:xfrm>
                    <a:prstGeom prst="rect">
                      <a:avLst/>
                    </a:prstGeom>
                    <a:noFill/>
                    <a:ln>
                      <a:noFill/>
                    </a:ln>
                  </pic:spPr>
                </pic:pic>
              </a:graphicData>
            </a:graphic>
          </wp:inline>
        </w:drawing>
      </w:r>
    </w:p>
    <w:p w:rsidR="006A3B06" w:rsidRDefault="006A3B06" w:rsidP="00FA4DA9">
      <w:pPr>
        <w:pStyle w:val="NormalWeb"/>
        <w:shd w:val="clear" w:color="auto" w:fill="FFFFFF"/>
        <w:spacing w:before="0" w:beforeAutospacing="0" w:after="270" w:afterAutospacing="0"/>
        <w:jc w:val="both"/>
        <w:rPr>
          <w:color w:val="212529"/>
          <w:spacing w:val="-1"/>
        </w:rPr>
      </w:pPr>
    </w:p>
    <w:p w:rsidR="00EA1637" w:rsidRPr="00EC3DB2" w:rsidRDefault="00EA1637" w:rsidP="00FA4DA9">
      <w:pPr>
        <w:pStyle w:val="NormalWeb"/>
        <w:shd w:val="clear" w:color="auto" w:fill="FFFFFF"/>
        <w:spacing w:before="0" w:beforeAutospacing="0" w:after="270" w:afterAutospacing="0"/>
        <w:jc w:val="both"/>
        <w:rPr>
          <w:spacing w:val="-1"/>
        </w:rPr>
      </w:pPr>
      <w:r w:rsidRPr="002739BA">
        <w:rPr>
          <w:color w:val="212529"/>
          <w:spacing w:val="-1"/>
        </w:rPr>
        <w:t>Por otro lado, buena parte de los países del norte llevan años presentando superávits fiscales, que junto al crecimiento económico visto hasta 2020 y una crisis mucho menos intensa en 2011-2012, les ha permitido sanear las cuentas públicas. Por el contrario, Italia, España y Francia (también Finlandia en este caso) siguen presentando déficits fiscales de forma sistemática tras haber sufrido grandes desequilibrios en las finanzas públicas entre 2008 y 2013. El crecimiento económico de los últimos años ha permitido a estos países reducir muy levemente el ratio deuda sobre PIB. </w:t>
      </w:r>
      <w:hyperlink r:id="rId89" w:history="1">
        <w:r w:rsidRPr="00EC3DB2">
          <w:rPr>
            <w:rStyle w:val="Hipervnculo"/>
            <w:color w:val="auto"/>
            <w:spacing w:val="-1"/>
          </w:rPr>
          <w:t>Portugal ha sido la excepción</w:t>
        </w:r>
      </w:hyperlink>
      <w:r w:rsidRPr="00EC3DB2">
        <w:rPr>
          <w:spacing w:val="-1"/>
        </w:rPr>
        <w:t> con un superávit fiscal histórico en 2019, pero su deuda sigue siendo muy elevada.</w:t>
      </w:r>
    </w:p>
    <w:p w:rsidR="00EA1637" w:rsidRPr="00EC3DB2" w:rsidRDefault="00EA1637" w:rsidP="00FA4DA9">
      <w:pPr>
        <w:pStyle w:val="NormalWeb"/>
        <w:shd w:val="clear" w:color="auto" w:fill="FFFFFF"/>
        <w:spacing w:before="0" w:beforeAutospacing="0" w:after="270" w:afterAutospacing="0"/>
        <w:jc w:val="both"/>
        <w:rPr>
          <w:spacing w:val="-1"/>
        </w:rPr>
      </w:pPr>
      <w:r w:rsidRPr="00EC3DB2">
        <w:rPr>
          <w:b/>
          <w:bCs/>
          <w:spacing w:val="-1"/>
        </w:rPr>
        <w:t>-Tasa de paro</w:t>
      </w:r>
      <w:r w:rsidRPr="00EC3DB2">
        <w:rPr>
          <w:spacing w:val="-1"/>
        </w:rPr>
        <w:t xml:space="preserve">: </w:t>
      </w:r>
      <w:r w:rsidRPr="00EC3DB2">
        <w:rPr>
          <w:spacing w:val="-1"/>
          <w:u w:val="single"/>
        </w:rPr>
        <w:t>otra de</w:t>
      </w:r>
      <w:r w:rsidR="00EC3DB2">
        <w:rPr>
          <w:spacing w:val="-1"/>
          <w:u w:val="single"/>
        </w:rPr>
        <w:t xml:space="preserve"> las grandes diferencias entre “ahorradores” y “despilfarradores”</w:t>
      </w:r>
      <w:r w:rsidRPr="00EC3DB2">
        <w:rPr>
          <w:spacing w:val="-1"/>
        </w:rPr>
        <w:t xml:space="preserve"> ya se ha comentado de forma somera con anterioridad y reside en el mercado laboral. </w:t>
      </w:r>
      <w:r w:rsidRPr="00EC3DB2">
        <w:rPr>
          <w:spacing w:val="-1"/>
          <w:u w:val="single"/>
        </w:rPr>
        <w:t>Las tasas de paro y de empleo son sistemáticamente peores en el sur que en el norte, lo que probablemente provoca críticas como la de </w:t>
      </w:r>
      <w:hyperlink r:id="rId90" w:history="1">
        <w:r w:rsidRPr="00EC3DB2">
          <w:rPr>
            <w:rStyle w:val="Hipervnculo"/>
            <w:color w:val="auto"/>
            <w:spacing w:val="-1"/>
          </w:rPr>
          <w:t>la revista holandesa EW</w:t>
        </w:r>
      </w:hyperlink>
      <w:r w:rsidRPr="00EC3DB2">
        <w:rPr>
          <w:spacing w:val="-1"/>
          <w:u w:val="single"/>
        </w:rPr>
        <w:t> en la que dejaba entrever que los ciudadanos del sur viven la vida mientras que los del norte trabajan.</w:t>
      </w:r>
      <w:r w:rsidRPr="00EC3DB2">
        <w:rPr>
          <w:spacing w:val="-1"/>
        </w:rPr>
        <w:t xml:space="preserve"> Esta visión, que podría estar implantada en una parte de la sociedad, junto a otros motivos, lleva a los países del norte a pedir condiciones (</w:t>
      </w:r>
      <w:hyperlink r:id="rId91" w:history="1">
        <w:r w:rsidRPr="00EC3DB2">
          <w:rPr>
            <w:rStyle w:val="Hipervnculo"/>
            <w:color w:val="auto"/>
            <w:spacing w:val="-1"/>
            <w:u w:val="none"/>
          </w:rPr>
          <w:t>como no derogar la reforma laboral</w:t>
        </w:r>
      </w:hyperlink>
      <w:r w:rsidRPr="00EC3DB2">
        <w:rPr>
          <w:spacing w:val="-1"/>
        </w:rPr>
        <w:t>) para reformar los mercados de trabajo y reducir la tasa de paro en los países del sur a cambio de las ayudas. Este indicador va desde los niveles cercanos al 4% de Alemania, Países Bajos o Austria hasta las tasas de paro de España, que roza el 14%, y la de Grecia, que supera el 16%. En este caso, la excepción es Portugal, que ha logrado reducir el desempleo por debajo del 7%, aunque está caída</w:t>
      </w:r>
      <w:r w:rsidR="00ED6BB0">
        <w:rPr>
          <w:spacing w:val="-1"/>
        </w:rPr>
        <w:t xml:space="preserve"> quizá esté relacionada con el “boom”</w:t>
      </w:r>
      <w:r w:rsidRPr="00EC3DB2">
        <w:rPr>
          <w:spacing w:val="-1"/>
        </w:rPr>
        <w:t xml:space="preserve"> del turismo que ha vivido el país en los últimos años.</w:t>
      </w:r>
    </w:p>
    <w:p w:rsidR="00EA1637" w:rsidRPr="002739BA" w:rsidRDefault="00EA1637" w:rsidP="00FA4DA9">
      <w:pPr>
        <w:shd w:val="clear" w:color="auto" w:fill="FFFFFF"/>
        <w:spacing w:line="240" w:lineRule="auto"/>
        <w:jc w:val="both"/>
        <w:rPr>
          <w:rFonts w:ascii="Times New Roman" w:hAnsi="Times New Roman" w:cs="Times New Roman"/>
          <w:color w:val="212529"/>
          <w:sz w:val="24"/>
          <w:szCs w:val="24"/>
        </w:rPr>
      </w:pPr>
      <w:r w:rsidRPr="002739BA">
        <w:rPr>
          <w:rFonts w:ascii="Times New Roman" w:hAnsi="Times New Roman" w:cs="Times New Roman"/>
          <w:noProof/>
          <w:color w:val="212529"/>
          <w:sz w:val="24"/>
          <w:szCs w:val="24"/>
          <w:lang w:eastAsia="es-ES"/>
        </w:rPr>
        <w:lastRenderedPageBreak/>
        <w:drawing>
          <wp:inline distT="0" distB="0" distL="0" distR="0" wp14:anchorId="32A5E941" wp14:editId="21F2370F">
            <wp:extent cx="5676899" cy="2647950"/>
            <wp:effectExtent l="0" t="0" r="635" b="0"/>
            <wp:docPr id="203" name="Imagen 203" descr="https://s03.s3c.es/imag/_v0/770x506/c/b/5/tasa-paro-banderit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770x506/c/b/5/tasa-paro-banderitas.jp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681997" cy="2650328"/>
                    </a:xfrm>
                    <a:prstGeom prst="rect">
                      <a:avLst/>
                    </a:prstGeom>
                    <a:noFill/>
                    <a:ln>
                      <a:noFill/>
                    </a:ln>
                  </pic:spPr>
                </pic:pic>
              </a:graphicData>
            </a:graphic>
          </wp:inline>
        </w:drawing>
      </w:r>
    </w:p>
    <w:p w:rsidR="00EA1637" w:rsidRPr="00401351" w:rsidRDefault="00EA1637" w:rsidP="00FA4DA9">
      <w:pPr>
        <w:pStyle w:val="NormalWeb"/>
        <w:shd w:val="clear" w:color="auto" w:fill="FFFFFF"/>
        <w:spacing w:before="0" w:beforeAutospacing="0" w:after="270" w:afterAutospacing="0"/>
        <w:jc w:val="both"/>
        <w:rPr>
          <w:color w:val="212529"/>
          <w:spacing w:val="-1"/>
          <w:u w:val="single"/>
        </w:rPr>
      </w:pPr>
      <w:r w:rsidRPr="00401351">
        <w:rPr>
          <w:color w:val="212529"/>
          <w:spacing w:val="-1"/>
          <w:u w:val="single"/>
        </w:rPr>
        <w:t>Sin entrar a valorar en profundidad las causas de los diferentes niveles de paro, parece evidente que la estructura económica en el sur (mucho más estacional y de menor valor añadido) junto a unos mercados laborales menos eficientes pueden estar detrás de unas tasas de paro eternamente más elevadas</w:t>
      </w:r>
      <w:r w:rsidRPr="002739BA">
        <w:rPr>
          <w:color w:val="212529"/>
          <w:spacing w:val="-1"/>
        </w:rPr>
        <w:t xml:space="preserve">. No es que los españoles o los portugueses no quieran trabajar. Se ha podido ver que cuando la economía ha crecido lo suficiente </w:t>
      </w:r>
      <w:r w:rsidRPr="00EC3DB2">
        <w:rPr>
          <w:color w:val="212529"/>
          <w:spacing w:val="-1"/>
        </w:rPr>
        <w:t>(</w:t>
      </w:r>
      <w:r w:rsidRPr="00EC3DB2">
        <w:rPr>
          <w:bCs/>
          <w:color w:val="212529"/>
          <w:spacing w:val="-1"/>
        </w:rPr>
        <w:t>a través de burbujas</w:t>
      </w:r>
      <w:r w:rsidRPr="002739BA">
        <w:rPr>
          <w:color w:val="212529"/>
          <w:spacing w:val="-1"/>
        </w:rPr>
        <w:t xml:space="preserve"> y desequilibrios), las tasas de paro en el sur han caído a niveles relativamente bajos (en España en 2007, por ejemplo). </w:t>
      </w:r>
      <w:r w:rsidRPr="00401351">
        <w:rPr>
          <w:color w:val="212529"/>
          <w:spacing w:val="-1"/>
          <w:u w:val="single"/>
        </w:rPr>
        <w:t>Esto no supone, sin embargo, que estos países necesiten implementar reformas para mejorar la empleabilidad del capital humano y lograr una economía que pueda dar trabajo a una mayor parte de la población sin generar desequilibrios con el exterior.</w:t>
      </w:r>
    </w:p>
    <w:p w:rsidR="00EA1637" w:rsidRPr="00401351" w:rsidRDefault="00EA1637" w:rsidP="00FA4DA9">
      <w:pPr>
        <w:pStyle w:val="NormalWeb"/>
        <w:shd w:val="clear" w:color="auto" w:fill="FFFFFF"/>
        <w:spacing w:before="0" w:beforeAutospacing="0" w:after="270" w:afterAutospacing="0"/>
        <w:jc w:val="both"/>
        <w:rPr>
          <w:color w:val="212529"/>
          <w:spacing w:val="-1"/>
          <w:u w:val="single"/>
        </w:rPr>
      </w:pPr>
      <w:r w:rsidRPr="002739BA">
        <w:rPr>
          <w:b/>
          <w:bCs/>
          <w:color w:val="212529"/>
          <w:spacing w:val="-1"/>
        </w:rPr>
        <w:t>-Tasa de ahorro</w:t>
      </w:r>
      <w:r w:rsidRPr="002739BA">
        <w:rPr>
          <w:color w:val="212529"/>
          <w:spacing w:val="-1"/>
        </w:rPr>
        <w:t>: estos desequilibrios con el exterior son la o</w:t>
      </w:r>
      <w:r w:rsidR="00EC3DB2">
        <w:rPr>
          <w:color w:val="212529"/>
          <w:spacing w:val="-1"/>
        </w:rPr>
        <w:t>tra pata de las disputas entre “</w:t>
      </w:r>
      <w:r w:rsidRPr="002739BA">
        <w:rPr>
          <w:color w:val="212529"/>
          <w:spacing w:val="-1"/>
        </w:rPr>
        <w:t>ahor</w:t>
      </w:r>
      <w:r w:rsidR="00EC3DB2">
        <w:rPr>
          <w:color w:val="212529"/>
          <w:spacing w:val="-1"/>
        </w:rPr>
        <w:t>radores” y “despilfarradores”</w:t>
      </w:r>
      <w:r w:rsidRPr="002739BA">
        <w:rPr>
          <w:color w:val="212529"/>
          <w:spacing w:val="-1"/>
        </w:rPr>
        <w:t xml:space="preserve">. </w:t>
      </w:r>
      <w:r w:rsidRPr="00401351">
        <w:rPr>
          <w:color w:val="212529"/>
          <w:spacing w:val="-1"/>
          <w:u w:val="single"/>
        </w:rPr>
        <w:t xml:space="preserve">Unas tasas de </w:t>
      </w:r>
      <w:r w:rsidRPr="00EC3DB2">
        <w:rPr>
          <w:spacing w:val="-1"/>
          <w:u w:val="single"/>
        </w:rPr>
        <w:t>ahorro </w:t>
      </w:r>
      <w:hyperlink r:id="rId93" w:history="1">
        <w:r w:rsidRPr="00EC3DB2">
          <w:rPr>
            <w:rStyle w:val="Hipervnculo"/>
            <w:color w:val="auto"/>
            <w:spacing w:val="-1"/>
          </w:rPr>
          <w:t>sistemáticamente más elevadas en el norte</w:t>
        </w:r>
      </w:hyperlink>
      <w:r w:rsidRPr="00EC3DB2">
        <w:rPr>
          <w:spacing w:val="-1"/>
          <w:u w:val="single"/>
        </w:rPr>
        <w:t>, frente a unas economías más propensas al con</w:t>
      </w:r>
      <w:r w:rsidRPr="00401351">
        <w:rPr>
          <w:color w:val="212529"/>
          <w:spacing w:val="-1"/>
          <w:u w:val="single"/>
        </w:rPr>
        <w:t>sumo y dependientes de la demanda interna (el sur) han generado grandes desequilibrios (el sur se endeudaba para consumir e invertir pidiendo prestado al norte), que han convertido a una parte de Europa (el norte) en acreedora de la otra (el sur).</w:t>
      </w:r>
    </w:p>
    <w:p w:rsidR="00EA1637" w:rsidRPr="002739BA" w:rsidRDefault="00EA1637" w:rsidP="00FA4DA9">
      <w:pPr>
        <w:shd w:val="clear" w:color="auto" w:fill="FFFFFF"/>
        <w:spacing w:line="240" w:lineRule="auto"/>
        <w:jc w:val="both"/>
        <w:rPr>
          <w:rFonts w:ascii="Times New Roman" w:hAnsi="Times New Roman" w:cs="Times New Roman"/>
          <w:color w:val="212529"/>
          <w:sz w:val="24"/>
          <w:szCs w:val="24"/>
        </w:rPr>
      </w:pPr>
      <w:r w:rsidRPr="002739BA">
        <w:rPr>
          <w:rFonts w:ascii="Times New Roman" w:hAnsi="Times New Roman" w:cs="Times New Roman"/>
          <w:noProof/>
          <w:color w:val="212529"/>
          <w:sz w:val="24"/>
          <w:szCs w:val="24"/>
          <w:lang w:eastAsia="es-ES"/>
        </w:rPr>
        <w:drawing>
          <wp:inline distT="0" distB="0" distL="0" distR="0" wp14:anchorId="6437091F" wp14:editId="2E65DFD3">
            <wp:extent cx="5676900" cy="2647950"/>
            <wp:effectExtent l="0" t="0" r="0" b="0"/>
            <wp:docPr id="204" name="Imagen 204" descr="https://s03.s3c.es/imag/_v0/769x517/e/e/0/tasa-ahorro-banderit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03.s3c.es/imag/_v0/769x517/e/e/0/tasa-ahorro-banderitas.jp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676900" cy="2647950"/>
                    </a:xfrm>
                    <a:prstGeom prst="rect">
                      <a:avLst/>
                    </a:prstGeom>
                    <a:noFill/>
                    <a:ln>
                      <a:noFill/>
                    </a:ln>
                  </pic:spPr>
                </pic:pic>
              </a:graphicData>
            </a:graphic>
          </wp:inline>
        </w:drawing>
      </w:r>
    </w:p>
    <w:p w:rsidR="00EA1637" w:rsidRPr="00EC3DB2" w:rsidRDefault="00EA1637" w:rsidP="00FA4DA9">
      <w:pPr>
        <w:pStyle w:val="NormalWeb"/>
        <w:shd w:val="clear" w:color="auto" w:fill="FFFFFF"/>
        <w:spacing w:before="0" w:beforeAutospacing="0" w:after="270" w:afterAutospacing="0"/>
        <w:jc w:val="both"/>
        <w:rPr>
          <w:spacing w:val="-1"/>
        </w:rPr>
      </w:pPr>
      <w:r w:rsidRPr="002739BA">
        <w:rPr>
          <w:b/>
          <w:bCs/>
          <w:color w:val="212529"/>
          <w:spacing w:val="-1"/>
        </w:rPr>
        <w:lastRenderedPageBreak/>
        <w:t>-PIIN</w:t>
      </w:r>
      <w:r w:rsidRPr="002739BA">
        <w:rPr>
          <w:color w:val="212529"/>
          <w:spacing w:val="-1"/>
        </w:rPr>
        <w:t>: aunque tras la crisis de 2008 los países del sur han hecho grandes esfuerzos por corregir sus déficits por cuenta corriente (</w:t>
      </w:r>
      <w:r w:rsidRPr="002739BA">
        <w:rPr>
          <w:i/>
          <w:iCs/>
          <w:color w:val="212529"/>
          <w:spacing w:val="-1"/>
        </w:rPr>
        <w:t>grosso modo</w:t>
      </w:r>
      <w:r w:rsidRPr="002739BA">
        <w:rPr>
          <w:color w:val="212529"/>
          <w:spacing w:val="-1"/>
        </w:rPr>
        <w:t xml:space="preserve">: exportaciones menos importaciones) a través de devaluaciones internas (contención salarial y de beneficios distribuidos), las </w:t>
      </w:r>
      <w:r w:rsidRPr="00EC3DB2">
        <w:rPr>
          <w:spacing w:val="-1"/>
        </w:rPr>
        <w:t>desequilibrios acumulados durante años son difíciles de borrar. Aunque muchos de estos países, </w:t>
      </w:r>
      <w:hyperlink r:id="rId95" w:history="1">
        <w:r w:rsidRPr="00EC3DB2">
          <w:rPr>
            <w:rStyle w:val="Hipervnculo"/>
            <w:color w:val="auto"/>
            <w:spacing w:val="-1"/>
            <w:u w:val="none"/>
          </w:rPr>
          <w:t>como España</w:t>
        </w:r>
      </w:hyperlink>
      <w:r w:rsidRPr="00EC3DB2">
        <w:rPr>
          <w:spacing w:val="-1"/>
        </w:rPr>
        <w:t>, ahora gozan de superávits por cuenta corriente, la posición acumulada con el exterior (posición de inversión internacional neta o PIIN) sigue siendo muy negativa, lo que se traduce en una salida constante rentas desde España hacia los países acreedores.</w:t>
      </w:r>
    </w:p>
    <w:p w:rsidR="00EA1637" w:rsidRPr="00EC3DB2" w:rsidRDefault="00EA1637" w:rsidP="00FA4DA9">
      <w:pPr>
        <w:pStyle w:val="NormalWeb"/>
        <w:shd w:val="clear" w:color="auto" w:fill="FFFFFF"/>
        <w:spacing w:before="0" w:beforeAutospacing="0" w:after="270" w:afterAutospacing="0"/>
        <w:jc w:val="both"/>
        <w:rPr>
          <w:spacing w:val="-1"/>
        </w:rPr>
      </w:pPr>
      <w:r w:rsidRPr="00EC3DB2">
        <w:rPr>
          <w:spacing w:val="-1"/>
        </w:rPr>
        <w:t>La PIIN es una variable de stock que mide la diferencia entre los activos extranjeros en manos de españoles (por ejemplo) y los activos españoles en manos de extranjeros, es decir, muestra la posición financiera neta de un país respecto al resto del mundo. Mientras que </w:t>
      </w:r>
      <w:hyperlink r:id="rId96" w:history="1">
        <w:r w:rsidRPr="00EC3DB2">
          <w:rPr>
            <w:rStyle w:val="Hipervnculo"/>
            <w:color w:val="auto"/>
            <w:spacing w:val="-1"/>
            <w:u w:val="none"/>
          </w:rPr>
          <w:t>Alemania o Países Bajos tienen una PIIN positiva</w:t>
        </w:r>
      </w:hyperlink>
      <w:r w:rsidRPr="00EC3DB2">
        <w:rPr>
          <w:spacing w:val="-1"/>
        </w:rPr>
        <w:t> superior al 70% de su PIB, países como Grecia presentan una negativa de casi el 160% de su PIB. De una forma poco académica, se necesitaría una Grecia entera y media de otra para equilibrar la balanza. Entre los países del sur solo Italia logra cierto equilibrio gracias al turismo y a la buena imagen de sus productos que, junto a otros factores, han permitido al país mantener en equilibrio su balanza por cuenta corriente durante años.</w:t>
      </w:r>
    </w:p>
    <w:p w:rsidR="00EA1637" w:rsidRPr="002739BA" w:rsidRDefault="00EA1637" w:rsidP="00FA4DA9">
      <w:pPr>
        <w:shd w:val="clear" w:color="auto" w:fill="FFFFFF"/>
        <w:spacing w:line="240" w:lineRule="auto"/>
        <w:jc w:val="both"/>
        <w:rPr>
          <w:rFonts w:ascii="Times New Roman" w:hAnsi="Times New Roman" w:cs="Times New Roman"/>
          <w:color w:val="212529"/>
          <w:sz w:val="24"/>
          <w:szCs w:val="24"/>
        </w:rPr>
      </w:pPr>
      <w:r w:rsidRPr="002739BA">
        <w:rPr>
          <w:rFonts w:ascii="Times New Roman" w:hAnsi="Times New Roman" w:cs="Times New Roman"/>
          <w:noProof/>
          <w:color w:val="212529"/>
          <w:sz w:val="24"/>
          <w:szCs w:val="24"/>
          <w:lang w:eastAsia="es-ES"/>
        </w:rPr>
        <w:drawing>
          <wp:inline distT="0" distB="0" distL="0" distR="0" wp14:anchorId="15487B45" wp14:editId="18ADC2D6">
            <wp:extent cx="5676898" cy="2838450"/>
            <wp:effectExtent l="0" t="0" r="635" b="0"/>
            <wp:docPr id="205" name="Imagen 205" descr="https://s03.s3c.es/imag/_v0/769x513/9/6/c/piin-banderitas-acreed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03.s3c.es/imag/_v0/769x513/9/6/c/piin-banderitas-acreedor.jp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683412" cy="2841707"/>
                    </a:xfrm>
                    <a:prstGeom prst="rect">
                      <a:avLst/>
                    </a:prstGeom>
                    <a:noFill/>
                    <a:ln>
                      <a:noFill/>
                    </a:ln>
                  </pic:spPr>
                </pic:pic>
              </a:graphicData>
            </a:graphic>
          </wp:inline>
        </w:drawing>
      </w:r>
    </w:p>
    <w:p w:rsidR="00EA1637" w:rsidRPr="00873C5E" w:rsidRDefault="00EA1637" w:rsidP="00FA4DA9">
      <w:pPr>
        <w:pStyle w:val="NormalWeb"/>
        <w:shd w:val="clear" w:color="auto" w:fill="FFFFFF"/>
        <w:spacing w:before="0" w:beforeAutospacing="0" w:after="270" w:afterAutospacing="0"/>
        <w:jc w:val="both"/>
        <w:rPr>
          <w:spacing w:val="-1"/>
        </w:rPr>
      </w:pPr>
      <w:r w:rsidRPr="00873C5E">
        <w:rPr>
          <w:spacing w:val="-1"/>
          <w:u w:val="single"/>
        </w:rPr>
        <w:t>Por todo ello, el norte acreedor prefiere unos tipos de interés más elevados que generen un rendimiento a sus activos (préstamos, acciones...), mientras que el sur deudor clama por unos tipos de interés muy bajos que reduzcan la carga financiera que sus deudas con el resto del mundo</w:t>
      </w:r>
      <w:r w:rsidRPr="00873C5E">
        <w:rPr>
          <w:spacing w:val="-1"/>
        </w:rPr>
        <w:t>. Aunque esto es complejo de ver a simple vista, </w:t>
      </w:r>
      <w:r w:rsidR="006B02FD" w:rsidRPr="006B02FD">
        <w:rPr>
          <w:spacing w:val="-1"/>
        </w:rPr>
        <w:t>las luchas entre “</w:t>
      </w:r>
      <w:r w:rsidRPr="006B02FD">
        <w:rPr>
          <w:spacing w:val="-1"/>
        </w:rPr>
        <w:t>halcones'</w:t>
      </w:r>
      <w:r w:rsidR="006B02FD">
        <w:rPr>
          <w:spacing w:val="-1"/>
        </w:rPr>
        <w:t>”</w:t>
      </w:r>
      <w:r w:rsidRPr="00873C5E">
        <w:rPr>
          <w:spacing w:val="-1"/>
        </w:rPr>
        <w:t> (menos estímulos y</w:t>
      </w:r>
      <w:r w:rsidR="006B02FD">
        <w:rPr>
          <w:spacing w:val="-1"/>
        </w:rPr>
        <w:t xml:space="preserve"> tipos de interés más altos) y “palomas”</w:t>
      </w:r>
      <w:r w:rsidRPr="00873C5E">
        <w:rPr>
          <w:spacing w:val="-1"/>
        </w:rPr>
        <w:t xml:space="preserve"> (estímulos y tipos bajos) tienen, entre otros factores, como trasfondo este desequilibrio que hace </w:t>
      </w:r>
      <w:hyperlink r:id="rId98" w:history="1">
        <w:r w:rsidRPr="00873C5E">
          <w:rPr>
            <w:rStyle w:val="Hipervnculo"/>
            <w:color w:val="auto"/>
            <w:spacing w:val="-1"/>
          </w:rPr>
          <w:t>perder miles de millones a los ahorradores</w:t>
        </w:r>
      </w:hyperlink>
      <w:r w:rsidRPr="00873C5E">
        <w:rPr>
          <w:spacing w:val="-1"/>
        </w:rPr>
        <w:t> del norte y ayuda a millones de familias y empresas con elevadas deudas en el sur.</w:t>
      </w:r>
    </w:p>
    <w:p w:rsidR="00EA1637" w:rsidRPr="00873C5E" w:rsidRDefault="00EA1637" w:rsidP="00FA4DA9">
      <w:pPr>
        <w:pStyle w:val="NormalWeb"/>
        <w:shd w:val="clear" w:color="auto" w:fill="FFFFFF"/>
        <w:spacing w:before="0" w:beforeAutospacing="0" w:after="270" w:afterAutospacing="0"/>
        <w:jc w:val="both"/>
        <w:rPr>
          <w:spacing w:val="-1"/>
        </w:rPr>
      </w:pPr>
      <w:r w:rsidRPr="00873C5E">
        <w:rPr>
          <w:spacing w:val="-1"/>
        </w:rPr>
        <w:t>Ahora, con la crisis del coronavirus los desequilibrios podrían acentuarse. Por un lado, los países del sur sufrirán </w:t>
      </w:r>
      <w:hyperlink r:id="rId99" w:history="1">
        <w:r w:rsidRPr="00873C5E">
          <w:rPr>
            <w:rStyle w:val="Hipervnculo"/>
            <w:color w:val="auto"/>
            <w:spacing w:val="-1"/>
          </w:rPr>
          <w:t>una recesión económica más intensa</w:t>
        </w:r>
      </w:hyperlink>
      <w:r w:rsidRPr="00873C5E">
        <w:rPr>
          <w:spacing w:val="-1"/>
        </w:rPr>
        <w:t>, que generará nuevos desequilibrios fiscales y golpeará sin piedad al mercado laboral. Por otro, el superávit exterior que tanto ha costado alcanzar a España o Portugal podría peligrar si </w:t>
      </w:r>
      <w:hyperlink r:id="rId100" w:history="1">
        <w:r w:rsidRPr="00873C5E">
          <w:rPr>
            <w:rStyle w:val="Hipervnculo"/>
            <w:color w:val="auto"/>
            <w:spacing w:val="-1"/>
          </w:rPr>
          <w:t>la pandemia afecta al turismo</w:t>
        </w:r>
      </w:hyperlink>
      <w:r w:rsidRPr="00873C5E">
        <w:rPr>
          <w:spacing w:val="-1"/>
        </w:rPr>
        <w:t xml:space="preserve"> de una forma más prolongada e intensa, puesto que ese superávit dependen en gran parte de las rentas que entran del exterior con los turistas que llegan de todo el mundo. Estas diferencias podrían convertir las disputas entre norte y sur en algo </w:t>
      </w:r>
      <w:r w:rsidR="00324F4A" w:rsidRPr="00873C5E">
        <w:rPr>
          <w:spacing w:val="-1"/>
        </w:rPr>
        <w:t>permanente</w:t>
      </w:r>
      <w:r w:rsidRPr="00873C5E">
        <w:rPr>
          <w:spacing w:val="-1"/>
        </w:rPr>
        <w:t xml:space="preserve"> hasta que las </w:t>
      </w:r>
      <w:r w:rsidRPr="00873C5E">
        <w:rPr>
          <w:spacing w:val="-1"/>
        </w:rPr>
        <w:lastRenderedPageBreak/>
        <w:t xml:space="preserve">economías de la zona euro converjan de una forma real o aprendan a vivir siendo un área monetaria </w:t>
      </w:r>
      <w:r w:rsidR="00324F4A" w:rsidRPr="00873C5E">
        <w:rPr>
          <w:spacing w:val="-1"/>
        </w:rPr>
        <w:t>formada</w:t>
      </w:r>
      <w:r w:rsidRPr="00873C5E">
        <w:rPr>
          <w:spacing w:val="-1"/>
        </w:rPr>
        <w:t xml:space="preserve"> por un mosaico economías heterogéneas.</w:t>
      </w:r>
    </w:p>
    <w:p w:rsidR="00EA1637" w:rsidRPr="003B186B" w:rsidRDefault="00EA1637" w:rsidP="00FA4DA9">
      <w:pPr>
        <w:spacing w:line="240" w:lineRule="auto"/>
        <w:jc w:val="both"/>
        <w:rPr>
          <w:rFonts w:ascii="Times New Roman" w:hAnsi="Times New Roman" w:cs="Times New Roman"/>
          <w:sz w:val="24"/>
          <w:szCs w:val="24"/>
          <w:lang w:val="en-US"/>
        </w:rPr>
      </w:pPr>
      <w:r w:rsidRPr="003B186B">
        <w:rPr>
          <w:rFonts w:ascii="Times New Roman" w:hAnsi="Times New Roman" w:cs="Times New Roman"/>
          <w:sz w:val="24"/>
          <w:szCs w:val="24"/>
          <w:lang w:val="en-US"/>
        </w:rPr>
        <w:t xml:space="preserve">- </w:t>
      </w:r>
      <w:r w:rsidRPr="003B186B">
        <w:rPr>
          <w:rFonts w:ascii="Times New Roman" w:hAnsi="Times New Roman" w:cs="Times New Roman"/>
          <w:sz w:val="24"/>
          <w:szCs w:val="24"/>
          <w:u w:val="single"/>
          <w:lang w:val="en-US"/>
        </w:rPr>
        <w:t>Fed Officials Project No Rate Increases Through 2022</w:t>
      </w:r>
      <w:r>
        <w:rPr>
          <w:rFonts w:ascii="Times New Roman" w:hAnsi="Times New Roman" w:cs="Times New Roman"/>
          <w:sz w:val="24"/>
          <w:szCs w:val="24"/>
          <w:lang w:val="en-US"/>
        </w:rPr>
        <w:t xml:space="preserve"> (The Wall Street Journal - </w:t>
      </w:r>
      <w:r w:rsidRPr="00ED6BB0">
        <w:rPr>
          <w:rFonts w:ascii="Times New Roman" w:hAnsi="Times New Roman" w:cs="Times New Roman"/>
          <w:b/>
          <w:sz w:val="24"/>
          <w:szCs w:val="24"/>
          <w:lang w:val="en-US"/>
        </w:rPr>
        <w:t>10/6/20</w:t>
      </w:r>
      <w:r>
        <w:rPr>
          <w:rFonts w:ascii="Times New Roman" w:hAnsi="Times New Roman" w:cs="Times New Roman"/>
          <w:sz w:val="24"/>
          <w:szCs w:val="24"/>
          <w:lang w:val="en-US"/>
        </w:rPr>
        <w:t>)</w:t>
      </w:r>
    </w:p>
    <w:p w:rsidR="00EA1637" w:rsidRDefault="00EA1637" w:rsidP="00FA4DA9">
      <w:pPr>
        <w:spacing w:line="240" w:lineRule="auto"/>
        <w:jc w:val="both"/>
        <w:rPr>
          <w:rFonts w:ascii="Times New Roman" w:hAnsi="Times New Roman" w:cs="Times New Roman"/>
          <w:sz w:val="24"/>
          <w:szCs w:val="24"/>
          <w:lang w:val="en-US"/>
        </w:rPr>
      </w:pPr>
      <w:r w:rsidRPr="003B186B">
        <w:rPr>
          <w:rFonts w:ascii="Times New Roman" w:hAnsi="Times New Roman" w:cs="Times New Roman"/>
          <w:sz w:val="24"/>
          <w:szCs w:val="24"/>
          <w:lang w:val="en-US"/>
        </w:rPr>
        <w:t>Central bank says it will maintain current pace of asset purchases to sustain growth</w:t>
      </w:r>
    </w:p>
    <w:p w:rsidR="00EA1637" w:rsidRPr="003B186B" w:rsidRDefault="00873C5E" w:rsidP="00FA4DA9">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Washington.- </w:t>
      </w:r>
      <w:r w:rsidR="00EA1637" w:rsidRPr="003B186B">
        <w:rPr>
          <w:rFonts w:ascii="Times New Roman" w:hAnsi="Times New Roman" w:cs="Times New Roman"/>
          <w:sz w:val="24"/>
          <w:szCs w:val="24"/>
          <w:lang w:val="en-US"/>
        </w:rPr>
        <w:t>Federal Reserve officials signaled plans to keep interest rates near zero for years and said they were studying how to provide more support to a U.S. economy battered by the cor</w:t>
      </w:r>
      <w:r w:rsidR="00EA1637">
        <w:rPr>
          <w:rFonts w:ascii="Times New Roman" w:hAnsi="Times New Roman" w:cs="Times New Roman"/>
          <w:sz w:val="24"/>
          <w:szCs w:val="24"/>
          <w:lang w:val="en-US"/>
        </w:rPr>
        <w:t>onavirus and related shutdowns.</w:t>
      </w:r>
    </w:p>
    <w:p w:rsidR="00EA1637" w:rsidRDefault="00EA1637" w:rsidP="00FA4DA9">
      <w:pPr>
        <w:spacing w:line="240" w:lineRule="auto"/>
        <w:jc w:val="both"/>
        <w:rPr>
          <w:rFonts w:ascii="Times New Roman" w:hAnsi="Times New Roman" w:cs="Times New Roman"/>
          <w:sz w:val="24"/>
          <w:szCs w:val="24"/>
          <w:lang w:val="en-US"/>
        </w:rPr>
      </w:pPr>
      <w:r w:rsidRPr="003B186B">
        <w:rPr>
          <w:rFonts w:ascii="Times New Roman" w:hAnsi="Times New Roman" w:cs="Times New Roman"/>
          <w:sz w:val="24"/>
          <w:szCs w:val="24"/>
          <w:lang w:val="en-US"/>
        </w:rPr>
        <w:t>“We are strongly committed to using our tools to do whatever we can and for as long as it takes to pro</w:t>
      </w:r>
      <w:r w:rsidR="00873C5E">
        <w:rPr>
          <w:rFonts w:ascii="Times New Roman" w:hAnsi="Times New Roman" w:cs="Times New Roman"/>
          <w:sz w:val="24"/>
          <w:szCs w:val="24"/>
          <w:lang w:val="en-US"/>
        </w:rPr>
        <w:t>vide some relief and stability”,</w:t>
      </w:r>
      <w:r w:rsidRPr="003B186B">
        <w:rPr>
          <w:rFonts w:ascii="Times New Roman" w:hAnsi="Times New Roman" w:cs="Times New Roman"/>
          <w:sz w:val="24"/>
          <w:szCs w:val="24"/>
          <w:lang w:val="en-US"/>
        </w:rPr>
        <w:t xml:space="preserve"> Fed Chairman Jerome Powell said Wednesday at a virtual news conference after a two-day policy meeting</w:t>
      </w:r>
      <w:r>
        <w:rPr>
          <w:rFonts w:ascii="Times New Roman" w:hAnsi="Times New Roman" w:cs="Times New Roman"/>
          <w:sz w:val="24"/>
          <w:szCs w:val="24"/>
          <w:lang w:val="en-US"/>
        </w:rPr>
        <w:t>…</w:t>
      </w:r>
    </w:p>
    <w:p w:rsidR="00EA1637" w:rsidRDefault="00EA1637" w:rsidP="00FA4DA9">
      <w:pPr>
        <w:spacing w:line="240" w:lineRule="auto"/>
        <w:jc w:val="both"/>
        <w:rPr>
          <w:rFonts w:ascii="Times New Roman" w:hAnsi="Times New Roman" w:cs="Times New Roman"/>
          <w:color w:val="FF0000"/>
          <w:sz w:val="24"/>
          <w:szCs w:val="24"/>
        </w:rPr>
      </w:pPr>
      <w:r>
        <w:rPr>
          <w:noProof/>
          <w:lang w:eastAsia="es-ES"/>
        </w:rPr>
        <w:drawing>
          <wp:inline distT="0" distB="0" distL="0" distR="0" wp14:anchorId="5D184B21" wp14:editId="08072475">
            <wp:extent cx="5731510" cy="3902075"/>
            <wp:effectExtent l="0" t="0" r="2540" b="3175"/>
            <wp:docPr id="209" name="Imagen 209" descr="S&am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amp;P"/>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31510" cy="3902075"/>
                    </a:xfrm>
                    <a:prstGeom prst="rect">
                      <a:avLst/>
                    </a:prstGeom>
                    <a:noFill/>
                    <a:ln>
                      <a:noFill/>
                    </a:ln>
                  </pic:spPr>
                </pic:pic>
              </a:graphicData>
            </a:graphic>
          </wp:inline>
        </w:drawing>
      </w:r>
    </w:p>
    <w:p w:rsidR="00EA1637" w:rsidRPr="00356FED" w:rsidRDefault="00EA1637" w:rsidP="00FA4DA9">
      <w:pPr>
        <w:spacing w:line="240" w:lineRule="auto"/>
        <w:jc w:val="both"/>
        <w:rPr>
          <w:rFonts w:ascii="Times New Roman" w:hAnsi="Times New Roman" w:cs="Times New Roman"/>
          <w:color w:val="FF0000"/>
          <w:sz w:val="24"/>
          <w:szCs w:val="24"/>
          <w:u w:val="single"/>
        </w:rPr>
      </w:pPr>
      <w:r w:rsidRPr="00356FED">
        <w:rPr>
          <w:rFonts w:ascii="Times New Roman" w:hAnsi="Times New Roman" w:cs="Times New Roman"/>
          <w:color w:val="FF0000"/>
          <w:sz w:val="24"/>
          <w:szCs w:val="24"/>
          <w:u w:val="single"/>
        </w:rPr>
        <w:t>Los analistas se han visto sorprendidos por la fortaleza del índice, ahora situado más cerca que nunca del nivel objetivo a 12 meses,</w:t>
      </w:r>
      <w:r w:rsidR="006B02FD" w:rsidRPr="00356FED">
        <w:rPr>
          <w:rFonts w:ascii="Times New Roman" w:hAnsi="Times New Roman" w:cs="Times New Roman"/>
          <w:color w:val="FF0000"/>
          <w:sz w:val="24"/>
          <w:szCs w:val="24"/>
          <w:u w:val="single"/>
        </w:rPr>
        <w:t xml:space="preserve"> según un estudio de Bloomberg.</w:t>
      </w:r>
    </w:p>
    <w:p w:rsidR="00EA1637" w:rsidRDefault="00EA1637" w:rsidP="00FA4DA9">
      <w:pPr>
        <w:spacing w:line="240" w:lineRule="auto"/>
        <w:jc w:val="both"/>
        <w:rPr>
          <w:rFonts w:ascii="Times New Roman" w:hAnsi="Times New Roman" w:cs="Times New Roman"/>
          <w:sz w:val="24"/>
          <w:szCs w:val="24"/>
        </w:rPr>
      </w:pPr>
      <w:r w:rsidRPr="00356FED">
        <w:rPr>
          <w:rFonts w:ascii="Times New Roman" w:hAnsi="Times New Roman" w:cs="Times New Roman"/>
          <w:color w:val="FF0000"/>
          <w:sz w:val="24"/>
          <w:szCs w:val="24"/>
          <w:u w:val="single"/>
        </w:rPr>
        <w:t>Ese informe pone de relieve el buen comportamiento del índice, con el 60% de las acciones -unas 300 del medio millar que lo componen- marcando niveles superiores a las estimaciones medias de analistas sobre dónde estará su nivel objetivo de aquí a 12 meses</w:t>
      </w:r>
      <w:r w:rsidRPr="00253F3B">
        <w:rPr>
          <w:rFonts w:ascii="Times New Roman" w:hAnsi="Times New Roman" w:cs="Times New Roman"/>
          <w:sz w:val="24"/>
          <w:szCs w:val="24"/>
        </w:rPr>
        <w:t>. Esto sólo pasaba con dos valores a finales de marzo</w:t>
      </w:r>
      <w:r>
        <w:rPr>
          <w:rFonts w:ascii="Times New Roman" w:hAnsi="Times New Roman" w:cs="Times New Roman"/>
          <w:sz w:val="24"/>
          <w:szCs w:val="24"/>
        </w:rPr>
        <w:t xml:space="preserve">… (Cinco Días - </w:t>
      </w:r>
      <w:r w:rsidRPr="00253F3B">
        <w:rPr>
          <w:rFonts w:ascii="Times New Roman" w:hAnsi="Times New Roman" w:cs="Times New Roman"/>
          <w:b/>
          <w:sz w:val="24"/>
          <w:szCs w:val="24"/>
        </w:rPr>
        <w:t>18/6/20</w:t>
      </w:r>
      <w:r>
        <w:rPr>
          <w:rFonts w:ascii="Times New Roman" w:hAnsi="Times New Roman" w:cs="Times New Roman"/>
          <w:sz w:val="24"/>
          <w:szCs w:val="24"/>
        </w:rPr>
        <w:t>)</w:t>
      </w:r>
    </w:p>
    <w:p w:rsidR="00EA1637" w:rsidRPr="00BD371B" w:rsidRDefault="00EA1637"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A34A5">
        <w:rPr>
          <w:rFonts w:ascii="Times New Roman" w:hAnsi="Times New Roman" w:cs="Times New Roman"/>
          <w:sz w:val="24"/>
          <w:szCs w:val="24"/>
          <w:u w:val="single"/>
        </w:rPr>
        <w:t>Quién pagará la colosal factura fiscal que deja el coronavirus?: 30 billones de dólares</w:t>
      </w:r>
      <w:r>
        <w:rPr>
          <w:rFonts w:ascii="Times New Roman" w:hAnsi="Times New Roman" w:cs="Times New Roman"/>
          <w:sz w:val="24"/>
          <w:szCs w:val="24"/>
        </w:rPr>
        <w:t xml:space="preserve"> (Libertad Digital - </w:t>
      </w:r>
      <w:r w:rsidRPr="008A34A5">
        <w:rPr>
          <w:rFonts w:ascii="Times New Roman" w:hAnsi="Times New Roman" w:cs="Times New Roman"/>
          <w:b/>
          <w:sz w:val="24"/>
          <w:szCs w:val="24"/>
        </w:rPr>
        <w:t>21/6/20</w:t>
      </w:r>
      <w:r>
        <w:rPr>
          <w:rFonts w:ascii="Times New Roman" w:hAnsi="Times New Roman" w:cs="Times New Roman"/>
          <w:sz w:val="24"/>
          <w:szCs w:val="24"/>
        </w:rPr>
        <w:t>)</w:t>
      </w:r>
    </w:p>
    <w:p w:rsidR="00EA1637" w:rsidRDefault="00EA1637"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(Por Manuel Llamas)</w:t>
      </w:r>
    </w:p>
    <w:p w:rsidR="00EA1637" w:rsidRPr="001B1B81" w:rsidRDefault="00EA1637" w:rsidP="00FA4DA9">
      <w:pPr>
        <w:shd w:val="clear" w:color="auto" w:fill="FFFFFF"/>
        <w:spacing w:after="0" w:line="240" w:lineRule="auto"/>
        <w:jc w:val="both"/>
        <w:textAlignment w:val="baseline"/>
        <w:rPr>
          <w:rFonts w:ascii="Times New Roman" w:eastAsia="Times New Roman" w:hAnsi="Times New Roman" w:cs="Times New Roman"/>
          <w:color w:val="333333"/>
          <w:sz w:val="24"/>
          <w:szCs w:val="24"/>
          <w:u w:val="single"/>
        </w:rPr>
      </w:pPr>
      <w:r w:rsidRPr="008A34A5">
        <w:rPr>
          <w:rFonts w:ascii="Times New Roman" w:eastAsia="Times New Roman" w:hAnsi="Times New Roman" w:cs="Times New Roman"/>
          <w:color w:val="333333"/>
          <w:sz w:val="24"/>
          <w:szCs w:val="24"/>
          <w:u w:val="single"/>
        </w:rPr>
        <w:lastRenderedPageBreak/>
        <w:t>Ahora que la </w:t>
      </w:r>
      <w:r w:rsidRPr="001B1B81">
        <w:rPr>
          <w:rFonts w:ascii="Times New Roman" w:eastAsia="Times New Roman" w:hAnsi="Times New Roman" w:cs="Times New Roman"/>
          <w:b/>
          <w:bCs/>
          <w:color w:val="333333"/>
          <w:sz w:val="24"/>
          <w:szCs w:val="24"/>
          <w:u w:val="single"/>
          <w:bdr w:val="none" w:sz="0" w:space="0" w:color="auto" w:frame="1"/>
        </w:rPr>
        <w:t>primera oleada del coronavirus</w:t>
      </w:r>
      <w:r w:rsidRPr="008A34A5">
        <w:rPr>
          <w:rFonts w:ascii="Times New Roman" w:eastAsia="Times New Roman" w:hAnsi="Times New Roman" w:cs="Times New Roman"/>
          <w:color w:val="333333"/>
          <w:sz w:val="24"/>
          <w:szCs w:val="24"/>
          <w:u w:val="single"/>
        </w:rPr>
        <w:t> parece estar llegando a su fin en la mayoría de los países ricos, empiezan a emerger los efectos económicos y fiscales que deja tras de sí la pandemia. A la histórica recesión que registrará el mundo en 2020, la mayor desde la II Guerra Mundial, se sumará una </w:t>
      </w:r>
      <w:r w:rsidRPr="001B1B81">
        <w:rPr>
          <w:rFonts w:ascii="Times New Roman" w:eastAsia="Times New Roman" w:hAnsi="Times New Roman" w:cs="Times New Roman"/>
          <w:b/>
          <w:bCs/>
          <w:color w:val="333333"/>
          <w:sz w:val="24"/>
          <w:szCs w:val="24"/>
          <w:u w:val="single"/>
          <w:bdr w:val="none" w:sz="0" w:space="0" w:color="auto" w:frame="1"/>
        </w:rPr>
        <w:t>colosal factura fiscal </w:t>
      </w:r>
      <w:r w:rsidRPr="008A34A5">
        <w:rPr>
          <w:rFonts w:ascii="Times New Roman" w:eastAsia="Times New Roman" w:hAnsi="Times New Roman" w:cs="Times New Roman"/>
          <w:color w:val="333333"/>
          <w:sz w:val="24"/>
          <w:szCs w:val="24"/>
          <w:u w:val="single"/>
        </w:rPr>
        <w:t>en forma de déficit y deuda, cuya financiación corre el riesgo de llevarse por delante la solvencia de varios estados.</w:t>
      </w:r>
    </w:p>
    <w:p w:rsidR="00EA1637" w:rsidRPr="008A34A5" w:rsidRDefault="00EA1637" w:rsidP="00FA4DA9">
      <w:pPr>
        <w:shd w:val="clear" w:color="auto" w:fill="FFFFFF"/>
        <w:spacing w:after="0" w:line="240" w:lineRule="auto"/>
        <w:jc w:val="both"/>
        <w:textAlignment w:val="baseline"/>
        <w:rPr>
          <w:rFonts w:ascii="Times New Roman" w:eastAsia="Times New Roman" w:hAnsi="Times New Roman" w:cs="Times New Roman"/>
          <w:color w:val="333333"/>
          <w:sz w:val="24"/>
          <w:szCs w:val="24"/>
          <w:u w:val="single"/>
        </w:rPr>
      </w:pPr>
    </w:p>
    <w:p w:rsidR="00EA1637" w:rsidRDefault="00EA1637" w:rsidP="00FA4DA9">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8A34A5">
        <w:rPr>
          <w:rFonts w:ascii="Times New Roman" w:eastAsia="Times New Roman" w:hAnsi="Times New Roman" w:cs="Times New Roman"/>
          <w:b/>
          <w:color w:val="FF0000"/>
          <w:sz w:val="24"/>
          <w:szCs w:val="24"/>
          <w:u w:val="single"/>
        </w:rPr>
        <w:t>La prestigiosa consultora McKinsey estima que, a día de hoy, los gobiernos afectados acumularán un </w:t>
      </w:r>
      <w:r w:rsidRPr="001B1B81">
        <w:rPr>
          <w:rFonts w:ascii="Times New Roman" w:eastAsia="Times New Roman" w:hAnsi="Times New Roman" w:cs="Times New Roman"/>
          <w:b/>
          <w:bCs/>
          <w:color w:val="FF0000"/>
          <w:sz w:val="24"/>
          <w:szCs w:val="24"/>
          <w:u w:val="single"/>
          <w:bdr w:val="none" w:sz="0" w:space="0" w:color="auto" w:frame="1"/>
        </w:rPr>
        <w:t>déficit de entre 25 y 30 billones de dólares hasta 2023</w:t>
      </w:r>
      <w:r w:rsidRPr="008A34A5">
        <w:rPr>
          <w:rFonts w:ascii="Times New Roman" w:eastAsia="Times New Roman" w:hAnsi="Times New Roman" w:cs="Times New Roman"/>
          <w:b/>
          <w:color w:val="FF0000"/>
          <w:sz w:val="24"/>
          <w:szCs w:val="24"/>
          <w:u w:val="single"/>
        </w:rPr>
        <w:t>, equivalente al 30% del PIB global, una cifra inédita en tiempos de paz.</w:t>
      </w:r>
      <w:r w:rsidRPr="008A34A5">
        <w:rPr>
          <w:rFonts w:ascii="Times New Roman" w:eastAsia="Times New Roman" w:hAnsi="Times New Roman" w:cs="Times New Roman"/>
          <w:color w:val="333333"/>
          <w:sz w:val="24"/>
          <w:szCs w:val="24"/>
        </w:rPr>
        <w:t xml:space="preserve"> </w:t>
      </w:r>
      <w:r w:rsidRPr="008A34A5">
        <w:rPr>
          <w:rFonts w:ascii="Times New Roman" w:eastAsia="Times New Roman" w:hAnsi="Times New Roman" w:cs="Times New Roman"/>
          <w:color w:val="FF0000"/>
          <w:sz w:val="24"/>
          <w:szCs w:val="24"/>
          <w:u w:val="single"/>
        </w:rPr>
        <w:t>Este desequilibrio es fruto, por un lado, del fuerte aumento que registrará el gasto público como consecuencia de los estímulos fiscales puestos en marcha para tratar de combatir la crisis económica y, por otro, de la intensa reducción de los ingresos debido, igualmente, a la recesión.</w:t>
      </w:r>
    </w:p>
    <w:p w:rsidR="00873C5E" w:rsidRDefault="00873C5E" w:rsidP="00FA4DA9">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873C5E" w:rsidRPr="001B1B81" w:rsidRDefault="00873C5E" w:rsidP="00FA4DA9">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8A34A5">
        <w:rPr>
          <w:rFonts w:ascii="Times New Roman" w:eastAsia="Times New Roman" w:hAnsi="Times New Roman" w:cs="Times New Roman"/>
          <w:noProof/>
          <w:color w:val="E97D3B"/>
          <w:sz w:val="24"/>
          <w:szCs w:val="24"/>
          <w:bdr w:val="none" w:sz="0" w:space="0" w:color="auto" w:frame="1"/>
          <w:lang w:eastAsia="es-ES"/>
        </w:rPr>
        <w:drawing>
          <wp:inline distT="0" distB="0" distL="0" distR="0" wp14:anchorId="150E4C76" wp14:editId="609807EF">
            <wp:extent cx="5649790" cy="3835400"/>
            <wp:effectExtent l="0" t="0" r="8255" b="0"/>
            <wp:docPr id="273" name="Imagen 273" descr="factura-covid.png">
              <a:hlinkClick xmlns:a="http://schemas.openxmlformats.org/drawingml/2006/main" r:id="rId102"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ctura-covid.png">
                      <a:hlinkClick r:id="rId102" tooltip="&quot;&quot;"/>
                    </pic:cNvPr>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654800" cy="3838801"/>
                    </a:xfrm>
                    <a:prstGeom prst="rect">
                      <a:avLst/>
                    </a:prstGeom>
                    <a:noFill/>
                    <a:ln>
                      <a:noFill/>
                    </a:ln>
                  </pic:spPr>
                </pic:pic>
              </a:graphicData>
            </a:graphic>
          </wp:inline>
        </w:drawing>
      </w:r>
    </w:p>
    <w:p w:rsidR="00EA1637" w:rsidRPr="008A34A5" w:rsidRDefault="00EA1637" w:rsidP="00FA4DA9">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EA1637" w:rsidRPr="008A34A5" w:rsidRDefault="00EA1637" w:rsidP="00FA4DA9">
      <w:pPr>
        <w:shd w:val="clear" w:color="auto" w:fill="FFFFFF"/>
        <w:spacing w:after="360" w:line="240" w:lineRule="auto"/>
        <w:jc w:val="both"/>
        <w:textAlignment w:val="baseline"/>
        <w:rPr>
          <w:rFonts w:ascii="Times New Roman" w:eastAsia="Times New Roman" w:hAnsi="Times New Roman" w:cs="Times New Roman"/>
          <w:b/>
          <w:color w:val="FF0000"/>
          <w:sz w:val="24"/>
          <w:szCs w:val="24"/>
          <w:u w:val="single"/>
        </w:rPr>
      </w:pPr>
      <w:r w:rsidRPr="008A34A5">
        <w:rPr>
          <w:rFonts w:ascii="Times New Roman" w:eastAsia="Times New Roman" w:hAnsi="Times New Roman" w:cs="Times New Roman"/>
          <w:b/>
          <w:color w:val="FF0000"/>
          <w:sz w:val="24"/>
          <w:szCs w:val="24"/>
          <w:u w:val="single"/>
        </w:rPr>
        <w:t>Tan sólo los estímulos que han anunciado las potencias pertenecientes al G-20 suman cerca de 10 billones de dólares, tres veces más que el importe desembolsado para hacer frente a la crisis financiera de 2008 y 2009, mientras que la recaudación podría bajar entre 3 y 4 billones al cierre de 2020.</w:t>
      </w:r>
    </w:p>
    <w:p w:rsidR="00EA1637" w:rsidRDefault="00EA1637" w:rsidP="00FA4DA9">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1B1B81">
        <w:rPr>
          <w:rFonts w:ascii="Times New Roman" w:eastAsia="Times New Roman" w:hAnsi="Times New Roman" w:cs="Times New Roman"/>
          <w:b/>
          <w:bCs/>
          <w:color w:val="FF0000"/>
          <w:sz w:val="24"/>
          <w:szCs w:val="24"/>
          <w:u w:val="single"/>
          <w:bdr w:val="none" w:sz="0" w:space="0" w:color="auto" w:frame="1"/>
        </w:rPr>
        <w:t xml:space="preserve">El mundo cerrará este año con un déficit de entre 9 y 11 </w:t>
      </w:r>
      <w:r w:rsidRPr="00777533">
        <w:rPr>
          <w:rFonts w:ascii="Times New Roman" w:eastAsia="Times New Roman" w:hAnsi="Times New Roman" w:cs="Times New Roman"/>
          <w:b/>
          <w:bCs/>
          <w:color w:val="FF0000"/>
          <w:sz w:val="24"/>
          <w:szCs w:val="24"/>
          <w:u w:val="single"/>
          <w:bdr w:val="none" w:sz="0" w:space="0" w:color="auto" w:frame="1"/>
        </w:rPr>
        <w:t>billones</w:t>
      </w:r>
      <w:r w:rsidRPr="00777533">
        <w:rPr>
          <w:rFonts w:ascii="Times New Roman" w:eastAsia="Times New Roman" w:hAnsi="Times New Roman" w:cs="Times New Roman"/>
          <w:b/>
          <w:color w:val="FF0000"/>
          <w:sz w:val="24"/>
          <w:szCs w:val="24"/>
          <w:u w:val="single"/>
        </w:rPr>
        <w:t> de dólares</w:t>
      </w:r>
      <w:r w:rsidRPr="008A34A5">
        <w:rPr>
          <w:rFonts w:ascii="Times New Roman" w:eastAsia="Times New Roman" w:hAnsi="Times New Roman" w:cs="Times New Roman"/>
          <w:color w:val="FF0000"/>
          <w:sz w:val="24"/>
          <w:szCs w:val="24"/>
          <w:u w:val="single"/>
        </w:rPr>
        <w:t>, triplicando la cifra registrada en 2019</w:t>
      </w:r>
      <w:r w:rsidRPr="008A34A5">
        <w:rPr>
          <w:rFonts w:ascii="Times New Roman" w:eastAsia="Times New Roman" w:hAnsi="Times New Roman" w:cs="Times New Roman"/>
          <w:color w:val="333333"/>
          <w:sz w:val="24"/>
          <w:szCs w:val="24"/>
        </w:rPr>
        <w:t xml:space="preserve">, y, aunque descenderá de forma progresiva en los próximos ejercicios, la diferencia entre ingresos y gasto seguirá siendo sustancial. Y es que, </w:t>
      </w:r>
      <w:r w:rsidRPr="008A34A5">
        <w:rPr>
          <w:rFonts w:ascii="Times New Roman" w:eastAsia="Times New Roman" w:hAnsi="Times New Roman" w:cs="Times New Roman"/>
          <w:color w:val="FF0000"/>
          <w:sz w:val="24"/>
          <w:szCs w:val="24"/>
          <w:u w:val="single"/>
        </w:rPr>
        <w:t>tanto el PIB global como la recaudación podrían tardar dos o tres años en recuperar el nivel previo a la crisis del coronavirus.</w:t>
      </w:r>
    </w:p>
    <w:p w:rsidR="00EA1637" w:rsidRPr="008A34A5" w:rsidRDefault="00EA1637" w:rsidP="00FA4DA9">
      <w:pPr>
        <w:spacing w:after="0" w:line="240" w:lineRule="auto"/>
        <w:jc w:val="both"/>
        <w:rPr>
          <w:rFonts w:ascii="Times New Roman" w:eastAsia="Times New Roman" w:hAnsi="Times New Roman" w:cs="Times New Roman"/>
          <w:sz w:val="24"/>
          <w:szCs w:val="24"/>
        </w:rPr>
      </w:pPr>
    </w:p>
    <w:p w:rsidR="00EA1637" w:rsidRDefault="00EA1637" w:rsidP="00FA4DA9">
      <w:pPr>
        <w:shd w:val="clear" w:color="auto" w:fill="FFFFFF"/>
        <w:spacing w:after="0" w:line="240" w:lineRule="auto"/>
        <w:jc w:val="both"/>
        <w:textAlignment w:val="baseline"/>
        <w:rPr>
          <w:rFonts w:ascii="Times New Roman" w:eastAsia="Times New Roman" w:hAnsi="Times New Roman" w:cs="Times New Roman"/>
          <w:color w:val="333333"/>
          <w:sz w:val="24"/>
          <w:szCs w:val="24"/>
        </w:rPr>
      </w:pPr>
      <w:r w:rsidRPr="008A34A5">
        <w:rPr>
          <w:rFonts w:ascii="Times New Roman" w:eastAsia="Times New Roman" w:hAnsi="Times New Roman" w:cs="Times New Roman"/>
          <w:color w:val="FF0000"/>
          <w:sz w:val="24"/>
          <w:szCs w:val="24"/>
          <w:u w:val="single"/>
        </w:rPr>
        <w:t>Semejante déficit hará que la </w:t>
      </w:r>
      <w:r w:rsidRPr="001B1B81">
        <w:rPr>
          <w:rFonts w:ascii="Times New Roman" w:eastAsia="Times New Roman" w:hAnsi="Times New Roman" w:cs="Times New Roman"/>
          <w:b/>
          <w:bCs/>
          <w:color w:val="FF0000"/>
          <w:sz w:val="24"/>
          <w:szCs w:val="24"/>
          <w:u w:val="single"/>
          <w:bdr w:val="none" w:sz="0" w:space="0" w:color="auto" w:frame="1"/>
        </w:rPr>
        <w:t>deuda pública de los países ricos crezca hasta una media del 120% del PIB </w:t>
      </w:r>
      <w:r w:rsidRPr="00777533">
        <w:rPr>
          <w:rFonts w:ascii="Times New Roman" w:eastAsia="Times New Roman" w:hAnsi="Times New Roman" w:cs="Times New Roman"/>
          <w:b/>
          <w:color w:val="FF0000"/>
          <w:sz w:val="24"/>
          <w:szCs w:val="24"/>
          <w:u w:val="single"/>
        </w:rPr>
        <w:t>en 2020</w:t>
      </w:r>
      <w:r w:rsidRPr="008A34A5">
        <w:rPr>
          <w:rFonts w:ascii="Times New Roman" w:eastAsia="Times New Roman" w:hAnsi="Times New Roman" w:cs="Times New Roman"/>
          <w:color w:val="FF0000"/>
          <w:sz w:val="24"/>
          <w:szCs w:val="24"/>
          <w:u w:val="single"/>
        </w:rPr>
        <w:t>, según las estimaciones del Fondo Monetario Internacional (FMI), disparando con ello el riesgo de insolvencia</w:t>
      </w:r>
      <w:r w:rsidRPr="008A34A5">
        <w:rPr>
          <w:rFonts w:ascii="Times New Roman" w:eastAsia="Times New Roman" w:hAnsi="Times New Roman" w:cs="Times New Roman"/>
          <w:color w:val="333333"/>
          <w:sz w:val="24"/>
          <w:szCs w:val="24"/>
        </w:rPr>
        <w:t xml:space="preserve">. ¿Cómo apuntalar el equilibrio presupuestario </w:t>
      </w:r>
      <w:r w:rsidRPr="008A34A5">
        <w:rPr>
          <w:rFonts w:ascii="Times New Roman" w:eastAsia="Times New Roman" w:hAnsi="Times New Roman" w:cs="Times New Roman"/>
          <w:color w:val="333333"/>
          <w:sz w:val="24"/>
          <w:szCs w:val="24"/>
        </w:rPr>
        <w:lastRenderedPageBreak/>
        <w:t>para evitar la quiebra? Éste es uno de los grandes interrogantes que deja esta crisis y una de las cuestiones más importantes que empiezan a plantearse los diferentes gobiernos.</w:t>
      </w:r>
    </w:p>
    <w:p w:rsidR="00EA1637" w:rsidRPr="008A34A5" w:rsidRDefault="00EA1637" w:rsidP="00FA4DA9">
      <w:pPr>
        <w:shd w:val="clear" w:color="auto" w:fill="FFFFFF"/>
        <w:spacing w:after="0" w:line="240" w:lineRule="auto"/>
        <w:jc w:val="both"/>
        <w:textAlignment w:val="baseline"/>
        <w:rPr>
          <w:rFonts w:ascii="Times New Roman" w:eastAsia="Times New Roman" w:hAnsi="Times New Roman" w:cs="Times New Roman"/>
          <w:color w:val="333333"/>
          <w:sz w:val="24"/>
          <w:szCs w:val="24"/>
        </w:rPr>
      </w:pPr>
    </w:p>
    <w:p w:rsidR="00EA1637" w:rsidRPr="001B1B81" w:rsidRDefault="00EA1637" w:rsidP="00FA4DA9">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8A34A5">
        <w:rPr>
          <w:rFonts w:ascii="Times New Roman" w:eastAsia="Times New Roman" w:hAnsi="Times New Roman" w:cs="Times New Roman"/>
          <w:color w:val="FF0000"/>
          <w:sz w:val="24"/>
          <w:szCs w:val="24"/>
          <w:u w:val="single"/>
        </w:rPr>
        <w:t>La consultora norteamericana calcula que para recuperar el equilibrio de las cuentas públicas por el lado del gasto sería necesario aplicar </w:t>
      </w:r>
      <w:r w:rsidRPr="001B1B81">
        <w:rPr>
          <w:rFonts w:ascii="Times New Roman" w:eastAsia="Times New Roman" w:hAnsi="Times New Roman" w:cs="Times New Roman"/>
          <w:b/>
          <w:bCs/>
          <w:color w:val="FF0000"/>
          <w:sz w:val="24"/>
          <w:szCs w:val="24"/>
          <w:u w:val="single"/>
          <w:bdr w:val="none" w:sz="0" w:space="0" w:color="auto" w:frame="1"/>
        </w:rPr>
        <w:t>recortes del 25% a los presupuestos</w:t>
      </w:r>
      <w:r w:rsidRPr="008A34A5">
        <w:rPr>
          <w:rFonts w:ascii="Times New Roman" w:eastAsia="Times New Roman" w:hAnsi="Times New Roman" w:cs="Times New Roman"/>
          <w:color w:val="FF0000"/>
          <w:sz w:val="24"/>
          <w:szCs w:val="24"/>
          <w:u w:val="single"/>
        </w:rPr>
        <w:t>, mientras que, por el lado de los ingresos, supondría </w:t>
      </w:r>
      <w:r w:rsidRPr="001B1B81">
        <w:rPr>
          <w:rFonts w:ascii="Times New Roman" w:eastAsia="Times New Roman" w:hAnsi="Times New Roman" w:cs="Times New Roman"/>
          <w:b/>
          <w:bCs/>
          <w:color w:val="FF0000"/>
          <w:sz w:val="24"/>
          <w:szCs w:val="24"/>
          <w:u w:val="single"/>
          <w:bdr w:val="none" w:sz="0" w:space="0" w:color="auto" w:frame="1"/>
        </w:rPr>
        <w:t>elevar la carga fiscal en un 50%.</w:t>
      </w:r>
      <w:r w:rsidRPr="008A34A5">
        <w:rPr>
          <w:rFonts w:ascii="Times New Roman" w:eastAsia="Times New Roman" w:hAnsi="Times New Roman" w:cs="Times New Roman"/>
          <w:color w:val="FF0000"/>
          <w:sz w:val="24"/>
          <w:szCs w:val="24"/>
          <w:u w:val="single"/>
        </w:rPr>
        <w:t> Lo más probable es que los estados apliquen una combinación de ambas medidas.</w:t>
      </w:r>
    </w:p>
    <w:p w:rsidR="00EA1637" w:rsidRPr="008A34A5" w:rsidRDefault="00EA1637" w:rsidP="00FA4DA9">
      <w:pPr>
        <w:shd w:val="clear" w:color="auto" w:fill="FFFFFF"/>
        <w:spacing w:after="0" w:line="240" w:lineRule="auto"/>
        <w:jc w:val="both"/>
        <w:textAlignment w:val="baseline"/>
        <w:rPr>
          <w:rFonts w:ascii="Times New Roman" w:eastAsia="Times New Roman" w:hAnsi="Times New Roman" w:cs="Times New Roman"/>
          <w:color w:val="333333"/>
          <w:sz w:val="24"/>
          <w:szCs w:val="24"/>
        </w:rPr>
      </w:pPr>
    </w:p>
    <w:p w:rsidR="00EA1637" w:rsidRDefault="00EA1637" w:rsidP="00FA4DA9">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8A34A5">
        <w:rPr>
          <w:rFonts w:ascii="Times New Roman" w:eastAsia="Times New Roman" w:hAnsi="Times New Roman" w:cs="Times New Roman"/>
          <w:color w:val="FF0000"/>
          <w:sz w:val="24"/>
          <w:szCs w:val="24"/>
          <w:u w:val="single"/>
        </w:rPr>
        <w:t xml:space="preserve">El reto que queda por delante es épico: gestionar un nivel de deuda récord e impulsar la recuperación económica. </w:t>
      </w:r>
      <w:r w:rsidR="00873C5E">
        <w:rPr>
          <w:rFonts w:ascii="Times New Roman" w:eastAsia="Times New Roman" w:hAnsi="Times New Roman" w:cs="Times New Roman"/>
          <w:b/>
          <w:color w:val="FF0000"/>
          <w:sz w:val="24"/>
          <w:szCs w:val="24"/>
          <w:u w:val="single"/>
        </w:rPr>
        <w:t>El “éxito”</w:t>
      </w:r>
      <w:r w:rsidRPr="008A34A5">
        <w:rPr>
          <w:rFonts w:ascii="Times New Roman" w:eastAsia="Times New Roman" w:hAnsi="Times New Roman" w:cs="Times New Roman"/>
          <w:b/>
          <w:color w:val="FF0000"/>
          <w:sz w:val="24"/>
          <w:szCs w:val="24"/>
          <w:u w:val="single"/>
        </w:rPr>
        <w:t xml:space="preserve"> de esta gestión, según Mc</w:t>
      </w:r>
      <w:r w:rsidR="00873C5E">
        <w:rPr>
          <w:rFonts w:ascii="Times New Roman" w:eastAsia="Times New Roman" w:hAnsi="Times New Roman" w:cs="Times New Roman"/>
          <w:b/>
          <w:color w:val="FF0000"/>
          <w:sz w:val="24"/>
          <w:szCs w:val="24"/>
          <w:u w:val="single"/>
        </w:rPr>
        <w:t>Kinsey, dará como resultado un “</w:t>
      </w:r>
      <w:r w:rsidRPr="008A34A5">
        <w:rPr>
          <w:rFonts w:ascii="Times New Roman" w:eastAsia="Times New Roman" w:hAnsi="Times New Roman" w:cs="Times New Roman"/>
          <w:b/>
          <w:color w:val="FF0000"/>
          <w:sz w:val="24"/>
          <w:szCs w:val="24"/>
          <w:u w:val="single"/>
        </w:rPr>
        <w:t>nuevo contrato social</w:t>
      </w:r>
      <w:r w:rsidR="00873C5E">
        <w:rPr>
          <w:rFonts w:ascii="Times New Roman" w:eastAsia="Times New Roman" w:hAnsi="Times New Roman" w:cs="Times New Roman"/>
          <w:b/>
          <w:color w:val="FF0000"/>
          <w:sz w:val="24"/>
          <w:szCs w:val="24"/>
          <w:u w:val="single"/>
        </w:rPr>
        <w:t>”, pero el “fracaso”</w:t>
      </w:r>
      <w:r w:rsidRPr="008A34A5">
        <w:rPr>
          <w:rFonts w:ascii="Times New Roman" w:eastAsia="Times New Roman" w:hAnsi="Times New Roman" w:cs="Times New Roman"/>
          <w:b/>
          <w:color w:val="FF0000"/>
          <w:sz w:val="24"/>
          <w:szCs w:val="24"/>
          <w:u w:val="single"/>
        </w:rPr>
        <w:t xml:space="preserve"> traería como como consecuencia una</w:t>
      </w:r>
      <w:r w:rsidR="00873C5E">
        <w:rPr>
          <w:rFonts w:ascii="Times New Roman" w:eastAsia="Times New Roman" w:hAnsi="Times New Roman" w:cs="Times New Roman"/>
          <w:b/>
          <w:bCs/>
          <w:color w:val="FF0000"/>
          <w:sz w:val="24"/>
          <w:szCs w:val="24"/>
          <w:u w:val="single"/>
          <w:bdr w:val="none" w:sz="0" w:space="0" w:color="auto" w:frame="1"/>
        </w:rPr>
        <w:t> “depresión”</w:t>
      </w:r>
      <w:r w:rsidRPr="001B1B81">
        <w:rPr>
          <w:rFonts w:ascii="Times New Roman" w:eastAsia="Times New Roman" w:hAnsi="Times New Roman" w:cs="Times New Roman"/>
          <w:b/>
          <w:bCs/>
          <w:color w:val="FF0000"/>
          <w:sz w:val="24"/>
          <w:szCs w:val="24"/>
          <w:u w:val="single"/>
          <w:bdr w:val="none" w:sz="0" w:space="0" w:color="auto" w:frame="1"/>
        </w:rPr>
        <w:t xml:space="preserve"> no vista desde la década de 1930</w:t>
      </w:r>
      <w:r w:rsidR="00873C5E">
        <w:rPr>
          <w:rFonts w:ascii="Times New Roman" w:eastAsia="Times New Roman" w:hAnsi="Times New Roman" w:cs="Times New Roman"/>
          <w:color w:val="FF0000"/>
          <w:sz w:val="24"/>
          <w:szCs w:val="24"/>
          <w:u w:val="single"/>
        </w:rPr>
        <w:t>. “</w:t>
      </w:r>
      <w:r w:rsidRPr="008A34A5">
        <w:rPr>
          <w:rFonts w:ascii="Times New Roman" w:eastAsia="Times New Roman" w:hAnsi="Times New Roman" w:cs="Times New Roman"/>
          <w:color w:val="FF0000"/>
          <w:sz w:val="24"/>
          <w:szCs w:val="24"/>
          <w:u w:val="single"/>
        </w:rPr>
        <w:t>Hay mucho en juego y la necesidad de un liderazgo audaz y visionario en el sector público y p</w:t>
      </w:r>
      <w:r w:rsidR="00873C5E">
        <w:rPr>
          <w:rFonts w:ascii="Times New Roman" w:eastAsia="Times New Roman" w:hAnsi="Times New Roman" w:cs="Times New Roman"/>
          <w:color w:val="FF0000"/>
          <w:sz w:val="24"/>
          <w:szCs w:val="24"/>
          <w:u w:val="single"/>
        </w:rPr>
        <w:t>rivado nunca ha sido tan grande”, concluye.</w:t>
      </w:r>
    </w:p>
    <w:p w:rsidR="00873C5E" w:rsidRPr="00873C5E" w:rsidRDefault="00873C5E" w:rsidP="00FA4DA9">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EA1637" w:rsidRDefault="00EA1637" w:rsidP="00FA4DA9">
      <w:pPr>
        <w:spacing w:line="240" w:lineRule="auto"/>
        <w:jc w:val="both"/>
        <w:rPr>
          <w:rFonts w:ascii="Times New Roman" w:hAnsi="Times New Roman" w:cs="Times New Roman"/>
          <w:sz w:val="24"/>
          <w:szCs w:val="24"/>
        </w:rPr>
      </w:pPr>
      <w:r>
        <w:rPr>
          <w:noProof/>
          <w:lang w:eastAsia="es-ES"/>
        </w:rPr>
        <w:drawing>
          <wp:inline distT="0" distB="0" distL="0" distR="0" wp14:anchorId="43753716" wp14:editId="02CF29FA">
            <wp:extent cx="5733493" cy="3289300"/>
            <wp:effectExtent l="0" t="0" r="635" b="6350"/>
            <wp:docPr id="211" name="Imagen 211" descr="https://s03.s3c.es/imag/_v0/770x700/2/7/8/220620-gasto-covi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70x700/2/7/8/220620-gasto-covid.gif"/>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31510" cy="3288162"/>
                    </a:xfrm>
                    <a:prstGeom prst="rect">
                      <a:avLst/>
                    </a:prstGeom>
                    <a:noFill/>
                    <a:ln>
                      <a:noFill/>
                    </a:ln>
                  </pic:spPr>
                </pic:pic>
              </a:graphicData>
            </a:graphic>
          </wp:inline>
        </w:drawing>
      </w:r>
      <w:r>
        <w:rPr>
          <w:rFonts w:ascii="Times New Roman" w:hAnsi="Times New Roman" w:cs="Times New Roman"/>
          <w:sz w:val="24"/>
          <w:szCs w:val="24"/>
        </w:rPr>
        <w:t xml:space="preserve">(Fuente; El Economista - </w:t>
      </w:r>
      <w:r w:rsidRPr="00700C84">
        <w:rPr>
          <w:rFonts w:ascii="Times New Roman" w:hAnsi="Times New Roman" w:cs="Times New Roman"/>
          <w:b/>
          <w:sz w:val="24"/>
          <w:szCs w:val="24"/>
        </w:rPr>
        <w:t>22/6/20</w:t>
      </w:r>
      <w:r>
        <w:rPr>
          <w:rFonts w:ascii="Times New Roman" w:hAnsi="Times New Roman" w:cs="Times New Roman"/>
          <w:sz w:val="24"/>
          <w:szCs w:val="24"/>
        </w:rPr>
        <w:t>)</w:t>
      </w:r>
    </w:p>
    <w:p w:rsidR="00EA1637" w:rsidRPr="00356FED" w:rsidRDefault="00EA1637" w:rsidP="00FA4DA9">
      <w:pPr>
        <w:spacing w:line="240" w:lineRule="auto"/>
        <w:jc w:val="both"/>
        <w:rPr>
          <w:rFonts w:ascii="Times New Roman" w:hAnsi="Times New Roman" w:cs="Times New Roman"/>
          <w:b/>
          <w:color w:val="FF0000"/>
          <w:sz w:val="24"/>
          <w:szCs w:val="24"/>
          <w:u w:val="single"/>
        </w:rPr>
      </w:pPr>
      <w:r w:rsidRPr="00356FED">
        <w:rPr>
          <w:rFonts w:ascii="Times New Roman" w:hAnsi="Times New Roman" w:cs="Times New Roman"/>
          <w:b/>
          <w:color w:val="FF0000"/>
          <w:sz w:val="24"/>
          <w:szCs w:val="24"/>
          <w:u w:val="single"/>
        </w:rPr>
        <w:t>La economía global ya puede contar con que se han puesto en marcha estímulos para relanzar el crecimiento económico por un total de 16 billones (trillion) de dólares. De ellos, aproximadamente diez billones corresponden a estímulos fiscales, de los que la mitad serían, a su vez, gasto contante y sonante y la otra mitad avales, préstamos, etc.</w:t>
      </w:r>
    </w:p>
    <w:p w:rsidR="00EA1637" w:rsidRDefault="00EA1637" w:rsidP="00FA4DA9">
      <w:pPr>
        <w:spacing w:line="240" w:lineRule="auto"/>
        <w:jc w:val="both"/>
        <w:rPr>
          <w:rFonts w:ascii="Times New Roman" w:hAnsi="Times New Roman" w:cs="Times New Roman"/>
          <w:sz w:val="24"/>
          <w:szCs w:val="24"/>
        </w:rPr>
      </w:pPr>
      <w:r w:rsidRPr="00356FED">
        <w:rPr>
          <w:rFonts w:ascii="Times New Roman" w:hAnsi="Times New Roman" w:cs="Times New Roman"/>
          <w:b/>
          <w:color w:val="FF0000"/>
          <w:sz w:val="24"/>
          <w:szCs w:val="24"/>
          <w:u w:val="single"/>
        </w:rPr>
        <w:t>Los otros seis billones son estímulos monetarios de los que cinco tienen su origen en solo tres bancos centrales: Reserva Federal de los EEUU, Banco Central Europeo y Banco de Japón. Y aún se espera que esa cifra de 16 billones de dólares siga subiendo, en parte porque EEUU ya lo preanuncia y en parte porque se espera más de China que, hasta ahora, ha mostrado también… poca ambición</w:t>
      </w:r>
      <w:r w:rsidRPr="00356FED">
        <w:rPr>
          <w:rFonts w:ascii="Times New Roman" w:hAnsi="Times New Roman" w:cs="Times New Roman"/>
          <w:b/>
          <w:color w:val="FF0000"/>
          <w:sz w:val="24"/>
          <w:szCs w:val="24"/>
        </w:rPr>
        <w:t>.</w:t>
      </w:r>
      <w:r>
        <w:rPr>
          <w:rFonts w:ascii="Times New Roman" w:hAnsi="Times New Roman" w:cs="Times New Roman"/>
          <w:color w:val="FF0000"/>
          <w:sz w:val="24"/>
          <w:szCs w:val="24"/>
        </w:rPr>
        <w:t xml:space="preserve"> </w:t>
      </w:r>
      <w:r w:rsidRPr="00356FED">
        <w:rPr>
          <w:rFonts w:ascii="Times New Roman" w:hAnsi="Times New Roman" w:cs="Times New Roman"/>
          <w:sz w:val="24"/>
          <w:szCs w:val="24"/>
        </w:rPr>
        <w:t xml:space="preserve">(El Español - </w:t>
      </w:r>
      <w:r w:rsidRPr="00356FED">
        <w:rPr>
          <w:rFonts w:ascii="Times New Roman" w:hAnsi="Times New Roman" w:cs="Times New Roman"/>
          <w:b/>
          <w:sz w:val="24"/>
          <w:szCs w:val="24"/>
        </w:rPr>
        <w:t>22/6/20</w:t>
      </w:r>
      <w:r w:rsidRPr="00356FED">
        <w:rPr>
          <w:rFonts w:ascii="Times New Roman" w:hAnsi="Times New Roman" w:cs="Times New Roman"/>
          <w:sz w:val="24"/>
          <w:szCs w:val="24"/>
        </w:rPr>
        <w:t>)</w:t>
      </w:r>
    </w:p>
    <w:p w:rsidR="00356FED" w:rsidRPr="00356FED" w:rsidRDefault="00356FED" w:rsidP="00FA4DA9">
      <w:pPr>
        <w:spacing w:line="240" w:lineRule="auto"/>
        <w:jc w:val="both"/>
        <w:rPr>
          <w:rFonts w:ascii="Times New Roman" w:hAnsi="Times New Roman" w:cs="Times New Roman"/>
          <w:sz w:val="24"/>
          <w:szCs w:val="24"/>
        </w:rPr>
      </w:pPr>
    </w:p>
    <w:p w:rsidR="00EA1637" w:rsidRDefault="00EA1637" w:rsidP="00FA4DA9">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608A0D45" wp14:editId="2B2C0BC7">
            <wp:extent cx="5727700" cy="5302250"/>
            <wp:effectExtent l="0" t="0" r="6350" b="0"/>
            <wp:docPr id="212" name="Imagen 212" descr="Déficit Deuda F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éficit Deuda FMI"/>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31510" cy="5305777"/>
                    </a:xfrm>
                    <a:prstGeom prst="rect">
                      <a:avLst/>
                    </a:prstGeom>
                    <a:noFill/>
                    <a:ln>
                      <a:noFill/>
                    </a:ln>
                  </pic:spPr>
                </pic:pic>
              </a:graphicData>
            </a:graphic>
          </wp:inline>
        </w:drawing>
      </w:r>
    </w:p>
    <w:p w:rsidR="00A74F6C" w:rsidRDefault="00A74F6C" w:rsidP="00FA4DA9">
      <w:pPr>
        <w:spacing w:line="240" w:lineRule="auto"/>
        <w:jc w:val="both"/>
        <w:rPr>
          <w:rFonts w:ascii="Times New Roman" w:hAnsi="Times New Roman" w:cs="Times New Roman"/>
          <w:sz w:val="24"/>
          <w:szCs w:val="24"/>
        </w:rPr>
      </w:pPr>
    </w:p>
    <w:p w:rsidR="00EA1637" w:rsidRDefault="00EA1637" w:rsidP="00FA4DA9">
      <w:pPr>
        <w:spacing w:line="240" w:lineRule="auto"/>
        <w:jc w:val="both"/>
        <w:rPr>
          <w:rFonts w:ascii="Times New Roman" w:hAnsi="Times New Roman" w:cs="Times New Roman"/>
          <w:sz w:val="24"/>
          <w:szCs w:val="24"/>
        </w:rPr>
      </w:pPr>
      <w:r>
        <w:rPr>
          <w:noProof/>
          <w:lang w:eastAsia="es-ES"/>
        </w:rPr>
        <w:drawing>
          <wp:inline distT="0" distB="0" distL="0" distR="0" wp14:anchorId="53CC9780" wp14:editId="6ADCEAE8">
            <wp:extent cx="5727700" cy="2857500"/>
            <wp:effectExtent l="0" t="0" r="6350" b="0"/>
            <wp:docPr id="213" name="Imagen 213" descr="https://e00-expansion.uecdn.es/assets/multimedia/imagenes/2020/06/24/15930009069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00-expansion.uecdn.es/assets/multimedia/imagenes/2020/06/24/15930009069204.jp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31510" cy="2859401"/>
                    </a:xfrm>
                    <a:prstGeom prst="rect">
                      <a:avLst/>
                    </a:prstGeom>
                    <a:noFill/>
                    <a:ln>
                      <a:noFill/>
                    </a:ln>
                  </pic:spPr>
                </pic:pic>
              </a:graphicData>
            </a:graphic>
          </wp:inline>
        </w:drawing>
      </w:r>
    </w:p>
    <w:p w:rsidR="00EA1637" w:rsidRDefault="00EA1637" w:rsidP="00FA4DA9">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382CA537" wp14:editId="23CB0E37">
            <wp:extent cx="5727700" cy="3308350"/>
            <wp:effectExtent l="0" t="0" r="6350" b="6350"/>
            <wp:docPr id="214" name="Imagen 214" descr="https://e00-expansion.uecdn.es/assets/multimedia/imagenes/2020/06/24/159300951646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e00-expansion.uecdn.es/assets/multimedia/imagenes/2020/06/24/15930095164659.jp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31510" cy="3310551"/>
                    </a:xfrm>
                    <a:prstGeom prst="rect">
                      <a:avLst/>
                    </a:prstGeom>
                    <a:noFill/>
                    <a:ln>
                      <a:noFill/>
                    </a:ln>
                  </pic:spPr>
                </pic:pic>
              </a:graphicData>
            </a:graphic>
          </wp:inline>
        </w:drawing>
      </w:r>
    </w:p>
    <w:p w:rsidR="00A74F6C" w:rsidRDefault="00A74F6C" w:rsidP="00FA4DA9">
      <w:pPr>
        <w:spacing w:line="240" w:lineRule="auto"/>
        <w:jc w:val="both"/>
        <w:rPr>
          <w:rFonts w:ascii="Times New Roman" w:hAnsi="Times New Roman" w:cs="Times New Roman"/>
          <w:sz w:val="24"/>
          <w:szCs w:val="24"/>
        </w:rPr>
      </w:pPr>
    </w:p>
    <w:p w:rsidR="00EA1637" w:rsidRDefault="00EA1637" w:rsidP="00FA4DA9">
      <w:pPr>
        <w:spacing w:line="240" w:lineRule="auto"/>
        <w:jc w:val="both"/>
        <w:rPr>
          <w:rFonts w:ascii="Times New Roman" w:hAnsi="Times New Roman" w:cs="Times New Roman"/>
          <w:sz w:val="24"/>
          <w:szCs w:val="24"/>
        </w:rPr>
      </w:pPr>
      <w:r>
        <w:rPr>
          <w:noProof/>
          <w:lang w:eastAsia="es-ES"/>
        </w:rPr>
        <w:drawing>
          <wp:inline distT="0" distB="0" distL="0" distR="0" wp14:anchorId="3FED28A6" wp14:editId="083D4BE3">
            <wp:extent cx="5727700" cy="3905250"/>
            <wp:effectExtent l="0" t="0" r="6350" b="0"/>
            <wp:docPr id="215" name="Imagen 215" descr="https://e00-expansion.uecdn.es/assets/multimedia/imagenes/2020/06/24/159300090367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e00-expansion.uecdn.es/assets/multimedia/imagenes/2020/06/24/15930009036751.jp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31510" cy="3907848"/>
                    </a:xfrm>
                    <a:prstGeom prst="rect">
                      <a:avLst/>
                    </a:prstGeom>
                    <a:noFill/>
                    <a:ln>
                      <a:noFill/>
                    </a:ln>
                  </pic:spPr>
                </pic:pic>
              </a:graphicData>
            </a:graphic>
          </wp:inline>
        </w:drawing>
      </w:r>
    </w:p>
    <w:p w:rsidR="00EA1637" w:rsidRPr="00356FED" w:rsidRDefault="00EA1637" w:rsidP="00FA4DA9">
      <w:pPr>
        <w:spacing w:line="240" w:lineRule="auto"/>
        <w:jc w:val="both"/>
        <w:rPr>
          <w:rFonts w:ascii="Times New Roman" w:hAnsi="Times New Roman" w:cs="Times New Roman"/>
          <w:color w:val="FF0000"/>
          <w:sz w:val="24"/>
          <w:szCs w:val="24"/>
          <w:u w:val="single"/>
        </w:rPr>
      </w:pPr>
      <w:r w:rsidRPr="00356FED">
        <w:rPr>
          <w:rFonts w:ascii="Times New Roman" w:hAnsi="Times New Roman" w:cs="Times New Roman"/>
          <w:color w:val="FF0000"/>
          <w:sz w:val="24"/>
          <w:szCs w:val="24"/>
          <w:u w:val="single"/>
        </w:rPr>
        <w:t>Las medidas fiscales puestas en marcha por los Gobiernos, que según el FMI suman ya más de 10 billones de dólares, son las responsables de la reactivación económica prevista para el año que viene, pero también están disparando la deuda pública y el déficit.</w:t>
      </w:r>
    </w:p>
    <w:p w:rsidR="00EA1637" w:rsidRDefault="00EA1637" w:rsidP="00FA4DA9">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3295064D" wp14:editId="1A1F92B7">
            <wp:extent cx="5731510" cy="6288189"/>
            <wp:effectExtent l="0" t="0" r="2540" b="0"/>
            <wp:docPr id="216" name="Imagen 216" descr="https://s03.s3c.es/imag/_v0/770x845/4/b/7/FMI_WEOjunio2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03.s3c.es/imag/_v0/770x845/4/b/7/FMI_WEOjunio2020.jp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31510" cy="6288189"/>
                    </a:xfrm>
                    <a:prstGeom prst="rect">
                      <a:avLst/>
                    </a:prstGeom>
                    <a:noFill/>
                    <a:ln>
                      <a:noFill/>
                    </a:ln>
                  </pic:spPr>
                </pic:pic>
              </a:graphicData>
            </a:graphic>
          </wp:inline>
        </w:drawing>
      </w:r>
    </w:p>
    <w:p w:rsidR="00EA1637" w:rsidRPr="00867251" w:rsidRDefault="00EA1637"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67251">
        <w:rPr>
          <w:rFonts w:ascii="Times New Roman" w:hAnsi="Times New Roman" w:cs="Times New Roman"/>
          <w:sz w:val="24"/>
          <w:szCs w:val="24"/>
        </w:rPr>
        <w:t>¿</w:t>
      </w:r>
      <w:r w:rsidRPr="00867251">
        <w:rPr>
          <w:rFonts w:ascii="Times New Roman" w:hAnsi="Times New Roman" w:cs="Times New Roman"/>
          <w:sz w:val="24"/>
          <w:szCs w:val="24"/>
          <w:u w:val="single"/>
        </w:rPr>
        <w:t>Por qué se está produciendo una desconexión entre los mercados financieros y la economía real</w:t>
      </w:r>
      <w:r w:rsidRPr="00867251">
        <w:rPr>
          <w:rFonts w:ascii="Times New Roman" w:hAnsi="Times New Roman" w:cs="Times New Roman"/>
          <w:sz w:val="24"/>
          <w:szCs w:val="24"/>
        </w:rPr>
        <w:t>?</w:t>
      </w:r>
      <w:r>
        <w:rPr>
          <w:rFonts w:ascii="Times New Roman" w:hAnsi="Times New Roman" w:cs="Times New Roman"/>
          <w:sz w:val="24"/>
          <w:szCs w:val="24"/>
        </w:rPr>
        <w:t xml:space="preserve"> (El Economista - </w:t>
      </w:r>
      <w:r w:rsidRPr="00867251">
        <w:rPr>
          <w:rFonts w:ascii="Times New Roman" w:hAnsi="Times New Roman" w:cs="Times New Roman"/>
          <w:b/>
          <w:sz w:val="24"/>
          <w:szCs w:val="24"/>
        </w:rPr>
        <w:t>27/6/20</w:t>
      </w:r>
      <w:r>
        <w:rPr>
          <w:rFonts w:ascii="Times New Roman" w:hAnsi="Times New Roman" w:cs="Times New Roman"/>
          <w:sz w:val="24"/>
          <w:szCs w:val="24"/>
        </w:rPr>
        <w:t>)</w:t>
      </w:r>
    </w:p>
    <w:p w:rsidR="00EA1637" w:rsidRDefault="00EA1637"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(Por Vicente Nieves)</w:t>
      </w:r>
    </w:p>
    <w:p w:rsidR="00EA1637" w:rsidRPr="00BC74D3" w:rsidRDefault="00EA1637" w:rsidP="00FA4DA9">
      <w:pPr>
        <w:spacing w:line="240" w:lineRule="auto"/>
        <w:jc w:val="both"/>
        <w:rPr>
          <w:rFonts w:ascii="Times New Roman" w:hAnsi="Times New Roman" w:cs="Times New Roman"/>
          <w:b/>
          <w:color w:val="FF0000"/>
          <w:sz w:val="24"/>
          <w:szCs w:val="24"/>
          <w:u w:val="single"/>
        </w:rPr>
      </w:pPr>
      <w:r w:rsidRPr="00BC74D3">
        <w:rPr>
          <w:rFonts w:ascii="Times New Roman" w:hAnsi="Times New Roman" w:cs="Times New Roman"/>
          <w:b/>
          <w:color w:val="FF0000"/>
          <w:sz w:val="24"/>
          <w:szCs w:val="24"/>
          <w:u w:val="single"/>
        </w:rPr>
        <w:t>El Fondo Monetario Internacional advertía este jueves la desconexión que se está produciendo entre los mercados y la economía real. Las acciones suben pese al profundo deterioro de la economía, que lastrará los beneficios empresariales por un lado (debería afectar a las acciones) y disparará la deuda de gobiernos y empresas por otro (también debería ser negativo). Aunque el FMI hacía bien en alertar sobre el peligro que genera esta falta de correlación (venía a decir que dada las elevadas valoraciones, una caída del precio de los activos entorpecerá la recuperación), no hizo demasiado hincapié a la hora de explicar los factores que pueden est</w:t>
      </w:r>
      <w:r w:rsidR="00873C5E" w:rsidRPr="00BC74D3">
        <w:rPr>
          <w:rFonts w:ascii="Times New Roman" w:hAnsi="Times New Roman" w:cs="Times New Roman"/>
          <w:b/>
          <w:color w:val="FF0000"/>
          <w:sz w:val="24"/>
          <w:szCs w:val="24"/>
          <w:u w:val="single"/>
        </w:rPr>
        <w:t>ar llevando a los inversores a “ignorar”</w:t>
      </w:r>
      <w:r w:rsidRPr="00BC74D3">
        <w:rPr>
          <w:rFonts w:ascii="Times New Roman" w:hAnsi="Times New Roman" w:cs="Times New Roman"/>
          <w:b/>
          <w:color w:val="FF0000"/>
          <w:sz w:val="24"/>
          <w:szCs w:val="24"/>
          <w:u w:val="single"/>
        </w:rPr>
        <w:t xml:space="preserve"> los riesgos de la mayor recesión económica en tiempos de paz. La </w:t>
      </w:r>
      <w:r w:rsidRPr="00BC74D3">
        <w:rPr>
          <w:rFonts w:ascii="Times New Roman" w:hAnsi="Times New Roman" w:cs="Times New Roman"/>
          <w:b/>
          <w:color w:val="FF0000"/>
          <w:sz w:val="24"/>
          <w:szCs w:val="24"/>
          <w:u w:val="single"/>
        </w:rPr>
        <w:lastRenderedPageBreak/>
        <w:t>acción sin precedentes de la banca central, la bolsa como indicador adelantado, unas expectativas diferentes sobre la recuperación, el peso en la bolsa americana de empresas que salen relativamente airosas de la pandemia o el repentino interés de los pequeños inversores por entrar en el mercado podrían estar alejando a los mercados de lo que ocurre en la economía real.</w:t>
      </w:r>
    </w:p>
    <w:p w:rsidR="00EA1637" w:rsidRDefault="00EA1637" w:rsidP="00FA4DA9">
      <w:pPr>
        <w:spacing w:line="240" w:lineRule="auto"/>
        <w:jc w:val="both"/>
        <w:rPr>
          <w:rFonts w:ascii="Times New Roman" w:hAnsi="Times New Roman" w:cs="Times New Roman"/>
          <w:sz w:val="24"/>
          <w:szCs w:val="24"/>
        </w:rPr>
      </w:pPr>
      <w:r w:rsidRPr="00BC74D3">
        <w:rPr>
          <w:rFonts w:ascii="Times New Roman" w:hAnsi="Times New Roman" w:cs="Times New Roman"/>
          <w:color w:val="FF0000"/>
          <w:sz w:val="24"/>
          <w:szCs w:val="24"/>
          <w:u w:val="single"/>
        </w:rPr>
        <w:t>Esta falta de conexión se está produciendo sobre todo en EEUU</w:t>
      </w:r>
      <w:r w:rsidRPr="00BC74D3">
        <w:rPr>
          <w:rFonts w:ascii="Times New Roman" w:hAnsi="Times New Roman" w:cs="Times New Roman"/>
          <w:color w:val="FF0000"/>
          <w:sz w:val="24"/>
          <w:szCs w:val="24"/>
        </w:rPr>
        <w:t>.</w:t>
      </w:r>
      <w:r w:rsidRPr="00867251">
        <w:rPr>
          <w:rFonts w:ascii="Times New Roman" w:hAnsi="Times New Roman" w:cs="Times New Roman"/>
          <w:sz w:val="24"/>
          <w:szCs w:val="24"/>
        </w:rPr>
        <w:t xml:space="preserve"> Las acciones sufrieron una corrección fuerte y rápida (como se esperaba que fuera la recesión) en marzo, con un desplome del 34% del S&amp;P 500 en cuestión de semanas, pero desde entonces han retomado la tendencia alcista ignorando los riesgos que aún persisten. En países como Alemania ha ocurrido algo similar con el índice Dax 30, pero no ha sido igual en los índices periféricos. Los economistas de Allianz han publicado un informe en el que aportan varias hipótesis para e</w:t>
      </w:r>
      <w:r>
        <w:rPr>
          <w:rFonts w:ascii="Times New Roman" w:hAnsi="Times New Roman" w:cs="Times New Roman"/>
          <w:sz w:val="24"/>
          <w:szCs w:val="24"/>
        </w:rPr>
        <w:t>xplicar esta falta de conexión.</w:t>
      </w:r>
    </w:p>
    <w:p w:rsidR="00EA1637" w:rsidRDefault="00EA1637" w:rsidP="00FA4DA9">
      <w:pPr>
        <w:spacing w:line="240" w:lineRule="auto"/>
        <w:jc w:val="both"/>
        <w:rPr>
          <w:rFonts w:ascii="Times New Roman" w:hAnsi="Times New Roman" w:cs="Times New Roman"/>
          <w:sz w:val="24"/>
          <w:szCs w:val="24"/>
        </w:rPr>
      </w:pPr>
      <w:r>
        <w:rPr>
          <w:noProof/>
          <w:lang w:eastAsia="es-ES"/>
        </w:rPr>
        <w:drawing>
          <wp:inline distT="0" distB="0" distL="0" distR="0" wp14:anchorId="484C28AF" wp14:editId="2CC18FE0">
            <wp:extent cx="5734744" cy="3072653"/>
            <wp:effectExtent l="0" t="0" r="0" b="0"/>
            <wp:docPr id="217" name="Imagen 217" descr="https://s03.s3c.es/imag/_v0/770x495/9/b/5/cotizacion-sp-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70x495/9/b/5/cotizacion-sp-500.jp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31510" cy="3070920"/>
                    </a:xfrm>
                    <a:prstGeom prst="rect">
                      <a:avLst/>
                    </a:prstGeom>
                    <a:noFill/>
                    <a:ln>
                      <a:noFill/>
                    </a:ln>
                  </pic:spPr>
                </pic:pic>
              </a:graphicData>
            </a:graphic>
          </wp:inline>
        </w:drawing>
      </w:r>
    </w:p>
    <w:p w:rsidR="00BC74D3" w:rsidRPr="00867251" w:rsidRDefault="00BC74D3" w:rsidP="00FA4DA9">
      <w:pPr>
        <w:spacing w:line="240" w:lineRule="auto"/>
        <w:jc w:val="both"/>
        <w:rPr>
          <w:rFonts w:ascii="Times New Roman" w:hAnsi="Times New Roman" w:cs="Times New Roman"/>
          <w:sz w:val="24"/>
          <w:szCs w:val="24"/>
        </w:rPr>
      </w:pPr>
    </w:p>
    <w:p w:rsidR="00EA1637" w:rsidRPr="00867251" w:rsidRDefault="00EA1637" w:rsidP="00FA4DA9">
      <w:pPr>
        <w:spacing w:line="240" w:lineRule="auto"/>
        <w:jc w:val="both"/>
        <w:rPr>
          <w:rFonts w:ascii="Times New Roman" w:hAnsi="Times New Roman" w:cs="Times New Roman"/>
          <w:sz w:val="24"/>
          <w:szCs w:val="24"/>
        </w:rPr>
      </w:pPr>
      <w:r w:rsidRPr="00867251">
        <w:rPr>
          <w:rFonts w:ascii="Times New Roman" w:hAnsi="Times New Roman" w:cs="Times New Roman"/>
          <w:sz w:val="24"/>
          <w:szCs w:val="24"/>
        </w:rPr>
        <w:t>-</w:t>
      </w:r>
      <w:r w:rsidRPr="00433C0A">
        <w:rPr>
          <w:rFonts w:ascii="Times New Roman" w:hAnsi="Times New Roman" w:cs="Times New Roman"/>
          <w:color w:val="FF0000"/>
          <w:sz w:val="24"/>
          <w:szCs w:val="24"/>
        </w:rPr>
        <w:t>Recuperación en forma de V en lugar de lo que espera el consenso de analistas</w:t>
      </w:r>
      <w:r w:rsidRPr="00867251">
        <w:rPr>
          <w:rFonts w:ascii="Times New Roman" w:hAnsi="Times New Roman" w:cs="Times New Roman"/>
          <w:sz w:val="24"/>
          <w:szCs w:val="24"/>
        </w:rPr>
        <w:t>. La primera explicación se basa en las expectativas divergentes entre los inversores en bolsa y los responsables políticos, los mercados de bonos y las organizaciones internacionales en cuanto a la forma de la recuperación económica en EEUU. El FMI también citaba en su informe este fa</w:t>
      </w:r>
      <w:r w:rsidR="00873C5E">
        <w:rPr>
          <w:rFonts w:ascii="Times New Roman" w:hAnsi="Times New Roman" w:cs="Times New Roman"/>
          <w:sz w:val="24"/>
          <w:szCs w:val="24"/>
        </w:rPr>
        <w:t>ctor como posible explicación. “</w:t>
      </w:r>
      <w:r w:rsidRPr="00867251">
        <w:rPr>
          <w:rFonts w:ascii="Times New Roman" w:hAnsi="Times New Roman" w:cs="Times New Roman"/>
          <w:sz w:val="24"/>
          <w:szCs w:val="24"/>
        </w:rPr>
        <w:t xml:space="preserve">Las bolsas están valorando una rápida recuperación de toda la economía de EEUU y se espera que el S&amp;P 500 regrese al EPS (beneficio por acción) previo a la crisis en el </w:t>
      </w:r>
      <w:r w:rsidR="00873C5E">
        <w:rPr>
          <w:rFonts w:ascii="Times New Roman" w:hAnsi="Times New Roman" w:cs="Times New Roman"/>
          <w:sz w:val="24"/>
          <w:szCs w:val="24"/>
        </w:rPr>
        <w:t>primer semestre de 2021”</w:t>
      </w:r>
      <w:r w:rsidRPr="00867251">
        <w:rPr>
          <w:rFonts w:ascii="Times New Roman" w:hAnsi="Times New Roman" w:cs="Times New Roman"/>
          <w:sz w:val="24"/>
          <w:szCs w:val="24"/>
        </w:rPr>
        <w:t>. La bolsa y los inversores intentan descontar escenarios. Aunque muchos indicadores siguen mostrando datos muy negativos, la mayoría se refieren a un escenario pasado (meses anteriores), que fue el que descontó la bolsa con la drástica corrección de marzo. Aunque los datos de PIB sean demoledores, muestran lo que ha ocurrido en el pasado reciente, mientras que la recuperación de la economía real comenzó a finales de mayo con la reapertura progresiva en</w:t>
      </w:r>
      <w:r>
        <w:rPr>
          <w:rFonts w:ascii="Times New Roman" w:hAnsi="Times New Roman" w:cs="Times New Roman"/>
          <w:sz w:val="24"/>
          <w:szCs w:val="24"/>
        </w:rPr>
        <w:t xml:space="preserve"> varias zonas de Europa y EEUU.</w:t>
      </w:r>
    </w:p>
    <w:p w:rsidR="00EA1637" w:rsidRPr="00433C0A" w:rsidRDefault="00EA1637" w:rsidP="00FA4DA9">
      <w:pPr>
        <w:spacing w:line="240" w:lineRule="auto"/>
        <w:jc w:val="both"/>
        <w:rPr>
          <w:rFonts w:ascii="Times New Roman" w:hAnsi="Times New Roman" w:cs="Times New Roman"/>
          <w:sz w:val="24"/>
          <w:szCs w:val="24"/>
          <w:u w:val="single"/>
        </w:rPr>
      </w:pPr>
      <w:r w:rsidRPr="00433C0A">
        <w:rPr>
          <w:rFonts w:ascii="Times New Roman" w:hAnsi="Times New Roman" w:cs="Times New Roman"/>
          <w:sz w:val="24"/>
          <w:szCs w:val="24"/>
          <w:u w:val="single"/>
        </w:rPr>
        <w:t xml:space="preserve">Mientras tanto, las organizaciones internacionales (FMI, OCDE) y el consenso de los economistas esperan que la recuperación económica sea mucho más lenta, y que los niveles de actividad previos a la crisis solo se alcanzaran durante el primer semestre de 2022. Los inversores no coinciden con el punto de vista de estos organismos o, quizá, prevén que las </w:t>
      </w:r>
      <w:r w:rsidRPr="00433C0A">
        <w:rPr>
          <w:rFonts w:ascii="Times New Roman" w:hAnsi="Times New Roman" w:cs="Times New Roman"/>
          <w:sz w:val="24"/>
          <w:szCs w:val="24"/>
          <w:u w:val="single"/>
        </w:rPr>
        <w:lastRenderedPageBreak/>
        <w:t>grandes empresas que cotizan en bolsa aguanten mucho mejor el temporal que las pymes, algo que es bastante probable.</w:t>
      </w:r>
    </w:p>
    <w:p w:rsidR="00EA1637" w:rsidRPr="00867251" w:rsidRDefault="00EA1637" w:rsidP="00FA4DA9">
      <w:pPr>
        <w:spacing w:line="240" w:lineRule="auto"/>
        <w:jc w:val="both"/>
        <w:rPr>
          <w:rFonts w:ascii="Times New Roman" w:hAnsi="Times New Roman" w:cs="Times New Roman"/>
          <w:sz w:val="24"/>
          <w:szCs w:val="24"/>
        </w:rPr>
      </w:pPr>
      <w:r w:rsidRPr="00867251">
        <w:rPr>
          <w:rFonts w:ascii="Times New Roman" w:hAnsi="Times New Roman" w:cs="Times New Roman"/>
          <w:sz w:val="24"/>
          <w:szCs w:val="24"/>
        </w:rPr>
        <w:t>-</w:t>
      </w:r>
      <w:r w:rsidRPr="00433C0A">
        <w:rPr>
          <w:rFonts w:ascii="Times New Roman" w:hAnsi="Times New Roman" w:cs="Times New Roman"/>
          <w:color w:val="FF0000"/>
          <w:sz w:val="24"/>
          <w:szCs w:val="24"/>
        </w:rPr>
        <w:t>Dispersión sectorial</w:t>
      </w:r>
      <w:r w:rsidRPr="00867251">
        <w:rPr>
          <w:rFonts w:ascii="Times New Roman" w:hAnsi="Times New Roman" w:cs="Times New Roman"/>
          <w:sz w:val="24"/>
          <w:szCs w:val="24"/>
        </w:rPr>
        <w:t>. La segunda explicación plausible relacionada con el final de la anterior es que los mercados de EEUU no reflejan las expectativas sobre toda la economía, sino que solo incorporan expectativas de beneficios muy altas para algunos sectores, especialmente las acciones relacionadas con la tecnología como Amazon, Google, Netflix... (las FAANG), que tienen cada vez más peso en los principales índi</w:t>
      </w:r>
      <w:r w:rsidR="00873C5E">
        <w:rPr>
          <w:rFonts w:ascii="Times New Roman" w:hAnsi="Times New Roman" w:cs="Times New Roman"/>
          <w:sz w:val="24"/>
          <w:szCs w:val="24"/>
        </w:rPr>
        <w:t>ces de renta variable de EEUU. “</w:t>
      </w:r>
      <w:r w:rsidRPr="00867251">
        <w:rPr>
          <w:rFonts w:ascii="Times New Roman" w:hAnsi="Times New Roman" w:cs="Times New Roman"/>
          <w:sz w:val="24"/>
          <w:szCs w:val="24"/>
        </w:rPr>
        <w:t>Siguiendo esta explicación, todo el mercado se ha visto impulsado hacia arriba por esta rotación del sector de la tecnología... Sin embargo, los períodos de alta dispersión se han asociado históricamente con mercado</w:t>
      </w:r>
      <w:r>
        <w:rPr>
          <w:rFonts w:ascii="Times New Roman" w:hAnsi="Times New Roman" w:cs="Times New Roman"/>
          <w:sz w:val="24"/>
          <w:szCs w:val="24"/>
        </w:rPr>
        <w:t>s</w:t>
      </w:r>
      <w:r w:rsidRPr="00867251">
        <w:rPr>
          <w:rFonts w:ascii="Times New Roman" w:hAnsi="Times New Roman" w:cs="Times New Roman"/>
          <w:sz w:val="24"/>
          <w:szCs w:val="24"/>
        </w:rPr>
        <w:t xml:space="preserve"> frágiles (es complicado que a muchas empresas les vaya bien cuando la renta de los hogares sufre). De hecho, esto ha sido un indicador bastante fiable para futuras correcciones. Eso significa que para que esta recuperación, impulsada por la tecnología, sea sostenible, los beneficios del sector deberían ser en gran medida ind</w:t>
      </w:r>
      <w:r w:rsidR="00873C5E">
        <w:rPr>
          <w:rFonts w:ascii="Times New Roman" w:hAnsi="Times New Roman" w:cs="Times New Roman"/>
          <w:sz w:val="24"/>
          <w:szCs w:val="24"/>
        </w:rPr>
        <w:t>ependientes de la economía real”</w:t>
      </w:r>
      <w:r w:rsidRPr="00867251">
        <w:rPr>
          <w:rFonts w:ascii="Times New Roman" w:hAnsi="Times New Roman" w:cs="Times New Roman"/>
          <w:sz w:val="24"/>
          <w:szCs w:val="24"/>
        </w:rPr>
        <w:t>, se</w:t>
      </w:r>
      <w:r>
        <w:rPr>
          <w:rFonts w:ascii="Times New Roman" w:hAnsi="Times New Roman" w:cs="Times New Roman"/>
          <w:sz w:val="24"/>
          <w:szCs w:val="24"/>
        </w:rPr>
        <w:t>ñalan los analistas de Allianz.</w:t>
      </w:r>
    </w:p>
    <w:p w:rsidR="00EA1637" w:rsidRPr="00867251" w:rsidRDefault="00EA1637" w:rsidP="00FA4DA9">
      <w:pPr>
        <w:spacing w:line="240" w:lineRule="auto"/>
        <w:jc w:val="both"/>
        <w:rPr>
          <w:rFonts w:ascii="Times New Roman" w:hAnsi="Times New Roman" w:cs="Times New Roman"/>
          <w:sz w:val="24"/>
          <w:szCs w:val="24"/>
        </w:rPr>
      </w:pPr>
      <w:r w:rsidRPr="00867251">
        <w:rPr>
          <w:rFonts w:ascii="Times New Roman" w:hAnsi="Times New Roman" w:cs="Times New Roman"/>
          <w:sz w:val="24"/>
          <w:szCs w:val="24"/>
        </w:rPr>
        <w:t>-</w:t>
      </w:r>
      <w:r w:rsidRPr="00433C0A">
        <w:rPr>
          <w:rFonts w:ascii="Times New Roman" w:hAnsi="Times New Roman" w:cs="Times New Roman"/>
          <w:color w:val="FF0000"/>
          <w:sz w:val="24"/>
          <w:szCs w:val="24"/>
        </w:rPr>
        <w:t>El perro de Pavlov y el condicionamiento clásico</w:t>
      </w:r>
      <w:r w:rsidR="00873C5E">
        <w:rPr>
          <w:rFonts w:ascii="Times New Roman" w:hAnsi="Times New Roman" w:cs="Times New Roman"/>
          <w:sz w:val="24"/>
          <w:szCs w:val="24"/>
        </w:rPr>
        <w:t>. “</w:t>
      </w:r>
      <w:r w:rsidRPr="00867251">
        <w:rPr>
          <w:rFonts w:ascii="Times New Roman" w:hAnsi="Times New Roman" w:cs="Times New Roman"/>
          <w:sz w:val="24"/>
          <w:szCs w:val="24"/>
        </w:rPr>
        <w:t xml:space="preserve">La tercera explicación es que el movimiento del mercado ya no se basa en métricas de valoración fundamentales, sino que solo </w:t>
      </w:r>
      <w:r w:rsidRPr="00433C0A">
        <w:rPr>
          <w:rFonts w:ascii="Times New Roman" w:hAnsi="Times New Roman" w:cs="Times New Roman"/>
          <w:sz w:val="24"/>
          <w:szCs w:val="24"/>
          <w:u w:val="single"/>
        </w:rPr>
        <w:t>reacciona a los anuncios de medidas expansivas de política monetaria y fiscal, por lo que el tiempo de respuesta entre el anuncio y la recuperación de las bolsas es cada vez más corto.</w:t>
      </w:r>
      <w:r w:rsidRPr="00867251">
        <w:rPr>
          <w:rFonts w:ascii="Times New Roman" w:hAnsi="Times New Roman" w:cs="Times New Roman"/>
          <w:sz w:val="24"/>
          <w:szCs w:val="24"/>
        </w:rPr>
        <w:t xml:space="preserve"> </w:t>
      </w:r>
      <w:r w:rsidRPr="00433C0A">
        <w:rPr>
          <w:rFonts w:ascii="Times New Roman" w:hAnsi="Times New Roman" w:cs="Times New Roman"/>
          <w:sz w:val="24"/>
          <w:szCs w:val="24"/>
          <w:u w:val="single"/>
        </w:rPr>
        <w:t>En la crisis del covid-19, la reacción de los mercados al paquete masivo de estímulos fiscales y monetarios fue casi instantánea e incluso precoz</w:t>
      </w:r>
      <w:r w:rsidRPr="00867251">
        <w:rPr>
          <w:rFonts w:ascii="Times New Roman" w:hAnsi="Times New Roman" w:cs="Times New Roman"/>
          <w:sz w:val="24"/>
          <w:szCs w:val="24"/>
        </w:rPr>
        <w:t>. Como consecuencia directa, el mercado de valores ha integrado la efectividad de estas medidas de política y ya no necesita ninguna prueba sólida (por ejemplo, de que la Fed realmente compr</w:t>
      </w:r>
      <w:r w:rsidR="00873C5E">
        <w:rPr>
          <w:rFonts w:ascii="Times New Roman" w:hAnsi="Times New Roman" w:cs="Times New Roman"/>
          <w:sz w:val="24"/>
          <w:szCs w:val="24"/>
        </w:rPr>
        <w:t>a lo que dice que va a comprar)”</w:t>
      </w:r>
      <w:r w:rsidRPr="00867251">
        <w:rPr>
          <w:rFonts w:ascii="Times New Roman" w:hAnsi="Times New Roman" w:cs="Times New Roman"/>
          <w:sz w:val="24"/>
          <w:szCs w:val="24"/>
        </w:rPr>
        <w:t xml:space="preserve">, </w:t>
      </w:r>
      <w:r>
        <w:rPr>
          <w:rFonts w:ascii="Times New Roman" w:hAnsi="Times New Roman" w:cs="Times New Roman"/>
          <w:sz w:val="24"/>
          <w:szCs w:val="24"/>
        </w:rPr>
        <w:t>destaca el informe.</w:t>
      </w:r>
    </w:p>
    <w:p w:rsidR="00EA1637" w:rsidRPr="00867251" w:rsidRDefault="00EA1637" w:rsidP="00FA4DA9">
      <w:pPr>
        <w:spacing w:line="240" w:lineRule="auto"/>
        <w:jc w:val="both"/>
        <w:rPr>
          <w:rFonts w:ascii="Times New Roman" w:hAnsi="Times New Roman" w:cs="Times New Roman"/>
          <w:sz w:val="24"/>
          <w:szCs w:val="24"/>
        </w:rPr>
      </w:pPr>
      <w:r w:rsidRPr="00867251">
        <w:rPr>
          <w:rFonts w:ascii="Times New Roman" w:hAnsi="Times New Roman" w:cs="Times New Roman"/>
          <w:sz w:val="24"/>
          <w:szCs w:val="24"/>
        </w:rPr>
        <w:t>Los bancos centrales empujan al inversor hacia los activos de riesgo</w:t>
      </w:r>
    </w:p>
    <w:p w:rsidR="00EA1637" w:rsidRPr="00867251" w:rsidRDefault="00EA1637" w:rsidP="00FA4DA9">
      <w:pPr>
        <w:spacing w:line="240" w:lineRule="auto"/>
        <w:jc w:val="both"/>
        <w:rPr>
          <w:rFonts w:ascii="Times New Roman" w:hAnsi="Times New Roman" w:cs="Times New Roman"/>
          <w:sz w:val="24"/>
          <w:szCs w:val="24"/>
        </w:rPr>
      </w:pPr>
      <w:r w:rsidRPr="00433C0A">
        <w:rPr>
          <w:rFonts w:ascii="Times New Roman" w:hAnsi="Times New Roman" w:cs="Times New Roman"/>
          <w:color w:val="FF0000"/>
          <w:sz w:val="24"/>
          <w:szCs w:val="24"/>
        </w:rPr>
        <w:t>A esto habría que sumarle la posibilidad de que las compras masivas de bonos con la creación de dinero por parte de los bancos centrales están empujando a los inversores hacia activos de riesgo como las acciones</w:t>
      </w:r>
      <w:r w:rsidRPr="00867251">
        <w:rPr>
          <w:rFonts w:ascii="Times New Roman" w:hAnsi="Times New Roman" w:cs="Times New Roman"/>
          <w:sz w:val="24"/>
          <w:szCs w:val="24"/>
        </w:rPr>
        <w:t xml:space="preserve">. Si la Fed o el Banco Central Europeo tienen cada vez una mayor porción del mercado de bonos a través de compras en el mercado secundario (a inversores, bancos, </w:t>
      </w:r>
      <w:r w:rsidR="00324F4A" w:rsidRPr="00867251">
        <w:rPr>
          <w:rFonts w:ascii="Times New Roman" w:hAnsi="Times New Roman" w:cs="Times New Roman"/>
          <w:sz w:val="24"/>
          <w:szCs w:val="24"/>
        </w:rPr>
        <w:t>etc.</w:t>
      </w:r>
      <w:r w:rsidRPr="00867251">
        <w:rPr>
          <w:rFonts w:ascii="Times New Roman" w:hAnsi="Times New Roman" w:cs="Times New Roman"/>
          <w:sz w:val="24"/>
          <w:szCs w:val="24"/>
        </w:rPr>
        <w:t>), el resto de participantes del mercado secundario podría decidir usar esa liquidez para invertir en activos con mayor riesgo, que a su vez son los únicos que ofrecen algo de rentabilidad en un mundo</w:t>
      </w:r>
      <w:r>
        <w:rPr>
          <w:rFonts w:ascii="Times New Roman" w:hAnsi="Times New Roman" w:cs="Times New Roman"/>
          <w:sz w:val="24"/>
          <w:szCs w:val="24"/>
        </w:rPr>
        <w:t xml:space="preserve"> de tipos de interés negativos.</w:t>
      </w:r>
    </w:p>
    <w:p w:rsidR="00EA1637" w:rsidRPr="00867251" w:rsidRDefault="00EA1637" w:rsidP="00FA4DA9">
      <w:pPr>
        <w:spacing w:line="240" w:lineRule="auto"/>
        <w:jc w:val="both"/>
        <w:rPr>
          <w:rFonts w:ascii="Times New Roman" w:hAnsi="Times New Roman" w:cs="Times New Roman"/>
          <w:sz w:val="24"/>
          <w:szCs w:val="24"/>
        </w:rPr>
      </w:pPr>
      <w:r w:rsidRPr="00867251">
        <w:rPr>
          <w:rFonts w:ascii="Times New Roman" w:hAnsi="Times New Roman" w:cs="Times New Roman"/>
          <w:sz w:val="24"/>
          <w:szCs w:val="24"/>
        </w:rPr>
        <w:t>-</w:t>
      </w:r>
      <w:r w:rsidRPr="00433C0A">
        <w:rPr>
          <w:rFonts w:ascii="Times New Roman" w:hAnsi="Times New Roman" w:cs="Times New Roman"/>
          <w:color w:val="FF0000"/>
          <w:sz w:val="24"/>
          <w:szCs w:val="24"/>
        </w:rPr>
        <w:t>El impulso minorista</w:t>
      </w:r>
      <w:r w:rsidR="00873C5E">
        <w:rPr>
          <w:rFonts w:ascii="Times New Roman" w:hAnsi="Times New Roman" w:cs="Times New Roman"/>
          <w:sz w:val="24"/>
          <w:szCs w:val="24"/>
        </w:rPr>
        <w:t>. “</w:t>
      </w:r>
      <w:r w:rsidRPr="00867251">
        <w:rPr>
          <w:rFonts w:ascii="Times New Roman" w:hAnsi="Times New Roman" w:cs="Times New Roman"/>
          <w:sz w:val="24"/>
          <w:szCs w:val="24"/>
        </w:rPr>
        <w:t xml:space="preserve">La cuarta explicación es que este es un repunte técnico, cuyo impulso proviene del sector de minorista (pequeños inversores que se han sumado en masa al mercado)... </w:t>
      </w:r>
      <w:r w:rsidRPr="00433C0A">
        <w:rPr>
          <w:rFonts w:ascii="Times New Roman" w:hAnsi="Times New Roman" w:cs="Times New Roman"/>
          <w:sz w:val="24"/>
          <w:szCs w:val="24"/>
          <w:u w:val="single"/>
        </w:rPr>
        <w:t>Una cosa es segura: los inversores institucionales no han estado impulsando el último rally. Más bien al revés, su exposición a los fondos del mercado monetario ha aumentado considerablemente desde principios de año</w:t>
      </w:r>
      <w:r w:rsidRPr="00867251">
        <w:rPr>
          <w:rFonts w:ascii="Times New Roman" w:hAnsi="Times New Roman" w:cs="Times New Roman"/>
          <w:sz w:val="24"/>
          <w:szCs w:val="24"/>
        </w:rPr>
        <w:t>. Además, a gran escala, la menor liquidez en el mercado de futuros muestra que hay pocos inversores institucionales activos</w:t>
      </w:r>
      <w:r w:rsidR="00873C5E">
        <w:rPr>
          <w:rFonts w:ascii="Times New Roman" w:hAnsi="Times New Roman" w:cs="Times New Roman"/>
          <w:sz w:val="24"/>
          <w:szCs w:val="24"/>
        </w:rPr>
        <w:t xml:space="preserve"> que participen en este mercado”</w:t>
      </w:r>
      <w:r w:rsidRPr="00867251">
        <w:rPr>
          <w:rFonts w:ascii="Times New Roman" w:hAnsi="Times New Roman" w:cs="Times New Roman"/>
          <w:sz w:val="24"/>
          <w:szCs w:val="24"/>
        </w:rPr>
        <w:t>, aseguran desde Allia</w:t>
      </w:r>
      <w:r>
        <w:rPr>
          <w:rFonts w:ascii="Times New Roman" w:hAnsi="Times New Roman" w:cs="Times New Roman"/>
          <w:sz w:val="24"/>
          <w:szCs w:val="24"/>
        </w:rPr>
        <w:t>nz.</w:t>
      </w:r>
    </w:p>
    <w:p w:rsidR="00EA1637" w:rsidRPr="00433C0A" w:rsidRDefault="00EA1637" w:rsidP="00FA4DA9">
      <w:pPr>
        <w:spacing w:line="240" w:lineRule="auto"/>
        <w:jc w:val="both"/>
        <w:rPr>
          <w:rFonts w:ascii="Times New Roman" w:hAnsi="Times New Roman" w:cs="Times New Roman"/>
          <w:sz w:val="24"/>
          <w:szCs w:val="24"/>
          <w:u w:val="single"/>
        </w:rPr>
      </w:pPr>
      <w:r w:rsidRPr="00433C0A">
        <w:rPr>
          <w:rFonts w:ascii="Times New Roman" w:hAnsi="Times New Roman" w:cs="Times New Roman"/>
          <w:sz w:val="24"/>
          <w:szCs w:val="24"/>
          <w:u w:val="single"/>
        </w:rPr>
        <w:t>Los inversores minoristas tienen el 34% de las acciones de la bolsa de EEUU, los hogares estadounidenses son una masa importante para mover el mercado si lo hacen de forma coordinada (aunque involuntaria)</w:t>
      </w:r>
      <w:r w:rsidR="00873C5E">
        <w:rPr>
          <w:rFonts w:ascii="Times New Roman" w:hAnsi="Times New Roman" w:cs="Times New Roman"/>
          <w:sz w:val="24"/>
          <w:szCs w:val="24"/>
        </w:rPr>
        <w:t>. “</w:t>
      </w:r>
      <w:r w:rsidRPr="00867251">
        <w:rPr>
          <w:rFonts w:ascii="Times New Roman" w:hAnsi="Times New Roman" w:cs="Times New Roman"/>
          <w:sz w:val="24"/>
          <w:szCs w:val="24"/>
        </w:rPr>
        <w:t>Sin embargo, en el pasado, seguían la estrategia de comprar y mantener...</w:t>
      </w:r>
      <w:r>
        <w:rPr>
          <w:rFonts w:ascii="Times New Roman" w:hAnsi="Times New Roman" w:cs="Times New Roman"/>
          <w:sz w:val="24"/>
          <w:szCs w:val="24"/>
        </w:rPr>
        <w:t xml:space="preserve"> </w:t>
      </w:r>
      <w:r w:rsidRPr="00867251">
        <w:rPr>
          <w:rFonts w:ascii="Times New Roman" w:hAnsi="Times New Roman" w:cs="Times New Roman"/>
          <w:sz w:val="24"/>
          <w:szCs w:val="24"/>
        </w:rPr>
        <w:t>¿Cómo ha podido cambiar esta tendencia? Nuevos brokers como Robinhood y Citadel Securities han reducido la barrera de entrada para acceder a las bolsas. También han ampliado la gama de productos disponibles (acciones, opciones, CDS...) y han reducido el coste de transacción a casi cero. Esto puede explicar el fuerte aumento de las transaccion</w:t>
      </w:r>
      <w:r w:rsidR="00873C5E">
        <w:rPr>
          <w:rFonts w:ascii="Times New Roman" w:hAnsi="Times New Roman" w:cs="Times New Roman"/>
          <w:sz w:val="24"/>
          <w:szCs w:val="24"/>
        </w:rPr>
        <w:t>es por día en estas plataformas”</w:t>
      </w:r>
      <w:r w:rsidRPr="00867251">
        <w:rPr>
          <w:rFonts w:ascii="Times New Roman" w:hAnsi="Times New Roman" w:cs="Times New Roman"/>
          <w:sz w:val="24"/>
          <w:szCs w:val="24"/>
        </w:rPr>
        <w:t xml:space="preserve">. </w:t>
      </w:r>
      <w:r w:rsidRPr="00433C0A">
        <w:rPr>
          <w:rFonts w:ascii="Times New Roman" w:hAnsi="Times New Roman" w:cs="Times New Roman"/>
          <w:sz w:val="24"/>
          <w:szCs w:val="24"/>
          <w:u w:val="single"/>
        </w:rPr>
        <w:t xml:space="preserve">Por primera vez, los pequeños inversores estarían </w:t>
      </w:r>
      <w:r w:rsidRPr="00433C0A">
        <w:rPr>
          <w:rFonts w:ascii="Times New Roman" w:hAnsi="Times New Roman" w:cs="Times New Roman"/>
          <w:sz w:val="24"/>
          <w:szCs w:val="24"/>
          <w:u w:val="single"/>
        </w:rPr>
        <w:lastRenderedPageBreak/>
        <w:t>entrando en la bolsa de forma masiva durante u</w:t>
      </w:r>
      <w:r w:rsidR="00873C5E">
        <w:rPr>
          <w:rFonts w:ascii="Times New Roman" w:hAnsi="Times New Roman" w:cs="Times New Roman"/>
          <w:sz w:val="24"/>
          <w:szCs w:val="24"/>
          <w:u w:val="single"/>
        </w:rPr>
        <w:t>na caída. Normalmente eran las “manos fuertes”</w:t>
      </w:r>
      <w:r w:rsidRPr="00433C0A">
        <w:rPr>
          <w:rFonts w:ascii="Times New Roman" w:hAnsi="Times New Roman" w:cs="Times New Roman"/>
          <w:sz w:val="24"/>
          <w:szCs w:val="24"/>
          <w:u w:val="single"/>
        </w:rPr>
        <w:t xml:space="preserve"> las que seguían esta estrategia, lo que también genera dudas sobre el futuro de las cotizaciones.</w:t>
      </w:r>
    </w:p>
    <w:p w:rsidR="00EA1637" w:rsidRPr="00867251" w:rsidRDefault="00EA1637" w:rsidP="00FA4DA9">
      <w:pPr>
        <w:spacing w:line="240" w:lineRule="auto"/>
        <w:jc w:val="both"/>
        <w:rPr>
          <w:rFonts w:ascii="Times New Roman" w:hAnsi="Times New Roman" w:cs="Times New Roman"/>
          <w:sz w:val="24"/>
          <w:szCs w:val="24"/>
        </w:rPr>
      </w:pPr>
      <w:r w:rsidRPr="00867251">
        <w:rPr>
          <w:rFonts w:ascii="Times New Roman" w:hAnsi="Times New Roman" w:cs="Times New Roman"/>
          <w:sz w:val="24"/>
          <w:szCs w:val="24"/>
        </w:rPr>
        <w:t>La anécdota del impulso minorista</w:t>
      </w:r>
    </w:p>
    <w:p w:rsidR="00EA1637" w:rsidRPr="00867251" w:rsidRDefault="00873C5E"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w:t>
      </w:r>
      <w:r w:rsidR="00EA1637" w:rsidRPr="00433C0A">
        <w:rPr>
          <w:rFonts w:ascii="Times New Roman" w:hAnsi="Times New Roman" w:cs="Times New Roman"/>
          <w:sz w:val="24"/>
          <w:szCs w:val="24"/>
          <w:u w:val="single"/>
        </w:rPr>
        <w:t>La participación en el mercado de esta nueva ola de inversores minoristas también ha llevado a situaciones ridículas en el mercado que</w:t>
      </w:r>
      <w:r>
        <w:rPr>
          <w:rFonts w:ascii="Times New Roman" w:hAnsi="Times New Roman" w:cs="Times New Roman"/>
          <w:sz w:val="24"/>
          <w:szCs w:val="24"/>
          <w:u w:val="single"/>
        </w:rPr>
        <w:t xml:space="preserve"> solo pueden explicarse por el “analfabetismo financiero”</w:t>
      </w:r>
      <w:r w:rsidR="00EA1637" w:rsidRPr="00433C0A">
        <w:rPr>
          <w:rFonts w:ascii="Times New Roman" w:hAnsi="Times New Roman" w:cs="Times New Roman"/>
          <w:sz w:val="24"/>
          <w:szCs w:val="24"/>
          <w:u w:val="single"/>
        </w:rPr>
        <w:t xml:space="preserve"> y l</w:t>
      </w:r>
      <w:r>
        <w:rPr>
          <w:rFonts w:ascii="Times New Roman" w:hAnsi="Times New Roman" w:cs="Times New Roman"/>
          <w:sz w:val="24"/>
          <w:szCs w:val="24"/>
          <w:u w:val="single"/>
        </w:rPr>
        <w:t>a percepción de riesgos de los “nuevos minoristas”</w:t>
      </w:r>
      <w:r w:rsidR="00EA1637" w:rsidRPr="00433C0A">
        <w:rPr>
          <w:rFonts w:ascii="Times New Roman" w:hAnsi="Times New Roman" w:cs="Times New Roman"/>
          <w:sz w:val="24"/>
          <w:szCs w:val="24"/>
          <w:u w:val="single"/>
        </w:rPr>
        <w:t>.</w:t>
      </w:r>
      <w:r w:rsidR="00EA1637" w:rsidRPr="00867251">
        <w:rPr>
          <w:rFonts w:ascii="Times New Roman" w:hAnsi="Times New Roman" w:cs="Times New Roman"/>
          <w:sz w:val="24"/>
          <w:szCs w:val="24"/>
        </w:rPr>
        <w:t xml:space="preserve"> Por ejemplo, al comienzo de la pandemia y con el teletrabajo en auge, la plataforma gratuita Zoom se convirtió en el lugar de reunión para las reuniones de todo tipo. Como consecuencia directa, los inversores se apresuraron a comprar sus acciones: desafortunadamente, algunos de ellos confund</w:t>
      </w:r>
      <w:r w:rsidR="00324F4A">
        <w:rPr>
          <w:rFonts w:ascii="Times New Roman" w:hAnsi="Times New Roman" w:cs="Times New Roman"/>
          <w:sz w:val="24"/>
          <w:szCs w:val="24"/>
        </w:rPr>
        <w:t>ieron a esta firma con el ticket</w:t>
      </w:r>
      <w:r w:rsidR="00EA1637" w:rsidRPr="00867251">
        <w:rPr>
          <w:rFonts w:ascii="Times New Roman" w:hAnsi="Times New Roman" w:cs="Times New Roman"/>
          <w:sz w:val="24"/>
          <w:szCs w:val="24"/>
        </w:rPr>
        <w:t xml:space="preserve"> de Zoom Technologies, una pequeña compañía de servicios en línea, lo que llevó disparó el precio de las </w:t>
      </w:r>
      <w:r w:rsidR="00DE4A72">
        <w:rPr>
          <w:rFonts w:ascii="Times New Roman" w:hAnsi="Times New Roman" w:cs="Times New Roman"/>
          <w:sz w:val="24"/>
          <w:szCs w:val="24"/>
        </w:rPr>
        <w:t>acciones esta empresa por error”</w:t>
      </w:r>
      <w:r w:rsidR="00EA1637" w:rsidRPr="00867251">
        <w:rPr>
          <w:rFonts w:ascii="Times New Roman" w:hAnsi="Times New Roman" w:cs="Times New Roman"/>
          <w:sz w:val="24"/>
          <w:szCs w:val="24"/>
        </w:rPr>
        <w:t>, culmina el</w:t>
      </w:r>
      <w:r w:rsidR="00EA1637">
        <w:rPr>
          <w:rFonts w:ascii="Times New Roman" w:hAnsi="Times New Roman" w:cs="Times New Roman"/>
          <w:sz w:val="24"/>
          <w:szCs w:val="24"/>
        </w:rPr>
        <w:t xml:space="preserve"> informe del asegurador alemán.</w:t>
      </w:r>
    </w:p>
    <w:p w:rsidR="00EA1637" w:rsidRDefault="00EA1637" w:rsidP="00FA4DA9">
      <w:pPr>
        <w:spacing w:line="240" w:lineRule="auto"/>
        <w:jc w:val="both"/>
        <w:rPr>
          <w:rFonts w:ascii="Times New Roman" w:hAnsi="Times New Roman" w:cs="Times New Roman"/>
          <w:sz w:val="24"/>
          <w:szCs w:val="24"/>
        </w:rPr>
      </w:pPr>
      <w:r w:rsidRPr="00433C0A">
        <w:rPr>
          <w:rFonts w:ascii="Times New Roman" w:hAnsi="Times New Roman" w:cs="Times New Roman"/>
          <w:color w:val="FF0000"/>
          <w:sz w:val="24"/>
          <w:szCs w:val="24"/>
          <w:u w:val="single"/>
        </w:rPr>
        <w:t>Todos estos factores pueden estar provocando la gran desconexión entre Wall Street y Main Street</w:t>
      </w:r>
      <w:r w:rsidRPr="00867251">
        <w:rPr>
          <w:rFonts w:ascii="Times New Roman" w:hAnsi="Times New Roman" w:cs="Times New Roman"/>
          <w:sz w:val="24"/>
          <w:szCs w:val="24"/>
        </w:rPr>
        <w:t>. No obstante, también es un aviso para navegantes. Si la situación de la economía real es tan precaria como están advirtiendo algunas instituciones, la mayor parte de las empresas, sea cual sea su tamaño, sufrirán una caída en sus beneficios, que podría reflejarse en el precio de las acciones y a su vez retroalimentar la crisis económica, como advertía el FMI esta semana.</w:t>
      </w:r>
    </w:p>
    <w:p w:rsidR="00EA1637" w:rsidRPr="00E16E01" w:rsidRDefault="00EA1637"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05434">
        <w:rPr>
          <w:rFonts w:ascii="Times New Roman" w:hAnsi="Times New Roman" w:cs="Times New Roman"/>
          <w:sz w:val="24"/>
          <w:szCs w:val="24"/>
          <w:u w:val="single"/>
        </w:rPr>
        <w:t>La OIT cifra en 480 millones los empleos perdidos por la pandemia en el segundo trimestre</w:t>
      </w:r>
      <w:r>
        <w:rPr>
          <w:rFonts w:ascii="Times New Roman" w:hAnsi="Times New Roman" w:cs="Times New Roman"/>
          <w:sz w:val="24"/>
          <w:szCs w:val="24"/>
        </w:rPr>
        <w:t xml:space="preserve"> (El Economista - </w:t>
      </w:r>
      <w:r w:rsidRPr="00805434">
        <w:rPr>
          <w:rFonts w:ascii="Times New Roman" w:hAnsi="Times New Roman" w:cs="Times New Roman"/>
          <w:b/>
          <w:sz w:val="24"/>
          <w:szCs w:val="24"/>
        </w:rPr>
        <w:t>30/6/20</w:t>
      </w:r>
      <w:r>
        <w:rPr>
          <w:rFonts w:ascii="Times New Roman" w:hAnsi="Times New Roman" w:cs="Times New Roman"/>
          <w:sz w:val="24"/>
          <w:szCs w:val="24"/>
        </w:rPr>
        <w:t>)</w:t>
      </w:r>
    </w:p>
    <w:p w:rsidR="00EA1637" w:rsidRPr="00BC74D3" w:rsidRDefault="00EA1637" w:rsidP="00FA4DA9">
      <w:pPr>
        <w:spacing w:line="240" w:lineRule="auto"/>
        <w:jc w:val="both"/>
        <w:rPr>
          <w:rFonts w:ascii="Times New Roman" w:hAnsi="Times New Roman" w:cs="Times New Roman"/>
          <w:b/>
          <w:sz w:val="24"/>
          <w:szCs w:val="24"/>
        </w:rPr>
      </w:pPr>
      <w:r w:rsidRPr="00BC74D3">
        <w:rPr>
          <w:rFonts w:ascii="Times New Roman" w:hAnsi="Times New Roman" w:cs="Times New Roman"/>
          <w:b/>
          <w:color w:val="FF0000"/>
          <w:sz w:val="24"/>
          <w:szCs w:val="24"/>
          <w:u w:val="single"/>
        </w:rPr>
        <w:t>El impacto de la crisis provocada por la pandemia de covid-19 ha superado las peores expectativas, traduciéndose en la pérdida global del 14% de las horas trabajadas, lo que equivale a la destrucción de 480 millones de empleos en el mundo, según la Organización Internacional del Trabajo, que ve peligrar entre 34 y 340 millones de empleos en la segunda mitad de 2020 en función de cómo sea la recuperación</w:t>
      </w:r>
      <w:r w:rsidRPr="00BC74D3">
        <w:rPr>
          <w:rFonts w:ascii="Times New Roman" w:hAnsi="Times New Roman" w:cs="Times New Roman"/>
          <w:b/>
          <w:sz w:val="24"/>
          <w:szCs w:val="24"/>
        </w:rPr>
        <w:t xml:space="preserve">. </w:t>
      </w:r>
    </w:p>
    <w:p w:rsidR="00EA1637" w:rsidRPr="00BC74D3" w:rsidRDefault="00EA1637" w:rsidP="00FA4DA9">
      <w:pPr>
        <w:spacing w:line="240" w:lineRule="auto"/>
        <w:jc w:val="both"/>
        <w:rPr>
          <w:rFonts w:ascii="Times New Roman" w:hAnsi="Times New Roman" w:cs="Times New Roman"/>
          <w:b/>
          <w:color w:val="FF0000"/>
          <w:sz w:val="24"/>
          <w:szCs w:val="24"/>
          <w:u w:val="single"/>
        </w:rPr>
      </w:pPr>
      <w:r w:rsidRPr="00BC74D3">
        <w:rPr>
          <w:rFonts w:ascii="Times New Roman" w:hAnsi="Times New Roman" w:cs="Times New Roman"/>
          <w:b/>
          <w:color w:val="FF0000"/>
          <w:sz w:val="24"/>
          <w:szCs w:val="24"/>
          <w:u w:val="single"/>
        </w:rPr>
        <w:t>Según la 5ª edición del Observatorio de la OIT sobre el impacto de la pandemia en el mundo del trabajo, las horas trabajadas a nivel global disminuyeron un 14% en el segundo trimestre, lo que empeora sensiblemente las previsiones de una caída del 10,7% y equivaldría a la pérdida de 480 millones de empleos a tiempo completo (40 horas semanales).</w:t>
      </w:r>
    </w:p>
    <w:p w:rsidR="00EA1637" w:rsidRPr="00BC74D3" w:rsidRDefault="00EA1637" w:rsidP="00FA4DA9">
      <w:pPr>
        <w:spacing w:line="240" w:lineRule="auto"/>
        <w:jc w:val="both"/>
        <w:rPr>
          <w:rFonts w:ascii="Times New Roman" w:hAnsi="Times New Roman" w:cs="Times New Roman"/>
          <w:b/>
          <w:color w:val="FF0000"/>
          <w:sz w:val="24"/>
          <w:szCs w:val="24"/>
          <w:u w:val="single"/>
        </w:rPr>
      </w:pPr>
      <w:r w:rsidRPr="00BC74D3">
        <w:rPr>
          <w:rFonts w:ascii="Times New Roman" w:hAnsi="Times New Roman" w:cs="Times New Roman"/>
          <w:b/>
          <w:color w:val="FF0000"/>
          <w:sz w:val="24"/>
          <w:szCs w:val="24"/>
          <w:u w:val="single"/>
        </w:rPr>
        <w:t>En los tres primeros meses de 2020, la organización calcula que las horas de trabajo disminuyeron un 5,4%, lo que equivaldría a la pérdida de 185 millones de empleos, a tiempo completo.</w:t>
      </w:r>
    </w:p>
    <w:p w:rsidR="00EA1637" w:rsidRPr="00D07CA4" w:rsidRDefault="00EA1637" w:rsidP="00FA4DA9">
      <w:pPr>
        <w:spacing w:line="240" w:lineRule="auto"/>
        <w:jc w:val="both"/>
        <w:rPr>
          <w:rFonts w:ascii="Times New Roman" w:hAnsi="Times New Roman" w:cs="Times New Roman"/>
          <w:sz w:val="24"/>
          <w:szCs w:val="24"/>
          <w:u w:val="single"/>
        </w:rPr>
      </w:pPr>
      <w:r w:rsidRPr="00D07CA4">
        <w:rPr>
          <w:rFonts w:ascii="Times New Roman" w:hAnsi="Times New Roman" w:cs="Times New Roman"/>
          <w:sz w:val="24"/>
          <w:szCs w:val="24"/>
          <w:u w:val="single"/>
        </w:rPr>
        <w:t>De esta cifra, según las estimaciones de la OIT, las horas trabajadas en el segundo trimestre en el sur de Europa habrían registrado una disminución del 18%, traduciéndose en la pérdida de 10 millones de puestos de trabajo, mientras que en el conjunto de Europa y de Asia Central las horas trabajadas disminuyeron un 13,9%, lo que equivaldría a la desaparición de 55 millones de empleos.</w:t>
      </w:r>
    </w:p>
    <w:p w:rsidR="00EA1637" w:rsidRPr="00D07CA4" w:rsidRDefault="00EA1637" w:rsidP="00FA4DA9">
      <w:pPr>
        <w:spacing w:line="240" w:lineRule="auto"/>
        <w:jc w:val="both"/>
        <w:rPr>
          <w:rFonts w:ascii="Times New Roman" w:hAnsi="Times New Roman" w:cs="Times New Roman"/>
          <w:sz w:val="24"/>
          <w:szCs w:val="24"/>
          <w:u w:val="single"/>
        </w:rPr>
      </w:pPr>
      <w:r w:rsidRPr="00D07CA4">
        <w:rPr>
          <w:rFonts w:ascii="Times New Roman" w:hAnsi="Times New Roman" w:cs="Times New Roman"/>
          <w:sz w:val="24"/>
          <w:szCs w:val="24"/>
          <w:u w:val="single"/>
        </w:rPr>
        <w:t>En este sentido, la OIT calcula que la pérdida de horas de trabajo alcanzó el 18,3% en América, con la pérdida de 80 millones de empleos; en Asia Pacífico se redujeron un 13,5%, con la pérdida de 280 millones de empleos; y un 13,2% en los países árabes, con la desaparición de 10 millones de puestos de trabajo; además de un descenso del 12,1% de las horas trabajadas en África, lo que se traduciría en la pérdida de 55 millones de empleos.</w:t>
      </w:r>
    </w:p>
    <w:p w:rsidR="00EA1637" w:rsidRPr="00D07CA4" w:rsidRDefault="00EA1637" w:rsidP="00FA4DA9">
      <w:pPr>
        <w:spacing w:line="240" w:lineRule="auto"/>
        <w:jc w:val="both"/>
        <w:rPr>
          <w:rFonts w:ascii="Times New Roman" w:hAnsi="Times New Roman" w:cs="Times New Roman"/>
          <w:sz w:val="24"/>
          <w:szCs w:val="24"/>
          <w:u w:val="single"/>
        </w:rPr>
      </w:pPr>
      <w:r w:rsidRPr="00D07CA4">
        <w:rPr>
          <w:rFonts w:ascii="Times New Roman" w:hAnsi="Times New Roman" w:cs="Times New Roman"/>
          <w:sz w:val="24"/>
          <w:szCs w:val="24"/>
          <w:u w:val="single"/>
        </w:rPr>
        <w:lastRenderedPageBreak/>
        <w:t>En función de la evolución futura de la pandemia y de las decisiones adoptadas por los gobiernos, la OIT plantea tres escenarios diferentes para el empleo en la segunda mitad de 2020.</w:t>
      </w:r>
    </w:p>
    <w:p w:rsidR="00EA1637" w:rsidRPr="00D07CA4" w:rsidRDefault="00EA1637" w:rsidP="00FA4DA9">
      <w:pPr>
        <w:spacing w:line="240" w:lineRule="auto"/>
        <w:jc w:val="both"/>
        <w:rPr>
          <w:rFonts w:ascii="Times New Roman" w:hAnsi="Times New Roman" w:cs="Times New Roman"/>
          <w:color w:val="FF0000"/>
          <w:sz w:val="24"/>
          <w:szCs w:val="24"/>
          <w:u w:val="single"/>
        </w:rPr>
      </w:pPr>
      <w:r w:rsidRPr="00D07CA4">
        <w:rPr>
          <w:rFonts w:ascii="Times New Roman" w:hAnsi="Times New Roman" w:cs="Times New Roman"/>
          <w:color w:val="FF0000"/>
          <w:sz w:val="24"/>
          <w:szCs w:val="24"/>
          <w:u w:val="single"/>
        </w:rPr>
        <w:t>En su escenario base, el cual supone un repunte de la actividad económica en línea con las previsiones actuales, el levantamiento de las restricciones en el lugar de trabajo y la recuperación del consumo y de las inversiones, la OIT prevé una disminución en la pérdida de horas de trabajo del 4,9%, equivalente a 140 millones de empleos a tiempo completo en relación al cuarto trimestre de 2019.</w:t>
      </w:r>
    </w:p>
    <w:p w:rsidR="00EA1637" w:rsidRPr="00805434" w:rsidRDefault="00EA1637" w:rsidP="00FA4DA9">
      <w:pPr>
        <w:spacing w:line="240" w:lineRule="auto"/>
        <w:jc w:val="both"/>
        <w:rPr>
          <w:rFonts w:ascii="Times New Roman" w:hAnsi="Times New Roman" w:cs="Times New Roman"/>
          <w:sz w:val="24"/>
          <w:szCs w:val="24"/>
        </w:rPr>
      </w:pPr>
      <w:r w:rsidRPr="00805434">
        <w:rPr>
          <w:rFonts w:ascii="Times New Roman" w:hAnsi="Times New Roman" w:cs="Times New Roman"/>
          <w:sz w:val="24"/>
          <w:szCs w:val="24"/>
        </w:rPr>
        <w:t>El escenario más pesimista</w:t>
      </w:r>
    </w:p>
    <w:p w:rsidR="00EA1637" w:rsidRPr="00805434" w:rsidRDefault="00EA1637" w:rsidP="00FA4DA9">
      <w:pPr>
        <w:spacing w:line="240" w:lineRule="auto"/>
        <w:jc w:val="both"/>
        <w:rPr>
          <w:rFonts w:ascii="Times New Roman" w:hAnsi="Times New Roman" w:cs="Times New Roman"/>
          <w:sz w:val="24"/>
          <w:szCs w:val="24"/>
        </w:rPr>
      </w:pPr>
      <w:r w:rsidRPr="009A49DE">
        <w:rPr>
          <w:rFonts w:ascii="Times New Roman" w:hAnsi="Times New Roman" w:cs="Times New Roman"/>
          <w:color w:val="FF0000"/>
          <w:sz w:val="24"/>
          <w:szCs w:val="24"/>
          <w:u w:val="single"/>
        </w:rPr>
        <w:t>El escenario pesimista, por su parte, asume una segunda ola de la pandemia y el regreso de las restricciones, lo cual ralentizaría la recuperación de manera significativa. Como consecuencia, se produciría un descenso de las horas de trabajo de 11,9%, con la pérdida de 340 millones de empleos en relación al final de 2019</w:t>
      </w:r>
      <w:r w:rsidRPr="00805434">
        <w:rPr>
          <w:rFonts w:ascii="Times New Roman" w:hAnsi="Times New Roman" w:cs="Times New Roman"/>
          <w:sz w:val="24"/>
          <w:szCs w:val="24"/>
        </w:rPr>
        <w:t>, mientras que el escenario optimista asume que las actividades de los trabajadores se reanudarán rápidamente, impulsando de manera significativa la demanda agr</w:t>
      </w:r>
      <w:r>
        <w:rPr>
          <w:rFonts w:ascii="Times New Roman" w:hAnsi="Times New Roman" w:cs="Times New Roman"/>
          <w:sz w:val="24"/>
          <w:szCs w:val="24"/>
        </w:rPr>
        <w:t>egada y la creación de empleos.</w:t>
      </w:r>
    </w:p>
    <w:p w:rsidR="00EA1637" w:rsidRPr="00805434" w:rsidRDefault="00EA1637" w:rsidP="00FA4DA9">
      <w:pPr>
        <w:spacing w:line="240" w:lineRule="auto"/>
        <w:jc w:val="both"/>
        <w:rPr>
          <w:rFonts w:ascii="Times New Roman" w:hAnsi="Times New Roman" w:cs="Times New Roman"/>
          <w:sz w:val="24"/>
          <w:szCs w:val="24"/>
        </w:rPr>
      </w:pPr>
      <w:r w:rsidRPr="00805434">
        <w:rPr>
          <w:rFonts w:ascii="Times New Roman" w:hAnsi="Times New Roman" w:cs="Times New Roman"/>
          <w:sz w:val="24"/>
          <w:szCs w:val="24"/>
        </w:rPr>
        <w:t>Con esta recuperación excepcionalmente veloz, la pérdida de horas de trabajo disminuiría hasta 1,2%, lo que supondría limitar a 34</w:t>
      </w:r>
      <w:r>
        <w:rPr>
          <w:rFonts w:ascii="Times New Roman" w:hAnsi="Times New Roman" w:cs="Times New Roman"/>
          <w:sz w:val="24"/>
          <w:szCs w:val="24"/>
        </w:rPr>
        <w:t xml:space="preserve"> millones los empleos perdidos.</w:t>
      </w:r>
    </w:p>
    <w:p w:rsidR="00EA1637" w:rsidRPr="00805434" w:rsidRDefault="00873C5E" w:rsidP="00FA4DA9">
      <w:pPr>
        <w:spacing w:line="240" w:lineRule="auto"/>
        <w:jc w:val="both"/>
        <w:rPr>
          <w:rFonts w:ascii="Times New Roman" w:hAnsi="Times New Roman" w:cs="Times New Roman"/>
          <w:sz w:val="24"/>
          <w:szCs w:val="24"/>
        </w:rPr>
      </w:pPr>
      <w:r w:rsidRPr="00BC74D3">
        <w:rPr>
          <w:rFonts w:ascii="Times New Roman" w:hAnsi="Times New Roman" w:cs="Times New Roman"/>
          <w:color w:val="FF0000"/>
          <w:sz w:val="24"/>
          <w:szCs w:val="24"/>
        </w:rPr>
        <w:t>“</w:t>
      </w:r>
      <w:r w:rsidR="00EA1637" w:rsidRPr="00BC74D3">
        <w:rPr>
          <w:rFonts w:ascii="Times New Roman" w:hAnsi="Times New Roman" w:cs="Times New Roman"/>
          <w:b/>
          <w:color w:val="FF0000"/>
          <w:sz w:val="24"/>
          <w:szCs w:val="24"/>
          <w:u w:val="single"/>
        </w:rPr>
        <w:t>Las decisiones que adoptemos ahora repercutirán durante los próximos años y más allá de 2030.</w:t>
      </w:r>
      <w:r w:rsidR="00EA1637" w:rsidRPr="00805434">
        <w:rPr>
          <w:rFonts w:ascii="Times New Roman" w:hAnsi="Times New Roman" w:cs="Times New Roman"/>
          <w:sz w:val="24"/>
          <w:szCs w:val="24"/>
        </w:rPr>
        <w:t xml:space="preserve"> Si bien los países se encuentran en fases diversas de la pandemia y es mucho lo que se ha hecho, debemos redoblar nuestros esfuerzos si queremos salir de esta </w:t>
      </w:r>
      <w:r>
        <w:rPr>
          <w:rFonts w:ascii="Times New Roman" w:hAnsi="Times New Roman" w:cs="Times New Roman"/>
          <w:sz w:val="24"/>
          <w:szCs w:val="24"/>
        </w:rPr>
        <w:t>crisis mejor que cuando comenzó”</w:t>
      </w:r>
      <w:r w:rsidR="00EA1637" w:rsidRPr="00805434">
        <w:rPr>
          <w:rFonts w:ascii="Times New Roman" w:hAnsi="Times New Roman" w:cs="Times New Roman"/>
          <w:sz w:val="24"/>
          <w:szCs w:val="24"/>
        </w:rPr>
        <w:t>, declaró Guy Ryd</w:t>
      </w:r>
      <w:r w:rsidR="00EA1637">
        <w:rPr>
          <w:rFonts w:ascii="Times New Roman" w:hAnsi="Times New Roman" w:cs="Times New Roman"/>
          <w:sz w:val="24"/>
          <w:szCs w:val="24"/>
        </w:rPr>
        <w:t>er, Director General de la OIT.</w:t>
      </w:r>
    </w:p>
    <w:p w:rsidR="00EA1637" w:rsidRDefault="00EA1637" w:rsidP="00FA4DA9">
      <w:pPr>
        <w:spacing w:line="240" w:lineRule="auto"/>
        <w:jc w:val="both"/>
        <w:rPr>
          <w:rFonts w:ascii="Times New Roman" w:hAnsi="Times New Roman" w:cs="Times New Roman"/>
          <w:sz w:val="24"/>
          <w:szCs w:val="24"/>
        </w:rPr>
      </w:pPr>
      <w:r w:rsidRPr="00805434">
        <w:rPr>
          <w:rFonts w:ascii="Times New Roman" w:hAnsi="Times New Roman" w:cs="Times New Roman"/>
          <w:sz w:val="24"/>
          <w:szCs w:val="24"/>
        </w:rPr>
        <w:t>En este sentido y de cara a la Cumbre Mundial sobre la covid-19 y el mundo del trabajo que celebrará la OIT la semana próxima de manera virtual, Ryder expresó su confianza en que gobiernos, trabajadores y empleadores aprovechen esta oportunidad para presentar y escuchar ideas innovadoras, discutir las lecciones aprendidas y proponer planes concretos a fin de trabajar juntos y poner en práctica una recuperación con alto coeficiente de empleo, que sea inclusiva, equitativa y sostenible.</w:t>
      </w:r>
    </w:p>
    <w:p w:rsidR="00EA1637" w:rsidRPr="00DA7425" w:rsidRDefault="00EA1637"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A7425">
        <w:rPr>
          <w:rFonts w:ascii="Times New Roman" w:hAnsi="Times New Roman" w:cs="Times New Roman"/>
          <w:sz w:val="24"/>
          <w:szCs w:val="24"/>
          <w:u w:val="single"/>
        </w:rPr>
        <w:t>El BCE, la Fed y el Banco de Japón elevan su balance en cuatro billones en tres meses</w:t>
      </w:r>
      <w:r>
        <w:rPr>
          <w:rFonts w:ascii="Times New Roman" w:hAnsi="Times New Roman" w:cs="Times New Roman"/>
          <w:sz w:val="24"/>
          <w:szCs w:val="24"/>
        </w:rPr>
        <w:t xml:space="preserve"> (Cinco Días - </w:t>
      </w:r>
      <w:r w:rsidRPr="00DA7425">
        <w:rPr>
          <w:rFonts w:ascii="Times New Roman" w:hAnsi="Times New Roman" w:cs="Times New Roman"/>
          <w:b/>
          <w:sz w:val="24"/>
          <w:szCs w:val="24"/>
        </w:rPr>
        <w:t>2/7/20</w:t>
      </w:r>
      <w:r>
        <w:rPr>
          <w:rFonts w:ascii="Times New Roman" w:hAnsi="Times New Roman" w:cs="Times New Roman"/>
          <w:sz w:val="24"/>
          <w:szCs w:val="24"/>
        </w:rPr>
        <w:t>)</w:t>
      </w:r>
    </w:p>
    <w:p w:rsidR="006B02FD" w:rsidRDefault="006B02FD" w:rsidP="00FA4DA9">
      <w:pPr>
        <w:spacing w:line="240" w:lineRule="auto"/>
        <w:jc w:val="both"/>
        <w:rPr>
          <w:rFonts w:ascii="Times New Roman" w:hAnsi="Times New Roman" w:cs="Times New Roman"/>
          <w:sz w:val="24"/>
          <w:szCs w:val="24"/>
        </w:rPr>
      </w:pPr>
      <w:r w:rsidRPr="00F15822">
        <w:rPr>
          <w:rFonts w:ascii="Times New Roman" w:hAnsi="Times New Roman" w:cs="Times New Roman"/>
          <w:color w:val="FF0000"/>
          <w:sz w:val="24"/>
          <w:szCs w:val="24"/>
          <w:u w:val="single"/>
        </w:rPr>
        <w:t>Si algo dejó claro la pasada crisis financiera es que cuanto más se dilate la aplicación de medidas más lenta puede ser la recuperación, por eso esta vez Gobiernos e instituciones se han afanado en poner en marcha iniciativas para paliar los efectos negativos de la pandemia.</w:t>
      </w:r>
      <w:r w:rsidRPr="00F15822">
        <w:rPr>
          <w:rFonts w:ascii="Times New Roman" w:hAnsi="Times New Roman" w:cs="Times New Roman"/>
          <w:color w:val="FF0000"/>
          <w:sz w:val="24"/>
          <w:szCs w:val="24"/>
        </w:rPr>
        <w:t xml:space="preserve"> </w:t>
      </w:r>
      <w:r w:rsidRPr="00DA7425">
        <w:rPr>
          <w:rFonts w:ascii="Times New Roman" w:hAnsi="Times New Roman" w:cs="Times New Roman"/>
          <w:sz w:val="24"/>
          <w:szCs w:val="24"/>
        </w:rPr>
        <w:t>Los bancos centrales son el mejor reflejo de esta corriente y desde el pasado mes de marzo han desplegado un abanico de propuestas para apoyar la recuperación. Un movimiento que se ha traducido en la inyección de dinero en el sistema para evitar problemas de liquidez y mantener bajo cont</w:t>
      </w:r>
      <w:r>
        <w:rPr>
          <w:rFonts w:ascii="Times New Roman" w:hAnsi="Times New Roman" w:cs="Times New Roman"/>
          <w:sz w:val="24"/>
          <w:szCs w:val="24"/>
        </w:rPr>
        <w:t>rol los costes de financiación.</w:t>
      </w:r>
    </w:p>
    <w:p w:rsidR="006B02FD" w:rsidRPr="006A3B06" w:rsidRDefault="006A3B06" w:rsidP="00FA4DA9">
      <w:pPr>
        <w:spacing w:line="240" w:lineRule="auto"/>
        <w:jc w:val="both"/>
        <w:rPr>
          <w:rFonts w:ascii="Times New Roman" w:hAnsi="Times New Roman" w:cs="Times New Roman"/>
          <w:b/>
          <w:color w:val="FF0000"/>
          <w:sz w:val="24"/>
          <w:szCs w:val="24"/>
          <w:u w:val="single"/>
        </w:rPr>
      </w:pPr>
      <w:r w:rsidRPr="00F15822">
        <w:rPr>
          <w:rFonts w:ascii="Times New Roman" w:hAnsi="Times New Roman" w:cs="Times New Roman"/>
          <w:sz w:val="24"/>
          <w:szCs w:val="24"/>
          <w:u w:val="single"/>
        </w:rPr>
        <w:t>Mientras los Gobiernos aceleran sus planes de financiación para obtener los recursos necesarios con los que costear el gasto sanitario y social, los bancos centrales no han dudado en inyectar dinero al sistema. La consecuencia directa de ello es la ampliación de los balances y el giro de la política monetaria. Si el año pasado la idea que imperaba en el mercado era la normalización, en este 2020 las medidas no convencionales vuelven a tomar el relevo</w:t>
      </w:r>
      <w:r w:rsidRPr="00DA7425">
        <w:rPr>
          <w:rFonts w:ascii="Times New Roman" w:hAnsi="Times New Roman" w:cs="Times New Roman"/>
          <w:sz w:val="24"/>
          <w:szCs w:val="24"/>
        </w:rPr>
        <w:t xml:space="preserve">. </w:t>
      </w:r>
      <w:r w:rsidRPr="00F15822">
        <w:rPr>
          <w:rFonts w:ascii="Times New Roman" w:hAnsi="Times New Roman" w:cs="Times New Roman"/>
          <w:b/>
          <w:color w:val="FF0000"/>
          <w:sz w:val="24"/>
          <w:szCs w:val="24"/>
          <w:u w:val="single"/>
        </w:rPr>
        <w:t>Desde el pasado mes de marzo, momento en el que la pandemia comen</w:t>
      </w:r>
      <w:r>
        <w:rPr>
          <w:rFonts w:ascii="Times New Roman" w:hAnsi="Times New Roman" w:cs="Times New Roman"/>
          <w:b/>
          <w:color w:val="FF0000"/>
          <w:sz w:val="24"/>
          <w:szCs w:val="24"/>
          <w:u w:val="single"/>
        </w:rPr>
        <w:t>zó su expansión por Europa y EE</w:t>
      </w:r>
      <w:r w:rsidRPr="00F15822">
        <w:rPr>
          <w:rFonts w:ascii="Times New Roman" w:hAnsi="Times New Roman" w:cs="Times New Roman"/>
          <w:b/>
          <w:color w:val="FF0000"/>
          <w:sz w:val="24"/>
          <w:szCs w:val="24"/>
          <w:u w:val="single"/>
        </w:rPr>
        <w:t xml:space="preserve">UU, el balance de los tres grandes bancos centrales del planeta (el BCE, la Reserva Federal y el Banco de Japón) ha aumentado de manera conjunta en más de </w:t>
      </w:r>
      <w:r w:rsidRPr="00F15822">
        <w:rPr>
          <w:rFonts w:ascii="Times New Roman" w:hAnsi="Times New Roman" w:cs="Times New Roman"/>
          <w:b/>
          <w:color w:val="FF0000"/>
          <w:sz w:val="24"/>
          <w:szCs w:val="24"/>
          <w:u w:val="single"/>
        </w:rPr>
        <w:lastRenderedPageBreak/>
        <w:t>cuatro billones de euros, pasando de los 9,04 billones que tenían a cierre de febrero a los 13,35 billones actuales. El incremento de los balances sido una corriente progresiva desde 2008, pero la llegada de la crisis derivada del coronavirus ha provocado un incremento expone</w:t>
      </w:r>
      <w:r>
        <w:rPr>
          <w:rFonts w:ascii="Times New Roman" w:hAnsi="Times New Roman" w:cs="Times New Roman"/>
          <w:b/>
          <w:color w:val="FF0000"/>
          <w:sz w:val="24"/>
          <w:szCs w:val="24"/>
          <w:u w:val="single"/>
        </w:rPr>
        <w:t>ncial hasta niveles históricos.</w:t>
      </w:r>
    </w:p>
    <w:p w:rsidR="00EA1637" w:rsidRDefault="00EA1637" w:rsidP="00FA4DA9">
      <w:pPr>
        <w:spacing w:line="240" w:lineRule="auto"/>
        <w:jc w:val="both"/>
        <w:rPr>
          <w:rFonts w:ascii="Times New Roman" w:hAnsi="Times New Roman" w:cs="Times New Roman"/>
          <w:sz w:val="24"/>
          <w:szCs w:val="24"/>
        </w:rPr>
      </w:pPr>
      <w:r>
        <w:rPr>
          <w:noProof/>
          <w:lang w:eastAsia="es-ES"/>
        </w:rPr>
        <w:drawing>
          <wp:inline distT="0" distB="0" distL="0" distR="0" wp14:anchorId="18B95719" wp14:editId="194F21F1">
            <wp:extent cx="5731510" cy="3084098"/>
            <wp:effectExtent l="0" t="0" r="2540" b="2540"/>
            <wp:docPr id="162" name="Imagen 162" descr="El BCE, la Fed y el Banco de Japón elevan su balance en cuatro billones en tres me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 BCE, la Fed y el Banco de Japón elevan su balance en cuatro billones en tres meses"/>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31510" cy="3084098"/>
                    </a:xfrm>
                    <a:prstGeom prst="rect">
                      <a:avLst/>
                    </a:prstGeom>
                    <a:noFill/>
                    <a:ln>
                      <a:noFill/>
                    </a:ln>
                  </pic:spPr>
                </pic:pic>
              </a:graphicData>
            </a:graphic>
          </wp:inline>
        </w:drawing>
      </w:r>
    </w:p>
    <w:p w:rsidR="00EA1637" w:rsidRPr="00F15822" w:rsidRDefault="00EA1637" w:rsidP="00FA4DA9">
      <w:pPr>
        <w:spacing w:line="240" w:lineRule="auto"/>
        <w:jc w:val="both"/>
        <w:rPr>
          <w:rFonts w:ascii="Times New Roman" w:hAnsi="Times New Roman" w:cs="Times New Roman"/>
          <w:sz w:val="24"/>
          <w:szCs w:val="24"/>
          <w:u w:val="single"/>
        </w:rPr>
      </w:pPr>
      <w:r w:rsidRPr="00F15822">
        <w:rPr>
          <w:rFonts w:ascii="Times New Roman" w:hAnsi="Times New Roman" w:cs="Times New Roman"/>
          <w:b/>
          <w:color w:val="FF0000"/>
          <w:sz w:val="24"/>
          <w:szCs w:val="24"/>
          <w:u w:val="single"/>
        </w:rPr>
        <w:t>El BCE, que en cuestión de meses ha pasado de estudiar una subida de los tipos a poner en marcha el programa de compras frente a la pandemia, ha elevado su balance un 31,9% (más de un billón), hasta los 6,2 billones de euros, el 52,8% del PIB de la zona euro</w:t>
      </w:r>
      <w:r w:rsidRPr="00DA7425">
        <w:rPr>
          <w:rFonts w:ascii="Times New Roman" w:hAnsi="Times New Roman" w:cs="Times New Roman"/>
          <w:sz w:val="24"/>
          <w:szCs w:val="24"/>
        </w:rPr>
        <w:t xml:space="preserve">. La institución que preside Christine Lagarde era reacia a la aplicación de nuevas medidas. Sin embargo, el incremento de las rentabilidades en el mercado de deuda, especialmente la de los países periféricos, revivió los fantasmas de 2011. El organismo rectificó y siguiendo los pasos de la Fed, puso en marcha una batería de medidas. </w:t>
      </w:r>
      <w:r w:rsidRPr="00F15822">
        <w:rPr>
          <w:rFonts w:ascii="Times New Roman" w:hAnsi="Times New Roman" w:cs="Times New Roman"/>
          <w:sz w:val="24"/>
          <w:szCs w:val="24"/>
          <w:u w:val="single"/>
        </w:rPr>
        <w:t>A las subastas diarias de liquidez al sistema financiero, el BCE anunció una nueva ronda de financiación a tres años, conocida como TLTRO III, y vinculada a la concesión de créditos. El organismo cifra en tres billones estas medidas. Solo en la última subasta de liquidez la banca europea ha pedido 1,3 billones de euros.</w:t>
      </w:r>
    </w:p>
    <w:p w:rsidR="00EA1637" w:rsidRPr="00F15822" w:rsidRDefault="00EA1637" w:rsidP="00FA4DA9">
      <w:pPr>
        <w:spacing w:line="240" w:lineRule="auto"/>
        <w:jc w:val="both"/>
        <w:rPr>
          <w:rFonts w:ascii="Times New Roman" w:hAnsi="Times New Roman" w:cs="Times New Roman"/>
          <w:b/>
          <w:color w:val="FF0000"/>
          <w:sz w:val="24"/>
          <w:szCs w:val="24"/>
          <w:u w:val="single"/>
        </w:rPr>
      </w:pPr>
      <w:r w:rsidRPr="00F15822">
        <w:rPr>
          <w:rFonts w:ascii="Times New Roman" w:hAnsi="Times New Roman" w:cs="Times New Roman"/>
          <w:sz w:val="24"/>
          <w:szCs w:val="24"/>
          <w:u w:val="single"/>
        </w:rPr>
        <w:t xml:space="preserve">Como complemento a todo esto, el BCE puso en marcha el programa de compras de deuda. El plan, que en un principio estaba valorado en 750.00 millones de euros, fue ampliado en 600.000 millones, hasta los 1,36 billones. </w:t>
      </w:r>
      <w:r w:rsidRPr="00F15822">
        <w:rPr>
          <w:rFonts w:ascii="Times New Roman" w:hAnsi="Times New Roman" w:cs="Times New Roman"/>
          <w:b/>
          <w:color w:val="FF0000"/>
          <w:sz w:val="24"/>
          <w:szCs w:val="24"/>
          <w:u w:val="single"/>
        </w:rPr>
        <w:t>Con todo ello el balance del organismo podría concluir 2020 en los 9 billones desde los 4,69 con los que comenzó el año.</w:t>
      </w:r>
    </w:p>
    <w:p w:rsidR="00EA1637" w:rsidRPr="00F15822" w:rsidRDefault="00EA1637" w:rsidP="00FA4DA9">
      <w:pPr>
        <w:spacing w:line="240" w:lineRule="auto"/>
        <w:jc w:val="both"/>
        <w:rPr>
          <w:rFonts w:ascii="Times New Roman" w:hAnsi="Times New Roman" w:cs="Times New Roman"/>
          <w:b/>
          <w:color w:val="FF0000"/>
          <w:sz w:val="24"/>
          <w:szCs w:val="24"/>
          <w:u w:val="single"/>
        </w:rPr>
      </w:pPr>
      <w:r w:rsidRPr="00F15822">
        <w:rPr>
          <w:rFonts w:ascii="Times New Roman" w:hAnsi="Times New Roman" w:cs="Times New Roman"/>
          <w:b/>
          <w:color w:val="FF0000"/>
          <w:sz w:val="24"/>
          <w:szCs w:val="24"/>
          <w:u w:val="single"/>
        </w:rPr>
        <w:t>Más ambicioso parece el plan de actuación lanzado por la Reserva Federal. La institución que la semana pasada comenzó la compra de bonos corporativos anunció a comienzos de abril medidas por valor de 2,3 billones de dólares (2,1 billones de euros). En este programa, además de los ETF, se incluye la compra de 750.000 millones en bonos del Tesoro y 600.000 millones en préstamos a pequeñas y medianas empresas concedidos o refinanciados por los bancos comerciales.</w:t>
      </w:r>
    </w:p>
    <w:p w:rsidR="00EA1637" w:rsidRDefault="00EA1637" w:rsidP="00FA4DA9">
      <w:pPr>
        <w:spacing w:line="240" w:lineRule="auto"/>
        <w:jc w:val="both"/>
        <w:rPr>
          <w:rFonts w:ascii="Times New Roman" w:hAnsi="Times New Roman" w:cs="Times New Roman"/>
          <w:b/>
          <w:color w:val="FF0000"/>
          <w:sz w:val="24"/>
          <w:szCs w:val="24"/>
          <w:u w:val="single"/>
        </w:rPr>
      </w:pPr>
      <w:r w:rsidRPr="00F15822">
        <w:rPr>
          <w:rFonts w:ascii="Times New Roman" w:hAnsi="Times New Roman" w:cs="Times New Roman"/>
          <w:b/>
          <w:color w:val="FF0000"/>
          <w:sz w:val="24"/>
          <w:szCs w:val="24"/>
          <w:u w:val="single"/>
        </w:rPr>
        <w:t xml:space="preserve">Hasta las adquisiciones se habían limitado a los fondos cotizados de deuda, operación en la que ha invertido 5.500 millones de dólares (unos 4.858 millones de euros). Pero esto ha sido suficiente para que en cuestión de tres meses el balance haya pasado de los 3,8 billones de euros que registraba a comienzos de marzo a los 6,3 billones, cifra que </w:t>
      </w:r>
      <w:r w:rsidR="008F26D1">
        <w:rPr>
          <w:rFonts w:ascii="Times New Roman" w:hAnsi="Times New Roman" w:cs="Times New Roman"/>
          <w:b/>
          <w:color w:val="FF0000"/>
          <w:sz w:val="24"/>
          <w:szCs w:val="24"/>
          <w:u w:val="single"/>
        </w:rPr>
        <w:lastRenderedPageBreak/>
        <w:t>equivale al 32,6% del PIB de EE</w:t>
      </w:r>
      <w:r w:rsidRPr="00F15822">
        <w:rPr>
          <w:rFonts w:ascii="Times New Roman" w:hAnsi="Times New Roman" w:cs="Times New Roman"/>
          <w:b/>
          <w:color w:val="FF0000"/>
          <w:sz w:val="24"/>
          <w:szCs w:val="24"/>
          <w:u w:val="single"/>
        </w:rPr>
        <w:t>UU. Atendiendo a las declaraciones efectuadas por el secretario del Tesoro, Steven Mnuchin, la institución podría finalizar el año con un balance cercano a los ocho billones de euros, cifra no registrada hasta la fecha.</w:t>
      </w:r>
    </w:p>
    <w:p w:rsidR="00873C5E" w:rsidRPr="00873C5E" w:rsidRDefault="00873C5E" w:rsidP="00FA4DA9">
      <w:pPr>
        <w:spacing w:line="240" w:lineRule="auto"/>
        <w:jc w:val="both"/>
        <w:rPr>
          <w:rFonts w:ascii="Times New Roman" w:hAnsi="Times New Roman" w:cs="Times New Roman"/>
          <w:sz w:val="24"/>
          <w:szCs w:val="24"/>
        </w:rPr>
      </w:pPr>
      <w:r w:rsidRPr="00873C5E">
        <w:rPr>
          <w:rFonts w:ascii="Times New Roman" w:hAnsi="Times New Roman" w:cs="Times New Roman"/>
          <w:sz w:val="24"/>
          <w:szCs w:val="24"/>
        </w:rPr>
        <w:t>Japón y Reino Unido amplían las compras de activos</w:t>
      </w:r>
    </w:p>
    <w:p w:rsidR="00EA1637" w:rsidRPr="00F15822" w:rsidRDefault="00EA1637" w:rsidP="00FA4DA9">
      <w:pPr>
        <w:spacing w:line="240" w:lineRule="auto"/>
        <w:jc w:val="both"/>
        <w:rPr>
          <w:rFonts w:ascii="Times New Roman" w:hAnsi="Times New Roman" w:cs="Times New Roman"/>
          <w:b/>
          <w:color w:val="FF0000"/>
          <w:sz w:val="24"/>
          <w:szCs w:val="24"/>
          <w:u w:val="single"/>
        </w:rPr>
      </w:pPr>
      <w:r w:rsidRPr="00F15822">
        <w:rPr>
          <w:rFonts w:ascii="Times New Roman" w:hAnsi="Times New Roman" w:cs="Times New Roman"/>
          <w:color w:val="FF0000"/>
          <w:sz w:val="24"/>
          <w:szCs w:val="24"/>
          <w:u w:val="single"/>
        </w:rPr>
        <w:t>Banco de Japón. La flexibilización monetaria es una de las características de las actuaciones del Banco Central de Japón, que mantiene los tipos de interés en el -0,1%</w:t>
      </w:r>
      <w:r w:rsidRPr="00DA7425">
        <w:rPr>
          <w:rFonts w:ascii="Times New Roman" w:hAnsi="Times New Roman" w:cs="Times New Roman"/>
          <w:sz w:val="24"/>
          <w:szCs w:val="24"/>
        </w:rPr>
        <w:t xml:space="preserve">. Junto a esto, la institución nipona también ha recurrido a los programas de compras de deuda. De hecho, a mediados de mes el BoJ anunció la ampliación hasta los 110 billones de yenes (901.000 millones de euros) su programa de créditos a tipos cero y otras medidas de liquidez para las empresas. </w:t>
      </w:r>
      <w:r w:rsidRPr="00F15822">
        <w:rPr>
          <w:rFonts w:ascii="Times New Roman" w:hAnsi="Times New Roman" w:cs="Times New Roman"/>
          <w:b/>
          <w:color w:val="FF0000"/>
          <w:sz w:val="24"/>
          <w:szCs w:val="24"/>
          <w:u w:val="single"/>
        </w:rPr>
        <w:t>Las medidas aplicadas desde comienzos de año han llevado a la institución a elevar su balance desde los 4,9 billones de euros hasta 5,4 billones de euros, con lo que se sitúa por encima del 115% del PIB.</w:t>
      </w:r>
    </w:p>
    <w:p w:rsidR="00EA1637" w:rsidRDefault="00EA1637" w:rsidP="00FA4DA9">
      <w:pPr>
        <w:spacing w:line="240" w:lineRule="auto"/>
        <w:jc w:val="both"/>
        <w:rPr>
          <w:rFonts w:ascii="Times New Roman" w:hAnsi="Times New Roman" w:cs="Times New Roman"/>
          <w:b/>
          <w:color w:val="FF0000"/>
          <w:sz w:val="24"/>
          <w:szCs w:val="24"/>
          <w:u w:val="single"/>
        </w:rPr>
      </w:pPr>
      <w:r w:rsidRPr="00F15822">
        <w:rPr>
          <w:rFonts w:ascii="Times New Roman" w:hAnsi="Times New Roman" w:cs="Times New Roman"/>
          <w:color w:val="FF0000"/>
          <w:sz w:val="24"/>
          <w:szCs w:val="24"/>
          <w:u w:val="single"/>
        </w:rPr>
        <w:t>Banco de Inglaterra</w:t>
      </w:r>
      <w:r w:rsidRPr="00DA7425">
        <w:rPr>
          <w:rFonts w:ascii="Times New Roman" w:hAnsi="Times New Roman" w:cs="Times New Roman"/>
          <w:sz w:val="24"/>
          <w:szCs w:val="24"/>
        </w:rPr>
        <w:t xml:space="preserve">. La institución ha ampliado su programa de compra en 1.110 millones de euros, hasta los 832.500 millones. </w:t>
      </w:r>
      <w:r w:rsidRPr="00F15822">
        <w:rPr>
          <w:rFonts w:ascii="Times New Roman" w:hAnsi="Times New Roman" w:cs="Times New Roman"/>
          <w:b/>
          <w:color w:val="FF0000"/>
          <w:sz w:val="24"/>
          <w:szCs w:val="24"/>
          <w:u w:val="single"/>
        </w:rPr>
        <w:t>El balance del Banco de Inglaterra no ha escapado a los repuntes. Esto, unido a la caída del PIB, ha provocado que en cuestión de tres meses el balance pasara de representar el 21,7% del PIB al 31,3% actual.</w:t>
      </w:r>
    </w:p>
    <w:p w:rsidR="00B71852" w:rsidRDefault="00B71852" w:rsidP="00FA4DA9">
      <w:pPr>
        <w:pStyle w:val="Estndar"/>
        <w:jc w:val="both"/>
        <w:rPr>
          <w:color w:val="auto"/>
        </w:rPr>
      </w:pPr>
    </w:p>
    <w:p w:rsidR="00EA1637" w:rsidRPr="00A74F6C" w:rsidRDefault="00BC74D3" w:rsidP="00FA4DA9">
      <w:pPr>
        <w:pStyle w:val="Estndar"/>
        <w:jc w:val="both"/>
        <w:rPr>
          <w:color w:val="auto"/>
          <w:szCs w:val="24"/>
        </w:rPr>
      </w:pPr>
      <w:r w:rsidRPr="00A74F6C">
        <w:rPr>
          <w:b/>
          <w:color w:val="auto"/>
          <w:szCs w:val="24"/>
        </w:rPr>
        <w:t>Nota</w:t>
      </w:r>
      <w:r w:rsidRPr="00A74F6C">
        <w:rPr>
          <w:color w:val="auto"/>
          <w:szCs w:val="24"/>
        </w:rPr>
        <w:t xml:space="preserve">: </w:t>
      </w:r>
      <w:r w:rsidR="00EA1637" w:rsidRPr="00A74F6C">
        <w:rPr>
          <w:color w:val="auto"/>
          <w:szCs w:val="24"/>
        </w:rPr>
        <w:t>Según el FMI el apoyo fiscal a nivel global como respuesta a la crisis será de unos 9 billones de dólares, aproximadamente un 12% del PIB mundial. En el año 2020, las expectativas de caída del PIB ya alcanzan el 5,5%. El enorme aumento de gasto público y la caída del PIB llevarán a un endeudamiento global de los gobiernos cercano al 105%.</w:t>
      </w:r>
    </w:p>
    <w:p w:rsidR="00B71852" w:rsidRPr="00A74F6C" w:rsidRDefault="00B71852" w:rsidP="00FA4DA9">
      <w:pPr>
        <w:pStyle w:val="Estndar"/>
        <w:jc w:val="both"/>
        <w:rPr>
          <w:color w:val="auto"/>
        </w:rPr>
      </w:pPr>
    </w:p>
    <w:p w:rsidR="00B71852" w:rsidRPr="00A74F6C" w:rsidRDefault="00B71852" w:rsidP="00FA4DA9">
      <w:pPr>
        <w:pStyle w:val="Estndar"/>
        <w:jc w:val="both"/>
        <w:rPr>
          <w:color w:val="auto"/>
        </w:rPr>
      </w:pPr>
      <w:r w:rsidRPr="00A74F6C">
        <w:rPr>
          <w:color w:val="auto"/>
        </w:rPr>
        <w:t>El sector privado también aumentará su endeudamiento en 7 billones de dólares, elevando la deuda de empresas y familias a nivel mundial al 173% del PIB.</w:t>
      </w:r>
    </w:p>
    <w:p w:rsidR="00BC74D3" w:rsidRPr="00A74F6C" w:rsidRDefault="00BC74D3" w:rsidP="00FA4DA9">
      <w:pPr>
        <w:pStyle w:val="Estndar"/>
        <w:jc w:val="both"/>
        <w:rPr>
          <w:color w:val="auto"/>
        </w:rPr>
      </w:pPr>
    </w:p>
    <w:p w:rsidR="00B71852" w:rsidRPr="00A74F6C" w:rsidRDefault="00B71852" w:rsidP="00FA4DA9">
      <w:pPr>
        <w:pStyle w:val="Estndar"/>
        <w:jc w:val="both"/>
        <w:rPr>
          <w:color w:val="auto"/>
        </w:rPr>
      </w:pPr>
      <w:r w:rsidRPr="00A74F6C">
        <w:rPr>
          <w:color w:val="auto"/>
        </w:rPr>
        <w:t>Entre deuda gubernamental y privada, estamos hablando de 200 billones de deuda, un aumento a nivel global sobre PIB del 35%, muy superior al 20% a lo que subió la deuda tras la crisis de 2008, y en un solo año.</w:t>
      </w:r>
    </w:p>
    <w:p w:rsidR="00B71852" w:rsidRPr="00A74F6C" w:rsidRDefault="00B71852" w:rsidP="00FA4DA9">
      <w:pPr>
        <w:pStyle w:val="Estndar"/>
        <w:jc w:val="both"/>
        <w:rPr>
          <w:color w:val="auto"/>
        </w:rPr>
      </w:pPr>
    </w:p>
    <w:p w:rsidR="00B71852" w:rsidRPr="00A74F6C" w:rsidRDefault="00B71852" w:rsidP="00FA4DA9">
      <w:pPr>
        <w:pStyle w:val="Estndar"/>
        <w:jc w:val="both"/>
        <w:rPr>
          <w:color w:val="auto"/>
        </w:rPr>
      </w:pPr>
      <w:r w:rsidRPr="00A74F6C">
        <w:rPr>
          <w:color w:val="auto"/>
        </w:rPr>
        <w:t>Todo ese brutal aumento del endeudamiento no va a impedir que las economías caigan de manera relevante ni tampoco evitan que se hayan destruido 400 millones de puestos de trabajo a tiempo completo, según la Organización Mundial del Trabajo.</w:t>
      </w:r>
    </w:p>
    <w:p w:rsidR="00B71852" w:rsidRPr="00A74F6C" w:rsidRDefault="00B71852" w:rsidP="00FA4DA9">
      <w:pPr>
        <w:pStyle w:val="Estndar"/>
        <w:jc w:val="both"/>
        <w:rPr>
          <w:color w:val="auto"/>
        </w:rPr>
      </w:pPr>
    </w:p>
    <w:p w:rsidR="00B71852" w:rsidRPr="00A74F6C" w:rsidRDefault="00B71852" w:rsidP="00FA4DA9">
      <w:pPr>
        <w:pStyle w:val="Estndar"/>
        <w:jc w:val="both"/>
        <w:rPr>
          <w:color w:val="auto"/>
        </w:rPr>
      </w:pPr>
      <w:r w:rsidRPr="00A74F6C">
        <w:rPr>
          <w:color w:val="auto"/>
        </w:rPr>
        <w:t>La inmensa mayoría de esa deuda se ha creado para sostener gasto público de bonanza y el balance de “campeones nacionales”, empresas que ya estaban en problemas en 2018 y 2019, las llamadas empresas “zombi”. (Daniel Lacalle - El Español - 8/7/20)</w:t>
      </w:r>
    </w:p>
    <w:p w:rsidR="00324F4A" w:rsidRDefault="00324F4A" w:rsidP="00FA4DA9">
      <w:pPr>
        <w:pStyle w:val="Estndar"/>
        <w:jc w:val="both"/>
        <w:rPr>
          <w:color w:val="auto"/>
        </w:rPr>
      </w:pPr>
    </w:p>
    <w:p w:rsidR="00B71852" w:rsidRDefault="00B71852" w:rsidP="00FA4DA9">
      <w:pPr>
        <w:pStyle w:val="Estndar"/>
        <w:jc w:val="both"/>
        <w:rPr>
          <w:color w:val="auto"/>
        </w:rPr>
      </w:pPr>
      <w:r w:rsidRPr="00A74F6C">
        <w:rPr>
          <w:color w:val="auto"/>
        </w:rPr>
        <w:t>Según el Bank Of International Settlements, el porcentaje de empresas zombi -aquellas que no pueden cubrir sus intereses de deuda con beneficios operativos- se ha disparado en el periodo de los estímulos gigantes y los tipos reales negativos… Y se disparará de nuevo.</w:t>
      </w:r>
    </w:p>
    <w:p w:rsidR="00A74F6C" w:rsidRPr="00A74F6C" w:rsidRDefault="00A74F6C" w:rsidP="00FA4DA9">
      <w:pPr>
        <w:pStyle w:val="Estndar"/>
        <w:jc w:val="both"/>
        <w:rPr>
          <w:color w:val="auto"/>
        </w:rPr>
      </w:pPr>
    </w:p>
    <w:p w:rsidR="00B71852" w:rsidRPr="00A74F6C" w:rsidRDefault="00B71852" w:rsidP="00FA4DA9">
      <w:pPr>
        <w:pStyle w:val="Estndar"/>
        <w:jc w:val="both"/>
        <w:rPr>
          <w:color w:val="auto"/>
        </w:rPr>
      </w:pPr>
      <w:r w:rsidRPr="00A74F6C">
        <w:rPr>
          <w:color w:val="auto"/>
        </w:rPr>
        <w:t xml:space="preserve">La deuda ni es gratis ni es irrelevante, como nos quieren hacer creer los intervencionistas de última instancia. Más deuda significa menor crecimiento, una salida de la crisis más lenta, con menor aumento de la productividad y recuperación lenta del empleo. El argumento de que “hubiera sido peor” y de que “no se podía haber hecho otra cosa” es fácilmente rebatible: los países que menos caerán en 2020, antes se recuperarán y con menor desempleo, son los </w:t>
      </w:r>
      <w:r w:rsidRPr="00A74F6C">
        <w:rPr>
          <w:color w:val="auto"/>
        </w:rPr>
        <w:lastRenderedPageBreak/>
        <w:t>que han mantenido el trinomio de contención del gasto, preservar la economía y asegurar la salud intacta.</w:t>
      </w:r>
    </w:p>
    <w:p w:rsidR="00B71852" w:rsidRPr="00A74F6C" w:rsidRDefault="00B71852" w:rsidP="00FA4DA9">
      <w:pPr>
        <w:pStyle w:val="Estndar"/>
        <w:jc w:val="both"/>
        <w:rPr>
          <w:color w:val="auto"/>
        </w:rPr>
      </w:pPr>
    </w:p>
    <w:p w:rsidR="00B71852" w:rsidRPr="00A74F6C" w:rsidRDefault="00B71852" w:rsidP="00FA4DA9">
      <w:pPr>
        <w:pStyle w:val="Estndar"/>
        <w:jc w:val="both"/>
        <w:rPr>
          <w:color w:val="auto"/>
        </w:rPr>
      </w:pPr>
      <w:r w:rsidRPr="00A74F6C">
        <w:rPr>
          <w:color w:val="auto"/>
        </w:rPr>
        <w:t xml:space="preserve">Desde Corea del Sur, </w:t>
      </w:r>
      <w:r w:rsidR="00324F4A" w:rsidRPr="00A74F6C">
        <w:rPr>
          <w:color w:val="auto"/>
        </w:rPr>
        <w:t>Taiwán</w:t>
      </w:r>
      <w:r w:rsidRPr="00A74F6C">
        <w:rPr>
          <w:color w:val="auto"/>
        </w:rPr>
        <w:t>, Singapur, Suiza, hasta Irlanda, Luxemburgo, Holanda o Austria, muchos países muestran que no hace falta cubrir con enormes desequilibrios la economía para garantizar la salud.</w:t>
      </w:r>
    </w:p>
    <w:p w:rsidR="00B71852" w:rsidRPr="00A74F6C" w:rsidRDefault="00B71852" w:rsidP="00FA4DA9">
      <w:pPr>
        <w:pStyle w:val="Estndar"/>
        <w:jc w:val="both"/>
        <w:rPr>
          <w:color w:val="auto"/>
        </w:rPr>
      </w:pPr>
    </w:p>
    <w:p w:rsidR="00B71852" w:rsidRPr="00A74F6C" w:rsidRDefault="00B71852" w:rsidP="00FA4DA9">
      <w:pPr>
        <w:pStyle w:val="Estndar"/>
        <w:jc w:val="both"/>
        <w:rPr>
          <w:color w:val="auto"/>
        </w:rPr>
      </w:pPr>
      <w:r w:rsidRPr="00A74F6C">
        <w:rPr>
          <w:color w:val="auto"/>
        </w:rPr>
        <w:t>Es importante recordar estas cifras de enorme endeudamiento porque la desconexión entre mercados financieros y economía real es muy importante. Primero, esos enormes -y mal llamados- estímulos, probablemente sean demasiado grandes, demasiado pronto y claramente orientados a sostener sectores de baja productividad. Todo ello está soportado por una política monetaria que ha pasado de ser expansiva a ser desquiciada.</w:t>
      </w:r>
    </w:p>
    <w:p w:rsidR="00B71852" w:rsidRPr="00A74F6C" w:rsidRDefault="00B71852" w:rsidP="00FA4DA9">
      <w:pPr>
        <w:pStyle w:val="Estndar"/>
        <w:jc w:val="both"/>
        <w:rPr>
          <w:color w:val="auto"/>
        </w:rPr>
      </w:pPr>
    </w:p>
    <w:p w:rsidR="00B71852" w:rsidRPr="00A74F6C" w:rsidRDefault="00B71852" w:rsidP="00FA4DA9">
      <w:pPr>
        <w:pStyle w:val="Estndar"/>
        <w:jc w:val="both"/>
        <w:rPr>
          <w:color w:val="auto"/>
        </w:rPr>
      </w:pPr>
      <w:r w:rsidRPr="00A74F6C">
        <w:rPr>
          <w:color w:val="auto"/>
        </w:rPr>
        <w:t>El balance del Banco Central Europeo ha aumentado en casi dos billones de euros en lo que va de año (julio 2020) y ya es más del 52% del PIB de la eurozona a cierre de este análisis, mucho mayor que el de la Reserva Federal, que se sitúa en el 32,6% del PIB de EEUU o el del Banco de Inglaterra, un 31,1%.</w:t>
      </w:r>
    </w:p>
    <w:p w:rsidR="00B71852" w:rsidRPr="00A74F6C" w:rsidRDefault="00B71852" w:rsidP="00FA4DA9">
      <w:pPr>
        <w:pStyle w:val="Estndar"/>
        <w:jc w:val="both"/>
        <w:rPr>
          <w:color w:val="auto"/>
        </w:rPr>
      </w:pPr>
    </w:p>
    <w:p w:rsidR="00B71852" w:rsidRPr="00A74F6C" w:rsidRDefault="00B71852" w:rsidP="00FA4DA9">
      <w:pPr>
        <w:pStyle w:val="Estndar"/>
        <w:jc w:val="both"/>
        <w:rPr>
          <w:color w:val="auto"/>
        </w:rPr>
      </w:pPr>
      <w:r w:rsidRPr="00A74F6C">
        <w:rPr>
          <w:color w:val="auto"/>
        </w:rPr>
        <w:t>El de Japón ya supone un 117% del PIB, aunque el encefalograma económico sigue plano. El consumo se ha desplomado en mayo y el país lleva dos décadas de estancamiento con una deuda que superará el 260% del PIB. Copiar a Japón es la receta del estancamiento secular.</w:t>
      </w:r>
    </w:p>
    <w:p w:rsidR="00B71852" w:rsidRPr="00A74F6C" w:rsidRDefault="00B71852" w:rsidP="00FA4DA9">
      <w:pPr>
        <w:pStyle w:val="Estndar"/>
        <w:jc w:val="both"/>
        <w:rPr>
          <w:color w:val="auto"/>
        </w:rPr>
      </w:pPr>
    </w:p>
    <w:p w:rsidR="00B71852" w:rsidRPr="00A74F6C" w:rsidRDefault="00B71852" w:rsidP="00FA4DA9">
      <w:pPr>
        <w:pStyle w:val="Estndar"/>
        <w:jc w:val="both"/>
        <w:rPr>
          <w:color w:val="auto"/>
        </w:rPr>
      </w:pPr>
      <w:r w:rsidRPr="00A74F6C">
        <w:rPr>
          <w:color w:val="auto"/>
        </w:rPr>
        <w:t>El aumento del balance de los bancos centrales ha disparado las bolsas a pesar de que el 80% de las cotizadas han abandonado sus objetivos de beneficios.</w:t>
      </w:r>
    </w:p>
    <w:p w:rsidR="00B71852" w:rsidRPr="00A74F6C" w:rsidRDefault="00B71852" w:rsidP="00FA4DA9">
      <w:pPr>
        <w:pStyle w:val="Estndar"/>
        <w:jc w:val="both"/>
        <w:rPr>
          <w:color w:val="auto"/>
        </w:rPr>
      </w:pPr>
    </w:p>
    <w:p w:rsidR="00B71852" w:rsidRPr="00A74F6C" w:rsidRDefault="00B71852" w:rsidP="00FA4DA9">
      <w:pPr>
        <w:pStyle w:val="Estndar"/>
        <w:jc w:val="both"/>
        <w:rPr>
          <w:color w:val="auto"/>
        </w:rPr>
      </w:pPr>
      <w:r w:rsidRPr="00A74F6C">
        <w:rPr>
          <w:color w:val="auto"/>
        </w:rPr>
        <w:t>Ese enorme aumento del balance de los bancos centrales para mantener artificialmente baja la prima de riesgo y los tipos exigidos de países al borde de la quiebra o con grandes dificultades, ha disparado las bolsas a pesar de que el 80% de las empresas cotizadas han abandonado sus objetivos de beneficios empresariales y los analistas están reduciendo estimaciones para 2020, 2021 y 2022 a la mayor velocidad de la última década, según JP Morgan y Bank of America.</w:t>
      </w:r>
    </w:p>
    <w:p w:rsidR="00B71852" w:rsidRPr="00A74F6C" w:rsidRDefault="00B71852" w:rsidP="00FA4DA9">
      <w:pPr>
        <w:pStyle w:val="Estndar"/>
        <w:jc w:val="both"/>
        <w:rPr>
          <w:color w:val="auto"/>
        </w:rPr>
      </w:pPr>
    </w:p>
    <w:p w:rsidR="00B71852" w:rsidRPr="00A74F6C" w:rsidRDefault="00B71852" w:rsidP="00FA4DA9">
      <w:pPr>
        <w:pStyle w:val="Estndar"/>
        <w:jc w:val="both"/>
        <w:rPr>
          <w:color w:val="auto"/>
        </w:rPr>
      </w:pPr>
      <w:r w:rsidRPr="00A74F6C">
        <w:rPr>
          <w:color w:val="auto"/>
        </w:rPr>
        <w:t>Esa enorme actividad de los bancos centrales lleva a una desconexión entre economía real y bolsas sin precedentes. La expansión de múltiplos se acelera porque dichos bancos centrales, al hacer los bonos soberanos -aparentemente el activo más seguro- mucho más caros llevan a que las bolsas se encarezcan rápidamente al lanzar a los inversores a tomar más riesgo.</w:t>
      </w:r>
    </w:p>
    <w:p w:rsidR="00B71852" w:rsidRPr="00A74F6C" w:rsidRDefault="00B71852" w:rsidP="00FA4DA9">
      <w:pPr>
        <w:pStyle w:val="Estndar"/>
        <w:jc w:val="both"/>
        <w:rPr>
          <w:color w:val="auto"/>
        </w:rPr>
      </w:pPr>
    </w:p>
    <w:p w:rsidR="00B71852" w:rsidRPr="00A74F6C" w:rsidRDefault="00B71852" w:rsidP="00FA4DA9">
      <w:pPr>
        <w:pStyle w:val="Estndar"/>
        <w:jc w:val="both"/>
        <w:rPr>
          <w:color w:val="auto"/>
        </w:rPr>
      </w:pPr>
      <w:r w:rsidRPr="00A74F6C">
        <w:rPr>
          <w:color w:val="auto"/>
        </w:rPr>
        <w:t>Al hacer los bonos soberanos prohibitivamente caros, ocurren dos cosas peligrosas: los Estados se creen que las bajas primas de riesgo son por su excelente gestión -error- y los inversores tomamos mucho más riesgo del que pensamos que incorporamos a las carteras.</w:t>
      </w:r>
    </w:p>
    <w:p w:rsidR="00B71852" w:rsidRPr="00A74F6C" w:rsidRDefault="00B71852" w:rsidP="00FA4DA9">
      <w:pPr>
        <w:pStyle w:val="Estndar"/>
        <w:jc w:val="both"/>
        <w:rPr>
          <w:color w:val="auto"/>
        </w:rPr>
      </w:pPr>
      <w:r w:rsidRPr="00A74F6C">
        <w:rPr>
          <w:color w:val="auto"/>
        </w:rPr>
        <w:t xml:space="preserve">Todo ello suena muy bien mientras la burbuja se expande y el efecto placebo funcione… </w:t>
      </w:r>
    </w:p>
    <w:p w:rsidR="00B71852" w:rsidRPr="00A74F6C" w:rsidRDefault="00B71852" w:rsidP="00FA4DA9">
      <w:pPr>
        <w:pStyle w:val="Estndar"/>
        <w:jc w:val="both"/>
        <w:rPr>
          <w:color w:val="auto"/>
        </w:rPr>
      </w:pPr>
    </w:p>
    <w:p w:rsidR="00B71852" w:rsidRDefault="00B71852" w:rsidP="00FA4DA9">
      <w:pPr>
        <w:pStyle w:val="Estndar"/>
        <w:jc w:val="both"/>
        <w:rPr>
          <w:color w:val="auto"/>
        </w:rPr>
      </w:pPr>
      <w:r w:rsidRPr="00A74F6C">
        <w:rPr>
          <w:color w:val="auto"/>
        </w:rPr>
        <w:t xml:space="preserve">Pero si los datos macro y el empleo no empiezan a recuperarse mucho más rápido de lo que estamos viendo, el susto puede ser más que importante cuando se deje de producir el efecto inflacionista en los activos de riesgo. Mientras tanto, más madera. Cuando descarrile el tren, nos dirán que hacen falta más estímulos.   </w:t>
      </w:r>
    </w:p>
    <w:p w:rsidR="006B28D2" w:rsidRDefault="006B28D2" w:rsidP="00FA4DA9">
      <w:pPr>
        <w:pStyle w:val="Estndar"/>
        <w:jc w:val="both"/>
        <w:rPr>
          <w:color w:val="auto"/>
        </w:rPr>
      </w:pPr>
    </w:p>
    <w:p w:rsidR="006B28D2" w:rsidRDefault="006B28D2" w:rsidP="00FA4DA9">
      <w:pPr>
        <w:pStyle w:val="Estndar"/>
        <w:jc w:val="both"/>
        <w:rPr>
          <w:color w:val="auto"/>
        </w:rPr>
      </w:pPr>
    </w:p>
    <w:p w:rsidR="006B28D2" w:rsidRPr="00A74F6C" w:rsidRDefault="006B28D2" w:rsidP="00FA4DA9">
      <w:pPr>
        <w:pStyle w:val="Estndar"/>
        <w:jc w:val="both"/>
        <w:rPr>
          <w:color w:val="auto"/>
        </w:rPr>
      </w:pPr>
    </w:p>
    <w:p w:rsidR="00B71852" w:rsidRPr="00A74F6C" w:rsidRDefault="00B71852" w:rsidP="00FA4DA9">
      <w:pPr>
        <w:pStyle w:val="Estndar"/>
        <w:jc w:val="both"/>
        <w:rPr>
          <w:color w:val="auto"/>
        </w:rPr>
      </w:pPr>
    </w:p>
    <w:p w:rsidR="00B71852" w:rsidRPr="00A74F6C" w:rsidRDefault="00B71852" w:rsidP="00FA4DA9">
      <w:pPr>
        <w:pStyle w:val="Estndar"/>
        <w:jc w:val="both"/>
        <w:rPr>
          <w:color w:val="auto"/>
        </w:rPr>
      </w:pPr>
      <w:r w:rsidRPr="00A74F6C">
        <w:rPr>
          <w:color w:val="auto"/>
        </w:rPr>
        <w:lastRenderedPageBreak/>
        <w:t>Hasta donde la vista alcanza… (el éxito nunca es definitivo)</w:t>
      </w:r>
    </w:p>
    <w:p w:rsidR="00B71852" w:rsidRPr="00A74F6C" w:rsidRDefault="00B71852" w:rsidP="00FA4DA9">
      <w:pPr>
        <w:pStyle w:val="Estndar"/>
        <w:jc w:val="both"/>
        <w:rPr>
          <w:color w:val="auto"/>
        </w:rPr>
      </w:pPr>
    </w:p>
    <w:p w:rsidR="00B71852" w:rsidRPr="00A74F6C" w:rsidRDefault="00B71852" w:rsidP="00FA4DA9">
      <w:pPr>
        <w:pStyle w:val="Estndar"/>
        <w:jc w:val="both"/>
        <w:rPr>
          <w:color w:val="auto"/>
        </w:rPr>
      </w:pPr>
      <w:r w:rsidRPr="00A74F6C">
        <w:rPr>
          <w:color w:val="auto"/>
        </w:rPr>
        <w:t>Los poderes económicos (y políticos) son por su propia naturaleza insaciables. Siempre quieren más. Ignoran el punto culminante de la victoria. Pretenden la incesante explotación del éxito de la que acaba derivando el desastre seguro. Se sienten desequilibrados por la duda y procuran ahuyentarla.</w:t>
      </w:r>
    </w:p>
    <w:p w:rsidR="00B71852" w:rsidRPr="00A74F6C" w:rsidRDefault="00B71852" w:rsidP="00FA4DA9">
      <w:pPr>
        <w:pStyle w:val="Estndar"/>
        <w:jc w:val="both"/>
        <w:rPr>
          <w:color w:val="auto"/>
        </w:rPr>
      </w:pPr>
    </w:p>
    <w:p w:rsidR="00B71852" w:rsidRPr="00A74F6C" w:rsidRDefault="00B71852" w:rsidP="00FA4DA9">
      <w:pPr>
        <w:pStyle w:val="Estndar"/>
        <w:jc w:val="both"/>
        <w:rPr>
          <w:color w:val="auto"/>
        </w:rPr>
      </w:pPr>
      <w:r w:rsidRPr="00A74F6C">
        <w:rPr>
          <w:color w:val="auto"/>
        </w:rPr>
        <w:t>Evitan cuestionarse los propios logros. Intentan disipar la niebla de la incertidumbre. Buscan perpetuarse, como si la perennidad les hiciera impunes. Abominan de los desafectos. Sospechan de las adhesiones al uso. Prefieren las inquebrantables, procedentes de inasequibles al desaliento. Toda crítica es excesiva y todo elogio, insuficiente.</w:t>
      </w:r>
    </w:p>
    <w:p w:rsidR="00B71852" w:rsidRPr="00A74F6C" w:rsidRDefault="00B71852" w:rsidP="00FA4DA9">
      <w:pPr>
        <w:pStyle w:val="Estndar"/>
        <w:jc w:val="both"/>
        <w:rPr>
          <w:color w:val="auto"/>
        </w:rPr>
      </w:pPr>
    </w:p>
    <w:p w:rsidR="00B71852" w:rsidRPr="00A74F6C" w:rsidRDefault="00BC74D3" w:rsidP="00FA4DA9">
      <w:pPr>
        <w:pStyle w:val="Estndar"/>
        <w:jc w:val="both"/>
        <w:rPr>
          <w:color w:val="auto"/>
        </w:rPr>
      </w:pPr>
      <w:r w:rsidRPr="00A74F6C">
        <w:rPr>
          <w:color w:val="auto"/>
        </w:rPr>
        <w:t>-</w:t>
      </w:r>
      <w:r w:rsidR="00B71852" w:rsidRPr="00A74F6C">
        <w:rPr>
          <w:color w:val="auto"/>
        </w:rPr>
        <w:t>los vigilantes de la ortodoxia, los sargentos de la pureza, los capitanes que reparten certificados de buena conducta y multas por herejía, los tenientes que distribuyen bulas y canonjías. Tienes que pensar así. Tienes que escribir así. Tienes que informar de esta manera.</w:t>
      </w:r>
    </w:p>
    <w:p w:rsidR="00B71852" w:rsidRPr="00A74F6C" w:rsidRDefault="00B71852" w:rsidP="00FA4DA9">
      <w:pPr>
        <w:pStyle w:val="Estndar"/>
        <w:jc w:val="both"/>
        <w:rPr>
          <w:color w:val="auto"/>
        </w:rPr>
      </w:pPr>
    </w:p>
    <w:p w:rsidR="00B71852" w:rsidRPr="00A74F6C" w:rsidRDefault="00BC74D3" w:rsidP="00FA4DA9">
      <w:pPr>
        <w:pStyle w:val="Estndar"/>
        <w:jc w:val="both"/>
        <w:rPr>
          <w:color w:val="auto"/>
        </w:rPr>
      </w:pPr>
      <w:r w:rsidRPr="00A74F6C">
        <w:rPr>
          <w:color w:val="auto"/>
        </w:rPr>
        <w:t>-</w:t>
      </w:r>
      <w:r w:rsidR="00B71852" w:rsidRPr="00A74F6C">
        <w:rPr>
          <w:color w:val="auto"/>
        </w:rPr>
        <w:t>la policía del pensamiento. Antes circulaban en las milicias de la red, ahora también hacen la ronda por los pasillos del sistema. Llevan uniformes más caros y van también mejor armados.</w:t>
      </w:r>
    </w:p>
    <w:p w:rsidR="00B71852" w:rsidRPr="00A74F6C" w:rsidRDefault="00B71852" w:rsidP="00FA4DA9">
      <w:pPr>
        <w:pStyle w:val="Estndar"/>
        <w:jc w:val="both"/>
        <w:rPr>
          <w:color w:val="auto"/>
        </w:rPr>
      </w:pPr>
    </w:p>
    <w:p w:rsidR="00B71852" w:rsidRPr="00A74F6C" w:rsidRDefault="00BC74D3" w:rsidP="00FA4DA9">
      <w:pPr>
        <w:pStyle w:val="Estndar"/>
        <w:jc w:val="both"/>
        <w:rPr>
          <w:color w:val="auto"/>
        </w:rPr>
      </w:pPr>
      <w:r w:rsidRPr="00A74F6C">
        <w:rPr>
          <w:color w:val="auto"/>
        </w:rPr>
        <w:t>-</w:t>
      </w:r>
      <w:r w:rsidR="00B71852" w:rsidRPr="00A74F6C">
        <w:rPr>
          <w:color w:val="auto"/>
        </w:rPr>
        <w:t>los administradores de la moral ajena tutelan la verdad política y social como hace siglos se velaba por la verdad religiosa. Sin margen a la interpretación, a los matices, a las dudas. Pero con total hipocresía, porque su comportamiento privado encaja mal con su discurso público.</w:t>
      </w:r>
    </w:p>
    <w:p w:rsidR="00B71852" w:rsidRPr="00A74F6C" w:rsidRDefault="00B71852" w:rsidP="00FA4DA9">
      <w:pPr>
        <w:pStyle w:val="Estndar"/>
        <w:jc w:val="both"/>
        <w:rPr>
          <w:color w:val="auto"/>
        </w:rPr>
      </w:pPr>
    </w:p>
    <w:p w:rsidR="00B71852" w:rsidRPr="00A74F6C" w:rsidRDefault="00B71852" w:rsidP="00FA4DA9">
      <w:pPr>
        <w:pStyle w:val="Estndar"/>
        <w:jc w:val="both"/>
        <w:rPr>
          <w:color w:val="auto"/>
        </w:rPr>
      </w:pPr>
      <w:r w:rsidRPr="00A74F6C">
        <w:rPr>
          <w:color w:val="auto"/>
        </w:rPr>
        <w:t>Los propietarios del dogma de esta izquierda disecada, vaciada, transforman la cima de su vertedero ético en una atalaya de superioridad moral. Y desde allí vigilan al sospechoso de pensamiento crítico, tratan de controlar la información y el conocimiento. Y cuando cae la noche, señalan. Antes se levantaban antorchas para las cazas de brujas, ahora la jauría humana se ilumina con las luces de los teléfonos móviles.</w:t>
      </w:r>
    </w:p>
    <w:p w:rsidR="00B71852" w:rsidRPr="00A74F6C" w:rsidRDefault="00B71852" w:rsidP="00FA4DA9">
      <w:pPr>
        <w:pStyle w:val="Estndar"/>
        <w:jc w:val="both"/>
        <w:rPr>
          <w:color w:val="auto"/>
        </w:rPr>
      </w:pPr>
    </w:p>
    <w:p w:rsidR="00B71852" w:rsidRPr="00A74F6C" w:rsidRDefault="00B71852" w:rsidP="00FA4DA9">
      <w:pPr>
        <w:pStyle w:val="Estndar"/>
        <w:jc w:val="both"/>
        <w:rPr>
          <w:color w:val="auto"/>
        </w:rPr>
      </w:pPr>
      <w:r w:rsidRPr="00A74F6C">
        <w:rPr>
          <w:color w:val="auto"/>
        </w:rPr>
        <w:t>Los que ahora callan, la gran mayoría, como ocurre entre los que contamos las mismas décadas, no levantan la cabeza porque tienen miedo o porque están subvencionados. Miedo al discurso políticamente incorrecto. Subvenciones a precio de tertulia o de factura en la universidad.</w:t>
      </w:r>
    </w:p>
    <w:p w:rsidR="00B71852" w:rsidRPr="00A74F6C" w:rsidRDefault="00B71852" w:rsidP="00FA4DA9">
      <w:pPr>
        <w:pStyle w:val="Estndar"/>
        <w:jc w:val="both"/>
        <w:rPr>
          <w:color w:val="auto"/>
        </w:rPr>
      </w:pPr>
    </w:p>
    <w:p w:rsidR="00B71852" w:rsidRPr="00A74F6C" w:rsidRDefault="00B71852" w:rsidP="00FA4DA9">
      <w:pPr>
        <w:pStyle w:val="Estndar"/>
        <w:jc w:val="both"/>
        <w:rPr>
          <w:color w:val="auto"/>
        </w:rPr>
      </w:pPr>
      <w:r w:rsidRPr="00A74F6C">
        <w:rPr>
          <w:color w:val="auto"/>
        </w:rPr>
        <w:t>En términos históricos, gran parte de lo que defendió la cultura liberal está siendo ideológicamente derrotado por el populismo.</w:t>
      </w:r>
    </w:p>
    <w:p w:rsidR="00B71852" w:rsidRPr="00A74F6C" w:rsidRDefault="00B71852" w:rsidP="00FA4DA9">
      <w:pPr>
        <w:pStyle w:val="Estndar"/>
        <w:jc w:val="both"/>
        <w:rPr>
          <w:color w:val="auto"/>
        </w:rPr>
      </w:pPr>
    </w:p>
    <w:p w:rsidR="00B43D98" w:rsidRPr="00A74F6C" w:rsidRDefault="00B43D98" w:rsidP="00FA4DA9">
      <w:pPr>
        <w:shd w:val="clear" w:color="auto" w:fill="FFFFFF"/>
        <w:spacing w:after="0" w:line="240" w:lineRule="auto"/>
        <w:jc w:val="both"/>
        <w:textAlignment w:val="baseline"/>
        <w:rPr>
          <w:rFonts w:ascii="Times New Roman" w:eastAsia="Times New Roman" w:hAnsi="Times New Roman" w:cs="Times New Roman"/>
          <w:sz w:val="24"/>
          <w:szCs w:val="24"/>
        </w:rPr>
      </w:pPr>
      <w:r w:rsidRPr="00A74F6C">
        <w:rPr>
          <w:rFonts w:ascii="Times New Roman" w:eastAsia="Times New Roman" w:hAnsi="Times New Roman" w:cs="Times New Roman"/>
          <w:sz w:val="24"/>
          <w:szCs w:val="24"/>
        </w:rPr>
        <w:t>¿En qué se traducen estos complejos fenómenos? Posiblemente el balance del BCE </w:t>
      </w:r>
      <w:r w:rsidRPr="00A74F6C">
        <w:rPr>
          <w:rFonts w:ascii="Times New Roman" w:eastAsia="Times New Roman" w:hAnsi="Times New Roman" w:cs="Times New Roman"/>
          <w:bCs/>
          <w:sz w:val="24"/>
          <w:szCs w:val="24"/>
          <w:bdr w:val="none" w:sz="0" w:space="0" w:color="auto" w:frame="1"/>
        </w:rPr>
        <w:t>haya subido en un billón de euros entre mediados de marzo y primeros de julio</w:t>
      </w:r>
      <w:r w:rsidRPr="00A74F6C">
        <w:rPr>
          <w:rFonts w:ascii="Times New Roman" w:eastAsia="Times New Roman" w:hAnsi="Times New Roman" w:cs="Times New Roman"/>
          <w:sz w:val="24"/>
          <w:szCs w:val="24"/>
        </w:rPr>
        <w:t>. Si observamos el dinero en circulación (M3) sabemos que entre febrero y mayo (últimos datos disponibles) la masa monetaria ha subido en más medio billón de euros o un 9%, uno de los mayores aumentos de la historia (ha venido creciendo entre el 3% y el 5% los últimos años). Con este precedente seguramente cuando conozcamos los datos de mayo y junio observaremos una clara identidad entre el aumento del tamaño del balance del BCE y el dinero en circulación.</w:t>
      </w:r>
    </w:p>
    <w:p w:rsidR="00B43D98" w:rsidRPr="00A74F6C" w:rsidRDefault="00B43D98" w:rsidP="00FA4DA9">
      <w:pPr>
        <w:shd w:val="clear" w:color="auto" w:fill="FFFFFF"/>
        <w:spacing w:after="0" w:line="240" w:lineRule="auto"/>
        <w:jc w:val="both"/>
        <w:textAlignment w:val="baseline"/>
        <w:rPr>
          <w:rFonts w:ascii="Times New Roman" w:eastAsia="Times New Roman" w:hAnsi="Times New Roman" w:cs="Times New Roman"/>
          <w:sz w:val="24"/>
          <w:szCs w:val="24"/>
        </w:rPr>
      </w:pPr>
      <w:r w:rsidRPr="00A74F6C">
        <w:rPr>
          <w:rFonts w:ascii="Times New Roman" w:eastAsia="Times New Roman" w:hAnsi="Times New Roman" w:cs="Times New Roman"/>
          <w:sz w:val="24"/>
          <w:szCs w:val="24"/>
        </w:rPr>
        <w:t>¿Es solo un fenómeno europeo? En absoluto. </w:t>
      </w:r>
      <w:r w:rsidRPr="00A74F6C">
        <w:rPr>
          <w:rFonts w:ascii="Times New Roman" w:eastAsia="Times New Roman" w:hAnsi="Times New Roman" w:cs="Times New Roman"/>
          <w:bCs/>
          <w:sz w:val="24"/>
          <w:szCs w:val="24"/>
          <w:bdr w:val="none" w:sz="0" w:space="0" w:color="auto" w:frame="1"/>
        </w:rPr>
        <w:t>En EEUU el dinero (M2) crece ya al 25%</w:t>
      </w:r>
      <w:r w:rsidRPr="00A74F6C">
        <w:rPr>
          <w:rFonts w:ascii="Times New Roman" w:eastAsia="Times New Roman" w:hAnsi="Times New Roman" w:cs="Times New Roman"/>
          <w:sz w:val="24"/>
          <w:szCs w:val="24"/>
        </w:rPr>
        <w:t> (el mayor crecimiento en décadas), tal y como puede observarse en el gráfico siguiente:</w:t>
      </w:r>
    </w:p>
    <w:p w:rsidR="00B43D98" w:rsidRPr="00A74F6C" w:rsidRDefault="00B43D98" w:rsidP="00FA4DA9">
      <w:pPr>
        <w:shd w:val="clear" w:color="auto" w:fill="FFFFFF"/>
        <w:spacing w:after="0" w:line="240" w:lineRule="auto"/>
        <w:jc w:val="both"/>
        <w:textAlignment w:val="baseline"/>
        <w:rPr>
          <w:rFonts w:ascii="Times New Roman" w:eastAsia="Times New Roman" w:hAnsi="Times New Roman" w:cs="Times New Roman"/>
          <w:sz w:val="24"/>
          <w:szCs w:val="24"/>
        </w:rPr>
      </w:pPr>
    </w:p>
    <w:p w:rsidR="00B43D98" w:rsidRDefault="00B43D98" w:rsidP="00FA4DA9">
      <w:pPr>
        <w:shd w:val="clear" w:color="auto" w:fill="FFFFFF"/>
        <w:spacing w:line="240" w:lineRule="auto"/>
        <w:jc w:val="both"/>
        <w:textAlignment w:val="baseline"/>
        <w:rPr>
          <w:rFonts w:ascii="Times New Roman" w:eastAsia="Times New Roman" w:hAnsi="Times New Roman" w:cs="Times New Roman"/>
          <w:color w:val="1A1A1A"/>
          <w:sz w:val="24"/>
          <w:szCs w:val="24"/>
        </w:rPr>
      </w:pPr>
      <w:r w:rsidRPr="00CC2E0A">
        <w:rPr>
          <w:rFonts w:ascii="Times New Roman" w:eastAsia="Times New Roman" w:hAnsi="Times New Roman" w:cs="Times New Roman"/>
          <w:noProof/>
          <w:color w:val="1A1A1A"/>
          <w:sz w:val="24"/>
          <w:szCs w:val="24"/>
          <w:lang w:eastAsia="es-ES"/>
        </w:rPr>
        <w:lastRenderedPageBreak/>
        <w:drawing>
          <wp:inline distT="0" distB="0" distL="0" distR="0" wp14:anchorId="0BD5D573" wp14:editId="256A476A">
            <wp:extent cx="6229350" cy="2298700"/>
            <wp:effectExtent l="0" t="0" r="0" b="6350"/>
            <wp:docPr id="164" name="Imagen 164" descr="Masa monetaria. (Fuente: Fed, Bloomberg y Arcano Economic Resea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sa monetaria. (Fuente: Fed, Bloomberg y Arcano Economic Research)"/>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229350" cy="2298700"/>
                    </a:xfrm>
                    <a:prstGeom prst="rect">
                      <a:avLst/>
                    </a:prstGeom>
                    <a:noFill/>
                    <a:ln>
                      <a:noFill/>
                    </a:ln>
                  </pic:spPr>
                </pic:pic>
              </a:graphicData>
            </a:graphic>
          </wp:inline>
        </w:drawing>
      </w:r>
      <w:r w:rsidRPr="00CC2E0A">
        <w:rPr>
          <w:rFonts w:ascii="Times New Roman" w:eastAsia="Times New Roman" w:hAnsi="Times New Roman" w:cs="Times New Roman"/>
          <w:color w:val="1A1A1A"/>
          <w:sz w:val="24"/>
          <w:szCs w:val="24"/>
        </w:rPr>
        <w:t>Masa monetaria. (Fuente: Fed, Bloomberg y Arcano Economic Research)</w:t>
      </w:r>
    </w:p>
    <w:p w:rsidR="00B43D98" w:rsidRPr="00CC2E0A" w:rsidRDefault="00B43D98" w:rsidP="00FA4DA9">
      <w:pPr>
        <w:shd w:val="clear" w:color="auto" w:fill="FFFFFF"/>
        <w:spacing w:line="240" w:lineRule="auto"/>
        <w:jc w:val="both"/>
        <w:textAlignment w:val="baseline"/>
        <w:rPr>
          <w:rFonts w:ascii="Times New Roman" w:eastAsia="Times New Roman" w:hAnsi="Times New Roman" w:cs="Times New Roman"/>
          <w:color w:val="1A1A1A"/>
          <w:sz w:val="24"/>
          <w:szCs w:val="24"/>
        </w:rPr>
      </w:pPr>
      <w:r>
        <w:rPr>
          <w:rFonts w:ascii="Times New Roman" w:eastAsia="Times New Roman" w:hAnsi="Times New Roman" w:cs="Times New Roman"/>
          <w:color w:val="1A1A1A"/>
          <w:sz w:val="24"/>
          <w:szCs w:val="24"/>
        </w:rPr>
        <w:t>(</w:t>
      </w:r>
      <w:r w:rsidR="00BC74D3">
        <w:rPr>
          <w:rFonts w:ascii="Times New Roman" w:eastAsia="Times New Roman" w:hAnsi="Times New Roman" w:cs="Times New Roman"/>
          <w:color w:val="1A1A1A"/>
          <w:sz w:val="24"/>
          <w:szCs w:val="24"/>
        </w:rPr>
        <w:t xml:space="preserve">Fuente: </w:t>
      </w:r>
      <w:r>
        <w:rPr>
          <w:rFonts w:ascii="Times New Roman" w:eastAsia="Times New Roman" w:hAnsi="Times New Roman" w:cs="Times New Roman"/>
          <w:color w:val="1A1A1A"/>
          <w:sz w:val="24"/>
          <w:szCs w:val="24"/>
        </w:rPr>
        <w:t xml:space="preserve">El Confidencial - </w:t>
      </w:r>
      <w:r w:rsidRPr="00E177FC">
        <w:rPr>
          <w:rFonts w:ascii="Times New Roman" w:eastAsia="Times New Roman" w:hAnsi="Times New Roman" w:cs="Times New Roman"/>
          <w:b/>
          <w:color w:val="1A1A1A"/>
          <w:sz w:val="24"/>
          <w:szCs w:val="24"/>
        </w:rPr>
        <w:t>9/7/20</w:t>
      </w:r>
      <w:r>
        <w:rPr>
          <w:rFonts w:ascii="Times New Roman" w:eastAsia="Times New Roman" w:hAnsi="Times New Roman" w:cs="Times New Roman"/>
          <w:color w:val="1A1A1A"/>
          <w:sz w:val="24"/>
          <w:szCs w:val="24"/>
        </w:rPr>
        <w:t>)</w:t>
      </w:r>
    </w:p>
    <w:p w:rsidR="00B43D98" w:rsidRPr="00A74F6C" w:rsidRDefault="00B43D98" w:rsidP="00FA4DA9">
      <w:pPr>
        <w:shd w:val="clear" w:color="auto" w:fill="FFFFFF"/>
        <w:spacing w:after="0" w:line="240" w:lineRule="auto"/>
        <w:jc w:val="both"/>
        <w:textAlignment w:val="baseline"/>
        <w:rPr>
          <w:rFonts w:ascii="Times New Roman" w:eastAsia="Times New Roman" w:hAnsi="Times New Roman" w:cs="Times New Roman"/>
          <w:b/>
          <w:sz w:val="24"/>
          <w:szCs w:val="24"/>
        </w:rPr>
      </w:pPr>
      <w:r w:rsidRPr="00A74F6C">
        <w:rPr>
          <w:rFonts w:ascii="Times New Roman" w:eastAsia="Times New Roman" w:hAnsi="Times New Roman" w:cs="Times New Roman"/>
          <w:b/>
          <w:sz w:val="24"/>
          <w:szCs w:val="24"/>
        </w:rPr>
        <w:t>Las consecuencias de que el dinero fluya son profundísimas. La más preocupante es que generará un </w:t>
      </w:r>
      <w:r w:rsidRPr="00A74F6C">
        <w:rPr>
          <w:rFonts w:ascii="Times New Roman" w:eastAsia="Times New Roman" w:hAnsi="Times New Roman" w:cs="Times New Roman"/>
          <w:b/>
          <w:bCs/>
          <w:sz w:val="24"/>
          <w:szCs w:val="24"/>
          <w:bdr w:val="none" w:sz="0" w:space="0" w:color="auto" w:frame="1"/>
        </w:rPr>
        <w:t>importante riesgo de inflación</w:t>
      </w:r>
      <w:r w:rsidRPr="00A74F6C">
        <w:rPr>
          <w:rFonts w:ascii="Times New Roman" w:eastAsia="Times New Roman" w:hAnsi="Times New Roman" w:cs="Times New Roman"/>
          <w:b/>
          <w:sz w:val="24"/>
          <w:szCs w:val="24"/>
        </w:rPr>
        <w:t> una vez las economías hayan vuelto a la realidad y la velocidad del dinero se haya normalizado.</w:t>
      </w:r>
    </w:p>
    <w:p w:rsidR="00B43D98" w:rsidRPr="00A74F6C" w:rsidRDefault="00B43D98" w:rsidP="00FA4DA9">
      <w:pPr>
        <w:shd w:val="clear" w:color="auto" w:fill="FFFFFF"/>
        <w:spacing w:after="0" w:line="240" w:lineRule="auto"/>
        <w:jc w:val="both"/>
        <w:textAlignment w:val="baseline"/>
        <w:rPr>
          <w:rFonts w:ascii="Times New Roman" w:eastAsia="Times New Roman" w:hAnsi="Times New Roman" w:cs="Times New Roman"/>
          <w:b/>
          <w:sz w:val="24"/>
          <w:szCs w:val="24"/>
        </w:rPr>
      </w:pPr>
    </w:p>
    <w:p w:rsidR="00BC74D3" w:rsidRPr="00A74F6C" w:rsidRDefault="00B43D98" w:rsidP="00FA4DA9">
      <w:pPr>
        <w:shd w:val="clear" w:color="auto" w:fill="FFFFFF"/>
        <w:spacing w:after="0" w:line="240" w:lineRule="auto"/>
        <w:jc w:val="both"/>
        <w:textAlignment w:val="baseline"/>
        <w:rPr>
          <w:rFonts w:ascii="Times New Roman" w:eastAsia="Times New Roman" w:hAnsi="Times New Roman" w:cs="Times New Roman"/>
          <w:b/>
          <w:sz w:val="24"/>
          <w:szCs w:val="24"/>
        </w:rPr>
      </w:pPr>
      <w:r w:rsidRPr="00A74F6C">
        <w:rPr>
          <w:rFonts w:ascii="Times New Roman" w:eastAsia="Times New Roman" w:hAnsi="Times New Roman" w:cs="Times New Roman"/>
          <w:b/>
          <w:sz w:val="24"/>
          <w:szCs w:val="24"/>
        </w:rPr>
        <w:t xml:space="preserve">Y los enemigos de la economía real (que no es la dictadura del mercado) se están frotando las manos con esta crisis, como ya lo hicieron en la anterior y, si los más jóvenes no lo remedian, volverán a hacerlo de nuevo, en la próxima, mientras les dejen seguir la fiesta (para ellos), de una economía irreal, dopada, especulativa, de entretenimiento, mendaz, falaz y toxica. </w:t>
      </w:r>
    </w:p>
    <w:p w:rsidR="00BC74D3" w:rsidRPr="00A74F6C" w:rsidRDefault="00BC74D3" w:rsidP="00FA4DA9">
      <w:pPr>
        <w:shd w:val="clear" w:color="auto" w:fill="FFFFFF"/>
        <w:spacing w:after="0" w:line="240" w:lineRule="auto"/>
        <w:jc w:val="both"/>
        <w:textAlignment w:val="baseline"/>
        <w:rPr>
          <w:rFonts w:ascii="Times New Roman" w:eastAsia="Times New Roman" w:hAnsi="Times New Roman" w:cs="Times New Roman"/>
          <w:b/>
          <w:sz w:val="24"/>
          <w:szCs w:val="24"/>
        </w:rPr>
      </w:pPr>
    </w:p>
    <w:p w:rsidR="00B71852" w:rsidRDefault="00D95EC4" w:rsidP="00FA4DA9">
      <w:pPr>
        <w:shd w:val="clear" w:color="auto" w:fill="FFFFFF"/>
        <w:spacing w:after="0" w:line="240" w:lineRule="auto"/>
        <w:jc w:val="both"/>
        <w:textAlignment w:val="baseline"/>
        <w:rPr>
          <w:rFonts w:ascii="Times New Roman" w:hAnsi="Times New Roman" w:cs="Times New Roman"/>
          <w:sz w:val="24"/>
          <w:szCs w:val="24"/>
        </w:rPr>
      </w:pPr>
      <w:r w:rsidRPr="00BC74D3">
        <w:rPr>
          <w:rFonts w:ascii="Times New Roman" w:hAnsi="Times New Roman" w:cs="Times New Roman"/>
          <w:sz w:val="24"/>
          <w:szCs w:val="24"/>
        </w:rPr>
        <w:t xml:space="preserve">- </w:t>
      </w:r>
      <w:r w:rsidR="00327997" w:rsidRPr="00BC74D3">
        <w:rPr>
          <w:rFonts w:ascii="Times New Roman" w:hAnsi="Times New Roman" w:cs="Times New Roman"/>
          <w:sz w:val="24"/>
          <w:szCs w:val="24"/>
          <w:u w:val="single"/>
        </w:rPr>
        <w:t>El “efecto Covid”</w:t>
      </w:r>
      <w:r w:rsidRPr="00BC74D3">
        <w:rPr>
          <w:rFonts w:ascii="Times New Roman" w:hAnsi="Times New Roman" w:cs="Times New Roman"/>
          <w:sz w:val="24"/>
          <w:szCs w:val="24"/>
          <w:u w:val="single"/>
        </w:rPr>
        <w:t xml:space="preserve"> duplicará el balance del BCE hasta el 70% del PIB de la eurozona en 2021</w:t>
      </w:r>
      <w:r w:rsidRPr="00BC74D3">
        <w:rPr>
          <w:rFonts w:ascii="Times New Roman" w:hAnsi="Times New Roman" w:cs="Times New Roman"/>
          <w:sz w:val="24"/>
          <w:szCs w:val="24"/>
        </w:rPr>
        <w:t xml:space="preserve"> (El Español - </w:t>
      </w:r>
      <w:r w:rsidRPr="00BC74D3">
        <w:rPr>
          <w:rFonts w:ascii="Times New Roman" w:hAnsi="Times New Roman" w:cs="Times New Roman"/>
          <w:b/>
          <w:sz w:val="24"/>
          <w:szCs w:val="24"/>
        </w:rPr>
        <w:t>14/7/20</w:t>
      </w:r>
      <w:r w:rsidR="00B71852" w:rsidRPr="00BC74D3">
        <w:rPr>
          <w:rFonts w:ascii="Times New Roman" w:hAnsi="Times New Roman" w:cs="Times New Roman"/>
          <w:sz w:val="24"/>
          <w:szCs w:val="24"/>
        </w:rPr>
        <w:t>)</w:t>
      </w:r>
    </w:p>
    <w:p w:rsidR="00BC74D3" w:rsidRDefault="00BC74D3" w:rsidP="00FA4DA9">
      <w:pPr>
        <w:shd w:val="clear" w:color="auto" w:fill="FFFFFF"/>
        <w:spacing w:after="0" w:line="240" w:lineRule="auto"/>
        <w:jc w:val="both"/>
        <w:textAlignment w:val="baseline"/>
        <w:rPr>
          <w:rFonts w:ascii="Times New Roman" w:hAnsi="Times New Roman" w:cs="Times New Roman"/>
          <w:sz w:val="24"/>
          <w:szCs w:val="24"/>
        </w:rPr>
      </w:pPr>
    </w:p>
    <w:p w:rsidR="00BC74D3" w:rsidRPr="00BC74D3" w:rsidRDefault="00BC74D3" w:rsidP="00FA4DA9">
      <w:pPr>
        <w:shd w:val="clear" w:color="auto" w:fill="FFFFFF"/>
        <w:spacing w:after="0" w:line="240" w:lineRule="auto"/>
        <w:jc w:val="both"/>
        <w:textAlignment w:val="baseline"/>
        <w:rPr>
          <w:rFonts w:ascii="Times New Roman" w:eastAsia="Times New Roman" w:hAnsi="Times New Roman" w:cs="Times New Roman"/>
          <w:b/>
          <w:color w:val="FF0000"/>
          <w:sz w:val="24"/>
          <w:szCs w:val="24"/>
          <w:u w:val="single"/>
        </w:rPr>
      </w:pPr>
      <w:r w:rsidRPr="00BC74D3">
        <w:rPr>
          <w:rFonts w:ascii="Times New Roman" w:eastAsia="Times New Roman" w:hAnsi="Times New Roman" w:cs="Times New Roman"/>
          <w:b/>
          <w:color w:val="FF0000"/>
          <w:sz w:val="24"/>
          <w:szCs w:val="24"/>
          <w:u w:val="single"/>
        </w:rPr>
        <w:t>Las medidas del Banco Central Europeo (BCE) para frenar el impacto del coronavirus en la economía han tenido un impacto más allá de limitar la subida de las primas de riesgo y evitar una nueva crisis de deuda. Los paquetes de compras y otras estrategias han provocado que el balance del organismo engorde semana a semana y supere ya los 6,2 billones de euros por primera vez en la historia.</w:t>
      </w:r>
    </w:p>
    <w:p w:rsidR="00BC74D3" w:rsidRPr="00BC74D3" w:rsidRDefault="00BC74D3" w:rsidP="00FA4DA9">
      <w:pPr>
        <w:shd w:val="clear" w:color="auto" w:fill="FFFFFF"/>
        <w:spacing w:after="0" w:line="240" w:lineRule="auto"/>
        <w:jc w:val="both"/>
        <w:textAlignment w:val="baseline"/>
        <w:rPr>
          <w:rFonts w:ascii="Times New Roman" w:eastAsia="Times New Roman" w:hAnsi="Times New Roman" w:cs="Times New Roman"/>
          <w:b/>
          <w:color w:val="FF0000"/>
          <w:sz w:val="24"/>
          <w:szCs w:val="24"/>
          <w:u w:val="single"/>
        </w:rPr>
      </w:pPr>
    </w:p>
    <w:p w:rsidR="00BC74D3" w:rsidRPr="00BC74D3" w:rsidRDefault="00BC74D3" w:rsidP="00FA4DA9">
      <w:pPr>
        <w:shd w:val="clear" w:color="auto" w:fill="FFFFFF"/>
        <w:spacing w:after="0" w:line="240" w:lineRule="auto"/>
        <w:jc w:val="both"/>
        <w:textAlignment w:val="baseline"/>
        <w:rPr>
          <w:rFonts w:ascii="Times New Roman" w:eastAsia="Times New Roman" w:hAnsi="Times New Roman" w:cs="Times New Roman"/>
          <w:b/>
          <w:color w:val="FF0000"/>
          <w:sz w:val="24"/>
          <w:szCs w:val="24"/>
          <w:u w:val="single"/>
        </w:rPr>
      </w:pPr>
      <w:r w:rsidRPr="00BC74D3">
        <w:rPr>
          <w:rFonts w:ascii="Times New Roman" w:eastAsia="Times New Roman" w:hAnsi="Times New Roman" w:cs="Times New Roman"/>
          <w:b/>
          <w:color w:val="FF0000"/>
          <w:sz w:val="24"/>
          <w:szCs w:val="24"/>
          <w:u w:val="single"/>
        </w:rPr>
        <w:t>La cifra que refleja el estado financiero del eurosistema cobra más envergadura si se tiene en cuenta que, a finales de febrero, justo antes del inicio de la pandemia, rondaba los 4,6 billones de euros. Y los analistas de Bank of America, que realizan previsiones periódicas sobre la evolución del “activo” y del “pasivo” del organismo para calcular también la evolución de la inflación, apuntan a que la cifra superará los 8 billones de euros el próximo año.</w:t>
      </w:r>
    </w:p>
    <w:p w:rsidR="00BC74D3" w:rsidRPr="00BC74D3" w:rsidRDefault="00BC74D3" w:rsidP="00FA4DA9">
      <w:pPr>
        <w:shd w:val="clear" w:color="auto" w:fill="FFFFFF"/>
        <w:spacing w:after="0" w:line="240" w:lineRule="auto"/>
        <w:jc w:val="both"/>
        <w:textAlignment w:val="baseline"/>
        <w:rPr>
          <w:rFonts w:ascii="Times New Roman" w:eastAsia="Times New Roman" w:hAnsi="Times New Roman" w:cs="Times New Roman"/>
          <w:b/>
          <w:color w:val="FF0000"/>
          <w:sz w:val="24"/>
          <w:szCs w:val="24"/>
          <w:u w:val="single"/>
        </w:rPr>
      </w:pPr>
    </w:p>
    <w:p w:rsidR="00BC74D3" w:rsidRDefault="00BC74D3" w:rsidP="00FA4DA9">
      <w:pPr>
        <w:shd w:val="clear" w:color="auto" w:fill="FFFFFF"/>
        <w:spacing w:after="0" w:line="240" w:lineRule="auto"/>
        <w:jc w:val="both"/>
        <w:textAlignment w:val="baseline"/>
        <w:rPr>
          <w:rFonts w:ascii="Times New Roman" w:eastAsia="Times New Roman" w:hAnsi="Times New Roman" w:cs="Times New Roman"/>
          <w:sz w:val="24"/>
          <w:szCs w:val="24"/>
        </w:rPr>
      </w:pPr>
      <w:r w:rsidRPr="00BC74D3">
        <w:rPr>
          <w:rFonts w:ascii="Times New Roman" w:eastAsia="Times New Roman" w:hAnsi="Times New Roman" w:cs="Times New Roman"/>
          <w:sz w:val="24"/>
          <w:szCs w:val="24"/>
        </w:rPr>
        <w:t>Es decir, desde el inicio de la pandemia y hasta 2021, el BCE habrá casi duplicado su balance como consecuencia de los programas puestos en marcha para paliar la crisis, suponiendo al final del periodo un 70% del PIB de toda la eurozona. El ritmo de crecimiento será mucho mayor que en cualquier otro banco central del mundo, incluido el de Japón…</w:t>
      </w:r>
    </w:p>
    <w:p w:rsidR="00707530" w:rsidRDefault="00707530" w:rsidP="00FA4DA9">
      <w:pPr>
        <w:shd w:val="clear" w:color="auto" w:fill="FFFFFF"/>
        <w:spacing w:after="0" w:line="240" w:lineRule="auto"/>
        <w:jc w:val="both"/>
        <w:textAlignment w:val="baseline"/>
        <w:rPr>
          <w:rFonts w:ascii="Times New Roman" w:eastAsia="Times New Roman" w:hAnsi="Times New Roman" w:cs="Times New Roman"/>
          <w:sz w:val="24"/>
          <w:szCs w:val="24"/>
        </w:rPr>
      </w:pPr>
    </w:p>
    <w:p w:rsidR="00BC74D3" w:rsidRPr="00BC74D3" w:rsidRDefault="00BC74D3" w:rsidP="00FA4DA9">
      <w:pPr>
        <w:shd w:val="clear" w:color="auto" w:fill="FFFFFF"/>
        <w:spacing w:after="0" w:line="240" w:lineRule="auto"/>
        <w:jc w:val="both"/>
        <w:textAlignment w:val="baseline"/>
        <w:rPr>
          <w:rFonts w:ascii="Times New Roman" w:eastAsia="Times New Roman" w:hAnsi="Times New Roman" w:cs="Times New Roman"/>
          <w:sz w:val="24"/>
          <w:szCs w:val="24"/>
        </w:rPr>
      </w:pPr>
    </w:p>
    <w:p w:rsidR="00BC74D3" w:rsidRDefault="00BC74D3" w:rsidP="00FA4DA9">
      <w:pPr>
        <w:shd w:val="clear" w:color="auto" w:fill="FFFFFF"/>
        <w:spacing w:after="0" w:line="240" w:lineRule="auto"/>
        <w:jc w:val="both"/>
        <w:textAlignment w:val="baseline"/>
        <w:rPr>
          <w:rFonts w:ascii="Times New Roman" w:eastAsia="Times New Roman" w:hAnsi="Times New Roman" w:cs="Times New Roman"/>
          <w:sz w:val="24"/>
          <w:szCs w:val="24"/>
        </w:rPr>
      </w:pPr>
      <w:r w:rsidRPr="00BC74D3">
        <w:rPr>
          <w:rFonts w:ascii="Times New Roman" w:eastAsia="Times New Roman" w:hAnsi="Times New Roman" w:cs="Times New Roman"/>
          <w:sz w:val="24"/>
          <w:szCs w:val="24"/>
        </w:rPr>
        <w:lastRenderedPageBreak/>
        <w:t>- ¿</w:t>
      </w:r>
      <w:r w:rsidRPr="00BC74D3">
        <w:rPr>
          <w:rFonts w:ascii="Times New Roman" w:eastAsia="Times New Roman" w:hAnsi="Times New Roman" w:cs="Times New Roman"/>
          <w:sz w:val="24"/>
          <w:szCs w:val="24"/>
          <w:u w:val="single"/>
        </w:rPr>
        <w:t>Por qué el histórico crecimiento del “dinero” en circulación no genera miedo a un brote de inflación</w:t>
      </w:r>
      <w:r w:rsidRPr="00BC74D3">
        <w:rPr>
          <w:rFonts w:ascii="Times New Roman" w:eastAsia="Times New Roman" w:hAnsi="Times New Roman" w:cs="Times New Roman"/>
          <w:sz w:val="24"/>
          <w:szCs w:val="24"/>
        </w:rPr>
        <w:t xml:space="preserve">? (El Economista - </w:t>
      </w:r>
      <w:r w:rsidRPr="00BC74D3">
        <w:rPr>
          <w:rFonts w:ascii="Times New Roman" w:eastAsia="Times New Roman" w:hAnsi="Times New Roman" w:cs="Times New Roman"/>
          <w:b/>
          <w:sz w:val="24"/>
          <w:szCs w:val="24"/>
        </w:rPr>
        <w:t>15/7/20</w:t>
      </w:r>
      <w:r w:rsidRPr="00BC74D3">
        <w:rPr>
          <w:rFonts w:ascii="Times New Roman" w:eastAsia="Times New Roman" w:hAnsi="Times New Roman" w:cs="Times New Roman"/>
          <w:sz w:val="24"/>
          <w:szCs w:val="24"/>
        </w:rPr>
        <w:t>)</w:t>
      </w:r>
    </w:p>
    <w:p w:rsidR="00BC74D3" w:rsidRPr="00BC74D3" w:rsidRDefault="00BC74D3" w:rsidP="00FA4DA9">
      <w:pPr>
        <w:shd w:val="clear" w:color="auto" w:fill="FFFFFF"/>
        <w:spacing w:after="0" w:line="240" w:lineRule="auto"/>
        <w:jc w:val="both"/>
        <w:textAlignment w:val="baseline"/>
        <w:rPr>
          <w:rFonts w:ascii="Times New Roman" w:eastAsia="Times New Roman" w:hAnsi="Times New Roman" w:cs="Times New Roman"/>
          <w:sz w:val="24"/>
          <w:szCs w:val="24"/>
        </w:rPr>
      </w:pPr>
    </w:p>
    <w:p w:rsidR="00BC74D3" w:rsidRPr="00BC74D3" w:rsidRDefault="00BC74D3" w:rsidP="00FA4DA9">
      <w:pPr>
        <w:shd w:val="clear" w:color="auto" w:fill="FFFFFF"/>
        <w:spacing w:after="0" w:line="240" w:lineRule="auto"/>
        <w:jc w:val="both"/>
        <w:textAlignment w:val="baseline"/>
        <w:rPr>
          <w:rFonts w:ascii="Times New Roman" w:eastAsia="Times New Roman" w:hAnsi="Times New Roman" w:cs="Times New Roman"/>
          <w:sz w:val="24"/>
          <w:szCs w:val="24"/>
        </w:rPr>
      </w:pPr>
      <w:r w:rsidRPr="00BC74D3">
        <w:rPr>
          <w:rFonts w:ascii="Times New Roman" w:eastAsia="Times New Roman" w:hAnsi="Times New Roman" w:cs="Times New Roman"/>
          <w:sz w:val="24"/>
          <w:szCs w:val="24"/>
        </w:rPr>
        <w:t>(Por Vicente Nieves)</w:t>
      </w:r>
    </w:p>
    <w:p w:rsidR="00BC74D3" w:rsidRPr="00BC74D3" w:rsidRDefault="00BC74D3" w:rsidP="00FA4DA9">
      <w:pPr>
        <w:shd w:val="clear" w:color="auto" w:fill="FFFFFF"/>
        <w:spacing w:after="0" w:line="240" w:lineRule="auto"/>
        <w:jc w:val="both"/>
        <w:textAlignment w:val="baseline"/>
        <w:rPr>
          <w:rFonts w:ascii="Times New Roman" w:eastAsia="Times New Roman" w:hAnsi="Times New Roman" w:cs="Times New Roman"/>
          <w:sz w:val="24"/>
          <w:szCs w:val="24"/>
        </w:rPr>
      </w:pPr>
    </w:p>
    <w:p w:rsidR="00BC74D3" w:rsidRDefault="00BC74D3" w:rsidP="00FA4DA9">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BC74D3">
        <w:rPr>
          <w:rFonts w:ascii="Times New Roman" w:eastAsia="Times New Roman" w:hAnsi="Times New Roman" w:cs="Times New Roman"/>
          <w:color w:val="FF0000"/>
          <w:sz w:val="24"/>
          <w:szCs w:val="24"/>
          <w:u w:val="single"/>
        </w:rPr>
        <w:t>Esta crisis está siendo diferente a todas las demás. Parecerá contradictorio, pero en medio de una contracción severa del PIB, la oferta de dinero o monetaria (impulsada por las operaciones de los bancos centrales, el crédito y el gasto público) está creciendo al mayor ritmo de la historia moderna en EEUU o Reino Unido y a tasas no vistas en más de una década en Europa. La intervención masiva de los gobiernos apoyando la economía y ofreciendo avales a los bancos para que concedan crédito ha llevado a que el agregado monetario M2 en EEUU se dispare un 23% interanual, mientras que el M3 en la zona euro crece a un ritmo cercano al 9%. Esto, que sin duda es buena señal, en tiempos pasados habría generado unas expectativas de inflación muy elevadas, dada la correlación histórica entre el crecimiento de la oferta monetaria y la inflación. Sin embargo, en esta ocasión las expectativas de inflación a medio plazo han reaccionado con timidez, rondando el 2%, que es el objetivo que se marcan los bancos centrales. Esta vez es diferente.</w:t>
      </w:r>
    </w:p>
    <w:p w:rsidR="00BC74D3" w:rsidRPr="00BC74D3" w:rsidRDefault="00BC74D3" w:rsidP="00FA4DA9">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D95EC4" w:rsidRPr="00327997" w:rsidRDefault="00D95EC4" w:rsidP="00FA4DA9">
      <w:pPr>
        <w:shd w:val="clear" w:color="auto" w:fill="FFFFFF"/>
        <w:spacing w:after="270" w:line="240" w:lineRule="auto"/>
        <w:jc w:val="both"/>
        <w:rPr>
          <w:rFonts w:ascii="Times New Roman" w:eastAsia="Times New Roman" w:hAnsi="Times New Roman" w:cs="Times New Roman"/>
          <w:color w:val="212529"/>
          <w:spacing w:val="-1"/>
          <w:sz w:val="24"/>
          <w:szCs w:val="24"/>
        </w:rPr>
      </w:pPr>
      <w:r w:rsidRPr="00327997">
        <w:rPr>
          <w:rFonts w:ascii="Times New Roman" w:eastAsia="Times New Roman" w:hAnsi="Times New Roman" w:cs="Times New Roman"/>
          <w:color w:val="212529"/>
          <w:spacing w:val="-1"/>
          <w:sz w:val="24"/>
          <w:szCs w:val="24"/>
        </w:rPr>
        <w:t>Habitualmente, las crisis económicas vienen acompañadas de una contracción del crédito. Sin embargo, en esta ocasión el crédito está fluyendo (respaldado por los avales de los Estados) y la oferta monetaria, medida en sus agregados más amplios, está creciendo con una fuerza inesperada en la zona euro, Reino Unido o EEUU. Sin embargo, las expectativas de inflación, aunque ha subido en las últimas encuestas de la Fed o el ZEW alemán, no terminan de despuntar.</w:t>
      </w:r>
    </w:p>
    <w:p w:rsidR="00D95EC4" w:rsidRPr="008657CD" w:rsidRDefault="00D95EC4" w:rsidP="00FA4DA9">
      <w:pPr>
        <w:shd w:val="clear" w:color="auto" w:fill="FFFFFF"/>
        <w:spacing w:line="240" w:lineRule="auto"/>
        <w:jc w:val="both"/>
        <w:rPr>
          <w:rFonts w:ascii="Times New Roman" w:eastAsia="Times New Roman" w:hAnsi="Times New Roman" w:cs="Times New Roman"/>
          <w:color w:val="212529"/>
          <w:sz w:val="24"/>
          <w:szCs w:val="24"/>
        </w:rPr>
      </w:pPr>
      <w:r w:rsidRPr="008657CD">
        <w:rPr>
          <w:rFonts w:ascii="Times New Roman" w:eastAsia="Times New Roman" w:hAnsi="Times New Roman" w:cs="Times New Roman"/>
          <w:noProof/>
          <w:color w:val="212529"/>
          <w:sz w:val="24"/>
          <w:szCs w:val="24"/>
          <w:lang w:eastAsia="es-ES"/>
        </w:rPr>
        <w:drawing>
          <wp:inline distT="0" distB="0" distL="0" distR="0" wp14:anchorId="79426E8B" wp14:editId="0497BDD1">
            <wp:extent cx="5715000" cy="2019300"/>
            <wp:effectExtent l="0" t="0" r="0" b="0"/>
            <wp:docPr id="165" name="Imagen 165" descr="https://s03.s3c.es/imag/_v0/770x492/c/2/6/eurozona-oferta-monetar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770x492/c/2/6/eurozona-oferta-monetaria.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15000" cy="2019300"/>
                    </a:xfrm>
                    <a:prstGeom prst="rect">
                      <a:avLst/>
                    </a:prstGeom>
                    <a:noFill/>
                    <a:ln>
                      <a:noFill/>
                    </a:ln>
                  </pic:spPr>
                </pic:pic>
              </a:graphicData>
            </a:graphic>
          </wp:inline>
        </w:drawing>
      </w:r>
      <w:r w:rsidRPr="008657CD">
        <w:rPr>
          <w:rFonts w:ascii="Times New Roman" w:eastAsia="Times New Roman" w:hAnsi="Times New Roman" w:cs="Times New Roman"/>
          <w:color w:val="212529"/>
          <w:sz w:val="24"/>
          <w:szCs w:val="24"/>
        </w:rPr>
        <w:t>Crecimiento de la oferta monetaria M3 en la zona euro a tasa interanual</w:t>
      </w:r>
    </w:p>
    <w:p w:rsidR="00D95EC4" w:rsidRPr="008657CD" w:rsidRDefault="00D95EC4" w:rsidP="00FA4DA9">
      <w:pPr>
        <w:shd w:val="clear" w:color="auto" w:fill="FFFFFF"/>
        <w:spacing w:after="270" w:line="240" w:lineRule="auto"/>
        <w:jc w:val="both"/>
        <w:rPr>
          <w:rFonts w:ascii="Times New Roman" w:eastAsia="Times New Roman" w:hAnsi="Times New Roman" w:cs="Times New Roman"/>
          <w:color w:val="FF0000"/>
          <w:spacing w:val="-1"/>
          <w:sz w:val="24"/>
          <w:szCs w:val="24"/>
          <w:u w:val="single"/>
        </w:rPr>
      </w:pPr>
      <w:r w:rsidRPr="008657CD">
        <w:rPr>
          <w:rFonts w:ascii="Times New Roman" w:eastAsia="Times New Roman" w:hAnsi="Times New Roman" w:cs="Times New Roman"/>
          <w:color w:val="212529"/>
          <w:spacing w:val="-1"/>
          <w:sz w:val="24"/>
          <w:szCs w:val="24"/>
          <w:u w:val="single"/>
        </w:rPr>
        <w:t>Incluso el consenso de los expertos sigue dando más opciones a un escenario desinflacionista (inflación a la baja) </w:t>
      </w:r>
      <w:hyperlink r:id="rId114" w:history="1">
        <w:r w:rsidRPr="00327997">
          <w:rPr>
            <w:rFonts w:ascii="Times New Roman" w:eastAsia="Times New Roman" w:hAnsi="Times New Roman" w:cs="Times New Roman"/>
            <w:bCs/>
            <w:spacing w:val="-1"/>
            <w:sz w:val="24"/>
            <w:szCs w:val="24"/>
            <w:u w:val="single"/>
          </w:rPr>
          <w:t>con periodos de deflación</w:t>
        </w:r>
      </w:hyperlink>
      <w:r w:rsidRPr="008657CD">
        <w:rPr>
          <w:rFonts w:ascii="Times New Roman" w:eastAsia="Times New Roman" w:hAnsi="Times New Roman" w:cs="Times New Roman"/>
          <w:color w:val="212529"/>
          <w:spacing w:val="-1"/>
          <w:sz w:val="24"/>
          <w:szCs w:val="24"/>
          <w:u w:val="single"/>
        </w:rPr>
        <w:t>, que a un escenario de con un fuerte aumento de los precios</w:t>
      </w:r>
      <w:r w:rsidRPr="008657CD">
        <w:rPr>
          <w:rFonts w:ascii="Times New Roman" w:eastAsia="Times New Roman" w:hAnsi="Times New Roman" w:cs="Times New Roman"/>
          <w:color w:val="212529"/>
          <w:spacing w:val="-1"/>
          <w:sz w:val="24"/>
          <w:szCs w:val="24"/>
        </w:rPr>
        <w:t xml:space="preserve">. </w:t>
      </w:r>
      <w:r w:rsidRPr="008657CD">
        <w:rPr>
          <w:rFonts w:ascii="Times New Roman" w:eastAsia="Times New Roman" w:hAnsi="Times New Roman" w:cs="Times New Roman"/>
          <w:color w:val="FF0000"/>
          <w:spacing w:val="-1"/>
          <w:sz w:val="24"/>
          <w:szCs w:val="24"/>
          <w:u w:val="single"/>
        </w:rPr>
        <w:t>Dentro de la singularidad de esta crisis, el crecimiento de la oferta monetaria no va a generar un aumento prolongado de la demanda de bienes, sino que se traducirá, probablemente, en un </w:t>
      </w:r>
      <w:r w:rsidRPr="00327997">
        <w:rPr>
          <w:rFonts w:ascii="Times New Roman" w:eastAsia="Times New Roman" w:hAnsi="Times New Roman" w:cs="Times New Roman"/>
          <w:bCs/>
          <w:color w:val="FF0000"/>
          <w:spacing w:val="-1"/>
          <w:sz w:val="24"/>
          <w:szCs w:val="24"/>
          <w:u w:val="single"/>
        </w:rPr>
        <w:t>aumento del ahorro</w:t>
      </w:r>
      <w:r w:rsidRPr="008657CD">
        <w:rPr>
          <w:rFonts w:ascii="Times New Roman" w:eastAsia="Times New Roman" w:hAnsi="Times New Roman" w:cs="Times New Roman"/>
          <w:b/>
          <w:bCs/>
          <w:color w:val="FF0000"/>
          <w:spacing w:val="-1"/>
          <w:sz w:val="24"/>
          <w:szCs w:val="24"/>
          <w:u w:val="single"/>
        </w:rPr>
        <w:t> </w:t>
      </w:r>
      <w:r w:rsidRPr="008657CD">
        <w:rPr>
          <w:rFonts w:ascii="Times New Roman" w:eastAsia="Times New Roman" w:hAnsi="Times New Roman" w:cs="Times New Roman"/>
          <w:color w:val="FF0000"/>
          <w:spacing w:val="-1"/>
          <w:sz w:val="24"/>
          <w:szCs w:val="24"/>
          <w:u w:val="single"/>
        </w:rPr>
        <w:t>de los hogares, mientras que las empresas usarán ese dinero para sobrevivir, más que para invertir y crecer.</w:t>
      </w:r>
    </w:p>
    <w:p w:rsidR="00D95EC4" w:rsidRPr="008657CD" w:rsidRDefault="00D95EC4" w:rsidP="00FA4DA9">
      <w:pPr>
        <w:shd w:val="clear" w:color="auto" w:fill="FFFFFF"/>
        <w:spacing w:after="270" w:line="240" w:lineRule="auto"/>
        <w:jc w:val="both"/>
        <w:rPr>
          <w:rFonts w:ascii="Times New Roman" w:eastAsia="Times New Roman" w:hAnsi="Times New Roman" w:cs="Times New Roman"/>
          <w:color w:val="212529"/>
          <w:spacing w:val="-1"/>
          <w:sz w:val="24"/>
          <w:szCs w:val="24"/>
          <w:u w:val="single"/>
        </w:rPr>
      </w:pPr>
      <w:r w:rsidRPr="008657CD">
        <w:rPr>
          <w:rFonts w:ascii="Times New Roman" w:eastAsia="Times New Roman" w:hAnsi="Times New Roman" w:cs="Times New Roman"/>
          <w:color w:val="212529"/>
          <w:spacing w:val="-1"/>
          <w:sz w:val="24"/>
          <w:szCs w:val="24"/>
          <w:u w:val="single"/>
        </w:rPr>
        <w:t>Una parte importante de este dinero que está llegando a las familias en forma de cheques o prestaciones de otro tipo podría usarse, por ejemplo, para seguir pagando la hipoteca. Esto, más que impulsar la inflación, podría evitar que el precio de un activo como la vivienda corrija. El dinero no siempre persigue bienes y servicios, también puede fluir hacia los activos (vivienda, acciones, bonos, depósitos...) dejando intacta la inflación.</w:t>
      </w:r>
    </w:p>
    <w:p w:rsidR="00D95EC4" w:rsidRPr="008657CD" w:rsidRDefault="00327997" w:rsidP="00FA4DA9">
      <w:pPr>
        <w:shd w:val="clear" w:color="auto" w:fill="FFFFFF"/>
        <w:spacing w:after="270" w:line="240" w:lineRule="auto"/>
        <w:jc w:val="both"/>
        <w:rPr>
          <w:rFonts w:ascii="Times New Roman" w:eastAsia="Times New Roman" w:hAnsi="Times New Roman" w:cs="Times New Roman"/>
          <w:color w:val="212529"/>
          <w:spacing w:val="-1"/>
          <w:sz w:val="24"/>
          <w:szCs w:val="24"/>
        </w:rPr>
      </w:pPr>
      <w:r>
        <w:rPr>
          <w:rFonts w:ascii="Times New Roman" w:eastAsia="Times New Roman" w:hAnsi="Times New Roman" w:cs="Times New Roman"/>
          <w:color w:val="FF0000"/>
          <w:spacing w:val="-1"/>
          <w:sz w:val="24"/>
          <w:szCs w:val="24"/>
          <w:u w:val="single"/>
        </w:rPr>
        <w:lastRenderedPageBreak/>
        <w:t>En el caso de la zona euro, “</w:t>
      </w:r>
      <w:r w:rsidR="00D95EC4" w:rsidRPr="008657CD">
        <w:rPr>
          <w:rFonts w:ascii="Times New Roman" w:eastAsia="Times New Roman" w:hAnsi="Times New Roman" w:cs="Times New Roman"/>
          <w:color w:val="FF0000"/>
          <w:spacing w:val="-1"/>
          <w:sz w:val="24"/>
          <w:szCs w:val="24"/>
          <w:u w:val="single"/>
        </w:rPr>
        <w:t>el crédito a las empresas ha sido el principal impulsor de </w:t>
      </w:r>
      <w:hyperlink r:id="rId115" w:history="1">
        <w:r w:rsidR="00D95EC4" w:rsidRPr="00922CE4">
          <w:rPr>
            <w:rFonts w:ascii="Times New Roman" w:eastAsia="Times New Roman" w:hAnsi="Times New Roman" w:cs="Times New Roman"/>
            <w:color w:val="FF0000"/>
            <w:spacing w:val="-1"/>
            <w:sz w:val="24"/>
            <w:szCs w:val="24"/>
            <w:u w:val="single"/>
          </w:rPr>
          <w:t>la oferta monetaria (M3)</w:t>
        </w:r>
      </w:hyperlink>
      <w:r w:rsidR="00D95EC4" w:rsidRPr="008657CD">
        <w:rPr>
          <w:rFonts w:ascii="Times New Roman" w:eastAsia="Times New Roman" w:hAnsi="Times New Roman" w:cs="Times New Roman"/>
          <w:color w:val="FF0000"/>
          <w:spacing w:val="-1"/>
          <w:sz w:val="24"/>
          <w:szCs w:val="24"/>
          <w:u w:val="single"/>
        </w:rPr>
        <w:t>: los préstamos han aumentado al ritmo más alto desde que hay datos disponibles en 2004</w:t>
      </w:r>
      <w:r w:rsidR="00D95EC4" w:rsidRPr="008657CD">
        <w:rPr>
          <w:rFonts w:ascii="Times New Roman" w:eastAsia="Times New Roman" w:hAnsi="Times New Roman" w:cs="Times New Roman"/>
          <w:color w:val="212529"/>
          <w:spacing w:val="-1"/>
          <w:sz w:val="24"/>
          <w:szCs w:val="24"/>
        </w:rPr>
        <w:t xml:space="preserve">. La aceleración no refleja un aumento potencial en el gasto de capital (maquinaria, tecnología...), sino que las empresas están intentando satisfacer sus necesidades de liquidez para cubrir con sus obligaciones. Tras pedir grandes cantidades de crédito a corto plazo en marzo, las empresas están demandando ahora más crédito a medio y largo plazo. Pero esto no refleja los planes de inversión, más bien es que </w:t>
      </w:r>
      <w:r w:rsidR="00D95EC4" w:rsidRPr="008657CD">
        <w:rPr>
          <w:rFonts w:ascii="Times New Roman" w:eastAsia="Times New Roman" w:hAnsi="Times New Roman" w:cs="Times New Roman"/>
          <w:color w:val="212529"/>
          <w:spacing w:val="-1"/>
          <w:sz w:val="24"/>
          <w:szCs w:val="24"/>
          <w:u w:val="single"/>
        </w:rPr>
        <w:t>cada vez está más claro que la pandemia durará más de lo anticipado y que los esquemas de apoyo público cubren princip</w:t>
      </w:r>
      <w:r>
        <w:rPr>
          <w:rFonts w:ascii="Times New Roman" w:eastAsia="Times New Roman" w:hAnsi="Times New Roman" w:cs="Times New Roman"/>
          <w:color w:val="212529"/>
          <w:spacing w:val="-1"/>
          <w:sz w:val="24"/>
          <w:szCs w:val="24"/>
          <w:u w:val="single"/>
        </w:rPr>
        <w:t>almente préstamos a medio plazo”</w:t>
      </w:r>
      <w:r w:rsidR="00D95EC4" w:rsidRPr="00BC74D3">
        <w:rPr>
          <w:rFonts w:ascii="Times New Roman" w:eastAsia="Times New Roman" w:hAnsi="Times New Roman" w:cs="Times New Roman"/>
          <w:color w:val="212529"/>
          <w:spacing w:val="-1"/>
          <w:sz w:val="24"/>
          <w:szCs w:val="24"/>
        </w:rPr>
        <w:t xml:space="preserve">, </w:t>
      </w:r>
      <w:r w:rsidR="00D95EC4" w:rsidRPr="008657CD">
        <w:rPr>
          <w:rFonts w:ascii="Times New Roman" w:eastAsia="Times New Roman" w:hAnsi="Times New Roman" w:cs="Times New Roman"/>
          <w:color w:val="212529"/>
          <w:spacing w:val="-1"/>
          <w:sz w:val="24"/>
          <w:szCs w:val="24"/>
        </w:rPr>
        <w:t>razona Shweta Singh, economista de TS Lombard.</w:t>
      </w:r>
    </w:p>
    <w:p w:rsidR="00D95EC4" w:rsidRPr="008657CD" w:rsidRDefault="00D95EC4" w:rsidP="00FA4DA9">
      <w:pPr>
        <w:shd w:val="clear" w:color="auto" w:fill="FFFFFF"/>
        <w:spacing w:after="270" w:line="240" w:lineRule="auto"/>
        <w:jc w:val="both"/>
        <w:rPr>
          <w:rFonts w:ascii="Times New Roman" w:eastAsia="Times New Roman" w:hAnsi="Times New Roman" w:cs="Times New Roman"/>
          <w:color w:val="212529"/>
          <w:spacing w:val="-1"/>
          <w:sz w:val="24"/>
          <w:szCs w:val="24"/>
        </w:rPr>
      </w:pPr>
      <w:r w:rsidRPr="008657CD">
        <w:rPr>
          <w:rFonts w:ascii="Times New Roman" w:eastAsia="Times New Roman" w:hAnsi="Times New Roman" w:cs="Times New Roman"/>
          <w:color w:val="FF0000"/>
          <w:spacing w:val="-1"/>
          <w:sz w:val="24"/>
          <w:szCs w:val="24"/>
          <w:u w:val="single"/>
        </w:rPr>
        <w:t>El crédito no se está disparando porque las familias estén comprando coches, electrodomésticos u otros bienes de consumo, o porque las empresas estén pensando en incrementar sus plantillas o abrir nuevos espacios. </w:t>
      </w:r>
      <w:r w:rsidRPr="008657CD">
        <w:rPr>
          <w:rFonts w:ascii="Times New Roman" w:eastAsia="Times New Roman" w:hAnsi="Times New Roman" w:cs="Times New Roman"/>
          <w:b/>
          <w:bCs/>
          <w:color w:val="FF0000"/>
          <w:spacing w:val="-1"/>
          <w:sz w:val="24"/>
          <w:szCs w:val="24"/>
          <w:u w:val="single"/>
        </w:rPr>
        <w:t>Es crédito de supervivencia</w:t>
      </w:r>
      <w:r w:rsidR="00327997">
        <w:rPr>
          <w:rFonts w:ascii="Times New Roman" w:eastAsia="Times New Roman" w:hAnsi="Times New Roman" w:cs="Times New Roman"/>
          <w:color w:val="212529"/>
          <w:spacing w:val="-1"/>
          <w:sz w:val="24"/>
          <w:szCs w:val="24"/>
        </w:rPr>
        <w:t>. “</w:t>
      </w:r>
      <w:r w:rsidRPr="008657CD">
        <w:rPr>
          <w:rFonts w:ascii="Times New Roman" w:eastAsia="Times New Roman" w:hAnsi="Times New Roman" w:cs="Times New Roman"/>
          <w:color w:val="212529"/>
          <w:spacing w:val="-1"/>
          <w:sz w:val="24"/>
          <w:szCs w:val="24"/>
        </w:rPr>
        <w:t>No creemos que la reciente aceleración del crecimiento monetario conduzca a una inflación rápida, a pesar de la fuerte relación histórica entre los dos. El crecimiento monetario actual se produce en circunstancias extremadamente inusuales, que pueden alterar el vínculo habitual con la inflación y también pueden</w:t>
      </w:r>
      <w:r w:rsidR="00327997">
        <w:rPr>
          <w:rFonts w:ascii="Times New Roman" w:eastAsia="Times New Roman" w:hAnsi="Times New Roman" w:cs="Times New Roman"/>
          <w:color w:val="212529"/>
          <w:spacing w:val="-1"/>
          <w:sz w:val="24"/>
          <w:szCs w:val="24"/>
        </w:rPr>
        <w:t xml:space="preserve"> ser temporales”</w:t>
      </w:r>
      <w:r w:rsidRPr="008657CD">
        <w:rPr>
          <w:rFonts w:ascii="Times New Roman" w:eastAsia="Times New Roman" w:hAnsi="Times New Roman" w:cs="Times New Roman"/>
          <w:color w:val="212529"/>
          <w:spacing w:val="-1"/>
          <w:sz w:val="24"/>
          <w:szCs w:val="24"/>
        </w:rPr>
        <w:t>, explica Adam Slater, economista de Oxford Economics en una nota para clientes.</w:t>
      </w:r>
    </w:p>
    <w:p w:rsidR="00D95EC4" w:rsidRPr="008657CD" w:rsidRDefault="00D95EC4" w:rsidP="00FA4DA9">
      <w:pPr>
        <w:shd w:val="clear" w:color="auto" w:fill="FFFFFF"/>
        <w:spacing w:line="240" w:lineRule="auto"/>
        <w:jc w:val="both"/>
        <w:rPr>
          <w:rFonts w:ascii="Times New Roman" w:eastAsia="Times New Roman" w:hAnsi="Times New Roman" w:cs="Times New Roman"/>
          <w:color w:val="212529"/>
          <w:sz w:val="24"/>
          <w:szCs w:val="24"/>
        </w:rPr>
      </w:pPr>
      <w:r w:rsidRPr="008657CD">
        <w:rPr>
          <w:rFonts w:ascii="Times New Roman" w:eastAsia="Times New Roman" w:hAnsi="Times New Roman" w:cs="Times New Roman"/>
          <w:noProof/>
          <w:color w:val="212529"/>
          <w:sz w:val="24"/>
          <w:szCs w:val="24"/>
          <w:lang w:eastAsia="es-ES"/>
        </w:rPr>
        <w:drawing>
          <wp:inline distT="0" distB="0" distL="0" distR="0" wp14:anchorId="4C599D05" wp14:editId="24E99518">
            <wp:extent cx="5683250" cy="2152650"/>
            <wp:effectExtent l="0" t="0" r="0" b="0"/>
            <wp:docPr id="166" name="Imagen 166" descr="https://s03.s3c.es/imag/_v0/770x472/a/e/1/estados-unid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03.s3c.es/imag/_v0/770x472/a/e/1/estados-unidos.jp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683250" cy="2152650"/>
                    </a:xfrm>
                    <a:prstGeom prst="rect">
                      <a:avLst/>
                    </a:prstGeom>
                    <a:noFill/>
                    <a:ln>
                      <a:noFill/>
                    </a:ln>
                  </pic:spPr>
                </pic:pic>
              </a:graphicData>
            </a:graphic>
          </wp:inline>
        </w:drawing>
      </w:r>
      <w:r w:rsidRPr="008657CD">
        <w:rPr>
          <w:rFonts w:ascii="Times New Roman" w:eastAsia="Times New Roman" w:hAnsi="Times New Roman" w:cs="Times New Roman"/>
          <w:color w:val="212529"/>
          <w:sz w:val="24"/>
          <w:szCs w:val="24"/>
        </w:rPr>
        <w:t>Crecimiento de la oferta monetaria M2 en EEUU a tasa interanual</w:t>
      </w:r>
    </w:p>
    <w:p w:rsidR="00D95EC4" w:rsidRPr="008657CD" w:rsidRDefault="00D95EC4" w:rsidP="00FA4DA9">
      <w:pPr>
        <w:shd w:val="clear" w:color="auto" w:fill="FFFFFF"/>
        <w:spacing w:after="270" w:line="240" w:lineRule="auto"/>
        <w:jc w:val="both"/>
        <w:rPr>
          <w:rFonts w:ascii="Times New Roman" w:eastAsia="Times New Roman" w:hAnsi="Times New Roman" w:cs="Times New Roman"/>
          <w:color w:val="212529"/>
          <w:spacing w:val="-1"/>
          <w:sz w:val="24"/>
          <w:szCs w:val="24"/>
        </w:rPr>
      </w:pPr>
      <w:r w:rsidRPr="008657CD">
        <w:rPr>
          <w:rFonts w:ascii="Times New Roman" w:eastAsia="Times New Roman" w:hAnsi="Times New Roman" w:cs="Times New Roman"/>
          <w:color w:val="FF0000"/>
          <w:spacing w:val="-1"/>
          <w:sz w:val="24"/>
          <w:szCs w:val="24"/>
          <w:u w:val="single"/>
        </w:rPr>
        <w:t>El caso de EEUU, el crecimiento de la oferta monetaria ha sido espectacular porque se han unido todas las políticas expansivas de la Fed (QE, inyecciones de liquidez dirigidas a las empresas...) con los estímulos del Gobierno de Donald Trump, entre los que se encuentra entregar </w:t>
      </w:r>
      <w:hyperlink r:id="rId117" w:history="1">
        <w:r w:rsidRPr="00922CE4">
          <w:rPr>
            <w:rFonts w:ascii="Times New Roman" w:eastAsia="Times New Roman" w:hAnsi="Times New Roman" w:cs="Times New Roman"/>
            <w:color w:val="FF0000"/>
            <w:spacing w:val="-1"/>
            <w:sz w:val="24"/>
            <w:szCs w:val="24"/>
            <w:u w:val="single"/>
          </w:rPr>
          <w:t>cheques directamente a las familias</w:t>
        </w:r>
      </w:hyperlink>
      <w:r w:rsidRPr="008657CD">
        <w:rPr>
          <w:rFonts w:ascii="Times New Roman" w:eastAsia="Times New Roman" w:hAnsi="Times New Roman" w:cs="Times New Roman"/>
          <w:color w:val="FF0000"/>
          <w:spacing w:val="-1"/>
          <w:sz w:val="24"/>
          <w:szCs w:val="24"/>
          <w:u w:val="single"/>
        </w:rPr>
        <w:t>, lo que supone un aumento directo del agregado monetaria M2 (aumentan directamente los depósitos de los hogares con dinero nuevo).</w:t>
      </w:r>
      <w:r w:rsidRPr="008657CD">
        <w:rPr>
          <w:rFonts w:ascii="Times New Roman" w:eastAsia="Times New Roman" w:hAnsi="Times New Roman" w:cs="Times New Roman"/>
          <w:color w:val="FF0000"/>
          <w:spacing w:val="-1"/>
          <w:sz w:val="24"/>
          <w:szCs w:val="24"/>
        </w:rPr>
        <w:t xml:space="preserve"> </w:t>
      </w:r>
      <w:r w:rsidRPr="008657CD">
        <w:rPr>
          <w:rFonts w:ascii="Times New Roman" w:eastAsia="Times New Roman" w:hAnsi="Times New Roman" w:cs="Times New Roman"/>
          <w:color w:val="212529"/>
          <w:spacing w:val="-1"/>
          <w:sz w:val="24"/>
          <w:szCs w:val="24"/>
        </w:rPr>
        <w:t>Este agregado M2 es</w:t>
      </w:r>
      <w:r w:rsidR="00327997">
        <w:rPr>
          <w:rFonts w:ascii="Times New Roman" w:eastAsia="Times New Roman" w:hAnsi="Times New Roman" w:cs="Times New Roman"/>
          <w:color w:val="212529"/>
          <w:spacing w:val="-1"/>
          <w:sz w:val="24"/>
          <w:szCs w:val="24"/>
        </w:rPr>
        <w:t xml:space="preserve"> más amplio (suma más tipos de “dinero”</w:t>
      </w:r>
      <w:r w:rsidRPr="008657CD">
        <w:rPr>
          <w:rFonts w:ascii="Times New Roman" w:eastAsia="Times New Roman" w:hAnsi="Times New Roman" w:cs="Times New Roman"/>
          <w:color w:val="212529"/>
          <w:spacing w:val="-1"/>
          <w:sz w:val="24"/>
          <w:szCs w:val="24"/>
        </w:rPr>
        <w:t>) que el M1, que está restringido al efectivo en manos del público, cheques de viajero y cuentas corrientes. El M2 incluye todo eso más las cuentas de ahorro, depósitos a plazo de menos de 100.000 dólares y el dinero en fondos de inversión del mercado monetario minorista.</w:t>
      </w:r>
    </w:p>
    <w:p w:rsidR="00D95EC4" w:rsidRPr="008657CD" w:rsidRDefault="00327997" w:rsidP="00FA4DA9">
      <w:pPr>
        <w:shd w:val="clear" w:color="auto" w:fill="FFFFFF"/>
        <w:spacing w:after="270" w:line="240" w:lineRule="auto"/>
        <w:jc w:val="both"/>
        <w:rPr>
          <w:rFonts w:ascii="Times New Roman" w:eastAsia="Times New Roman" w:hAnsi="Times New Roman" w:cs="Times New Roman"/>
          <w:color w:val="212529"/>
          <w:spacing w:val="-1"/>
          <w:sz w:val="24"/>
          <w:szCs w:val="24"/>
        </w:rPr>
      </w:pPr>
      <w:r>
        <w:rPr>
          <w:rFonts w:ascii="Times New Roman" w:eastAsia="Times New Roman" w:hAnsi="Times New Roman" w:cs="Times New Roman"/>
          <w:color w:val="212529"/>
          <w:spacing w:val="-1"/>
          <w:sz w:val="24"/>
          <w:szCs w:val="24"/>
        </w:rPr>
        <w:t>“</w:t>
      </w:r>
      <w:r w:rsidR="00D95EC4" w:rsidRPr="008657CD">
        <w:rPr>
          <w:rFonts w:ascii="Times New Roman" w:eastAsia="Times New Roman" w:hAnsi="Times New Roman" w:cs="Times New Roman"/>
          <w:color w:val="212529"/>
          <w:spacing w:val="-1"/>
          <w:sz w:val="24"/>
          <w:szCs w:val="24"/>
        </w:rPr>
        <w:t>La mayoría de los inversores no esperan que la inflación suba, y nosotros tampoco. Sin embargo, se considera un riesgo potencial que habrá que v</w:t>
      </w:r>
      <w:r>
        <w:rPr>
          <w:rFonts w:ascii="Times New Roman" w:eastAsia="Times New Roman" w:hAnsi="Times New Roman" w:cs="Times New Roman"/>
          <w:color w:val="212529"/>
          <w:spacing w:val="-1"/>
          <w:sz w:val="24"/>
          <w:szCs w:val="24"/>
        </w:rPr>
        <w:t>igilar”</w:t>
      </w:r>
      <w:r w:rsidR="00D95EC4" w:rsidRPr="008657CD">
        <w:rPr>
          <w:rFonts w:ascii="Times New Roman" w:eastAsia="Times New Roman" w:hAnsi="Times New Roman" w:cs="Times New Roman"/>
          <w:color w:val="212529"/>
          <w:spacing w:val="-1"/>
          <w:sz w:val="24"/>
          <w:szCs w:val="24"/>
        </w:rPr>
        <w:t>, explican Aneta Markowska y Thomas Simons, economs</w:t>
      </w:r>
      <w:r>
        <w:rPr>
          <w:rFonts w:ascii="Times New Roman" w:eastAsia="Times New Roman" w:hAnsi="Times New Roman" w:cs="Times New Roman"/>
          <w:color w:val="212529"/>
          <w:spacing w:val="-1"/>
          <w:sz w:val="24"/>
          <w:szCs w:val="24"/>
        </w:rPr>
        <w:t>itas de Jefferies en una nota. “</w:t>
      </w:r>
      <w:r w:rsidR="00D95EC4" w:rsidRPr="008657CD">
        <w:rPr>
          <w:rFonts w:ascii="Times New Roman" w:eastAsia="Times New Roman" w:hAnsi="Times New Roman" w:cs="Times New Roman"/>
          <w:color w:val="212529"/>
          <w:spacing w:val="-1"/>
          <w:sz w:val="24"/>
          <w:szCs w:val="24"/>
        </w:rPr>
        <w:t>En teoría, cualquier exceso de crecimiento monetario, más allá del PIB potencial, debería dar lugar a presiones inflacionarias. Pero la relación no se ha mantenido con claridad desde principios de la década de 1990 y no hay razón par</w:t>
      </w:r>
      <w:r>
        <w:rPr>
          <w:rFonts w:ascii="Times New Roman" w:eastAsia="Times New Roman" w:hAnsi="Times New Roman" w:cs="Times New Roman"/>
          <w:color w:val="212529"/>
          <w:spacing w:val="-1"/>
          <w:sz w:val="24"/>
          <w:szCs w:val="24"/>
        </w:rPr>
        <w:t>a creer que se reafirmará ahora”</w:t>
      </w:r>
      <w:r w:rsidR="00D95EC4" w:rsidRPr="008657CD">
        <w:rPr>
          <w:rFonts w:ascii="Times New Roman" w:eastAsia="Times New Roman" w:hAnsi="Times New Roman" w:cs="Times New Roman"/>
          <w:color w:val="212529"/>
          <w:spacing w:val="-1"/>
          <w:sz w:val="24"/>
          <w:szCs w:val="24"/>
        </w:rPr>
        <w:t>, sentencian.</w:t>
      </w:r>
    </w:p>
    <w:p w:rsidR="00D95EC4" w:rsidRPr="008657CD" w:rsidRDefault="00327997" w:rsidP="00FA4DA9">
      <w:pPr>
        <w:shd w:val="clear" w:color="auto" w:fill="FFFFFF"/>
        <w:spacing w:after="270" w:line="240" w:lineRule="auto"/>
        <w:jc w:val="both"/>
        <w:rPr>
          <w:rFonts w:ascii="Times New Roman" w:eastAsia="Times New Roman" w:hAnsi="Times New Roman" w:cs="Times New Roman"/>
          <w:color w:val="FF0000"/>
          <w:spacing w:val="-1"/>
          <w:sz w:val="24"/>
          <w:szCs w:val="24"/>
          <w:u w:val="single"/>
        </w:rPr>
      </w:pPr>
      <w:r>
        <w:rPr>
          <w:rFonts w:ascii="Times New Roman" w:eastAsia="Times New Roman" w:hAnsi="Times New Roman" w:cs="Times New Roman"/>
          <w:b/>
          <w:color w:val="FF0000"/>
          <w:spacing w:val="-1"/>
          <w:sz w:val="24"/>
          <w:szCs w:val="24"/>
          <w:u w:val="single"/>
        </w:rPr>
        <w:lastRenderedPageBreak/>
        <w:t>“</w:t>
      </w:r>
      <w:r w:rsidR="00D95EC4" w:rsidRPr="008657CD">
        <w:rPr>
          <w:rFonts w:ascii="Times New Roman" w:eastAsia="Times New Roman" w:hAnsi="Times New Roman" w:cs="Times New Roman"/>
          <w:b/>
          <w:color w:val="FF0000"/>
          <w:spacing w:val="-1"/>
          <w:sz w:val="24"/>
          <w:szCs w:val="24"/>
          <w:u w:val="single"/>
        </w:rPr>
        <w:t>Lo que causa la inflación no es el dinero, sino la demanda de crédito que se canaliza hacia la compra bienes y servicios. Ni todo el dinero del mundo causaría inflación si está escondido </w:t>
      </w:r>
      <w:hyperlink r:id="rId118" w:history="1">
        <w:r w:rsidR="00D95EC4" w:rsidRPr="00922CE4">
          <w:rPr>
            <w:rFonts w:ascii="Times New Roman" w:eastAsia="Times New Roman" w:hAnsi="Times New Roman" w:cs="Times New Roman"/>
            <w:b/>
            <w:color w:val="FF0000"/>
            <w:spacing w:val="-1"/>
            <w:sz w:val="24"/>
            <w:szCs w:val="24"/>
            <w:u w:val="single"/>
          </w:rPr>
          <w:t>debajo del colchón</w:t>
        </w:r>
      </w:hyperlink>
      <w:r w:rsidR="00D95EC4" w:rsidRPr="008657CD">
        <w:rPr>
          <w:rFonts w:ascii="Times New Roman" w:eastAsia="Times New Roman" w:hAnsi="Times New Roman" w:cs="Times New Roman"/>
          <w:b/>
          <w:color w:val="FF0000"/>
          <w:spacing w:val="-1"/>
          <w:sz w:val="24"/>
          <w:szCs w:val="24"/>
          <w:u w:val="single"/>
        </w:rPr>
        <w:t> o inactiv</w:t>
      </w:r>
      <w:r>
        <w:rPr>
          <w:rFonts w:ascii="Times New Roman" w:eastAsia="Times New Roman" w:hAnsi="Times New Roman" w:cs="Times New Roman"/>
          <w:b/>
          <w:color w:val="FF0000"/>
          <w:spacing w:val="-1"/>
          <w:sz w:val="24"/>
          <w:szCs w:val="24"/>
          <w:u w:val="single"/>
        </w:rPr>
        <w:t>o en cuentas corrientes”</w:t>
      </w:r>
      <w:r w:rsidR="00D95EC4" w:rsidRPr="008657CD">
        <w:rPr>
          <w:rFonts w:ascii="Times New Roman" w:eastAsia="Times New Roman" w:hAnsi="Times New Roman" w:cs="Times New Roman"/>
          <w:b/>
          <w:color w:val="FF0000"/>
          <w:spacing w:val="-1"/>
          <w:sz w:val="24"/>
          <w:szCs w:val="24"/>
          <w:u w:val="single"/>
        </w:rPr>
        <w:t>,</w:t>
      </w:r>
      <w:r w:rsidR="00D95EC4" w:rsidRPr="008657CD">
        <w:rPr>
          <w:rFonts w:ascii="Times New Roman" w:eastAsia="Times New Roman" w:hAnsi="Times New Roman" w:cs="Times New Roman"/>
          <w:color w:val="FF0000"/>
          <w:spacing w:val="-1"/>
          <w:sz w:val="24"/>
          <w:szCs w:val="24"/>
        </w:rPr>
        <w:t xml:space="preserve"> </w:t>
      </w:r>
      <w:r w:rsidR="00D95EC4" w:rsidRPr="008657CD">
        <w:rPr>
          <w:rFonts w:ascii="Times New Roman" w:eastAsia="Times New Roman" w:hAnsi="Times New Roman" w:cs="Times New Roman"/>
          <w:color w:val="FF0000"/>
          <w:spacing w:val="-1"/>
          <w:sz w:val="24"/>
          <w:szCs w:val="24"/>
          <w:u w:val="single"/>
        </w:rPr>
        <w:t>comentan los expertos de Jefferies.</w:t>
      </w:r>
    </w:p>
    <w:p w:rsidR="00D95EC4" w:rsidRPr="008657CD" w:rsidRDefault="00D95EC4" w:rsidP="00FA4DA9">
      <w:pPr>
        <w:shd w:val="clear" w:color="auto" w:fill="FFFFFF"/>
        <w:spacing w:after="270" w:line="240" w:lineRule="auto"/>
        <w:jc w:val="both"/>
        <w:rPr>
          <w:rFonts w:ascii="Times New Roman" w:eastAsia="Times New Roman" w:hAnsi="Times New Roman" w:cs="Times New Roman"/>
          <w:color w:val="FF0000"/>
          <w:spacing w:val="-1"/>
          <w:sz w:val="24"/>
          <w:szCs w:val="24"/>
          <w:u w:val="single"/>
        </w:rPr>
      </w:pPr>
      <w:r w:rsidRPr="008657CD">
        <w:rPr>
          <w:rFonts w:ascii="Times New Roman" w:eastAsia="Times New Roman" w:hAnsi="Times New Roman" w:cs="Times New Roman"/>
          <w:color w:val="212529"/>
          <w:spacing w:val="-1"/>
          <w:sz w:val="24"/>
          <w:szCs w:val="24"/>
        </w:rPr>
        <w:t>Por otro lado, cuando la economía se encuentra por debajo de su potencial (hay muchos recursos ociosos sin producir), como es el caso hoy, cualquier aumento de la oferta monetaria debería ayudar a reducir esa brecha negativ</w:t>
      </w:r>
      <w:r>
        <w:rPr>
          <w:rFonts w:ascii="Times New Roman" w:eastAsia="Times New Roman" w:hAnsi="Times New Roman" w:cs="Times New Roman"/>
          <w:color w:val="212529"/>
          <w:spacing w:val="-1"/>
          <w:sz w:val="24"/>
          <w:szCs w:val="24"/>
        </w:rPr>
        <w:t xml:space="preserve">a del PIB, sin un impacto en </w:t>
      </w:r>
      <w:r w:rsidRPr="008657CD">
        <w:rPr>
          <w:rFonts w:ascii="Times New Roman" w:eastAsia="Times New Roman" w:hAnsi="Times New Roman" w:cs="Times New Roman"/>
          <w:color w:val="212529"/>
          <w:spacing w:val="-1"/>
          <w:sz w:val="24"/>
          <w:szCs w:val="24"/>
        </w:rPr>
        <w:t xml:space="preserve">los precios, puesto que hay muchos trabajadores desempleados, una parte del capital (maquinaría, tecnología, fábricas...) inactivo, por lo que un aumento de la demanda puede ser cubierto sin problemas y sin mayores costes que den lugar a un aumento de la inflación. </w:t>
      </w:r>
      <w:r w:rsidR="00327997">
        <w:rPr>
          <w:rFonts w:ascii="Times New Roman" w:eastAsia="Times New Roman" w:hAnsi="Times New Roman" w:cs="Times New Roman"/>
          <w:color w:val="FF0000"/>
          <w:spacing w:val="-1"/>
          <w:sz w:val="24"/>
          <w:szCs w:val="24"/>
          <w:u w:val="single"/>
        </w:rPr>
        <w:t>“</w:t>
      </w:r>
      <w:r w:rsidRPr="008657CD">
        <w:rPr>
          <w:rFonts w:ascii="Times New Roman" w:eastAsia="Times New Roman" w:hAnsi="Times New Roman" w:cs="Times New Roman"/>
          <w:color w:val="FF0000"/>
          <w:spacing w:val="-1"/>
          <w:sz w:val="24"/>
          <w:szCs w:val="24"/>
          <w:u w:val="single"/>
        </w:rPr>
        <w:t>Dadas nuestras proyecciones económicas continuará siendo así durante varios años. Esperamos que el PIB real regrese a los niveles anteriores al covid-19 </w:t>
      </w:r>
      <w:hyperlink r:id="rId119" w:history="1">
        <w:r w:rsidRPr="00922CE4">
          <w:rPr>
            <w:rFonts w:ascii="Times New Roman" w:eastAsia="Times New Roman" w:hAnsi="Times New Roman" w:cs="Times New Roman"/>
            <w:color w:val="FF0000"/>
            <w:spacing w:val="-1"/>
            <w:sz w:val="24"/>
            <w:szCs w:val="24"/>
            <w:u w:val="single"/>
          </w:rPr>
          <w:t>en aproximadamente 2 años</w:t>
        </w:r>
      </w:hyperlink>
      <w:r w:rsidRPr="008657CD">
        <w:rPr>
          <w:rFonts w:ascii="Times New Roman" w:eastAsia="Times New Roman" w:hAnsi="Times New Roman" w:cs="Times New Roman"/>
          <w:color w:val="FF0000"/>
          <w:spacing w:val="-1"/>
          <w:sz w:val="24"/>
          <w:szCs w:val="24"/>
          <w:u w:val="single"/>
        </w:rPr>
        <w:t xml:space="preserve">, pero para entonces, la producción potencial será aproximadamente un </w:t>
      </w:r>
      <w:r w:rsidR="00327997">
        <w:rPr>
          <w:rFonts w:ascii="Times New Roman" w:eastAsia="Times New Roman" w:hAnsi="Times New Roman" w:cs="Times New Roman"/>
          <w:color w:val="FF0000"/>
          <w:spacing w:val="-1"/>
          <w:sz w:val="24"/>
          <w:szCs w:val="24"/>
          <w:u w:val="single"/>
        </w:rPr>
        <w:t>4% más alta de lo que es hoy”</w:t>
      </w:r>
      <w:r w:rsidRPr="008657CD">
        <w:rPr>
          <w:rFonts w:ascii="Times New Roman" w:eastAsia="Times New Roman" w:hAnsi="Times New Roman" w:cs="Times New Roman"/>
          <w:color w:val="FF0000"/>
          <w:spacing w:val="-1"/>
          <w:sz w:val="24"/>
          <w:szCs w:val="24"/>
          <w:u w:val="single"/>
        </w:rPr>
        <w:t>, comentan desde Jefferies.</w:t>
      </w:r>
    </w:p>
    <w:p w:rsidR="00D95EC4" w:rsidRPr="008657CD" w:rsidRDefault="00D95EC4" w:rsidP="00FA4DA9">
      <w:pPr>
        <w:shd w:val="clear" w:color="auto" w:fill="FFFFFF"/>
        <w:spacing w:after="270" w:line="240" w:lineRule="auto"/>
        <w:jc w:val="both"/>
        <w:rPr>
          <w:rFonts w:ascii="Times New Roman" w:eastAsia="Times New Roman" w:hAnsi="Times New Roman" w:cs="Times New Roman"/>
          <w:color w:val="FF0000"/>
          <w:spacing w:val="-1"/>
          <w:sz w:val="24"/>
          <w:szCs w:val="24"/>
          <w:u w:val="single"/>
        </w:rPr>
      </w:pPr>
      <w:r w:rsidRPr="008657CD">
        <w:rPr>
          <w:rFonts w:ascii="Times New Roman" w:eastAsia="Times New Roman" w:hAnsi="Times New Roman" w:cs="Times New Roman"/>
          <w:color w:val="FF0000"/>
          <w:spacing w:val="-1"/>
          <w:sz w:val="24"/>
          <w:szCs w:val="24"/>
          <w:u w:val="single"/>
        </w:rPr>
        <w:t>Las circunstancias actuales en las que ocurre el aumento del crecimiento del dinero son únicas. El aumento es el reflejo un fuerte incremento del endeudamiento de gobiernos y empresas, pero esto se está llevando a cabo para cubrir las </w:t>
      </w:r>
      <w:r w:rsidRPr="00327997">
        <w:rPr>
          <w:rFonts w:ascii="Times New Roman" w:eastAsia="Times New Roman" w:hAnsi="Times New Roman" w:cs="Times New Roman"/>
          <w:bCs/>
          <w:color w:val="FF0000"/>
          <w:spacing w:val="-1"/>
          <w:sz w:val="24"/>
          <w:szCs w:val="24"/>
          <w:u w:val="single"/>
        </w:rPr>
        <w:t>necesidades de urgencia</w:t>
      </w:r>
      <w:r w:rsidRPr="008657CD">
        <w:rPr>
          <w:rFonts w:ascii="Times New Roman" w:eastAsia="Times New Roman" w:hAnsi="Times New Roman" w:cs="Times New Roman"/>
          <w:color w:val="FF0000"/>
          <w:spacing w:val="-1"/>
          <w:sz w:val="24"/>
          <w:szCs w:val="24"/>
          <w:u w:val="single"/>
        </w:rPr>
        <w:t> que han tenido y siguen teniendo las empresas y los hogares </w:t>
      </w:r>
      <w:hyperlink r:id="rId120" w:history="1">
        <w:r w:rsidRPr="00922CE4">
          <w:rPr>
            <w:rFonts w:ascii="Times New Roman" w:eastAsia="Times New Roman" w:hAnsi="Times New Roman" w:cs="Times New Roman"/>
            <w:color w:val="FF0000"/>
            <w:spacing w:val="-1"/>
            <w:sz w:val="24"/>
            <w:szCs w:val="24"/>
            <w:u w:val="single"/>
          </w:rPr>
          <w:t>tras la hibernación</w:t>
        </w:r>
      </w:hyperlink>
      <w:r w:rsidRPr="008657CD">
        <w:rPr>
          <w:rFonts w:ascii="Times New Roman" w:eastAsia="Times New Roman" w:hAnsi="Times New Roman" w:cs="Times New Roman"/>
          <w:color w:val="FF0000"/>
          <w:spacing w:val="-1"/>
          <w:sz w:val="24"/>
          <w:szCs w:val="24"/>
          <w:u w:val="single"/>
        </w:rPr>
        <w:t> de las economías.</w:t>
      </w:r>
    </w:p>
    <w:p w:rsidR="00D95EC4" w:rsidRPr="008657CD" w:rsidRDefault="00327997" w:rsidP="00FA4DA9">
      <w:pPr>
        <w:shd w:val="clear" w:color="auto" w:fill="FFFFFF"/>
        <w:spacing w:after="270" w:line="240" w:lineRule="auto"/>
        <w:jc w:val="both"/>
        <w:rPr>
          <w:rFonts w:ascii="Times New Roman" w:eastAsia="Times New Roman" w:hAnsi="Times New Roman" w:cs="Times New Roman"/>
          <w:color w:val="FF0000"/>
          <w:spacing w:val="-1"/>
          <w:sz w:val="24"/>
          <w:szCs w:val="24"/>
          <w:u w:val="single"/>
        </w:rPr>
      </w:pPr>
      <w:r>
        <w:rPr>
          <w:rFonts w:ascii="Times New Roman" w:eastAsia="Times New Roman" w:hAnsi="Times New Roman" w:cs="Times New Roman"/>
          <w:color w:val="212529"/>
          <w:spacing w:val="-1"/>
          <w:sz w:val="24"/>
          <w:szCs w:val="24"/>
        </w:rPr>
        <w:t>“</w:t>
      </w:r>
      <w:r w:rsidR="00D95EC4" w:rsidRPr="008657CD">
        <w:rPr>
          <w:rFonts w:ascii="Times New Roman" w:eastAsia="Times New Roman" w:hAnsi="Times New Roman" w:cs="Times New Roman"/>
          <w:color w:val="212529"/>
          <w:spacing w:val="-1"/>
          <w:sz w:val="24"/>
          <w:szCs w:val="24"/>
        </w:rPr>
        <w:t>Las empresas también han recurrido en gran medida a las líneas de crédito existentes con la expectativa (</w:t>
      </w:r>
      <w:hyperlink r:id="rId121" w:history="1">
        <w:r w:rsidR="00D95EC4" w:rsidRPr="00327997">
          <w:rPr>
            <w:rFonts w:ascii="Times New Roman" w:eastAsia="Times New Roman" w:hAnsi="Times New Roman" w:cs="Times New Roman"/>
            <w:spacing w:val="-1"/>
            <w:sz w:val="24"/>
            <w:szCs w:val="24"/>
          </w:rPr>
          <w:t>probablemente correcta</w:t>
        </w:r>
      </w:hyperlink>
      <w:r w:rsidR="00D95EC4" w:rsidRPr="008657CD">
        <w:rPr>
          <w:rFonts w:ascii="Times New Roman" w:eastAsia="Times New Roman" w:hAnsi="Times New Roman" w:cs="Times New Roman"/>
          <w:color w:val="212529"/>
          <w:spacing w:val="-1"/>
          <w:sz w:val="24"/>
          <w:szCs w:val="24"/>
        </w:rPr>
        <w:t xml:space="preserve">) de que en el futuro el crédito será más caro y difícil de conseguir. En parte, el crecimiento del dinero u oferta monetaria representa un fuerte aumento en la demanda de activos líquidos por parte del sector privado, lo que refleja más las dificultades financieras que un exceso monetario. </w:t>
      </w:r>
      <w:r w:rsidR="00D95EC4" w:rsidRPr="008657CD">
        <w:rPr>
          <w:rFonts w:ascii="Times New Roman" w:eastAsia="Times New Roman" w:hAnsi="Times New Roman" w:cs="Times New Roman"/>
          <w:color w:val="FF0000"/>
          <w:spacing w:val="-1"/>
          <w:sz w:val="24"/>
          <w:szCs w:val="24"/>
          <w:u w:val="single"/>
        </w:rPr>
        <w:t>Un aumento monetario como este </w:t>
      </w:r>
      <w:r w:rsidR="00D95EC4" w:rsidRPr="008657CD">
        <w:rPr>
          <w:rFonts w:ascii="Times New Roman" w:eastAsia="Times New Roman" w:hAnsi="Times New Roman" w:cs="Times New Roman"/>
          <w:b/>
          <w:bCs/>
          <w:color w:val="FF0000"/>
          <w:spacing w:val="-1"/>
          <w:sz w:val="24"/>
          <w:szCs w:val="24"/>
          <w:u w:val="single"/>
        </w:rPr>
        <w:t>no debería ser inflacionario</w:t>
      </w:r>
      <w:r w:rsidR="00D95EC4" w:rsidRPr="008657CD">
        <w:rPr>
          <w:rFonts w:ascii="Times New Roman" w:eastAsia="Times New Roman" w:hAnsi="Times New Roman" w:cs="Times New Roman"/>
          <w:color w:val="FF0000"/>
          <w:spacing w:val="-1"/>
          <w:sz w:val="24"/>
          <w:szCs w:val="24"/>
          <w:u w:val="single"/>
        </w:rPr>
        <w:t>, ya que la liquidez que se proporciona se está acumulando, en lugar de desviarse hacia un mayor gasto o inversión. En términos técnicos monetaristas, </w:t>
      </w:r>
      <w:hyperlink r:id="rId122" w:history="1">
        <w:r w:rsidR="00555F2F">
          <w:rPr>
            <w:rFonts w:ascii="Times New Roman" w:eastAsia="Times New Roman" w:hAnsi="Times New Roman" w:cs="Times New Roman"/>
            <w:color w:val="FF0000"/>
            <w:spacing w:val="-1"/>
            <w:sz w:val="24"/>
            <w:szCs w:val="24"/>
            <w:u w:val="single"/>
          </w:rPr>
          <w:t>la “velocidad”</w:t>
        </w:r>
        <w:r w:rsidR="00D95EC4" w:rsidRPr="00922CE4">
          <w:rPr>
            <w:rFonts w:ascii="Times New Roman" w:eastAsia="Times New Roman" w:hAnsi="Times New Roman" w:cs="Times New Roman"/>
            <w:color w:val="FF0000"/>
            <w:spacing w:val="-1"/>
            <w:sz w:val="24"/>
            <w:szCs w:val="24"/>
            <w:u w:val="single"/>
          </w:rPr>
          <w:t xml:space="preserve"> del dinero</w:t>
        </w:r>
      </w:hyperlink>
      <w:r w:rsidR="00D95EC4" w:rsidRPr="008657CD">
        <w:rPr>
          <w:rFonts w:ascii="Times New Roman" w:eastAsia="Times New Roman" w:hAnsi="Times New Roman" w:cs="Times New Roman"/>
          <w:color w:val="FF0000"/>
          <w:spacing w:val="-1"/>
          <w:sz w:val="24"/>
          <w:szCs w:val="24"/>
          <w:u w:val="single"/>
        </w:rPr>
        <w:t> (cantidad de transaccione</w:t>
      </w:r>
      <w:r>
        <w:rPr>
          <w:rFonts w:ascii="Times New Roman" w:eastAsia="Times New Roman" w:hAnsi="Times New Roman" w:cs="Times New Roman"/>
          <w:color w:val="FF0000"/>
          <w:spacing w:val="-1"/>
          <w:sz w:val="24"/>
          <w:szCs w:val="24"/>
          <w:u w:val="single"/>
        </w:rPr>
        <w:t>s) se ha reducido drásticamente”</w:t>
      </w:r>
      <w:r w:rsidR="00D95EC4" w:rsidRPr="008657CD">
        <w:rPr>
          <w:rFonts w:ascii="Times New Roman" w:eastAsia="Times New Roman" w:hAnsi="Times New Roman" w:cs="Times New Roman"/>
          <w:color w:val="FF0000"/>
          <w:spacing w:val="-1"/>
          <w:sz w:val="24"/>
          <w:szCs w:val="24"/>
          <w:u w:val="single"/>
        </w:rPr>
        <w:t>, sentencia Slater.</w:t>
      </w:r>
    </w:p>
    <w:p w:rsidR="00D95EC4" w:rsidRPr="008657CD" w:rsidRDefault="00D95EC4" w:rsidP="00FA4DA9">
      <w:pPr>
        <w:shd w:val="clear" w:color="auto" w:fill="FFFFFF"/>
        <w:spacing w:after="270" w:line="240" w:lineRule="auto"/>
        <w:jc w:val="both"/>
        <w:rPr>
          <w:rFonts w:ascii="Times New Roman" w:eastAsia="Times New Roman" w:hAnsi="Times New Roman" w:cs="Times New Roman"/>
          <w:color w:val="212529"/>
          <w:spacing w:val="-1"/>
          <w:sz w:val="24"/>
          <w:szCs w:val="24"/>
        </w:rPr>
      </w:pPr>
      <w:r w:rsidRPr="008657CD">
        <w:rPr>
          <w:rFonts w:ascii="Times New Roman" w:eastAsia="Times New Roman" w:hAnsi="Times New Roman" w:cs="Times New Roman"/>
          <w:color w:val="212529"/>
          <w:spacing w:val="-1"/>
          <w:sz w:val="24"/>
          <w:szCs w:val="24"/>
        </w:rPr>
        <w:t>William De Vijlder, economista jefe de BNP Paribas, reconoce en su vídeo blog que la pregunta que los clientes hacen con mayor frecuencia hoy</w:t>
      </w:r>
      <w:r w:rsidR="00327997">
        <w:rPr>
          <w:rFonts w:ascii="Times New Roman" w:eastAsia="Times New Roman" w:hAnsi="Times New Roman" w:cs="Times New Roman"/>
          <w:color w:val="212529"/>
          <w:spacing w:val="-1"/>
          <w:sz w:val="24"/>
          <w:szCs w:val="24"/>
        </w:rPr>
        <w:t xml:space="preserve"> es sobre la oferta de dinero. “</w:t>
      </w:r>
      <w:r w:rsidRPr="008657CD">
        <w:rPr>
          <w:rFonts w:ascii="Times New Roman" w:eastAsia="Times New Roman" w:hAnsi="Times New Roman" w:cs="Times New Roman"/>
          <w:color w:val="212529"/>
          <w:spacing w:val="-1"/>
          <w:sz w:val="24"/>
          <w:szCs w:val="24"/>
        </w:rPr>
        <w:t>¿Cuándo volverá a subir la inflación? Pues han entrado en juego dos factores estructurales: la enorme caída en el crecimiento y la demanda, y la grave recesión en el mercado laboral. Por ello, </w:t>
      </w:r>
      <w:hyperlink r:id="rId123" w:history="1">
        <w:r w:rsidRPr="00327997">
          <w:rPr>
            <w:rFonts w:ascii="Times New Roman" w:eastAsia="Times New Roman" w:hAnsi="Times New Roman" w:cs="Times New Roman"/>
            <w:bCs/>
            <w:spacing w:val="-1"/>
            <w:sz w:val="24"/>
            <w:szCs w:val="24"/>
          </w:rPr>
          <w:t>los cuellos de botella</w:t>
        </w:r>
        <w:r w:rsidRPr="00327997">
          <w:rPr>
            <w:rFonts w:ascii="Times New Roman" w:eastAsia="Times New Roman" w:hAnsi="Times New Roman" w:cs="Times New Roman"/>
            <w:spacing w:val="-1"/>
            <w:sz w:val="24"/>
            <w:szCs w:val="24"/>
          </w:rPr>
          <w:t> que generalmente surgen</w:t>
        </w:r>
      </w:hyperlink>
      <w:r w:rsidRPr="008657CD">
        <w:rPr>
          <w:rFonts w:ascii="Times New Roman" w:eastAsia="Times New Roman" w:hAnsi="Times New Roman" w:cs="Times New Roman"/>
          <w:color w:val="212529"/>
          <w:spacing w:val="-1"/>
          <w:sz w:val="24"/>
          <w:szCs w:val="24"/>
        </w:rPr>
        <w:t> cuando la economía está bajo presión y el crecimiento es fuerte n</w:t>
      </w:r>
      <w:r w:rsidR="00327997">
        <w:rPr>
          <w:rFonts w:ascii="Times New Roman" w:eastAsia="Times New Roman" w:hAnsi="Times New Roman" w:cs="Times New Roman"/>
          <w:color w:val="212529"/>
          <w:spacing w:val="-1"/>
          <w:sz w:val="24"/>
          <w:szCs w:val="24"/>
        </w:rPr>
        <w:t>o surgirán durante mucho tiempo”</w:t>
      </w:r>
      <w:r w:rsidRPr="008657CD">
        <w:rPr>
          <w:rFonts w:ascii="Times New Roman" w:eastAsia="Times New Roman" w:hAnsi="Times New Roman" w:cs="Times New Roman"/>
          <w:color w:val="212529"/>
          <w:spacing w:val="-1"/>
          <w:sz w:val="24"/>
          <w:szCs w:val="24"/>
        </w:rPr>
        <w:t>.</w:t>
      </w:r>
    </w:p>
    <w:p w:rsidR="00D95EC4" w:rsidRDefault="00327997" w:rsidP="00FA4DA9">
      <w:pPr>
        <w:shd w:val="clear" w:color="auto" w:fill="FFFFFF"/>
        <w:spacing w:after="270" w:line="240" w:lineRule="auto"/>
        <w:jc w:val="both"/>
        <w:rPr>
          <w:rFonts w:ascii="Times New Roman" w:eastAsia="Times New Roman" w:hAnsi="Times New Roman" w:cs="Times New Roman"/>
          <w:spacing w:val="-1"/>
          <w:sz w:val="24"/>
          <w:szCs w:val="24"/>
        </w:rPr>
      </w:pPr>
      <w:r>
        <w:rPr>
          <w:rFonts w:ascii="Times New Roman" w:eastAsia="Times New Roman" w:hAnsi="Times New Roman" w:cs="Times New Roman"/>
          <w:color w:val="212529"/>
          <w:spacing w:val="-1"/>
          <w:sz w:val="24"/>
          <w:szCs w:val="24"/>
        </w:rPr>
        <w:t>No obstante, “</w:t>
      </w:r>
      <w:r w:rsidR="00D95EC4" w:rsidRPr="008657CD">
        <w:rPr>
          <w:rFonts w:ascii="Times New Roman" w:eastAsia="Times New Roman" w:hAnsi="Times New Roman" w:cs="Times New Roman"/>
          <w:color w:val="212529"/>
          <w:spacing w:val="-1"/>
          <w:sz w:val="24"/>
          <w:szCs w:val="24"/>
        </w:rPr>
        <w:t xml:space="preserve">debemos añadir algunos matices. Con el tiempo, también podemos esperar ver un poco más de inflación debido a la reorganización de las cadenas de producción y suministro, ya que las empresas buscan diversificar sus proveedores. Aunque esto podría </w:t>
      </w:r>
      <w:r w:rsidR="00D95EC4" w:rsidRPr="00D95EC4">
        <w:rPr>
          <w:rFonts w:ascii="Times New Roman" w:eastAsia="Times New Roman" w:hAnsi="Times New Roman" w:cs="Times New Roman"/>
          <w:spacing w:val="-1"/>
          <w:sz w:val="24"/>
          <w:szCs w:val="24"/>
        </w:rPr>
        <w:t>generar un poco más de inflación, en general, nuestra suposición básica debería ser que vivimos en un mundo con</w:t>
      </w:r>
      <w:r>
        <w:rPr>
          <w:rFonts w:ascii="Times New Roman" w:eastAsia="Times New Roman" w:hAnsi="Times New Roman" w:cs="Times New Roman"/>
          <w:spacing w:val="-1"/>
          <w:sz w:val="24"/>
          <w:szCs w:val="24"/>
        </w:rPr>
        <w:t xml:space="preserve"> muy poca inflación estructural”</w:t>
      </w:r>
      <w:r w:rsidR="00D95EC4" w:rsidRPr="00D95EC4">
        <w:rPr>
          <w:rFonts w:ascii="Times New Roman" w:eastAsia="Times New Roman" w:hAnsi="Times New Roman" w:cs="Times New Roman"/>
          <w:spacing w:val="-1"/>
          <w:sz w:val="24"/>
          <w:szCs w:val="24"/>
        </w:rPr>
        <w:t>, sentencia el experto.</w:t>
      </w:r>
    </w:p>
    <w:p w:rsidR="00CA43AE" w:rsidRPr="00A52DAC" w:rsidRDefault="00CA43AE" w:rsidP="00FA4DA9">
      <w:pPr>
        <w:shd w:val="clear" w:color="auto" w:fill="FFFFFF"/>
        <w:spacing w:after="270" w:line="240" w:lineRule="auto"/>
        <w:jc w:val="both"/>
        <w:rPr>
          <w:rFonts w:ascii="Times New Roman" w:eastAsia="Times New Roman" w:hAnsi="Times New Roman" w:cs="Times New Roman"/>
          <w:spacing w:val="-1"/>
          <w:sz w:val="24"/>
          <w:szCs w:val="24"/>
        </w:rPr>
      </w:pPr>
      <w:r w:rsidRPr="00A52DAC">
        <w:rPr>
          <w:rFonts w:ascii="Times New Roman" w:eastAsia="Times New Roman" w:hAnsi="Times New Roman" w:cs="Times New Roman"/>
          <w:spacing w:val="-1"/>
          <w:sz w:val="24"/>
          <w:szCs w:val="24"/>
        </w:rPr>
        <w:t xml:space="preserve">- </w:t>
      </w:r>
      <w:r w:rsidRPr="00A52DAC">
        <w:rPr>
          <w:rFonts w:ascii="Times New Roman" w:eastAsia="Times New Roman" w:hAnsi="Times New Roman" w:cs="Times New Roman"/>
          <w:spacing w:val="-1"/>
          <w:sz w:val="24"/>
          <w:szCs w:val="24"/>
          <w:u w:val="single"/>
        </w:rPr>
        <w:t>La Fed se erige ya como el mayor tenedor de deuda pública de EEUU con 4,2 billones de dólares</w:t>
      </w:r>
      <w:r w:rsidRPr="00A52DAC">
        <w:rPr>
          <w:rFonts w:ascii="Times New Roman" w:eastAsia="Times New Roman" w:hAnsi="Times New Roman" w:cs="Times New Roman"/>
          <w:spacing w:val="-1"/>
          <w:sz w:val="24"/>
          <w:szCs w:val="24"/>
        </w:rPr>
        <w:t xml:space="preserve"> (El Economista - </w:t>
      </w:r>
      <w:r w:rsidRPr="00A52DAC">
        <w:rPr>
          <w:rFonts w:ascii="Times New Roman" w:eastAsia="Times New Roman" w:hAnsi="Times New Roman" w:cs="Times New Roman"/>
          <w:b/>
          <w:spacing w:val="-1"/>
          <w:sz w:val="24"/>
          <w:szCs w:val="24"/>
        </w:rPr>
        <w:t>21/7/20</w:t>
      </w:r>
      <w:r w:rsidRPr="00A52DAC">
        <w:rPr>
          <w:rFonts w:ascii="Times New Roman" w:eastAsia="Times New Roman" w:hAnsi="Times New Roman" w:cs="Times New Roman"/>
          <w:spacing w:val="-1"/>
          <w:sz w:val="24"/>
          <w:szCs w:val="24"/>
        </w:rPr>
        <w:t>)</w:t>
      </w:r>
    </w:p>
    <w:p w:rsidR="00CA43AE" w:rsidRPr="00CA43AE" w:rsidRDefault="00CA43AE" w:rsidP="00FA4DA9">
      <w:pPr>
        <w:shd w:val="clear" w:color="auto" w:fill="FFFFFF"/>
        <w:spacing w:after="270" w:line="240" w:lineRule="auto"/>
        <w:jc w:val="both"/>
        <w:rPr>
          <w:rFonts w:ascii="Times New Roman" w:eastAsia="Times New Roman" w:hAnsi="Times New Roman" w:cs="Times New Roman"/>
          <w:b/>
          <w:color w:val="FF0000"/>
          <w:spacing w:val="-1"/>
          <w:sz w:val="24"/>
          <w:szCs w:val="24"/>
          <w:u w:val="single"/>
        </w:rPr>
      </w:pPr>
      <w:r w:rsidRPr="00CA43AE">
        <w:rPr>
          <w:rFonts w:ascii="Times New Roman" w:eastAsia="Times New Roman" w:hAnsi="Times New Roman" w:cs="Times New Roman"/>
          <w:b/>
          <w:color w:val="FF0000"/>
          <w:spacing w:val="-1"/>
          <w:sz w:val="24"/>
          <w:szCs w:val="24"/>
          <w:u w:val="single"/>
        </w:rPr>
        <w:t>A medida que el balance de la Reserva Federal continúa creciendo exponencialmente, rozando actualmente los 7 billones de dólares, el banco central de Estados Unidos también se postula ya como el mayor tenedor único de bonos del Tesoro patrios.</w:t>
      </w:r>
    </w:p>
    <w:p w:rsidR="00CA43AE" w:rsidRDefault="00CA43AE" w:rsidP="00FA4DA9">
      <w:pPr>
        <w:shd w:val="clear" w:color="auto" w:fill="FFFFFF"/>
        <w:spacing w:after="270" w:line="240" w:lineRule="auto"/>
        <w:jc w:val="both"/>
        <w:rPr>
          <w:rFonts w:ascii="Times New Roman" w:eastAsia="Times New Roman" w:hAnsi="Times New Roman" w:cs="Times New Roman"/>
          <w:b/>
          <w:color w:val="FF0000"/>
          <w:spacing w:val="-1"/>
          <w:sz w:val="24"/>
          <w:szCs w:val="24"/>
          <w:u w:val="single"/>
        </w:rPr>
      </w:pPr>
      <w:r w:rsidRPr="00CA43AE">
        <w:rPr>
          <w:rFonts w:ascii="Times New Roman" w:eastAsia="Times New Roman" w:hAnsi="Times New Roman" w:cs="Times New Roman"/>
          <w:b/>
          <w:color w:val="FF0000"/>
          <w:spacing w:val="-1"/>
          <w:sz w:val="24"/>
          <w:szCs w:val="24"/>
          <w:u w:val="single"/>
        </w:rPr>
        <w:lastRenderedPageBreak/>
        <w:t>Con un total de 4,25 billones de dólares registrados la semana pasada, Jerome Powell y sus chicos superan ya el total de deuda pública estadounidense en manos de gobiernos extranjeros.</w:t>
      </w:r>
    </w:p>
    <w:p w:rsidR="00CA43AE" w:rsidRPr="00CA43AE" w:rsidRDefault="00CA43AE" w:rsidP="00FA4DA9">
      <w:pPr>
        <w:shd w:val="clear" w:color="auto" w:fill="FFFFFF"/>
        <w:spacing w:after="270" w:line="240" w:lineRule="auto"/>
        <w:jc w:val="both"/>
        <w:rPr>
          <w:rFonts w:ascii="Times New Roman" w:eastAsia="Times New Roman" w:hAnsi="Times New Roman" w:cs="Times New Roman"/>
          <w:b/>
          <w:color w:val="FF0000"/>
          <w:spacing w:val="-1"/>
          <w:sz w:val="24"/>
          <w:szCs w:val="24"/>
          <w:u w:val="single"/>
        </w:rPr>
      </w:pPr>
      <w:r>
        <w:rPr>
          <w:noProof/>
          <w:lang w:eastAsia="es-ES"/>
        </w:rPr>
        <w:drawing>
          <wp:inline distT="0" distB="0" distL="0" distR="0" wp14:anchorId="3009901D" wp14:editId="79EA6C91">
            <wp:extent cx="5731510" cy="3830320"/>
            <wp:effectExtent l="0" t="0" r="2540" b="0"/>
            <wp:docPr id="30" name="Imagen 30" descr="https://s03.s3c.es/imag/_v0/770x515/a/b/e/220720-fe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03.s3c.es/imag/_v0/770x515/a/b/e/220720-fed.gif"/>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731510" cy="3830320"/>
                    </a:xfrm>
                    <a:prstGeom prst="rect">
                      <a:avLst/>
                    </a:prstGeom>
                    <a:noFill/>
                    <a:ln>
                      <a:noFill/>
                    </a:ln>
                  </pic:spPr>
                </pic:pic>
              </a:graphicData>
            </a:graphic>
          </wp:inline>
        </w:drawing>
      </w:r>
    </w:p>
    <w:p w:rsidR="00CA43AE" w:rsidRPr="00CA43AE" w:rsidRDefault="00CA43AE" w:rsidP="00FA4DA9">
      <w:pPr>
        <w:shd w:val="clear" w:color="auto" w:fill="FFFFFF"/>
        <w:spacing w:after="270" w:line="240" w:lineRule="auto"/>
        <w:jc w:val="both"/>
        <w:rPr>
          <w:rFonts w:ascii="Times New Roman" w:eastAsia="Times New Roman" w:hAnsi="Times New Roman" w:cs="Times New Roman"/>
          <w:color w:val="FF0000"/>
          <w:spacing w:val="-1"/>
          <w:sz w:val="24"/>
          <w:szCs w:val="24"/>
          <w:u w:val="single"/>
        </w:rPr>
      </w:pPr>
      <w:r w:rsidRPr="00CA43AE">
        <w:rPr>
          <w:rFonts w:ascii="Times New Roman" w:eastAsia="Times New Roman" w:hAnsi="Times New Roman" w:cs="Times New Roman"/>
          <w:color w:val="FF0000"/>
          <w:spacing w:val="-1"/>
          <w:sz w:val="24"/>
          <w:szCs w:val="24"/>
          <w:u w:val="single"/>
        </w:rPr>
        <w:t>Según los datos más recientes del Departamento del Tesoro, el pasado mes de mayo los gobiernos y bancos centrales extranjeros acumulaban un total de 4,10 billones de dólares, de los cuales 3,75 billones eran bonos y notas del Tesoro y 355.700 millones correspondían a deuda pública estadounidense a corto plazo. En general, la deuda del gobierno de EEUU en manos extranjeras alcanzó por entonces los 6,86 billones de dólares.</w:t>
      </w:r>
    </w:p>
    <w:p w:rsidR="00CA43AE" w:rsidRPr="00CA43AE" w:rsidRDefault="00CA43AE" w:rsidP="00FA4DA9">
      <w:pPr>
        <w:shd w:val="clear" w:color="auto" w:fill="FFFFFF"/>
        <w:spacing w:after="270" w:line="240" w:lineRule="auto"/>
        <w:jc w:val="both"/>
        <w:rPr>
          <w:rFonts w:ascii="Times New Roman" w:eastAsia="Times New Roman" w:hAnsi="Times New Roman" w:cs="Times New Roman"/>
          <w:color w:val="FF0000"/>
          <w:spacing w:val="-1"/>
          <w:sz w:val="24"/>
          <w:szCs w:val="24"/>
          <w:u w:val="single"/>
        </w:rPr>
      </w:pPr>
      <w:r w:rsidRPr="00CA43AE">
        <w:rPr>
          <w:rFonts w:ascii="Times New Roman" w:eastAsia="Times New Roman" w:hAnsi="Times New Roman" w:cs="Times New Roman"/>
          <w:color w:val="FF0000"/>
          <w:spacing w:val="-1"/>
          <w:sz w:val="24"/>
          <w:szCs w:val="24"/>
          <w:u w:val="single"/>
        </w:rPr>
        <w:t xml:space="preserve">De dicha cantidad, Japón se postuló como el mayor acreedor de EEUU con un total de 1,26 billones de dólares, un aumento del 14,4% con respecto a los niveles registrados el año pasado. Por detrás estuvo China, que redujo residualmente sus tenencias en un 2,4% frente a mayo de 2019 hasta un total de 1,08 billones de dólares. </w:t>
      </w:r>
    </w:p>
    <w:p w:rsidR="00CA43AE" w:rsidRPr="00A52DAC" w:rsidRDefault="00CA43AE" w:rsidP="00FA4DA9">
      <w:pPr>
        <w:shd w:val="clear" w:color="auto" w:fill="FFFFFF"/>
        <w:spacing w:after="270" w:line="240" w:lineRule="auto"/>
        <w:jc w:val="both"/>
        <w:rPr>
          <w:rFonts w:ascii="Times New Roman" w:eastAsia="Times New Roman" w:hAnsi="Times New Roman" w:cs="Times New Roman"/>
          <w:spacing w:val="-1"/>
          <w:sz w:val="24"/>
          <w:szCs w:val="24"/>
        </w:rPr>
      </w:pPr>
      <w:r w:rsidRPr="00A52DAC">
        <w:rPr>
          <w:rFonts w:ascii="Times New Roman" w:eastAsia="Times New Roman" w:hAnsi="Times New Roman" w:cs="Times New Roman"/>
          <w:spacing w:val="-1"/>
          <w:sz w:val="24"/>
          <w:szCs w:val="24"/>
        </w:rPr>
        <w:t>Desde el pasado mes de marzo, la Fed ha dado rienda suelta a un arsenal de estímulos monetarios, que incluyen facilidades de crédito para empresas y consumidores o la compra de deuda corporativa. De esta forma, su balance ha engordado un 67% entre finales de febrero y mediados de julio para hacer frente a la profunda crisis económica derivada de la pandemia.</w:t>
      </w:r>
    </w:p>
    <w:p w:rsidR="00CA43AE" w:rsidRPr="00A52DAC" w:rsidRDefault="00CA43AE" w:rsidP="00FA4DA9">
      <w:pPr>
        <w:shd w:val="clear" w:color="auto" w:fill="FFFFFF"/>
        <w:spacing w:after="270" w:line="240" w:lineRule="auto"/>
        <w:jc w:val="both"/>
        <w:rPr>
          <w:rFonts w:ascii="Times New Roman" w:eastAsia="Times New Roman" w:hAnsi="Times New Roman" w:cs="Times New Roman"/>
          <w:spacing w:val="-1"/>
          <w:sz w:val="24"/>
          <w:szCs w:val="24"/>
        </w:rPr>
      </w:pPr>
      <w:r w:rsidRPr="00A52DAC">
        <w:rPr>
          <w:rFonts w:ascii="Times New Roman" w:eastAsia="Times New Roman" w:hAnsi="Times New Roman" w:cs="Times New Roman"/>
          <w:spacing w:val="-1"/>
          <w:sz w:val="24"/>
          <w:szCs w:val="24"/>
        </w:rPr>
        <w:t>Bajo la extrema incertidumbre que todavía pesa la recuperación, el Comité Bancario del Senado respaldó el martes la nominación de Judy Shelton a ocupar una de las vacantes en el Consejo de Gobierno de la Fed. Shelton, una economista conservadora, ha generado un profundo cisma ya que en el pasado argumentó que EEUU estaría mejor regresando al patrón oro y en 2017 calificó que el poder de la Fed sobre el dinero y los mercados financieros era “poco saludable”.</w:t>
      </w:r>
    </w:p>
    <w:p w:rsidR="00CA43AE" w:rsidRDefault="00CA43AE" w:rsidP="00FA4DA9">
      <w:pPr>
        <w:shd w:val="clear" w:color="auto" w:fill="FFFFFF"/>
        <w:spacing w:after="270" w:line="240" w:lineRule="auto"/>
        <w:jc w:val="both"/>
        <w:rPr>
          <w:rFonts w:ascii="Times New Roman" w:eastAsia="Times New Roman" w:hAnsi="Times New Roman" w:cs="Times New Roman"/>
          <w:spacing w:val="-1"/>
          <w:sz w:val="24"/>
          <w:szCs w:val="24"/>
        </w:rPr>
      </w:pPr>
      <w:r w:rsidRPr="00A52DAC">
        <w:rPr>
          <w:rFonts w:ascii="Times New Roman" w:eastAsia="Times New Roman" w:hAnsi="Times New Roman" w:cs="Times New Roman"/>
          <w:spacing w:val="-1"/>
          <w:sz w:val="24"/>
          <w:szCs w:val="24"/>
        </w:rPr>
        <w:lastRenderedPageBreak/>
        <w:t>Si es confirmada por el pleno de la Cámara Alta, Shelton será uno de los 19 altos funcionarios de la Fed encargados de dictar la política monetaria del país, lo que significa que su influencia en el banco central sería limitada. No obstante, los críticos temen que si el presidente Donald Trump es reelegido en noviembre podría nombrarla para suceder a Powell en 2022, lo ofrecería al mandatario una gran influencia sobre el banco central de EEUU.</w:t>
      </w:r>
    </w:p>
    <w:p w:rsidR="00D95EC4" w:rsidRDefault="00D95EC4" w:rsidP="00FA4DA9">
      <w:pPr>
        <w:shd w:val="clear" w:color="auto" w:fill="FFFFFF"/>
        <w:spacing w:after="270" w:line="240" w:lineRule="auto"/>
        <w:jc w:val="both"/>
        <w:rPr>
          <w:rFonts w:ascii="Times New Roman" w:hAnsi="Times New Roman" w:cs="Times New Roman"/>
          <w:sz w:val="24"/>
          <w:szCs w:val="24"/>
        </w:rPr>
      </w:pPr>
      <w:r w:rsidRPr="00D95EC4">
        <w:rPr>
          <w:rFonts w:ascii="Times New Roman" w:hAnsi="Times New Roman" w:cs="Times New Roman"/>
          <w:sz w:val="24"/>
          <w:szCs w:val="24"/>
        </w:rPr>
        <w:t xml:space="preserve">- </w:t>
      </w:r>
      <w:r w:rsidRPr="00D95EC4">
        <w:rPr>
          <w:rFonts w:ascii="Times New Roman" w:hAnsi="Times New Roman" w:cs="Times New Roman"/>
          <w:sz w:val="24"/>
          <w:szCs w:val="24"/>
          <w:u w:val="single"/>
        </w:rPr>
        <w:t>Europa cierra un acuerdo histórico con 360.000 millones de ayudas directas</w:t>
      </w:r>
      <w:r w:rsidRPr="00D95EC4">
        <w:rPr>
          <w:rFonts w:ascii="Times New Roman" w:hAnsi="Times New Roman" w:cs="Times New Roman"/>
          <w:sz w:val="24"/>
          <w:szCs w:val="24"/>
        </w:rPr>
        <w:t xml:space="preserve"> (Expansión - </w:t>
      </w:r>
      <w:r w:rsidRPr="00D95EC4">
        <w:rPr>
          <w:rFonts w:ascii="Times New Roman" w:hAnsi="Times New Roman" w:cs="Times New Roman"/>
          <w:b/>
          <w:sz w:val="24"/>
          <w:szCs w:val="24"/>
        </w:rPr>
        <w:t>21/7/20</w:t>
      </w:r>
      <w:r w:rsidRPr="00D95EC4">
        <w:rPr>
          <w:rFonts w:ascii="Times New Roman" w:hAnsi="Times New Roman" w:cs="Times New Roman"/>
          <w:sz w:val="24"/>
          <w:szCs w:val="24"/>
        </w:rPr>
        <w:t>)</w:t>
      </w:r>
    </w:p>
    <w:p w:rsidR="00D95EC4" w:rsidRPr="00A52DAC" w:rsidRDefault="00D95EC4" w:rsidP="00FA4DA9">
      <w:pPr>
        <w:shd w:val="clear" w:color="auto" w:fill="FFFFFF"/>
        <w:spacing w:after="270" w:line="240" w:lineRule="auto"/>
        <w:jc w:val="both"/>
        <w:rPr>
          <w:rFonts w:ascii="Times New Roman" w:hAnsi="Times New Roman" w:cs="Times New Roman"/>
          <w:b/>
          <w:color w:val="FF0000"/>
          <w:sz w:val="24"/>
          <w:szCs w:val="24"/>
          <w:u w:val="single"/>
        </w:rPr>
      </w:pPr>
      <w:r w:rsidRPr="00A52DAC">
        <w:rPr>
          <w:rFonts w:ascii="Times New Roman" w:hAnsi="Times New Roman" w:cs="Times New Roman"/>
          <w:b/>
          <w:color w:val="FF0000"/>
          <w:sz w:val="24"/>
          <w:szCs w:val="24"/>
          <w:u w:val="single"/>
        </w:rPr>
        <w:t>Los jefes de Estado y de Gobierno de la Unión Europea alcanzaron esta madrugada un acuerdo para crear un fondo de recuperación de 750.000 millones de euros para ayudar a los países más afectados, incluyendo hasta 390.000 millones en transferencias directas.</w:t>
      </w:r>
    </w:p>
    <w:p w:rsidR="00D95EC4" w:rsidRPr="00A52DAC" w:rsidRDefault="00327997" w:rsidP="00FA4DA9">
      <w:pPr>
        <w:shd w:val="clear" w:color="auto" w:fill="FFFFFF"/>
        <w:spacing w:after="270" w:line="240" w:lineRule="auto"/>
        <w:jc w:val="both"/>
        <w:rPr>
          <w:rFonts w:ascii="Times New Roman" w:hAnsi="Times New Roman" w:cs="Times New Roman"/>
          <w:b/>
          <w:color w:val="FF0000"/>
          <w:sz w:val="24"/>
          <w:szCs w:val="24"/>
          <w:u w:val="single"/>
        </w:rPr>
      </w:pPr>
      <w:r w:rsidRPr="00A52DAC">
        <w:rPr>
          <w:rFonts w:ascii="Times New Roman" w:hAnsi="Times New Roman" w:cs="Times New Roman"/>
          <w:b/>
          <w:color w:val="FF0000"/>
          <w:sz w:val="24"/>
          <w:szCs w:val="24"/>
          <w:u w:val="single"/>
        </w:rPr>
        <w:t>“¡Acuerdo!”</w:t>
      </w:r>
      <w:r w:rsidR="00D95EC4" w:rsidRPr="00A52DAC">
        <w:rPr>
          <w:rFonts w:ascii="Times New Roman" w:hAnsi="Times New Roman" w:cs="Times New Roman"/>
          <w:b/>
          <w:color w:val="FF0000"/>
          <w:sz w:val="24"/>
          <w:szCs w:val="24"/>
          <w:u w:val="single"/>
        </w:rPr>
        <w:t>, anunció en redes sociales el presidente del Consejo europeo, Charles Michel, poco después de las 5.30 horas del martes. Este plan de reconstrucción, que estará financiado por una emisión sin precedentes de deuda conjunta por parte de la Comisión Europea y tendrá una duración de tres años, se sumará a un presupuesto comunitario</w:t>
      </w:r>
      <w:r w:rsidR="00A52DAC" w:rsidRPr="00A52DAC">
        <w:rPr>
          <w:rFonts w:ascii="Times New Roman" w:hAnsi="Times New Roman" w:cs="Times New Roman"/>
          <w:b/>
          <w:color w:val="FF0000"/>
          <w:sz w:val="24"/>
          <w:szCs w:val="24"/>
          <w:u w:val="single"/>
        </w:rPr>
        <w:t xml:space="preserve"> para el periodo 2021-2027 de 1,</w:t>
      </w:r>
      <w:r w:rsidR="00D95EC4" w:rsidRPr="00A52DAC">
        <w:rPr>
          <w:rFonts w:ascii="Times New Roman" w:hAnsi="Times New Roman" w:cs="Times New Roman"/>
          <w:b/>
          <w:color w:val="FF0000"/>
          <w:sz w:val="24"/>
          <w:szCs w:val="24"/>
          <w:u w:val="single"/>
        </w:rPr>
        <w:t>074 billones de euros.</w:t>
      </w:r>
    </w:p>
    <w:p w:rsidR="00327997" w:rsidRDefault="00D95EC4" w:rsidP="00FA4DA9">
      <w:pPr>
        <w:shd w:val="clear" w:color="auto" w:fill="FFFFFF"/>
        <w:spacing w:after="270" w:line="240" w:lineRule="auto"/>
        <w:jc w:val="both"/>
        <w:rPr>
          <w:rFonts w:ascii="Times New Roman" w:hAnsi="Times New Roman" w:cs="Times New Roman"/>
          <w:sz w:val="24"/>
          <w:szCs w:val="24"/>
        </w:rPr>
      </w:pPr>
      <w:r w:rsidRPr="00D95EC4">
        <w:rPr>
          <w:rFonts w:ascii="Times New Roman" w:hAnsi="Times New Roman" w:cs="Times New Roman"/>
          <w:sz w:val="24"/>
          <w:szCs w:val="24"/>
        </w:rPr>
        <w:t>Esto último supone un cambio histórico en el modelo presupuestario que estableció hace 30 años el marco financiero plurianual que supone un paso sin precedentes hacia una posible unión fiscal.</w:t>
      </w:r>
    </w:p>
    <w:p w:rsidR="00D95EC4" w:rsidRDefault="00D95EC4" w:rsidP="00FA4DA9">
      <w:pPr>
        <w:shd w:val="clear" w:color="auto" w:fill="FFFFFF"/>
        <w:spacing w:after="270" w:line="240" w:lineRule="auto"/>
        <w:jc w:val="both"/>
        <w:rPr>
          <w:rFonts w:ascii="Times New Roman" w:hAnsi="Times New Roman" w:cs="Times New Roman"/>
          <w:sz w:val="24"/>
          <w:szCs w:val="24"/>
        </w:rPr>
      </w:pPr>
      <w:r w:rsidRPr="00D95EC4">
        <w:rPr>
          <w:rFonts w:ascii="Times New Roman" w:hAnsi="Times New Roman" w:cs="Times New Roman"/>
          <w:sz w:val="24"/>
          <w:szCs w:val="24"/>
        </w:rPr>
        <w:t>Tras cuatro días maratonianos de Consejo Europeo, los líderes de los 27 consiguieron sacar adelante el esperado plan de rescate para salvar a sus economías del colapso sin precedentes de la crisis del Covid-19, entre ellas España e Italia.</w:t>
      </w:r>
    </w:p>
    <w:p w:rsidR="00D95EC4" w:rsidRDefault="00D95EC4" w:rsidP="00FA4DA9">
      <w:pPr>
        <w:shd w:val="clear" w:color="auto" w:fill="FFFFFF"/>
        <w:spacing w:after="270" w:line="240" w:lineRule="auto"/>
        <w:jc w:val="both"/>
        <w:rPr>
          <w:rFonts w:ascii="Times New Roman" w:hAnsi="Times New Roman" w:cs="Times New Roman"/>
          <w:sz w:val="24"/>
          <w:szCs w:val="24"/>
        </w:rPr>
      </w:pPr>
      <w:r w:rsidRPr="00D95EC4">
        <w:rPr>
          <w:rFonts w:ascii="Times New Roman" w:hAnsi="Times New Roman" w:cs="Times New Roman"/>
          <w:sz w:val="24"/>
          <w:szCs w:val="24"/>
        </w:rPr>
        <w:t>Tras el anuncio de Michel, se sucedieron las declaracio</w:t>
      </w:r>
      <w:r w:rsidR="00327997">
        <w:rPr>
          <w:rFonts w:ascii="Times New Roman" w:hAnsi="Times New Roman" w:cs="Times New Roman"/>
          <w:sz w:val="24"/>
          <w:szCs w:val="24"/>
        </w:rPr>
        <w:t>nes de los diferentes líderes. “¡Día histórico para Europa!”</w:t>
      </w:r>
      <w:r w:rsidRPr="00D95EC4">
        <w:rPr>
          <w:rFonts w:ascii="Times New Roman" w:hAnsi="Times New Roman" w:cs="Times New Roman"/>
          <w:sz w:val="24"/>
          <w:szCs w:val="24"/>
        </w:rPr>
        <w:t>, celebró en Twitter el presidente francés, Emmanuel Macron.</w:t>
      </w:r>
    </w:p>
    <w:p w:rsidR="00D95EC4" w:rsidRDefault="00D95EC4" w:rsidP="00FA4DA9">
      <w:pPr>
        <w:shd w:val="clear" w:color="auto" w:fill="FFFFFF"/>
        <w:spacing w:after="270" w:line="240" w:lineRule="auto"/>
        <w:jc w:val="both"/>
        <w:rPr>
          <w:rFonts w:ascii="Times New Roman" w:hAnsi="Times New Roman" w:cs="Times New Roman"/>
          <w:sz w:val="24"/>
          <w:szCs w:val="24"/>
        </w:rPr>
      </w:pPr>
      <w:r w:rsidRPr="00D95EC4">
        <w:rPr>
          <w:rFonts w:ascii="Times New Roman" w:hAnsi="Times New Roman" w:cs="Times New Roman"/>
          <w:sz w:val="24"/>
          <w:szCs w:val="24"/>
        </w:rPr>
        <w:t xml:space="preserve">La presidenta de la Comisión Europea, Ursula von der Leyen, destacó que el acuerdo es "una señal sobre la </w:t>
      </w:r>
      <w:r w:rsidR="00327997">
        <w:rPr>
          <w:rFonts w:ascii="Times New Roman" w:hAnsi="Times New Roman" w:cs="Times New Roman"/>
          <w:sz w:val="24"/>
          <w:szCs w:val="24"/>
        </w:rPr>
        <w:t>capacidad de actuar" de la UE. “</w:t>
      </w:r>
      <w:r w:rsidRPr="00D95EC4">
        <w:rPr>
          <w:rFonts w:ascii="Times New Roman" w:hAnsi="Times New Roman" w:cs="Times New Roman"/>
          <w:sz w:val="24"/>
          <w:szCs w:val="24"/>
        </w:rPr>
        <w:t xml:space="preserve">Europa tiene la valentía y la </w:t>
      </w:r>
      <w:r w:rsidR="00327997">
        <w:rPr>
          <w:rFonts w:ascii="Times New Roman" w:hAnsi="Times New Roman" w:cs="Times New Roman"/>
          <w:sz w:val="24"/>
          <w:szCs w:val="24"/>
        </w:rPr>
        <w:t>imaginación de pensar en grande”</w:t>
      </w:r>
      <w:r w:rsidRPr="00D95EC4">
        <w:rPr>
          <w:rFonts w:ascii="Times New Roman" w:hAnsi="Times New Roman" w:cs="Times New Roman"/>
          <w:sz w:val="24"/>
          <w:szCs w:val="24"/>
        </w:rPr>
        <w:t>, enfatizó en una rueda de prensa la alemana.</w:t>
      </w:r>
    </w:p>
    <w:p w:rsidR="00D95EC4" w:rsidRDefault="00327997" w:rsidP="00FA4DA9">
      <w:pPr>
        <w:shd w:val="clear" w:color="auto" w:fill="FFFFFF"/>
        <w:spacing w:after="270" w:line="240" w:lineRule="auto"/>
        <w:jc w:val="both"/>
        <w:rPr>
          <w:rFonts w:ascii="Times New Roman" w:hAnsi="Times New Roman" w:cs="Times New Roman"/>
          <w:sz w:val="24"/>
          <w:szCs w:val="24"/>
        </w:rPr>
      </w:pPr>
      <w:r>
        <w:rPr>
          <w:rFonts w:ascii="Times New Roman" w:hAnsi="Times New Roman" w:cs="Times New Roman"/>
          <w:sz w:val="24"/>
          <w:szCs w:val="24"/>
        </w:rPr>
        <w:t>“</w:t>
      </w:r>
      <w:r w:rsidR="00D95EC4" w:rsidRPr="00D95EC4">
        <w:rPr>
          <w:rFonts w:ascii="Times New Roman" w:hAnsi="Times New Roman" w:cs="Times New Roman"/>
          <w:sz w:val="24"/>
          <w:szCs w:val="24"/>
        </w:rPr>
        <w:t>No fue fácil</w:t>
      </w:r>
      <w:r>
        <w:rPr>
          <w:rFonts w:ascii="Times New Roman" w:hAnsi="Times New Roman" w:cs="Times New Roman"/>
          <w:sz w:val="24"/>
          <w:szCs w:val="24"/>
        </w:rPr>
        <w:t>, pero al final nos encontramos”</w:t>
      </w:r>
      <w:r w:rsidR="00D95EC4" w:rsidRPr="00D95EC4">
        <w:rPr>
          <w:rFonts w:ascii="Times New Roman" w:hAnsi="Times New Roman" w:cs="Times New Roman"/>
          <w:sz w:val="24"/>
          <w:szCs w:val="24"/>
        </w:rPr>
        <w:t>, afirmó la canciller, pa</w:t>
      </w:r>
      <w:r>
        <w:rPr>
          <w:rFonts w:ascii="Times New Roman" w:hAnsi="Times New Roman" w:cs="Times New Roman"/>
          <w:sz w:val="24"/>
          <w:szCs w:val="24"/>
        </w:rPr>
        <w:t>ra destacar a continuación que “</w:t>
      </w:r>
      <w:r w:rsidR="00D95EC4" w:rsidRPr="00D95EC4">
        <w:rPr>
          <w:rFonts w:ascii="Times New Roman" w:hAnsi="Times New Roman" w:cs="Times New Roman"/>
          <w:sz w:val="24"/>
          <w:szCs w:val="24"/>
        </w:rPr>
        <w:t>el multilateralismo está e</w:t>
      </w:r>
      <w:r>
        <w:rPr>
          <w:rFonts w:ascii="Times New Roman" w:hAnsi="Times New Roman" w:cs="Times New Roman"/>
          <w:sz w:val="24"/>
          <w:szCs w:val="24"/>
        </w:rPr>
        <w:t>n estos momentos muy presionado” y que “</w:t>
      </w:r>
      <w:r w:rsidR="00D95EC4" w:rsidRPr="00D95EC4">
        <w:rPr>
          <w:rFonts w:ascii="Times New Roman" w:hAnsi="Times New Roman" w:cs="Times New Roman"/>
          <w:sz w:val="24"/>
          <w:szCs w:val="24"/>
        </w:rPr>
        <w:t>Europa ha demostrado en esta situación ser capaz</w:t>
      </w:r>
      <w:r>
        <w:rPr>
          <w:rFonts w:ascii="Times New Roman" w:hAnsi="Times New Roman" w:cs="Times New Roman"/>
          <w:sz w:val="24"/>
          <w:szCs w:val="24"/>
        </w:rPr>
        <w:t xml:space="preserve"> de actuar”</w:t>
      </w:r>
      <w:r w:rsidR="00D95EC4" w:rsidRPr="00D95EC4">
        <w:rPr>
          <w:rFonts w:ascii="Times New Roman" w:hAnsi="Times New Roman" w:cs="Times New Roman"/>
          <w:sz w:val="24"/>
          <w:szCs w:val="24"/>
        </w:rPr>
        <w:t>.</w:t>
      </w:r>
    </w:p>
    <w:p w:rsidR="00D95EC4" w:rsidRDefault="00D95EC4" w:rsidP="00FA4DA9">
      <w:pPr>
        <w:shd w:val="clear" w:color="auto" w:fill="FFFFFF"/>
        <w:spacing w:after="270" w:line="240" w:lineRule="auto"/>
        <w:jc w:val="both"/>
        <w:rPr>
          <w:rFonts w:ascii="Times New Roman" w:hAnsi="Times New Roman" w:cs="Times New Roman"/>
          <w:sz w:val="24"/>
          <w:szCs w:val="24"/>
        </w:rPr>
      </w:pPr>
      <w:r w:rsidRPr="00D95EC4">
        <w:rPr>
          <w:rFonts w:ascii="Times New Roman" w:hAnsi="Times New Roman" w:cs="Times New Roman"/>
          <w:sz w:val="24"/>
          <w:szCs w:val="24"/>
        </w:rPr>
        <w:t>El fondo de reconstrucción nace después de que los autodenominados países frugales, Países Bajos, Austria, Dinamarca y Suecia, hayan logrado imponer su austeridad a base de un buen tijeretazo tanto en las ayudas directas como en el presupuesto europeo. A pesar de su empuje, los países del norte no han conseguido reducir el tamaño global del fondo, que preserva los 750.000 millones iniciales, pero a cambio han obligado al resto de socios a recortar la parte que se distribuirá a los países en forma de subvenciones a fondo perdido, otra de sus principales reivindicaciones.</w:t>
      </w:r>
    </w:p>
    <w:p w:rsidR="00D95EC4" w:rsidRPr="00D95EC4" w:rsidRDefault="00D95EC4" w:rsidP="00FA4DA9">
      <w:pPr>
        <w:shd w:val="clear" w:color="auto" w:fill="FFFFFF"/>
        <w:spacing w:after="270" w:line="240" w:lineRule="auto"/>
        <w:jc w:val="both"/>
        <w:rPr>
          <w:rFonts w:ascii="Times New Roman" w:eastAsia="Times New Roman" w:hAnsi="Times New Roman" w:cs="Times New Roman"/>
          <w:spacing w:val="-1"/>
          <w:sz w:val="24"/>
          <w:szCs w:val="24"/>
        </w:rPr>
      </w:pPr>
      <w:r w:rsidRPr="00D95EC4">
        <w:rPr>
          <w:rFonts w:ascii="Times New Roman" w:eastAsia="Times New Roman" w:hAnsi="Times New Roman" w:cs="Times New Roman"/>
          <w:spacing w:val="-1"/>
          <w:sz w:val="24"/>
          <w:szCs w:val="24"/>
        </w:rPr>
        <w:t>Finalmente, las transferencias se quedarán en 390.000 millones de euros, 110.000 millones menos que los que recogía la primera propuesta que llegó a la mesa de los líderes. El resto del fondo, 360.000 millones de euros, llegará a los Estados miembros en forma de préstamos que tendrán que devolver.</w:t>
      </w:r>
    </w:p>
    <w:p w:rsidR="00D95EC4" w:rsidRPr="00D95EC4" w:rsidRDefault="00D95EC4" w:rsidP="00FA4DA9">
      <w:pPr>
        <w:shd w:val="clear" w:color="auto" w:fill="FFFFFF"/>
        <w:spacing w:after="270" w:line="240" w:lineRule="auto"/>
        <w:jc w:val="both"/>
        <w:rPr>
          <w:rFonts w:ascii="Times New Roman" w:eastAsia="Times New Roman" w:hAnsi="Times New Roman" w:cs="Times New Roman"/>
          <w:spacing w:val="-1"/>
          <w:sz w:val="24"/>
          <w:szCs w:val="24"/>
        </w:rPr>
      </w:pPr>
      <w:r w:rsidRPr="00D95EC4">
        <w:rPr>
          <w:rFonts w:ascii="Times New Roman" w:eastAsia="Times New Roman" w:hAnsi="Times New Roman" w:cs="Times New Roman"/>
          <w:spacing w:val="-1"/>
          <w:sz w:val="24"/>
          <w:szCs w:val="24"/>
        </w:rPr>
        <w:lastRenderedPageBreak/>
        <w:t>Países Bajos también ha conseguido introducir una mayor supervisión de las ayudas, pero no tendrá una capacidad real de veto si considera que las reformas que ha planteado un país concreto para recibir fondos no son las adecuadas.</w:t>
      </w:r>
    </w:p>
    <w:p w:rsidR="00D95EC4" w:rsidRPr="00D95EC4" w:rsidRDefault="00D95EC4" w:rsidP="00FA4DA9">
      <w:pPr>
        <w:shd w:val="clear" w:color="auto" w:fill="FFFFFF"/>
        <w:spacing w:after="270" w:line="240" w:lineRule="auto"/>
        <w:jc w:val="both"/>
        <w:rPr>
          <w:rFonts w:ascii="Times New Roman" w:eastAsia="Times New Roman" w:hAnsi="Times New Roman" w:cs="Times New Roman"/>
          <w:spacing w:val="-1"/>
          <w:sz w:val="24"/>
          <w:szCs w:val="24"/>
        </w:rPr>
      </w:pPr>
      <w:r w:rsidRPr="00D95EC4">
        <w:rPr>
          <w:rFonts w:ascii="Times New Roman" w:eastAsia="Times New Roman" w:hAnsi="Times New Roman" w:cs="Times New Roman"/>
          <w:spacing w:val="-1"/>
          <w:sz w:val="24"/>
          <w:szCs w:val="24"/>
        </w:rPr>
        <w:t>El acuerdo final establece que los planes nacionales de reformas serán aprobados con mayoría cualificada entre los 27 y los desembolsos posteriores dependerán del cumplimiento de una serie de objetivos preestablecidos. La Comisión Europea evaluará si se han cumplido estos objetivos, aunque excepcionalmente uno o más socios que tengan dudas de su análisis podrán pedir que debata entes a nivel de líderes.</w:t>
      </w:r>
    </w:p>
    <w:p w:rsidR="00D95EC4" w:rsidRPr="00D95EC4" w:rsidRDefault="00D95EC4" w:rsidP="00FA4DA9">
      <w:pPr>
        <w:shd w:val="clear" w:color="auto" w:fill="FFFFFF"/>
        <w:spacing w:after="270" w:line="240" w:lineRule="auto"/>
        <w:jc w:val="both"/>
        <w:rPr>
          <w:rFonts w:ascii="Times New Roman" w:eastAsia="Times New Roman" w:hAnsi="Times New Roman" w:cs="Times New Roman"/>
          <w:spacing w:val="-1"/>
          <w:sz w:val="24"/>
          <w:szCs w:val="24"/>
        </w:rPr>
      </w:pPr>
      <w:r w:rsidRPr="00D95EC4">
        <w:rPr>
          <w:rFonts w:ascii="Times New Roman" w:eastAsia="Times New Roman" w:hAnsi="Times New Roman" w:cs="Times New Roman"/>
          <w:spacing w:val="-1"/>
          <w:sz w:val="24"/>
          <w:szCs w:val="24"/>
        </w:rPr>
        <w:t>Otra de las victorias que se han apuntado los países del norte es el aumento de sus 'cheques' de descuento del que se benefician los mayores contribuyentes al presupuesto de la UE. En concreto, Países Bajos, Dinamarca, Suecia, Austria y Alemania verán reducidas sus aportaciones durante todo el periodo en 53.000 millones que tendrán que completar el resto de Estados miembro</w:t>
      </w:r>
      <w:r w:rsidR="00A52DAC">
        <w:rPr>
          <w:rFonts w:ascii="Times New Roman" w:eastAsia="Times New Roman" w:hAnsi="Times New Roman" w:cs="Times New Roman"/>
          <w:spacing w:val="-1"/>
          <w:sz w:val="24"/>
          <w:szCs w:val="24"/>
        </w:rPr>
        <w:t>…</w:t>
      </w:r>
    </w:p>
    <w:p w:rsidR="00D95EC4" w:rsidRPr="00D95EC4" w:rsidRDefault="00D95EC4" w:rsidP="00FA4DA9">
      <w:pPr>
        <w:shd w:val="clear" w:color="auto" w:fill="FFFFFF"/>
        <w:spacing w:after="270" w:line="240" w:lineRule="auto"/>
        <w:jc w:val="both"/>
        <w:rPr>
          <w:rFonts w:ascii="Times New Roman" w:eastAsia="Times New Roman" w:hAnsi="Times New Roman" w:cs="Times New Roman"/>
          <w:spacing w:val="-1"/>
          <w:sz w:val="24"/>
          <w:szCs w:val="24"/>
        </w:rPr>
      </w:pPr>
      <w:r w:rsidRPr="00D95EC4">
        <w:rPr>
          <w:rFonts w:ascii="Times New Roman" w:eastAsia="Times New Roman" w:hAnsi="Times New Roman" w:cs="Times New Roman"/>
          <w:spacing w:val="-1"/>
          <w:sz w:val="24"/>
          <w:szCs w:val="24"/>
        </w:rPr>
        <w:t>Los grandes países, Alemania, Francia, Italia y España, como la mayoría de los 27, querían como mínimo 400.000 millones de euros en subvenciones, mientras que los frugales proponían 350.000 millones.</w:t>
      </w:r>
    </w:p>
    <w:p w:rsidR="00D95EC4" w:rsidRPr="00D95EC4" w:rsidRDefault="00D95EC4" w:rsidP="00FA4DA9">
      <w:pPr>
        <w:shd w:val="clear" w:color="auto" w:fill="FFFFFF"/>
        <w:spacing w:after="270" w:line="240" w:lineRule="auto"/>
        <w:jc w:val="both"/>
        <w:rPr>
          <w:rFonts w:ascii="Times New Roman" w:eastAsia="Times New Roman" w:hAnsi="Times New Roman" w:cs="Times New Roman"/>
          <w:spacing w:val="-1"/>
          <w:sz w:val="24"/>
          <w:szCs w:val="24"/>
        </w:rPr>
      </w:pPr>
      <w:r w:rsidRPr="00D95EC4">
        <w:rPr>
          <w:rFonts w:ascii="Times New Roman" w:eastAsia="Times New Roman" w:hAnsi="Times New Roman" w:cs="Times New Roman"/>
          <w:spacing w:val="-1"/>
          <w:sz w:val="24"/>
          <w:szCs w:val="24"/>
        </w:rPr>
        <w:t>Finalmente, el compromiso se queda más cerca de la primera cifra, pero supone un recorte de 110.000 millones en las ayudas directas con respecto a los 500.000 millones de euros que propuso la Comisión Europea (más 250.000 millones en créditos).</w:t>
      </w:r>
    </w:p>
    <w:p w:rsidR="00D95EC4" w:rsidRPr="00D95EC4" w:rsidRDefault="00D95EC4" w:rsidP="00FA4DA9">
      <w:pPr>
        <w:shd w:val="clear" w:color="auto" w:fill="FFFFFF"/>
        <w:spacing w:after="270" w:line="240" w:lineRule="auto"/>
        <w:jc w:val="both"/>
        <w:rPr>
          <w:rFonts w:ascii="Times New Roman" w:eastAsia="Times New Roman" w:hAnsi="Times New Roman" w:cs="Times New Roman"/>
          <w:spacing w:val="-1"/>
          <w:sz w:val="24"/>
          <w:szCs w:val="24"/>
        </w:rPr>
      </w:pPr>
      <w:r w:rsidRPr="00D95EC4">
        <w:rPr>
          <w:rFonts w:ascii="Times New Roman" w:eastAsia="Times New Roman" w:hAnsi="Times New Roman" w:cs="Times New Roman"/>
          <w:spacing w:val="-1"/>
          <w:sz w:val="24"/>
          <w:szCs w:val="24"/>
        </w:rPr>
        <w:t>El Instrumento para la Recuperación y la Resiliencia, la partida más relevante del fondo de reconstrucción, destinada a financiar reformas e inversiones, aumenta su dotación a 672.500 millones, pero el resto de programas del fondo sufren importantes recortes.</w:t>
      </w:r>
    </w:p>
    <w:p w:rsidR="00D95EC4" w:rsidRPr="00D95EC4" w:rsidRDefault="00D95EC4" w:rsidP="00FA4DA9">
      <w:pPr>
        <w:shd w:val="clear" w:color="auto" w:fill="FFFFFF"/>
        <w:spacing w:after="270" w:line="240" w:lineRule="auto"/>
        <w:jc w:val="both"/>
        <w:rPr>
          <w:rFonts w:ascii="Times New Roman" w:eastAsia="Times New Roman" w:hAnsi="Times New Roman" w:cs="Times New Roman"/>
          <w:spacing w:val="-1"/>
          <w:sz w:val="24"/>
          <w:szCs w:val="24"/>
        </w:rPr>
      </w:pPr>
      <w:r w:rsidRPr="00D95EC4">
        <w:rPr>
          <w:rFonts w:ascii="Times New Roman" w:eastAsia="Times New Roman" w:hAnsi="Times New Roman" w:cs="Times New Roman"/>
          <w:spacing w:val="-1"/>
          <w:sz w:val="24"/>
          <w:szCs w:val="24"/>
        </w:rPr>
        <w:t>El problema fue que la posición de partida del primer ministro holandés, Mark Rutte, al frente de los frugales, era de oposición frontal a los subsidios. Para convencerle hizo falta el tijeretazo en las ayudas directas, que en su lugar engrosará la partida de préstamos (360.000 millones, frente a los 250.000 millones de la propuesta inicial).</w:t>
      </w:r>
    </w:p>
    <w:p w:rsidR="00D95EC4" w:rsidRPr="00D95EC4" w:rsidRDefault="00D95EC4" w:rsidP="00FA4DA9">
      <w:pPr>
        <w:shd w:val="clear" w:color="auto" w:fill="FFFFFF"/>
        <w:spacing w:after="270" w:line="240" w:lineRule="auto"/>
        <w:jc w:val="both"/>
        <w:rPr>
          <w:rFonts w:ascii="Times New Roman" w:eastAsia="Times New Roman" w:hAnsi="Times New Roman" w:cs="Times New Roman"/>
          <w:spacing w:val="-1"/>
          <w:sz w:val="24"/>
          <w:szCs w:val="24"/>
        </w:rPr>
      </w:pPr>
      <w:r w:rsidRPr="00D95EC4">
        <w:rPr>
          <w:rFonts w:ascii="Times New Roman" w:eastAsia="Times New Roman" w:hAnsi="Times New Roman" w:cs="Times New Roman"/>
          <w:spacing w:val="-1"/>
          <w:sz w:val="24"/>
          <w:szCs w:val="24"/>
        </w:rPr>
        <w:t>El fondo de ciencia Horizonte Europa pasa de 13.500 a 5.000 millones; el de inversiones Invest EU, de 30.300 millones a 5.600; o el Fondo de Transición Justa para el clima, de 30.000 a 10.000 millones; mientras que el Instrumento de Solvencia propuesto por Bruselas para ayudar a empresas en problemas se ha eliminado.</w:t>
      </w:r>
    </w:p>
    <w:p w:rsidR="00D95EC4" w:rsidRPr="00D95EC4" w:rsidRDefault="00D95EC4" w:rsidP="00FA4DA9">
      <w:pPr>
        <w:shd w:val="clear" w:color="auto" w:fill="FFFFFF"/>
        <w:spacing w:after="270" w:line="240" w:lineRule="auto"/>
        <w:jc w:val="both"/>
        <w:rPr>
          <w:rFonts w:ascii="Times New Roman" w:eastAsia="Times New Roman" w:hAnsi="Times New Roman" w:cs="Times New Roman"/>
          <w:spacing w:val="-1"/>
          <w:sz w:val="24"/>
          <w:szCs w:val="24"/>
        </w:rPr>
      </w:pPr>
      <w:r w:rsidRPr="00D95EC4">
        <w:rPr>
          <w:rFonts w:ascii="Times New Roman" w:eastAsia="Times New Roman" w:hAnsi="Times New Roman" w:cs="Times New Roman"/>
          <w:spacing w:val="-1"/>
          <w:sz w:val="24"/>
          <w:szCs w:val="24"/>
        </w:rPr>
        <w:t>El acuerdo refuerza además el control sobre la concesión de ayudas directas para contentar a Holanda, que reclamaba que los países pudiesen vetar los planes de reformas e inversiones de sus socios, mientras que la Comisión Europea planteaba que se pronunciasen solo a nivel técnico.</w:t>
      </w:r>
    </w:p>
    <w:p w:rsidR="00D95EC4" w:rsidRPr="00D95EC4" w:rsidRDefault="00D95EC4" w:rsidP="00FA4DA9">
      <w:pPr>
        <w:shd w:val="clear" w:color="auto" w:fill="FFFFFF"/>
        <w:spacing w:after="270" w:line="240" w:lineRule="auto"/>
        <w:jc w:val="both"/>
        <w:rPr>
          <w:rFonts w:ascii="Times New Roman" w:eastAsia="Times New Roman" w:hAnsi="Times New Roman" w:cs="Times New Roman"/>
          <w:spacing w:val="-1"/>
          <w:sz w:val="24"/>
          <w:szCs w:val="24"/>
        </w:rPr>
      </w:pPr>
      <w:r w:rsidRPr="00D95EC4">
        <w:rPr>
          <w:rFonts w:ascii="Times New Roman" w:eastAsia="Times New Roman" w:hAnsi="Times New Roman" w:cs="Times New Roman"/>
          <w:spacing w:val="-1"/>
          <w:sz w:val="24"/>
          <w:szCs w:val="24"/>
        </w:rPr>
        <w:t>Los países remitirán sus planes a la Comisión, y estos tendrán que ser aprobados también por una mayoría cualificada de los Veintisiete.</w:t>
      </w:r>
    </w:p>
    <w:p w:rsidR="00D95EC4" w:rsidRPr="00D95EC4" w:rsidRDefault="00D95EC4" w:rsidP="00FA4DA9">
      <w:pPr>
        <w:shd w:val="clear" w:color="auto" w:fill="FFFFFF"/>
        <w:spacing w:after="270" w:line="240" w:lineRule="auto"/>
        <w:jc w:val="both"/>
        <w:rPr>
          <w:rFonts w:ascii="Times New Roman" w:eastAsia="Times New Roman" w:hAnsi="Times New Roman" w:cs="Times New Roman"/>
          <w:spacing w:val="-1"/>
          <w:sz w:val="24"/>
          <w:szCs w:val="24"/>
        </w:rPr>
      </w:pPr>
      <w:r w:rsidRPr="00D95EC4">
        <w:rPr>
          <w:rFonts w:ascii="Times New Roman" w:eastAsia="Times New Roman" w:hAnsi="Times New Roman" w:cs="Times New Roman"/>
          <w:spacing w:val="-1"/>
          <w:sz w:val="24"/>
          <w:szCs w:val="24"/>
        </w:rPr>
        <w:t>Después, a la hora de autorizar el desembolso de cada tramo de ayuda, si un país o varios tienen dudas, podrán elevar la cuestión a una cumbre de líderes, con lo que el pago se paralizará hasta que lo hayan abordado.</w:t>
      </w:r>
    </w:p>
    <w:p w:rsidR="00D95EC4" w:rsidRPr="00D95EC4" w:rsidRDefault="00D95EC4" w:rsidP="00FA4DA9">
      <w:pPr>
        <w:shd w:val="clear" w:color="auto" w:fill="FFFFFF"/>
        <w:spacing w:after="270" w:line="240" w:lineRule="auto"/>
        <w:jc w:val="both"/>
        <w:rPr>
          <w:rFonts w:ascii="Times New Roman" w:eastAsia="Times New Roman" w:hAnsi="Times New Roman" w:cs="Times New Roman"/>
          <w:spacing w:val="-1"/>
          <w:sz w:val="24"/>
          <w:szCs w:val="24"/>
        </w:rPr>
      </w:pPr>
      <w:r w:rsidRPr="00D95EC4">
        <w:rPr>
          <w:rFonts w:ascii="Times New Roman" w:eastAsia="Times New Roman" w:hAnsi="Times New Roman" w:cs="Times New Roman"/>
          <w:spacing w:val="-1"/>
          <w:sz w:val="24"/>
          <w:szCs w:val="24"/>
        </w:rPr>
        <w:lastRenderedPageBreak/>
        <w:t>Por otro lado, aumentan los descuentos que tienen los frugales en su contribución al presupuesto por aportar más de lo que reciben, mientras que Alemania simplemente lo mantiene (en 3.671 millones de euros anuales).</w:t>
      </w:r>
    </w:p>
    <w:p w:rsidR="00D95EC4" w:rsidRPr="00D95EC4" w:rsidRDefault="00D95EC4" w:rsidP="00FA4DA9">
      <w:pPr>
        <w:shd w:val="clear" w:color="auto" w:fill="FFFFFF"/>
        <w:spacing w:after="270" w:line="240" w:lineRule="auto"/>
        <w:jc w:val="both"/>
        <w:rPr>
          <w:rFonts w:ascii="Times New Roman" w:eastAsia="Times New Roman" w:hAnsi="Times New Roman" w:cs="Times New Roman"/>
          <w:spacing w:val="-1"/>
          <w:sz w:val="24"/>
          <w:szCs w:val="24"/>
        </w:rPr>
      </w:pPr>
      <w:r w:rsidRPr="00D95EC4">
        <w:rPr>
          <w:rFonts w:ascii="Times New Roman" w:eastAsia="Times New Roman" w:hAnsi="Times New Roman" w:cs="Times New Roman"/>
          <w:spacing w:val="-1"/>
          <w:sz w:val="24"/>
          <w:szCs w:val="24"/>
        </w:rPr>
        <w:t>El de Holanda será de 1.921 millones de euros frente a 1.576 millones en la propuesta inicial, el de Dinamarca pasará de 197 a 377 millones, el de Austria de 237 a 565 millones y, el de Suecia, de 798 a 1.069 millones.</w:t>
      </w:r>
    </w:p>
    <w:p w:rsidR="00D95EC4" w:rsidRPr="00D95EC4" w:rsidRDefault="00D95EC4" w:rsidP="00FA4DA9">
      <w:pPr>
        <w:shd w:val="clear" w:color="auto" w:fill="FFFFFF"/>
        <w:spacing w:after="270" w:line="240" w:lineRule="auto"/>
        <w:jc w:val="both"/>
        <w:rPr>
          <w:rFonts w:ascii="Times New Roman" w:eastAsia="Times New Roman" w:hAnsi="Times New Roman" w:cs="Times New Roman"/>
          <w:spacing w:val="-1"/>
          <w:sz w:val="24"/>
          <w:szCs w:val="24"/>
        </w:rPr>
      </w:pPr>
      <w:r w:rsidRPr="00D95EC4">
        <w:rPr>
          <w:rFonts w:ascii="Times New Roman" w:eastAsia="Times New Roman" w:hAnsi="Times New Roman" w:cs="Times New Roman"/>
          <w:spacing w:val="-1"/>
          <w:sz w:val="24"/>
          <w:szCs w:val="24"/>
        </w:rPr>
        <w:t>Además, se introduce por primera vez la condicionalidad ligada al Estado de Derecho, de la que recelaban Hungría y Polonia, así como la meta de que el 30% del gasto del presupuesto y el fondo de recuperación apoye objetivos climáticos.</w:t>
      </w:r>
    </w:p>
    <w:p w:rsidR="00D95EC4" w:rsidRPr="00D95EC4" w:rsidRDefault="00D95EC4" w:rsidP="00FA4DA9">
      <w:pPr>
        <w:shd w:val="clear" w:color="auto" w:fill="FFFFFF"/>
        <w:spacing w:after="270" w:line="240" w:lineRule="auto"/>
        <w:jc w:val="both"/>
        <w:rPr>
          <w:rFonts w:ascii="Times New Roman" w:eastAsia="Times New Roman" w:hAnsi="Times New Roman" w:cs="Times New Roman"/>
          <w:spacing w:val="-1"/>
          <w:sz w:val="24"/>
          <w:szCs w:val="24"/>
        </w:rPr>
      </w:pPr>
      <w:r w:rsidRPr="00D95EC4">
        <w:rPr>
          <w:rFonts w:ascii="Times New Roman" w:eastAsia="Times New Roman" w:hAnsi="Times New Roman" w:cs="Times New Roman"/>
          <w:spacing w:val="-1"/>
          <w:sz w:val="24"/>
          <w:szCs w:val="24"/>
        </w:rPr>
        <w:t>El acuerdo tendrá ahora que pasar por el aro del Parlamento Europeo, que tiene la última palabra, y ya ha avisado de que no lo apoyará si no respeta las prioridades.</w:t>
      </w:r>
    </w:p>
    <w:p w:rsidR="00D95EC4" w:rsidRPr="00D95EC4" w:rsidRDefault="00D95EC4" w:rsidP="00FA4DA9">
      <w:pPr>
        <w:shd w:val="clear" w:color="auto" w:fill="FFFFFF"/>
        <w:spacing w:after="270" w:line="240" w:lineRule="auto"/>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Pr="00D95EC4">
        <w:rPr>
          <w:rFonts w:ascii="Times New Roman" w:eastAsia="Times New Roman" w:hAnsi="Times New Roman" w:cs="Times New Roman"/>
          <w:spacing w:val="-1"/>
          <w:sz w:val="24"/>
          <w:szCs w:val="24"/>
          <w:u w:val="single"/>
        </w:rPr>
        <w:t>Recortes en los programas europeos</w:t>
      </w:r>
      <w:r w:rsidRPr="00D95EC4">
        <w:rPr>
          <w:rFonts w:ascii="Times New Roman" w:eastAsia="Times New Roman" w:hAnsi="Times New Roman" w:cs="Times New Roman"/>
          <w:spacing w:val="-1"/>
          <w:sz w:val="24"/>
          <w:szCs w:val="24"/>
        </w:rPr>
        <w:t xml:space="preserve"> (El Economista - </w:t>
      </w:r>
      <w:r w:rsidRPr="00D95EC4">
        <w:rPr>
          <w:rFonts w:ascii="Times New Roman" w:eastAsia="Times New Roman" w:hAnsi="Times New Roman" w:cs="Times New Roman"/>
          <w:b/>
          <w:spacing w:val="-1"/>
          <w:sz w:val="24"/>
          <w:szCs w:val="24"/>
        </w:rPr>
        <w:t>22/7/20</w:t>
      </w:r>
      <w:r w:rsidRPr="00D95EC4">
        <w:rPr>
          <w:rFonts w:ascii="Times New Roman" w:eastAsia="Times New Roman" w:hAnsi="Times New Roman" w:cs="Times New Roman"/>
          <w:spacing w:val="-1"/>
          <w:sz w:val="24"/>
          <w:szCs w:val="24"/>
        </w:rPr>
        <w:t>)</w:t>
      </w:r>
    </w:p>
    <w:p w:rsidR="00D95EC4" w:rsidRPr="00D95EC4" w:rsidRDefault="00D95EC4" w:rsidP="00FA4DA9">
      <w:pPr>
        <w:shd w:val="clear" w:color="auto" w:fill="FFFFFF"/>
        <w:spacing w:after="270" w:line="240" w:lineRule="auto"/>
        <w:jc w:val="both"/>
        <w:rPr>
          <w:rFonts w:ascii="Times New Roman" w:eastAsia="Times New Roman" w:hAnsi="Times New Roman" w:cs="Times New Roman"/>
          <w:spacing w:val="-1"/>
          <w:sz w:val="24"/>
          <w:szCs w:val="24"/>
        </w:rPr>
      </w:pPr>
      <w:r w:rsidRPr="00D95EC4">
        <w:rPr>
          <w:rFonts w:ascii="Times New Roman" w:eastAsia="Times New Roman" w:hAnsi="Times New Roman" w:cs="Times New Roman"/>
          <w:spacing w:val="-1"/>
          <w:sz w:val="24"/>
          <w:szCs w:val="24"/>
        </w:rPr>
        <w:t>La mayor parte del fondo de recuperación irá dirigido a los gobiernos europeos para apuntalar sus economías, pero el resto se utilizará para reforzar el presupuesto de distintos programas europeos. Estas dotaciones, no obstante, han sido objeto de importantes reducciones en las negociaciones para poder ampliar las ayudas a los países.</w:t>
      </w:r>
    </w:p>
    <w:p w:rsidR="00D95EC4" w:rsidRPr="00D95EC4" w:rsidRDefault="00D95EC4" w:rsidP="00FA4DA9">
      <w:pPr>
        <w:shd w:val="clear" w:color="auto" w:fill="FFFFFF"/>
        <w:spacing w:after="270" w:line="240" w:lineRule="auto"/>
        <w:jc w:val="both"/>
        <w:rPr>
          <w:rFonts w:ascii="Times New Roman" w:eastAsia="Times New Roman" w:hAnsi="Times New Roman" w:cs="Times New Roman"/>
          <w:spacing w:val="-1"/>
          <w:sz w:val="24"/>
          <w:szCs w:val="24"/>
        </w:rPr>
      </w:pPr>
      <w:r w:rsidRPr="00D95EC4">
        <w:rPr>
          <w:rFonts w:ascii="Times New Roman" w:eastAsia="Times New Roman" w:hAnsi="Times New Roman" w:cs="Times New Roman"/>
          <w:spacing w:val="-1"/>
          <w:sz w:val="24"/>
          <w:szCs w:val="24"/>
        </w:rPr>
        <w:t>Uno de los programas más perjudicados es el Fondo para la Transición Justa, pieza clave en el llamado Pacto Verde Europeo puesto que canalizará dinero para regiones muy dependientes del carbón. Su dotación con cargo al fondo de recuperación se reduce a 10.000 millones de euros desde los 30.000 millones previstos inicialmente.</w:t>
      </w:r>
    </w:p>
    <w:p w:rsidR="00D95EC4" w:rsidRPr="00D95EC4" w:rsidRDefault="00D95EC4" w:rsidP="00FA4DA9">
      <w:pPr>
        <w:shd w:val="clear" w:color="auto" w:fill="FFFFFF"/>
        <w:spacing w:after="270" w:line="240" w:lineRule="auto"/>
        <w:jc w:val="both"/>
        <w:rPr>
          <w:rFonts w:ascii="Times New Roman" w:eastAsia="Times New Roman" w:hAnsi="Times New Roman" w:cs="Times New Roman"/>
          <w:spacing w:val="-1"/>
          <w:sz w:val="24"/>
          <w:szCs w:val="24"/>
        </w:rPr>
      </w:pPr>
      <w:r w:rsidRPr="00D95EC4">
        <w:rPr>
          <w:rFonts w:ascii="Times New Roman" w:eastAsia="Times New Roman" w:hAnsi="Times New Roman" w:cs="Times New Roman"/>
          <w:spacing w:val="-1"/>
          <w:sz w:val="24"/>
          <w:szCs w:val="24"/>
        </w:rPr>
        <w:t>El presupuesto adicional para Desarrollo Rural pierde la mitad de su tamaño original y se reduce hasta 7.500 millones, el programa europeo de I+D (Horizonte) sólo se beneficiaría de 5.000 millones del fondo de recuperación (frente 13.500 millones que pedía Bruselas) y el programa comunitario de inversiones (InvesEU) recibirá 5.600 millones de este plan.</w:t>
      </w:r>
    </w:p>
    <w:p w:rsidR="00D95EC4" w:rsidRDefault="00D95EC4" w:rsidP="00FA4DA9">
      <w:pPr>
        <w:shd w:val="clear" w:color="auto" w:fill="FFFFFF"/>
        <w:spacing w:after="270" w:line="240" w:lineRule="auto"/>
        <w:jc w:val="both"/>
        <w:rPr>
          <w:rFonts w:ascii="Times New Roman" w:eastAsia="Times New Roman" w:hAnsi="Times New Roman" w:cs="Times New Roman"/>
          <w:spacing w:val="-1"/>
          <w:sz w:val="24"/>
          <w:szCs w:val="24"/>
        </w:rPr>
      </w:pPr>
      <w:r w:rsidRPr="00D95EC4">
        <w:rPr>
          <w:rFonts w:ascii="Times New Roman" w:eastAsia="Times New Roman" w:hAnsi="Times New Roman" w:cs="Times New Roman"/>
          <w:spacing w:val="-1"/>
          <w:sz w:val="24"/>
          <w:szCs w:val="24"/>
        </w:rPr>
        <w:t>Además, desaparece el fondo para incentivar inversiones privadas en empresas a través del BEI, que contaba con un presupuesto de 26.000 millones y buscaba solventar el escaso margen fiscal de algunos países como España para recapitalizar su tejido productivo.</w:t>
      </w:r>
    </w:p>
    <w:p w:rsidR="00D95EC4" w:rsidRPr="00D95EC4" w:rsidRDefault="00D95EC4" w:rsidP="00FA4DA9">
      <w:pPr>
        <w:shd w:val="clear" w:color="auto" w:fill="FFFFFF"/>
        <w:spacing w:after="270" w:line="240" w:lineRule="auto"/>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Pr="00D95EC4">
        <w:rPr>
          <w:rFonts w:ascii="Times New Roman" w:eastAsia="Times New Roman" w:hAnsi="Times New Roman" w:cs="Times New Roman"/>
          <w:spacing w:val="-1"/>
          <w:sz w:val="24"/>
          <w:szCs w:val="24"/>
          <w:u w:val="single"/>
        </w:rPr>
        <w:t>La UE acuerda un fondo histórico de 750.000M para reactivar la economía</w:t>
      </w:r>
      <w:r w:rsidRPr="00D95EC4">
        <w:rPr>
          <w:rFonts w:ascii="Times New Roman" w:eastAsia="Times New Roman" w:hAnsi="Times New Roman" w:cs="Times New Roman"/>
          <w:spacing w:val="-1"/>
          <w:sz w:val="24"/>
          <w:szCs w:val="24"/>
        </w:rPr>
        <w:t xml:space="preserve"> (El Confidencial - </w:t>
      </w:r>
      <w:r w:rsidRPr="00D95EC4">
        <w:rPr>
          <w:rFonts w:ascii="Times New Roman" w:eastAsia="Times New Roman" w:hAnsi="Times New Roman" w:cs="Times New Roman"/>
          <w:b/>
          <w:spacing w:val="-1"/>
          <w:sz w:val="24"/>
          <w:szCs w:val="24"/>
        </w:rPr>
        <w:t>22/7/20</w:t>
      </w:r>
      <w:r w:rsidRPr="00D95EC4">
        <w:rPr>
          <w:rFonts w:ascii="Times New Roman" w:eastAsia="Times New Roman" w:hAnsi="Times New Roman" w:cs="Times New Roman"/>
          <w:spacing w:val="-1"/>
          <w:sz w:val="24"/>
          <w:szCs w:val="24"/>
        </w:rPr>
        <w:t>)</w:t>
      </w:r>
    </w:p>
    <w:p w:rsidR="00D95EC4" w:rsidRPr="00D95EC4" w:rsidRDefault="00D95EC4" w:rsidP="00FA4DA9">
      <w:pPr>
        <w:shd w:val="clear" w:color="auto" w:fill="FFFFFF"/>
        <w:spacing w:after="270" w:line="240" w:lineRule="auto"/>
        <w:jc w:val="both"/>
        <w:rPr>
          <w:rFonts w:ascii="Times New Roman" w:eastAsia="Times New Roman" w:hAnsi="Times New Roman" w:cs="Times New Roman"/>
          <w:spacing w:val="-1"/>
          <w:sz w:val="24"/>
          <w:szCs w:val="24"/>
        </w:rPr>
      </w:pPr>
      <w:r w:rsidRPr="00D95EC4">
        <w:rPr>
          <w:rFonts w:ascii="Times New Roman" w:eastAsia="Times New Roman" w:hAnsi="Times New Roman" w:cs="Times New Roman"/>
          <w:spacing w:val="-1"/>
          <w:sz w:val="24"/>
          <w:szCs w:val="24"/>
        </w:rPr>
        <w:t>La UE busca con este Fondo reactivar la economía tras el shock del coronavirus a través de la financiación de una serie de reformas e inversiones que los distintos Estados miembros tienen que proponer y que deben estar dirigidos a cumplir con las recomendaciones específicas por país (CSR, por sus siglas en inglés) de la Comisión Europea. En el caso español las CSR suelen hacer referencia a la sostenibilidad de las pensiones, inversiones sociales, reforma de la educación o la inversión en transición verde y digital.</w:t>
      </w:r>
    </w:p>
    <w:p w:rsidR="00D95EC4" w:rsidRPr="00D95EC4" w:rsidRDefault="00D95EC4" w:rsidP="00FA4DA9">
      <w:pPr>
        <w:shd w:val="clear" w:color="auto" w:fill="FFFFFF"/>
        <w:spacing w:after="270" w:line="240" w:lineRule="auto"/>
        <w:jc w:val="both"/>
        <w:rPr>
          <w:rFonts w:ascii="Times New Roman" w:eastAsia="Times New Roman" w:hAnsi="Times New Roman" w:cs="Times New Roman"/>
          <w:spacing w:val="-1"/>
          <w:sz w:val="24"/>
          <w:szCs w:val="24"/>
        </w:rPr>
      </w:pPr>
      <w:r w:rsidRPr="00D95EC4">
        <w:rPr>
          <w:rFonts w:ascii="Times New Roman" w:eastAsia="Times New Roman" w:hAnsi="Times New Roman" w:cs="Times New Roman"/>
          <w:spacing w:val="-1"/>
          <w:sz w:val="24"/>
          <w:szCs w:val="24"/>
        </w:rPr>
        <w:t xml:space="preserve">El acuerdo es histórico porque nunca antes la UE había planteado una gran emisión de deuda conjunta para financiar la recuperación ante una crisis, y pone la primera piedra de una posible futura mejor gestión europea de las crisis. Si cuaja, la lógica con la que Europa afrontara futuros shocks cambiará y la UE será más fuerte para gestionar crisis. Pero el precio que los </w:t>
      </w:r>
      <w:r w:rsidRPr="00D95EC4">
        <w:rPr>
          <w:rFonts w:ascii="Times New Roman" w:eastAsia="Times New Roman" w:hAnsi="Times New Roman" w:cs="Times New Roman"/>
          <w:spacing w:val="-1"/>
          <w:sz w:val="24"/>
          <w:szCs w:val="24"/>
        </w:rPr>
        <w:lastRenderedPageBreak/>
        <w:t>líderes han pagado ha sido alto: importantes recortes en partidas clave para el futuro de Europa y premios tanto para los Estados miembros que han bloqueado parte de las negociaciones como para algunas capitales del este que han logrado eliminar la vinculación de la financiación de la UE con el cumplimiento de las normas del Estado de derecho…</w:t>
      </w:r>
    </w:p>
    <w:p w:rsidR="00D95EC4" w:rsidRPr="00D95EC4" w:rsidRDefault="00D95EC4" w:rsidP="00FA4DA9">
      <w:pPr>
        <w:shd w:val="clear" w:color="auto" w:fill="FFFFFF"/>
        <w:spacing w:after="270" w:line="240" w:lineRule="auto"/>
        <w:jc w:val="both"/>
        <w:rPr>
          <w:rFonts w:ascii="Times New Roman" w:eastAsia="Times New Roman" w:hAnsi="Times New Roman" w:cs="Times New Roman"/>
          <w:spacing w:val="-1"/>
          <w:sz w:val="24"/>
          <w:szCs w:val="24"/>
        </w:rPr>
      </w:pPr>
      <w:r w:rsidRPr="00D95EC4">
        <w:rPr>
          <w:rFonts w:ascii="Times New Roman" w:eastAsia="Times New Roman" w:hAnsi="Times New Roman" w:cs="Times New Roman"/>
          <w:spacing w:val="-1"/>
          <w:sz w:val="24"/>
          <w:szCs w:val="24"/>
        </w:rPr>
        <w:t>Aunque el valor político del paso que se ha dado es compartido por la inmensa mayoría de políticos, analistas y observadores, la efectividad de la medida solo se conocerá con el tiempo. Los fondos no encontrarán una vía rápida a la economía real, y, por ejemplo, solo el 10% del total del Mecanismo de Recuperación y Resiliencia (MRR), el núcleo duro del Fondo, serán ejecutados en 2021, menos de 70.000 millones a repartir entre Veintisiete Estados miembros. Ahora los analistas esperan que el tamaño sea suficientemente grande para lidiar con los efectos de los estragos económicos generados por el covid-19.</w:t>
      </w:r>
    </w:p>
    <w:p w:rsidR="00D95EC4" w:rsidRPr="00D95EC4" w:rsidRDefault="00D95EC4" w:rsidP="00FA4DA9">
      <w:pPr>
        <w:shd w:val="clear" w:color="auto" w:fill="FFFFFF"/>
        <w:spacing w:after="270" w:line="240" w:lineRule="auto"/>
        <w:jc w:val="both"/>
        <w:rPr>
          <w:rFonts w:ascii="Times New Roman" w:eastAsia="Times New Roman" w:hAnsi="Times New Roman" w:cs="Times New Roman"/>
          <w:spacing w:val="-1"/>
          <w:sz w:val="24"/>
          <w:szCs w:val="24"/>
        </w:rPr>
      </w:pPr>
      <w:r w:rsidRPr="00D95EC4">
        <w:rPr>
          <w:rFonts w:ascii="Times New Roman" w:eastAsia="Times New Roman" w:hAnsi="Times New Roman" w:cs="Times New Roman"/>
          <w:spacing w:val="-1"/>
          <w:sz w:val="24"/>
          <w:szCs w:val="24"/>
        </w:rPr>
        <w:t>Los líderes europeos han tenido que hacer equilibrios para obtener un acuerdo y entre otras cosas han tenido que hacer muchas cesiones. Algunas de ellas se refieren a la gobernanza del Fondo, que da a los Estados m</w:t>
      </w:r>
      <w:r w:rsidR="00BA4FF6">
        <w:rPr>
          <w:rFonts w:ascii="Times New Roman" w:eastAsia="Times New Roman" w:hAnsi="Times New Roman" w:cs="Times New Roman"/>
          <w:spacing w:val="-1"/>
          <w:sz w:val="24"/>
          <w:szCs w:val="24"/>
        </w:rPr>
        <w:t>iembros el poder de activar el “freno de emergencia”</w:t>
      </w:r>
      <w:r w:rsidRPr="00D95EC4">
        <w:rPr>
          <w:rFonts w:ascii="Times New Roman" w:eastAsia="Times New Roman" w:hAnsi="Times New Roman" w:cs="Times New Roman"/>
          <w:spacing w:val="-1"/>
          <w:sz w:val="24"/>
          <w:szCs w:val="24"/>
        </w:rPr>
        <w:t>, una cláusula que permite que una o más capitales que consideren que un país se está desviando de sus compromisos adquiridos podrá hacer que los líderes tengan que abordar el asunto en el Consejo Europeo. Aunque muchos defienden que este mecanismo es solo cosmético y que no tendrá efecto real, lo cierto es que da a los Estados miembros la capacidad de politizar el proceso y de generar turbulencias en un mecanismo que necesita ser ejecutado de forma flexible y rápida…</w:t>
      </w:r>
    </w:p>
    <w:p w:rsidR="00D95EC4" w:rsidRPr="00D95EC4" w:rsidRDefault="00D95EC4" w:rsidP="00FA4DA9">
      <w:pPr>
        <w:shd w:val="clear" w:color="auto" w:fill="FFFFFF"/>
        <w:spacing w:after="270" w:line="240" w:lineRule="auto"/>
        <w:jc w:val="both"/>
        <w:rPr>
          <w:rFonts w:ascii="Times New Roman" w:eastAsia="Times New Roman" w:hAnsi="Times New Roman" w:cs="Times New Roman"/>
          <w:spacing w:val="-1"/>
          <w:sz w:val="24"/>
          <w:szCs w:val="24"/>
        </w:rPr>
      </w:pPr>
      <w:r w:rsidRPr="00D95EC4">
        <w:rPr>
          <w:rFonts w:ascii="Times New Roman" w:eastAsia="Times New Roman" w:hAnsi="Times New Roman" w:cs="Times New Roman"/>
          <w:spacing w:val="-1"/>
          <w:sz w:val="24"/>
          <w:szCs w:val="24"/>
        </w:rPr>
        <w:t>Las recomendaciones a los países sobre sus políticas fiscales, laborales o de pensiones las seguirá haciendo la Comisión durante el semestre europeo, y no otros gobiernos. Entre otras razones, porque eso sería lo mismo que aceptar una injerencia diplomática en toda regla, inadmisible para cualquier país. Eso no es incompatible, sin embargo, con que haya avances en la unión fiscal, como lo demuestra la mutualización de la deuda. Al fin y al cabo, los gobiernos nacionales siguen siendo quienes se presentan a las elecciones, y, por lo tanto, son ellos quienes deben dar explicaciones en los parlamentos nacionales, lo que no impide que deban cumplir las recomendaciones del semestre europeo.</w:t>
      </w:r>
    </w:p>
    <w:p w:rsidR="00D95EC4" w:rsidRPr="00D95EC4" w:rsidRDefault="00D95EC4" w:rsidP="00FA4DA9">
      <w:pPr>
        <w:shd w:val="clear" w:color="auto" w:fill="FFFFFF"/>
        <w:spacing w:after="270" w:line="240" w:lineRule="auto"/>
        <w:jc w:val="both"/>
        <w:rPr>
          <w:rFonts w:ascii="Times New Roman" w:eastAsia="Times New Roman" w:hAnsi="Times New Roman" w:cs="Times New Roman"/>
          <w:spacing w:val="-1"/>
          <w:sz w:val="24"/>
          <w:szCs w:val="24"/>
        </w:rPr>
      </w:pPr>
      <w:r w:rsidRPr="00D95EC4">
        <w:rPr>
          <w:rFonts w:ascii="Times New Roman" w:eastAsia="Times New Roman" w:hAnsi="Times New Roman" w:cs="Times New Roman"/>
          <w:spacing w:val="-1"/>
          <w:sz w:val="24"/>
          <w:szCs w:val="24"/>
        </w:rPr>
        <w:t>La Comisión y el Consejo, de hecho, se siguen reservando los instrumentos de control de los Estados, en particular el llamado freno de emergencia, de nueva creación, que permitirá poner en apuros a los gobiernos incumplidores.</w:t>
      </w:r>
    </w:p>
    <w:p w:rsidR="00D95EC4" w:rsidRDefault="00D95EC4" w:rsidP="00FA4DA9">
      <w:pPr>
        <w:shd w:val="clear" w:color="auto" w:fill="FFFFFF"/>
        <w:spacing w:after="270" w:line="240" w:lineRule="auto"/>
        <w:jc w:val="both"/>
        <w:rPr>
          <w:rFonts w:ascii="Times New Roman" w:eastAsia="Times New Roman" w:hAnsi="Times New Roman" w:cs="Times New Roman"/>
          <w:spacing w:val="-1"/>
          <w:sz w:val="24"/>
          <w:szCs w:val="24"/>
        </w:rPr>
      </w:pPr>
      <w:r w:rsidRPr="00D95EC4">
        <w:rPr>
          <w:rFonts w:ascii="Times New Roman" w:eastAsia="Times New Roman" w:hAnsi="Times New Roman" w:cs="Times New Roman"/>
          <w:spacing w:val="-1"/>
          <w:sz w:val="24"/>
          <w:szCs w:val="24"/>
        </w:rPr>
        <w:t>Aunque el mecanismo de vigilancia es complejo, se ha optado por reforzar el control a través de Comité Económico y Financiero, un órgano consultivo del propio Consejo Europeo formado por altos funcionarios de los gobiernos y del BCE, que será el encargado de evaluar si el dinero se gasta correctamente y si las políticas económicas van en lo que la UE considera buena dirección. Ese comité ejecutará su labor por consenso, pero si no lo hay, podrá pedir al presidente del Consejo Europeo que remita el asunto a la siguiente cumbre europea. Este proceso no debería demorarse más de tres meses después de que la Comisión haya pedido su opinión al Comité Económico y Financiero. Es decir, habrá control presupuestario, aunque sea liviano. Según lo pactado, el 70% de las subvenciones estará disponible entre 2021 y 2022, y el 30% restante a lo largo de 2023.</w:t>
      </w:r>
    </w:p>
    <w:p w:rsidR="00D95EC4" w:rsidRDefault="00D95EC4" w:rsidP="00FA4DA9">
      <w:pPr>
        <w:shd w:val="clear" w:color="auto" w:fill="FFFFFF"/>
        <w:spacing w:after="270" w:line="240" w:lineRule="auto"/>
        <w:jc w:val="both"/>
        <w:rPr>
          <w:rFonts w:ascii="Times New Roman" w:hAnsi="Times New Roman" w:cs="Times New Roman"/>
          <w:sz w:val="24"/>
          <w:szCs w:val="24"/>
        </w:rPr>
      </w:pPr>
      <w:r w:rsidRPr="00D95EC4">
        <w:rPr>
          <w:rFonts w:ascii="Times New Roman" w:hAnsi="Times New Roman" w:cs="Times New Roman"/>
          <w:sz w:val="24"/>
          <w:szCs w:val="24"/>
        </w:rPr>
        <w:t xml:space="preserve">Finalmente, las transferencias se quedarán en 390.000 millones de euros, 110.000 millones menos que los que recogía la primera propuesta que llegó a la mesa de los líderes. El resto del </w:t>
      </w:r>
      <w:r w:rsidRPr="00D95EC4">
        <w:rPr>
          <w:rFonts w:ascii="Times New Roman" w:hAnsi="Times New Roman" w:cs="Times New Roman"/>
          <w:sz w:val="24"/>
          <w:szCs w:val="24"/>
        </w:rPr>
        <w:lastRenderedPageBreak/>
        <w:t>fondo, 360.000 millones de euros, llegará a los Estados miembros en forma de préstamos que tendrán que devolver.</w:t>
      </w:r>
    </w:p>
    <w:p w:rsidR="00D95EC4" w:rsidRDefault="00D95EC4" w:rsidP="00FA4DA9">
      <w:pPr>
        <w:shd w:val="clear" w:color="auto" w:fill="FFFFFF"/>
        <w:spacing w:after="270" w:line="240" w:lineRule="auto"/>
        <w:jc w:val="both"/>
        <w:rPr>
          <w:rFonts w:ascii="Times New Roman" w:hAnsi="Times New Roman" w:cs="Times New Roman"/>
          <w:sz w:val="24"/>
          <w:szCs w:val="24"/>
        </w:rPr>
      </w:pPr>
      <w:r w:rsidRPr="00D95EC4">
        <w:rPr>
          <w:rFonts w:ascii="Times New Roman" w:hAnsi="Times New Roman" w:cs="Times New Roman"/>
          <w:sz w:val="24"/>
          <w:szCs w:val="24"/>
        </w:rPr>
        <w:t>Países Bajos también ha conseguido introducir una mayor supervisión de las ayudas, pero no tendrá una capacidad real de veto si considera que las reformas que ha planteado un país concreto para recibir fondos no son las adecuadas.</w:t>
      </w:r>
    </w:p>
    <w:p w:rsidR="00A52DAC" w:rsidRPr="00A52DAC" w:rsidRDefault="00A52DAC" w:rsidP="00FA4DA9">
      <w:pPr>
        <w:shd w:val="clear" w:color="auto" w:fill="FFFFFF"/>
        <w:spacing w:after="270" w:line="240" w:lineRule="auto"/>
        <w:jc w:val="both"/>
        <w:rPr>
          <w:rFonts w:ascii="Times New Roman" w:eastAsia="Times New Roman" w:hAnsi="Times New Roman" w:cs="Times New Roman"/>
          <w:spacing w:val="-1"/>
          <w:sz w:val="24"/>
          <w:szCs w:val="24"/>
        </w:rPr>
      </w:pPr>
      <w:r w:rsidRPr="00A52DAC">
        <w:rPr>
          <w:rFonts w:ascii="Times New Roman" w:eastAsia="Times New Roman" w:hAnsi="Times New Roman" w:cs="Times New Roman"/>
          <w:spacing w:val="-1"/>
          <w:sz w:val="24"/>
          <w:szCs w:val="24"/>
        </w:rPr>
        <w:t>El acuerdo final establece que los planes nacionales de reformas serán aprobados con mayoría cualificada entre los 27 y los desembolsos posteriores dependerán del cumplimiento de una serie de objetivos preestablecidos. La Comisión Europea evaluará si se han cumplido estos objetivos, aunque excepcionalmente uno o más socios que tengan dudas de su análisis podrán pedir que debata entes a nivel de líderes.</w:t>
      </w:r>
    </w:p>
    <w:p w:rsidR="00A52DAC" w:rsidRPr="00A52DAC" w:rsidRDefault="00A52DAC" w:rsidP="00FA4DA9">
      <w:pPr>
        <w:shd w:val="clear" w:color="auto" w:fill="FFFFFF"/>
        <w:spacing w:after="270" w:line="240" w:lineRule="auto"/>
        <w:jc w:val="both"/>
        <w:rPr>
          <w:rFonts w:ascii="Times New Roman" w:eastAsia="Times New Roman" w:hAnsi="Times New Roman" w:cs="Times New Roman"/>
          <w:spacing w:val="-1"/>
          <w:sz w:val="24"/>
          <w:szCs w:val="24"/>
        </w:rPr>
      </w:pPr>
      <w:r w:rsidRPr="00A52DAC">
        <w:rPr>
          <w:rFonts w:ascii="Times New Roman" w:eastAsia="Times New Roman" w:hAnsi="Times New Roman" w:cs="Times New Roman"/>
          <w:spacing w:val="-1"/>
          <w:sz w:val="24"/>
          <w:szCs w:val="24"/>
        </w:rPr>
        <w:t>Otra de las victorias que se han apuntado los países del norte es el aumento de sus “cheques” de descuento del que se benefician los mayores contribuyentes al presupuesto de la UE. En concreto, Países Bajos, Dinamarca, Suecia, Austria y Alemania verán reducidas sus aportaciones durante todo el periodo en 53.000 millones que tendrán que completar el resto de Estados miembro</w:t>
      </w:r>
      <w:r>
        <w:rPr>
          <w:rFonts w:ascii="Times New Roman" w:eastAsia="Times New Roman" w:hAnsi="Times New Roman" w:cs="Times New Roman"/>
          <w:spacing w:val="-1"/>
          <w:sz w:val="24"/>
          <w:szCs w:val="24"/>
        </w:rPr>
        <w:t>…</w:t>
      </w:r>
    </w:p>
    <w:p w:rsidR="00A52DAC" w:rsidRPr="00A52DAC" w:rsidRDefault="00A52DAC" w:rsidP="00FA4DA9">
      <w:pPr>
        <w:shd w:val="clear" w:color="auto" w:fill="FFFFFF"/>
        <w:spacing w:after="270" w:line="240" w:lineRule="auto"/>
        <w:jc w:val="both"/>
        <w:rPr>
          <w:rFonts w:ascii="Times New Roman" w:eastAsia="Times New Roman" w:hAnsi="Times New Roman" w:cs="Times New Roman"/>
          <w:spacing w:val="-1"/>
          <w:sz w:val="24"/>
          <w:szCs w:val="24"/>
        </w:rPr>
      </w:pPr>
      <w:r w:rsidRPr="00A52DAC">
        <w:rPr>
          <w:rFonts w:ascii="Times New Roman" w:eastAsia="Times New Roman" w:hAnsi="Times New Roman" w:cs="Times New Roman"/>
          <w:spacing w:val="-1"/>
          <w:sz w:val="24"/>
          <w:szCs w:val="24"/>
        </w:rPr>
        <w:t>Los grandes países, Alemania, Francia, Italia y España, como la mayoría de los 27, querían como mínimo 400.000 millones de euros en subvenciones, mientras que los frugales proponían 350.000 millones.</w:t>
      </w:r>
    </w:p>
    <w:p w:rsidR="00A52DAC" w:rsidRPr="00A52DAC" w:rsidRDefault="00A52DAC" w:rsidP="00FA4DA9">
      <w:pPr>
        <w:shd w:val="clear" w:color="auto" w:fill="FFFFFF"/>
        <w:spacing w:after="270" w:line="240" w:lineRule="auto"/>
        <w:jc w:val="both"/>
        <w:rPr>
          <w:rFonts w:ascii="Times New Roman" w:eastAsia="Times New Roman" w:hAnsi="Times New Roman" w:cs="Times New Roman"/>
          <w:spacing w:val="-1"/>
          <w:sz w:val="24"/>
          <w:szCs w:val="24"/>
        </w:rPr>
      </w:pPr>
      <w:r w:rsidRPr="00A52DAC">
        <w:rPr>
          <w:rFonts w:ascii="Times New Roman" w:eastAsia="Times New Roman" w:hAnsi="Times New Roman" w:cs="Times New Roman"/>
          <w:spacing w:val="-1"/>
          <w:sz w:val="24"/>
          <w:szCs w:val="24"/>
        </w:rPr>
        <w:t>Finalmente, el compromiso se queda más cerca de la primera cifra, pero supone un recorte de 110.000 millones en las ayudas directas con respecto a los 500.000 millones de euros que propuso la Comisión Europea (más 250.000 millones en créditos).</w:t>
      </w:r>
    </w:p>
    <w:p w:rsidR="00A52DAC" w:rsidRPr="00A52DAC" w:rsidRDefault="00A52DAC" w:rsidP="00FA4DA9">
      <w:pPr>
        <w:shd w:val="clear" w:color="auto" w:fill="FFFFFF"/>
        <w:spacing w:after="270" w:line="240" w:lineRule="auto"/>
        <w:jc w:val="both"/>
        <w:rPr>
          <w:rFonts w:ascii="Times New Roman" w:eastAsia="Times New Roman" w:hAnsi="Times New Roman" w:cs="Times New Roman"/>
          <w:spacing w:val="-1"/>
          <w:sz w:val="24"/>
          <w:szCs w:val="24"/>
        </w:rPr>
      </w:pPr>
      <w:r w:rsidRPr="00A52DAC">
        <w:rPr>
          <w:rFonts w:ascii="Times New Roman" w:eastAsia="Times New Roman" w:hAnsi="Times New Roman" w:cs="Times New Roman"/>
          <w:spacing w:val="-1"/>
          <w:sz w:val="24"/>
          <w:szCs w:val="24"/>
        </w:rPr>
        <w:t>El Instrumento para la Recuperación y la Resiliencia, la partida más relevante del fondo de reconstrucción, destinada a financiar reformas e inversiones, aumenta su dotación a 672.500 millones, pero el resto de programas del fondo sufren importantes recortes.</w:t>
      </w:r>
    </w:p>
    <w:p w:rsidR="00A52DAC" w:rsidRPr="00A52DAC" w:rsidRDefault="00A52DAC" w:rsidP="00FA4DA9">
      <w:pPr>
        <w:shd w:val="clear" w:color="auto" w:fill="FFFFFF"/>
        <w:spacing w:after="270" w:line="240" w:lineRule="auto"/>
        <w:jc w:val="both"/>
        <w:rPr>
          <w:rFonts w:ascii="Times New Roman" w:eastAsia="Times New Roman" w:hAnsi="Times New Roman" w:cs="Times New Roman"/>
          <w:spacing w:val="-1"/>
          <w:sz w:val="24"/>
          <w:szCs w:val="24"/>
        </w:rPr>
      </w:pPr>
      <w:r w:rsidRPr="00A52DAC">
        <w:rPr>
          <w:rFonts w:ascii="Times New Roman" w:eastAsia="Times New Roman" w:hAnsi="Times New Roman" w:cs="Times New Roman"/>
          <w:spacing w:val="-1"/>
          <w:sz w:val="24"/>
          <w:szCs w:val="24"/>
        </w:rPr>
        <w:t>El problema fue que la posición de partida del primer ministro holandés, Mark Rutte, al frente de los frugales, era de oposición frontal a los subsidios. Para convencerle hizo falta el tijeretazo en las ayudas directas, que en su lugar engrosará la partida de préstamos (360.000 millones, frente a los 250.000 millones de la propuesta inicial).</w:t>
      </w:r>
    </w:p>
    <w:p w:rsidR="00A52DAC" w:rsidRPr="00A52DAC" w:rsidRDefault="00A52DAC" w:rsidP="00FA4DA9">
      <w:pPr>
        <w:shd w:val="clear" w:color="auto" w:fill="FFFFFF"/>
        <w:spacing w:after="270" w:line="240" w:lineRule="auto"/>
        <w:jc w:val="both"/>
        <w:rPr>
          <w:rFonts w:ascii="Times New Roman" w:eastAsia="Times New Roman" w:hAnsi="Times New Roman" w:cs="Times New Roman"/>
          <w:spacing w:val="-1"/>
          <w:sz w:val="24"/>
          <w:szCs w:val="24"/>
        </w:rPr>
      </w:pPr>
      <w:r w:rsidRPr="00A52DAC">
        <w:rPr>
          <w:rFonts w:ascii="Times New Roman" w:eastAsia="Times New Roman" w:hAnsi="Times New Roman" w:cs="Times New Roman"/>
          <w:spacing w:val="-1"/>
          <w:sz w:val="24"/>
          <w:szCs w:val="24"/>
        </w:rPr>
        <w:t>El fondo de ciencia Horizonte Europa pasa de 13.500 a 5.000 millones; el de inversiones Invest EU, de 30.300 millones a 5.600; o el Fondo de Transición Justa para el clima, de 30.000 a 10.000 millones; mientras que el Instrumento de Solvencia propuesto por Bruselas para ayudar a empresas en problemas se ha eliminado.</w:t>
      </w:r>
    </w:p>
    <w:p w:rsidR="00A52DAC" w:rsidRPr="00A52DAC" w:rsidRDefault="00A52DAC" w:rsidP="00FA4DA9">
      <w:pPr>
        <w:shd w:val="clear" w:color="auto" w:fill="FFFFFF"/>
        <w:spacing w:after="270" w:line="240" w:lineRule="auto"/>
        <w:jc w:val="both"/>
        <w:rPr>
          <w:rFonts w:ascii="Times New Roman" w:eastAsia="Times New Roman" w:hAnsi="Times New Roman" w:cs="Times New Roman"/>
          <w:spacing w:val="-1"/>
          <w:sz w:val="24"/>
          <w:szCs w:val="24"/>
        </w:rPr>
      </w:pPr>
      <w:r w:rsidRPr="00A52DAC">
        <w:rPr>
          <w:rFonts w:ascii="Times New Roman" w:eastAsia="Times New Roman" w:hAnsi="Times New Roman" w:cs="Times New Roman"/>
          <w:spacing w:val="-1"/>
          <w:sz w:val="24"/>
          <w:szCs w:val="24"/>
        </w:rPr>
        <w:t>El acuerdo refuerza además el control sobre la concesión de ayudas directas para contentar a Holanda, que reclamaba que los países pudiesen vetar los planes de reformas e inversiones de sus socios, mientras que la Comisión Europea planteaba que se pronunciasen solo a nivel técnico.</w:t>
      </w:r>
    </w:p>
    <w:p w:rsidR="00A52DAC" w:rsidRPr="00A52DAC" w:rsidRDefault="00A52DAC" w:rsidP="00FA4DA9">
      <w:pPr>
        <w:shd w:val="clear" w:color="auto" w:fill="FFFFFF"/>
        <w:spacing w:after="270" w:line="240" w:lineRule="auto"/>
        <w:jc w:val="both"/>
        <w:rPr>
          <w:rFonts w:ascii="Times New Roman" w:eastAsia="Times New Roman" w:hAnsi="Times New Roman" w:cs="Times New Roman"/>
          <w:spacing w:val="-1"/>
          <w:sz w:val="24"/>
          <w:szCs w:val="24"/>
        </w:rPr>
      </w:pPr>
      <w:r w:rsidRPr="00A52DAC">
        <w:rPr>
          <w:rFonts w:ascii="Times New Roman" w:eastAsia="Times New Roman" w:hAnsi="Times New Roman" w:cs="Times New Roman"/>
          <w:spacing w:val="-1"/>
          <w:sz w:val="24"/>
          <w:szCs w:val="24"/>
        </w:rPr>
        <w:t>Los países remitirán sus planes a la Comisión, y estos tendrán que ser aprobados también por una mayoría cualificada de los Veintisiete.</w:t>
      </w:r>
    </w:p>
    <w:p w:rsidR="00A52DAC" w:rsidRPr="00A52DAC" w:rsidRDefault="00A52DAC" w:rsidP="00FA4DA9">
      <w:pPr>
        <w:shd w:val="clear" w:color="auto" w:fill="FFFFFF"/>
        <w:spacing w:after="270" w:line="240" w:lineRule="auto"/>
        <w:jc w:val="both"/>
        <w:rPr>
          <w:rFonts w:ascii="Times New Roman" w:eastAsia="Times New Roman" w:hAnsi="Times New Roman" w:cs="Times New Roman"/>
          <w:spacing w:val="-1"/>
          <w:sz w:val="24"/>
          <w:szCs w:val="24"/>
        </w:rPr>
      </w:pPr>
      <w:r w:rsidRPr="00A52DAC">
        <w:rPr>
          <w:rFonts w:ascii="Times New Roman" w:eastAsia="Times New Roman" w:hAnsi="Times New Roman" w:cs="Times New Roman"/>
          <w:spacing w:val="-1"/>
          <w:sz w:val="24"/>
          <w:szCs w:val="24"/>
        </w:rPr>
        <w:lastRenderedPageBreak/>
        <w:t>Después, a la hora de autorizar el desembolso de cada tramo de ayuda, si un país o varios tienen dudas, podrán elevar la cuestión a una cumbre de líderes, con lo que el pago se paralizará hasta que lo hayan abordado.</w:t>
      </w:r>
    </w:p>
    <w:p w:rsidR="00A52DAC" w:rsidRPr="00A52DAC" w:rsidRDefault="00A52DAC" w:rsidP="00FA4DA9">
      <w:pPr>
        <w:shd w:val="clear" w:color="auto" w:fill="FFFFFF"/>
        <w:spacing w:after="270" w:line="240" w:lineRule="auto"/>
        <w:jc w:val="both"/>
        <w:rPr>
          <w:rFonts w:ascii="Times New Roman" w:eastAsia="Times New Roman" w:hAnsi="Times New Roman" w:cs="Times New Roman"/>
          <w:spacing w:val="-1"/>
          <w:sz w:val="24"/>
          <w:szCs w:val="24"/>
        </w:rPr>
      </w:pPr>
      <w:r w:rsidRPr="00A52DAC">
        <w:rPr>
          <w:rFonts w:ascii="Times New Roman" w:eastAsia="Times New Roman" w:hAnsi="Times New Roman" w:cs="Times New Roman"/>
          <w:spacing w:val="-1"/>
          <w:sz w:val="24"/>
          <w:szCs w:val="24"/>
        </w:rPr>
        <w:t>Por otro lado, aumentan los descuentos que tienen los frugales en su contribución al presupuesto por aportar más de lo que reciben, mientras que Alemania simplemente lo mantiene (en 3.671 millones de euros anuales).</w:t>
      </w:r>
    </w:p>
    <w:p w:rsidR="00A52DAC" w:rsidRPr="00A52DAC" w:rsidRDefault="00A52DAC" w:rsidP="00FA4DA9">
      <w:pPr>
        <w:shd w:val="clear" w:color="auto" w:fill="FFFFFF"/>
        <w:spacing w:after="270" w:line="240" w:lineRule="auto"/>
        <w:jc w:val="both"/>
        <w:rPr>
          <w:rFonts w:ascii="Times New Roman" w:eastAsia="Times New Roman" w:hAnsi="Times New Roman" w:cs="Times New Roman"/>
          <w:spacing w:val="-1"/>
          <w:sz w:val="24"/>
          <w:szCs w:val="24"/>
        </w:rPr>
      </w:pPr>
      <w:r w:rsidRPr="00A52DAC">
        <w:rPr>
          <w:rFonts w:ascii="Times New Roman" w:eastAsia="Times New Roman" w:hAnsi="Times New Roman" w:cs="Times New Roman"/>
          <w:spacing w:val="-1"/>
          <w:sz w:val="24"/>
          <w:szCs w:val="24"/>
        </w:rPr>
        <w:t>El de Holanda será de 1.921 millones de euros frente a 1.576 millones en la propuesta inicial, el de Dinamarca pasará de 197 a 377 millones, el de Austria de 237 a 565 millones y, el de Suecia, de 798 a 1.069 millones.</w:t>
      </w:r>
    </w:p>
    <w:p w:rsidR="00A52DAC" w:rsidRPr="00A52DAC" w:rsidRDefault="00A52DAC" w:rsidP="00FA4DA9">
      <w:pPr>
        <w:shd w:val="clear" w:color="auto" w:fill="FFFFFF"/>
        <w:spacing w:after="270" w:line="240" w:lineRule="auto"/>
        <w:jc w:val="both"/>
        <w:rPr>
          <w:rFonts w:ascii="Times New Roman" w:eastAsia="Times New Roman" w:hAnsi="Times New Roman" w:cs="Times New Roman"/>
          <w:spacing w:val="-1"/>
          <w:sz w:val="24"/>
          <w:szCs w:val="24"/>
        </w:rPr>
      </w:pPr>
      <w:r w:rsidRPr="00A52DAC">
        <w:rPr>
          <w:rFonts w:ascii="Times New Roman" w:eastAsia="Times New Roman" w:hAnsi="Times New Roman" w:cs="Times New Roman"/>
          <w:spacing w:val="-1"/>
          <w:sz w:val="24"/>
          <w:szCs w:val="24"/>
        </w:rPr>
        <w:t>Además, se introduce por primera vez la condicionalidad ligada al Estado de Derecho, de la que recelaban Hungría y Polonia, así como la meta de que el 30% del gasto del presupuesto y el fondo de recuperación apoye objetivos climáticos.</w:t>
      </w:r>
    </w:p>
    <w:p w:rsidR="00A52DAC" w:rsidRPr="00A52DAC" w:rsidRDefault="00A52DAC" w:rsidP="00FA4DA9">
      <w:pPr>
        <w:shd w:val="clear" w:color="auto" w:fill="FFFFFF"/>
        <w:spacing w:after="270" w:line="240" w:lineRule="auto"/>
        <w:jc w:val="both"/>
        <w:rPr>
          <w:rFonts w:ascii="Times New Roman" w:eastAsia="Times New Roman" w:hAnsi="Times New Roman" w:cs="Times New Roman"/>
          <w:spacing w:val="-1"/>
          <w:sz w:val="24"/>
          <w:szCs w:val="24"/>
        </w:rPr>
      </w:pPr>
      <w:r w:rsidRPr="00A52DAC">
        <w:rPr>
          <w:rFonts w:ascii="Times New Roman" w:eastAsia="Times New Roman" w:hAnsi="Times New Roman" w:cs="Times New Roman"/>
          <w:spacing w:val="-1"/>
          <w:sz w:val="24"/>
          <w:szCs w:val="24"/>
        </w:rPr>
        <w:t>El acuerdo tendrá ahora que pasar por el aro del Parlamento Europeo, que tiene la última palabra, y ya ha avisado de que no lo apoyará si no respeta las prioridades.</w:t>
      </w:r>
    </w:p>
    <w:p w:rsidR="006B21D6" w:rsidRDefault="006B21D6" w:rsidP="00707530">
      <w:pPr>
        <w:pStyle w:val="NormalWeb"/>
        <w:shd w:val="clear" w:color="auto" w:fill="FFFFFF"/>
        <w:spacing w:after="0"/>
        <w:jc w:val="both"/>
        <w:textAlignment w:val="baseline"/>
      </w:pPr>
      <w:r>
        <w:t xml:space="preserve">- </w:t>
      </w:r>
      <w:r w:rsidRPr="00DA1700">
        <w:rPr>
          <w:u w:val="single"/>
        </w:rPr>
        <w:t>Así se repartirá el fondo europeo tras los recortes de la cumbre en descarbonización o desarrollo rural</w:t>
      </w:r>
      <w:r>
        <w:t xml:space="preserve"> (Cinco Días - </w:t>
      </w:r>
      <w:r w:rsidRPr="00DA1700">
        <w:rPr>
          <w:b/>
        </w:rPr>
        <w:t>22/7/20</w:t>
      </w:r>
      <w:r w:rsidR="00707530">
        <w:t>)</w:t>
      </w:r>
    </w:p>
    <w:p w:rsidR="006B21D6" w:rsidRDefault="006B21D6" w:rsidP="00FA4DA9">
      <w:pPr>
        <w:pStyle w:val="NormalWeb"/>
        <w:shd w:val="clear" w:color="auto" w:fill="FFFFFF"/>
        <w:spacing w:before="0" w:beforeAutospacing="0" w:after="0" w:afterAutospacing="0"/>
        <w:jc w:val="both"/>
        <w:textAlignment w:val="baseline"/>
      </w:pPr>
      <w:r>
        <w:rPr>
          <w:noProof/>
        </w:rPr>
        <w:drawing>
          <wp:inline distT="0" distB="0" distL="0" distR="0" wp14:anchorId="3153F42F" wp14:editId="7CCB6C23">
            <wp:extent cx="5816600" cy="2476500"/>
            <wp:effectExtent l="0" t="0" r="0" b="0"/>
            <wp:docPr id="6" name="Imagen 6" descr="Así se repartirá el fondo europeo tras los recortes de la cumbre en descarbonización o desarrollo r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í se repartirá el fondo europeo tras los recortes de la cumbre en descarbonización o desarrollo rural"/>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826929" cy="2480898"/>
                    </a:xfrm>
                    <a:prstGeom prst="rect">
                      <a:avLst/>
                    </a:prstGeom>
                    <a:noFill/>
                    <a:ln>
                      <a:noFill/>
                    </a:ln>
                  </pic:spPr>
                </pic:pic>
              </a:graphicData>
            </a:graphic>
          </wp:inline>
        </w:drawing>
      </w:r>
    </w:p>
    <w:p w:rsidR="00707530" w:rsidRPr="006B21D6" w:rsidRDefault="00707530" w:rsidP="00FA4DA9">
      <w:pPr>
        <w:pStyle w:val="NormalWeb"/>
        <w:shd w:val="clear" w:color="auto" w:fill="FFFFFF"/>
        <w:spacing w:before="0" w:beforeAutospacing="0" w:after="0" w:afterAutospacing="0"/>
        <w:jc w:val="both"/>
        <w:textAlignment w:val="baseline"/>
      </w:pPr>
      <w:r>
        <w:rPr>
          <w:noProof/>
        </w:rPr>
        <w:drawing>
          <wp:inline distT="0" distB="0" distL="0" distR="0" wp14:anchorId="5F524016" wp14:editId="717181B4">
            <wp:extent cx="5816600" cy="2495550"/>
            <wp:effectExtent l="0" t="0" r="0" b="0"/>
            <wp:docPr id="28" name="Imagen 28" descr="Así se repartirá el fondo europeo tras los recortes de la cumbre en descarbonización o desarrollo r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sí se repartirá el fondo europeo tras los recortes de la cumbre en descarbonización o desarrollo rural"/>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814024" cy="2494445"/>
                    </a:xfrm>
                    <a:prstGeom prst="rect">
                      <a:avLst/>
                    </a:prstGeom>
                    <a:noFill/>
                    <a:ln>
                      <a:noFill/>
                    </a:ln>
                  </pic:spPr>
                </pic:pic>
              </a:graphicData>
            </a:graphic>
          </wp:inline>
        </w:drawing>
      </w:r>
    </w:p>
    <w:p w:rsidR="006B21D6" w:rsidRPr="00CA43AE" w:rsidRDefault="006B21D6" w:rsidP="00FA4DA9">
      <w:pPr>
        <w:pStyle w:val="Ttulo2"/>
        <w:shd w:val="clear" w:color="auto" w:fill="FFFFFF"/>
        <w:spacing w:before="480" w:line="240" w:lineRule="auto"/>
        <w:jc w:val="both"/>
        <w:textAlignment w:val="baseline"/>
        <w:rPr>
          <w:rFonts w:ascii="Times New Roman" w:hAnsi="Times New Roman" w:cs="Times New Roman"/>
          <w:color w:val="FF0000"/>
          <w:sz w:val="24"/>
          <w:szCs w:val="24"/>
        </w:rPr>
      </w:pPr>
      <w:r w:rsidRPr="00CA43AE">
        <w:rPr>
          <w:rFonts w:ascii="Times New Roman" w:hAnsi="Times New Roman" w:cs="Times New Roman"/>
          <w:color w:val="FF0000"/>
          <w:sz w:val="24"/>
          <w:szCs w:val="24"/>
          <w:u w:val="single"/>
        </w:rPr>
        <w:lastRenderedPageBreak/>
        <w:t>El Consejo y la Comisión Europea, con todo, ponen en valor las cifras movilizadas. En conjunto, sumando el presupuesto plurianual (1,074 billones), el fondo de reconstrucción (750.000 millones) y la primera respuesta comunitaria que movilizó dinero del MEDE, el Sure y el Banco Europeo de Inversiones (540.000 millones en total), la respuesta europea asciende a los 2.364 billones de euros, el 17% del PIB de la UE.</w:t>
      </w:r>
    </w:p>
    <w:p w:rsidR="006B21D6" w:rsidRDefault="006B21D6" w:rsidP="00FA4DA9">
      <w:pPr>
        <w:pStyle w:val="Ttulo2"/>
        <w:shd w:val="clear" w:color="auto" w:fill="FFFFFF"/>
        <w:spacing w:before="480" w:line="240" w:lineRule="auto"/>
        <w:jc w:val="both"/>
        <w:textAlignment w:val="baseline"/>
        <w:rPr>
          <w:rFonts w:ascii="Times New Roman" w:hAnsi="Times New Roman" w:cs="Times New Roman"/>
          <w:color w:val="FF0000"/>
          <w:sz w:val="24"/>
          <w:szCs w:val="24"/>
          <w:u w:val="single"/>
        </w:rPr>
      </w:pPr>
      <w:r w:rsidRPr="00CA43AE">
        <w:rPr>
          <w:rFonts w:ascii="Times New Roman" w:hAnsi="Times New Roman" w:cs="Times New Roman"/>
          <w:color w:val="FF0000"/>
          <w:sz w:val="24"/>
          <w:szCs w:val="24"/>
          <w:u w:val="single"/>
        </w:rPr>
        <w:t>Estados Unidos, según los datos del Consejo, ha movilizado 3.061 billones de dólares para hacer frente a la crisis sanitaria y económica, el 15,9% de su riqueza, mientras que la respuesta de China, con 4.200 billones de yenes, supone algo más del 4% de su riqueza.</w:t>
      </w:r>
    </w:p>
    <w:p w:rsidR="00707530" w:rsidRPr="00707530" w:rsidRDefault="00707530" w:rsidP="00707530">
      <w:pPr>
        <w:rPr>
          <w:lang w:eastAsia="es-ES"/>
        </w:rPr>
      </w:pPr>
    </w:p>
    <w:p w:rsidR="005B6A9C" w:rsidRPr="005B6A9C" w:rsidRDefault="005B6A9C" w:rsidP="00FA4DA9">
      <w:pPr>
        <w:spacing w:line="240" w:lineRule="auto"/>
        <w:jc w:val="both"/>
        <w:rPr>
          <w:rFonts w:ascii="Times New Roman" w:hAnsi="Times New Roman" w:cs="Times New Roman"/>
          <w:sz w:val="24"/>
          <w:szCs w:val="24"/>
          <w:lang w:eastAsia="es-ES"/>
        </w:rPr>
      </w:pPr>
      <w:r w:rsidRPr="005B6A9C">
        <w:rPr>
          <w:rFonts w:ascii="Times New Roman" w:hAnsi="Times New Roman" w:cs="Times New Roman"/>
          <w:sz w:val="24"/>
          <w:szCs w:val="24"/>
          <w:lang w:eastAsia="es-ES"/>
        </w:rPr>
        <w:t xml:space="preserve">- </w:t>
      </w:r>
      <w:r w:rsidR="00707530">
        <w:rPr>
          <w:rFonts w:ascii="Times New Roman" w:hAnsi="Times New Roman" w:cs="Times New Roman"/>
          <w:sz w:val="24"/>
          <w:szCs w:val="24"/>
          <w:u w:val="single"/>
          <w:lang w:eastAsia="es-ES"/>
        </w:rPr>
        <w:t>El PIB de EE</w:t>
      </w:r>
      <w:r w:rsidRPr="005B6A9C">
        <w:rPr>
          <w:rFonts w:ascii="Times New Roman" w:hAnsi="Times New Roman" w:cs="Times New Roman"/>
          <w:sz w:val="24"/>
          <w:szCs w:val="24"/>
          <w:u w:val="single"/>
          <w:lang w:eastAsia="es-ES"/>
        </w:rPr>
        <w:t>UU se desploma un 9,5% en el segundo trimestre</w:t>
      </w:r>
      <w:r w:rsidRPr="005B6A9C">
        <w:rPr>
          <w:rFonts w:ascii="Times New Roman" w:hAnsi="Times New Roman" w:cs="Times New Roman"/>
          <w:sz w:val="24"/>
          <w:szCs w:val="24"/>
          <w:lang w:eastAsia="es-ES"/>
        </w:rPr>
        <w:t xml:space="preserve"> (Cinco Días - </w:t>
      </w:r>
      <w:r w:rsidRPr="005B6A9C">
        <w:rPr>
          <w:rFonts w:ascii="Times New Roman" w:hAnsi="Times New Roman" w:cs="Times New Roman"/>
          <w:b/>
          <w:sz w:val="24"/>
          <w:szCs w:val="24"/>
          <w:lang w:eastAsia="es-ES"/>
        </w:rPr>
        <w:t>30/7/20</w:t>
      </w:r>
      <w:r w:rsidRPr="005B6A9C">
        <w:rPr>
          <w:rFonts w:ascii="Times New Roman" w:hAnsi="Times New Roman" w:cs="Times New Roman"/>
          <w:sz w:val="24"/>
          <w:szCs w:val="24"/>
          <w:lang w:eastAsia="es-ES"/>
        </w:rPr>
        <w:t>)</w:t>
      </w:r>
    </w:p>
    <w:p w:rsidR="005B6A9C" w:rsidRPr="005B6A9C" w:rsidRDefault="005B6A9C" w:rsidP="00FA4DA9">
      <w:pPr>
        <w:spacing w:line="240" w:lineRule="auto"/>
        <w:jc w:val="both"/>
        <w:rPr>
          <w:rFonts w:ascii="Times New Roman" w:hAnsi="Times New Roman" w:cs="Times New Roman"/>
          <w:color w:val="FF0000"/>
          <w:sz w:val="24"/>
          <w:szCs w:val="24"/>
          <w:u w:val="single"/>
          <w:lang w:eastAsia="es-ES"/>
        </w:rPr>
      </w:pPr>
      <w:r w:rsidRPr="005B6A9C">
        <w:rPr>
          <w:rFonts w:ascii="Times New Roman" w:hAnsi="Times New Roman" w:cs="Times New Roman"/>
          <w:color w:val="FF0000"/>
          <w:sz w:val="24"/>
          <w:szCs w:val="24"/>
          <w:u w:val="single"/>
          <w:lang w:eastAsia="es-ES"/>
        </w:rPr>
        <w:t xml:space="preserve">Estados Unidos ha sufrido en el segundo trimestre de 2020 la mayor contracción de la economía desde que existen datos. El PIB del país se ha desplomado un 9,5% trimestral, con especial impacto en el consumo y la inversión, según el dato avanzado que ha publicado este jueves el Departamento de Comercio. En términos interanuales, la economía se contrajo también un 9,5%. </w:t>
      </w:r>
    </w:p>
    <w:p w:rsidR="005B6A9C" w:rsidRPr="005B6A9C" w:rsidRDefault="005B6A9C" w:rsidP="00FA4DA9">
      <w:pPr>
        <w:spacing w:line="240" w:lineRule="auto"/>
        <w:jc w:val="both"/>
        <w:rPr>
          <w:rFonts w:ascii="Times New Roman" w:hAnsi="Times New Roman" w:cs="Times New Roman"/>
          <w:b/>
          <w:color w:val="FF0000"/>
          <w:sz w:val="24"/>
          <w:szCs w:val="24"/>
          <w:u w:val="single"/>
          <w:lang w:eastAsia="es-ES"/>
        </w:rPr>
      </w:pPr>
      <w:r w:rsidRPr="005B6A9C">
        <w:rPr>
          <w:rFonts w:ascii="Times New Roman" w:hAnsi="Times New Roman" w:cs="Times New Roman"/>
          <w:b/>
          <w:color w:val="FF0000"/>
          <w:sz w:val="24"/>
          <w:szCs w:val="24"/>
          <w:u w:val="single"/>
          <w:lang w:eastAsia="es-ES"/>
        </w:rPr>
        <w:t>En términos anualizados, el descenso del PIB es de un 32,9%. Esta tasa anualizada parte de la premisa de que el porcentaje de caída del PIB se replique a lo largo de todo un año, es decir, que se mantengan estables a lo largo de cuatro trimestres las condiciones económicas adversas</w:t>
      </w:r>
      <w:r w:rsidRPr="00CA43AE">
        <w:rPr>
          <w:rFonts w:ascii="Times New Roman" w:hAnsi="Times New Roman" w:cs="Times New Roman"/>
          <w:b/>
          <w:color w:val="FF0000"/>
          <w:sz w:val="24"/>
          <w:szCs w:val="24"/>
          <w:lang w:eastAsia="es-ES"/>
        </w:rPr>
        <w:t>…</w:t>
      </w:r>
    </w:p>
    <w:p w:rsidR="005B6A9C" w:rsidRPr="005B6A9C" w:rsidRDefault="005B6A9C" w:rsidP="00FA4DA9">
      <w:pPr>
        <w:spacing w:line="240" w:lineRule="auto"/>
        <w:jc w:val="both"/>
        <w:rPr>
          <w:rFonts w:ascii="Times New Roman" w:hAnsi="Times New Roman" w:cs="Times New Roman"/>
          <w:b/>
          <w:color w:val="FF0000"/>
          <w:sz w:val="24"/>
          <w:szCs w:val="24"/>
          <w:u w:val="single"/>
          <w:lang w:eastAsia="es-ES"/>
        </w:rPr>
      </w:pPr>
      <w:r w:rsidRPr="005B6A9C">
        <w:rPr>
          <w:rFonts w:ascii="Times New Roman" w:hAnsi="Times New Roman" w:cs="Times New Roman"/>
          <w:sz w:val="24"/>
          <w:szCs w:val="24"/>
          <w:lang w:eastAsia="es-ES"/>
        </w:rPr>
        <w:t xml:space="preserve">Los causantes del fuerte descenso han venido de la mano del consumo personal, exportaciones, inventarios y gasto estatal y local. </w:t>
      </w:r>
      <w:r w:rsidRPr="005B6A9C">
        <w:rPr>
          <w:rFonts w:ascii="Times New Roman" w:hAnsi="Times New Roman" w:cs="Times New Roman"/>
          <w:b/>
          <w:color w:val="FF0000"/>
          <w:sz w:val="24"/>
          <w:szCs w:val="24"/>
          <w:u w:val="single"/>
          <w:lang w:eastAsia="es-ES"/>
        </w:rPr>
        <w:t>Ni siquiera la Gran Depresión de comienzos de la década de 1930 ni la Crisis Financiera de 2008 y 2009 habían causado daños económicos de este calibre en un periodo de tiempo tan concentrado.</w:t>
      </w:r>
    </w:p>
    <w:p w:rsidR="005B6A9C" w:rsidRPr="005B6A9C" w:rsidRDefault="005B6A9C" w:rsidP="00FA4DA9">
      <w:pPr>
        <w:spacing w:line="240" w:lineRule="auto"/>
        <w:jc w:val="both"/>
        <w:rPr>
          <w:rFonts w:ascii="Times New Roman" w:hAnsi="Times New Roman" w:cs="Times New Roman"/>
          <w:sz w:val="24"/>
          <w:szCs w:val="24"/>
          <w:lang w:eastAsia="es-ES"/>
        </w:rPr>
      </w:pPr>
      <w:r w:rsidRPr="005B6A9C">
        <w:rPr>
          <w:rFonts w:ascii="Times New Roman" w:hAnsi="Times New Roman" w:cs="Times New Roman"/>
          <w:sz w:val="24"/>
          <w:szCs w:val="24"/>
          <w:lang w:eastAsia="es-ES"/>
        </w:rPr>
        <w:t>De hecho, el peor trimestre en términos de PIB</w:t>
      </w:r>
      <w:r>
        <w:rPr>
          <w:rFonts w:ascii="Times New Roman" w:hAnsi="Times New Roman" w:cs="Times New Roman"/>
          <w:sz w:val="24"/>
          <w:szCs w:val="24"/>
          <w:lang w:eastAsia="es-ES"/>
        </w:rPr>
        <w:t xml:space="preserve"> en EE</w:t>
      </w:r>
      <w:r w:rsidRPr="005B6A9C">
        <w:rPr>
          <w:rFonts w:ascii="Times New Roman" w:hAnsi="Times New Roman" w:cs="Times New Roman"/>
          <w:sz w:val="24"/>
          <w:szCs w:val="24"/>
          <w:lang w:eastAsia="es-ES"/>
        </w:rPr>
        <w:t>UU durante la pasada crisis financiera arrojó una caída del 1,85%, en el cuarto trimestre de 2008 (8,4% anualizado). El en primer trimestre de 1958, la caída trimestral del producto interior bruto fue del 1,55% (10% anualizado).</w:t>
      </w:r>
    </w:p>
    <w:p w:rsidR="005B6A9C" w:rsidRPr="005B6A9C" w:rsidRDefault="005B6A9C" w:rsidP="00FA4DA9">
      <w:pPr>
        <w:spacing w:line="240" w:lineRule="auto"/>
        <w:jc w:val="both"/>
        <w:rPr>
          <w:rFonts w:ascii="Times New Roman" w:hAnsi="Times New Roman" w:cs="Times New Roman"/>
          <w:color w:val="FF0000"/>
          <w:sz w:val="24"/>
          <w:szCs w:val="24"/>
          <w:u w:val="single"/>
          <w:lang w:eastAsia="es-ES"/>
        </w:rPr>
      </w:pPr>
      <w:r w:rsidRPr="005B6A9C">
        <w:rPr>
          <w:rFonts w:ascii="Times New Roman" w:hAnsi="Times New Roman" w:cs="Times New Roman"/>
          <w:color w:val="FF0000"/>
          <w:sz w:val="24"/>
          <w:szCs w:val="24"/>
          <w:u w:val="single"/>
          <w:lang w:eastAsia="es-ES"/>
        </w:rPr>
        <w:t>La naturaleza de esta crisis, además, se ha debido al factor exógeno del Covid-19, que ha obligado a parar durante semanas la economía mundial, también la de Estados Unidos. La primera potencia económica vio cómo la tasa de paro subía de apenas el 3,5% (la más baja en 50 años) al 14,7% en apenas dos meses por los efectos del confinamiento.</w:t>
      </w:r>
    </w:p>
    <w:p w:rsidR="005B6A9C" w:rsidRPr="005B6A9C" w:rsidRDefault="005B6A9C" w:rsidP="00FA4DA9">
      <w:pPr>
        <w:spacing w:line="240" w:lineRule="auto"/>
        <w:jc w:val="both"/>
        <w:rPr>
          <w:rFonts w:ascii="Times New Roman" w:hAnsi="Times New Roman" w:cs="Times New Roman"/>
          <w:sz w:val="24"/>
          <w:szCs w:val="24"/>
          <w:lang w:eastAsia="es-ES"/>
        </w:rPr>
      </w:pPr>
      <w:r w:rsidRPr="005B6A9C">
        <w:rPr>
          <w:rFonts w:ascii="Times New Roman" w:hAnsi="Times New Roman" w:cs="Times New Roman"/>
          <w:sz w:val="24"/>
          <w:szCs w:val="24"/>
          <w:lang w:eastAsia="es-ES"/>
        </w:rPr>
        <w:t xml:space="preserve">- </w:t>
      </w:r>
      <w:r w:rsidRPr="005B6A9C">
        <w:rPr>
          <w:rFonts w:ascii="Times New Roman" w:hAnsi="Times New Roman" w:cs="Times New Roman"/>
          <w:sz w:val="24"/>
          <w:szCs w:val="24"/>
          <w:u w:val="single"/>
          <w:lang w:eastAsia="es-ES"/>
        </w:rPr>
        <w:t>La economía alemana cae un 10,1% en el segundo trimestre, el peor dato de su historia</w:t>
      </w:r>
      <w:r w:rsidRPr="005B6A9C">
        <w:rPr>
          <w:rFonts w:ascii="Times New Roman" w:hAnsi="Times New Roman" w:cs="Times New Roman"/>
          <w:sz w:val="24"/>
          <w:szCs w:val="24"/>
          <w:lang w:eastAsia="es-ES"/>
        </w:rPr>
        <w:t xml:space="preserve"> (Cinco Días - </w:t>
      </w:r>
      <w:r w:rsidRPr="005B6A9C">
        <w:rPr>
          <w:rFonts w:ascii="Times New Roman" w:hAnsi="Times New Roman" w:cs="Times New Roman"/>
          <w:b/>
          <w:sz w:val="24"/>
          <w:szCs w:val="24"/>
          <w:lang w:eastAsia="es-ES"/>
        </w:rPr>
        <w:t>30/7/20</w:t>
      </w:r>
      <w:r w:rsidRPr="005B6A9C">
        <w:rPr>
          <w:rFonts w:ascii="Times New Roman" w:hAnsi="Times New Roman" w:cs="Times New Roman"/>
          <w:sz w:val="24"/>
          <w:szCs w:val="24"/>
          <w:lang w:eastAsia="es-ES"/>
        </w:rPr>
        <w:t>)</w:t>
      </w:r>
    </w:p>
    <w:p w:rsidR="005B6A9C" w:rsidRPr="005B6A9C" w:rsidRDefault="005B6A9C" w:rsidP="00FA4DA9">
      <w:pPr>
        <w:spacing w:line="240" w:lineRule="auto"/>
        <w:jc w:val="both"/>
        <w:rPr>
          <w:rFonts w:ascii="Times New Roman" w:hAnsi="Times New Roman" w:cs="Times New Roman"/>
          <w:color w:val="FF0000"/>
          <w:sz w:val="24"/>
          <w:szCs w:val="24"/>
          <w:u w:val="single"/>
          <w:lang w:eastAsia="es-ES"/>
        </w:rPr>
      </w:pPr>
      <w:r w:rsidRPr="005B6A9C">
        <w:rPr>
          <w:rFonts w:ascii="Times New Roman" w:hAnsi="Times New Roman" w:cs="Times New Roman"/>
          <w:color w:val="FF0000"/>
          <w:sz w:val="24"/>
          <w:szCs w:val="24"/>
          <w:u w:val="single"/>
          <w:lang w:eastAsia="es-ES"/>
        </w:rPr>
        <w:t>El producto interior bruto (PIB) de Alemania, la mayor economía europea, se hundió en el segundo trimestre de 2020 un 10,1% respecto de los tres meses anteriores, cuando la “locomotora europea” había registrado ya una contracción del 2%, según la estimación preliminar publicada por la Oficina Federal de Estadística (Destatis).</w:t>
      </w:r>
    </w:p>
    <w:p w:rsidR="005B6A9C" w:rsidRPr="005B6A9C" w:rsidRDefault="005B6A9C" w:rsidP="00FA4DA9">
      <w:pPr>
        <w:spacing w:line="240" w:lineRule="auto"/>
        <w:jc w:val="both"/>
        <w:rPr>
          <w:rFonts w:ascii="Times New Roman" w:hAnsi="Times New Roman" w:cs="Times New Roman"/>
          <w:b/>
          <w:color w:val="FF0000"/>
          <w:sz w:val="24"/>
          <w:szCs w:val="24"/>
          <w:u w:val="single"/>
          <w:lang w:eastAsia="es-ES"/>
        </w:rPr>
      </w:pPr>
      <w:r w:rsidRPr="005B6A9C">
        <w:rPr>
          <w:rFonts w:ascii="Times New Roman" w:hAnsi="Times New Roman" w:cs="Times New Roman"/>
          <w:b/>
          <w:color w:val="FF0000"/>
          <w:sz w:val="24"/>
          <w:szCs w:val="24"/>
          <w:u w:val="single"/>
          <w:lang w:eastAsia="es-ES"/>
        </w:rPr>
        <w:t xml:space="preserve">“Se trata de la mayor caída desde que comenzaron a calcularse los datos de PIB trimestralmente en 1970”, ha explicado la oficina estadística germana, subrayando que el desplome de la actividad entre los meses de abril y junio “fue mucho mayor que </w:t>
      </w:r>
      <w:r w:rsidRPr="005B6A9C">
        <w:rPr>
          <w:rFonts w:ascii="Times New Roman" w:hAnsi="Times New Roman" w:cs="Times New Roman"/>
          <w:b/>
          <w:color w:val="FF0000"/>
          <w:sz w:val="24"/>
          <w:szCs w:val="24"/>
          <w:u w:val="single"/>
          <w:lang w:eastAsia="es-ES"/>
        </w:rPr>
        <w:lastRenderedPageBreak/>
        <w:t>durante la crisis financiera, cuando se registró una caída del 4,7% del PIB en el primer trimestre de 2009”.</w:t>
      </w:r>
    </w:p>
    <w:p w:rsidR="005B6A9C" w:rsidRPr="005B6A9C" w:rsidRDefault="005B6A9C" w:rsidP="00FA4DA9">
      <w:pPr>
        <w:spacing w:line="240" w:lineRule="auto"/>
        <w:jc w:val="both"/>
        <w:rPr>
          <w:rFonts w:ascii="Times New Roman" w:hAnsi="Times New Roman" w:cs="Times New Roman"/>
          <w:sz w:val="24"/>
          <w:szCs w:val="24"/>
          <w:lang w:eastAsia="es-ES"/>
        </w:rPr>
      </w:pPr>
      <w:r w:rsidRPr="005B6A9C">
        <w:rPr>
          <w:rFonts w:ascii="Times New Roman" w:hAnsi="Times New Roman" w:cs="Times New Roman"/>
          <w:sz w:val="24"/>
          <w:szCs w:val="24"/>
          <w:lang w:eastAsia="es-ES"/>
        </w:rPr>
        <w:t>Destatis destacó que en el segund</w:t>
      </w:r>
      <w:r>
        <w:rPr>
          <w:rFonts w:ascii="Times New Roman" w:hAnsi="Times New Roman" w:cs="Times New Roman"/>
          <w:sz w:val="24"/>
          <w:szCs w:val="24"/>
          <w:lang w:eastAsia="es-ES"/>
        </w:rPr>
        <w:t>o trimestre del año se produjo “un desplome masivo”</w:t>
      </w:r>
      <w:r w:rsidRPr="005B6A9C">
        <w:rPr>
          <w:rFonts w:ascii="Times New Roman" w:hAnsi="Times New Roman" w:cs="Times New Roman"/>
          <w:sz w:val="24"/>
          <w:szCs w:val="24"/>
          <w:lang w:eastAsia="es-ES"/>
        </w:rPr>
        <w:t xml:space="preserve"> de las exportaciones e importaciones de bienes y servicios, así como del gasto en consumo de los hogares y de la formación de capital en maquinaria y equipamiento por parte de las empresas. Por su parte, el gasto del Gobierno se incrementó sustancialmente durante la crisis.</w:t>
      </w:r>
    </w:p>
    <w:p w:rsidR="005B6A9C" w:rsidRPr="005B6A9C" w:rsidRDefault="005B6A9C" w:rsidP="00FA4DA9">
      <w:pPr>
        <w:spacing w:line="240" w:lineRule="auto"/>
        <w:jc w:val="both"/>
        <w:rPr>
          <w:rFonts w:ascii="Times New Roman" w:hAnsi="Times New Roman" w:cs="Times New Roman"/>
          <w:color w:val="FF0000"/>
          <w:sz w:val="24"/>
          <w:szCs w:val="24"/>
          <w:u w:val="single"/>
          <w:lang w:eastAsia="es-ES"/>
        </w:rPr>
      </w:pPr>
      <w:r w:rsidRPr="005B6A9C">
        <w:rPr>
          <w:rFonts w:ascii="Times New Roman" w:hAnsi="Times New Roman" w:cs="Times New Roman"/>
          <w:color w:val="FF0000"/>
          <w:sz w:val="24"/>
          <w:szCs w:val="24"/>
          <w:u w:val="single"/>
          <w:lang w:eastAsia="es-ES"/>
        </w:rPr>
        <w:t>En comparación con el segundo trimestre de 2019, la contracción del PIB de Alemania alcanzó un récord del 11,7%, frente a la caída del 1,8% interanual de los tres primeros meses de 2020. La mayor caída interanual del PIB hasta la fecha había sido el -7,9% registrada en el segundo trimestre de 2009.</w:t>
      </w:r>
    </w:p>
    <w:p w:rsidR="005B6A9C" w:rsidRPr="005B6A9C" w:rsidRDefault="005B6A9C" w:rsidP="00FA4DA9">
      <w:pPr>
        <w:spacing w:line="240" w:lineRule="auto"/>
        <w:jc w:val="both"/>
        <w:rPr>
          <w:rFonts w:ascii="Times New Roman" w:hAnsi="Times New Roman" w:cs="Times New Roman"/>
          <w:sz w:val="24"/>
          <w:szCs w:val="24"/>
          <w:lang w:eastAsia="es-ES"/>
        </w:rPr>
      </w:pPr>
      <w:r w:rsidRPr="005B6A9C">
        <w:rPr>
          <w:rFonts w:ascii="Times New Roman" w:hAnsi="Times New Roman" w:cs="Times New Roman"/>
          <w:sz w:val="24"/>
          <w:szCs w:val="24"/>
          <w:lang w:eastAsia="es-ES"/>
        </w:rPr>
        <w:t xml:space="preserve">- </w:t>
      </w:r>
      <w:r w:rsidRPr="005B6A9C">
        <w:rPr>
          <w:rFonts w:ascii="Times New Roman" w:hAnsi="Times New Roman" w:cs="Times New Roman"/>
          <w:sz w:val="24"/>
          <w:szCs w:val="24"/>
          <w:u w:val="single"/>
          <w:lang w:eastAsia="es-ES"/>
        </w:rPr>
        <w:t>La economía española entra en recesión tras un desplome histórico del PIB del 18,5%</w:t>
      </w:r>
      <w:r w:rsidR="00324F4A">
        <w:rPr>
          <w:rFonts w:ascii="Times New Roman" w:hAnsi="Times New Roman" w:cs="Times New Roman"/>
          <w:sz w:val="24"/>
          <w:szCs w:val="24"/>
          <w:lang w:eastAsia="es-ES"/>
        </w:rPr>
        <w:t xml:space="preserve"> (Vozpó</w:t>
      </w:r>
      <w:r w:rsidRPr="005B6A9C">
        <w:rPr>
          <w:rFonts w:ascii="Times New Roman" w:hAnsi="Times New Roman" w:cs="Times New Roman"/>
          <w:sz w:val="24"/>
          <w:szCs w:val="24"/>
          <w:lang w:eastAsia="es-ES"/>
        </w:rPr>
        <w:t xml:space="preserve">puli - </w:t>
      </w:r>
      <w:r w:rsidRPr="005B6A9C">
        <w:rPr>
          <w:rFonts w:ascii="Times New Roman" w:hAnsi="Times New Roman" w:cs="Times New Roman"/>
          <w:b/>
          <w:sz w:val="24"/>
          <w:szCs w:val="24"/>
          <w:lang w:eastAsia="es-ES"/>
        </w:rPr>
        <w:t>31/7/20</w:t>
      </w:r>
      <w:r w:rsidRPr="005B6A9C">
        <w:rPr>
          <w:rFonts w:ascii="Times New Roman" w:hAnsi="Times New Roman" w:cs="Times New Roman"/>
          <w:sz w:val="24"/>
          <w:szCs w:val="24"/>
          <w:lang w:eastAsia="es-ES"/>
        </w:rPr>
        <w:t>)</w:t>
      </w:r>
    </w:p>
    <w:p w:rsidR="005B6A9C" w:rsidRPr="005B6A9C" w:rsidRDefault="005B6A9C" w:rsidP="00FA4DA9">
      <w:pPr>
        <w:spacing w:line="240" w:lineRule="auto"/>
        <w:jc w:val="both"/>
        <w:rPr>
          <w:rFonts w:ascii="Times New Roman" w:hAnsi="Times New Roman" w:cs="Times New Roman"/>
          <w:b/>
          <w:color w:val="FF0000"/>
          <w:sz w:val="24"/>
          <w:szCs w:val="24"/>
          <w:u w:val="single"/>
          <w:lang w:eastAsia="es-ES"/>
        </w:rPr>
      </w:pPr>
      <w:r w:rsidRPr="005B6A9C">
        <w:rPr>
          <w:rFonts w:ascii="Times New Roman" w:hAnsi="Times New Roman" w:cs="Times New Roman"/>
          <w:b/>
          <w:color w:val="FF0000"/>
          <w:sz w:val="24"/>
          <w:szCs w:val="24"/>
          <w:u w:val="single"/>
          <w:lang w:eastAsia="es-ES"/>
        </w:rPr>
        <w:t>La economía española entró en recesión técnica en el segundo trimestre del año tras registrar un desplome del PIB del 18,5% entre abril y junio, su mayor caída trimestral en la serie histórica que maneja el Instituto Nacional de Estadística (INE) y que arranca en 1970. Hasta ahora, los mayores retrocesos trimestrales del PIB habían sido el del primer trimestre de este año (-5,2%) y el del primer trimestre de 2009 (-2,6%), tal y como recoge Europa Press.</w:t>
      </w:r>
    </w:p>
    <w:p w:rsidR="005B6A9C" w:rsidRPr="005B6A9C" w:rsidRDefault="005B6A9C" w:rsidP="00FA4DA9">
      <w:pPr>
        <w:spacing w:line="240" w:lineRule="auto"/>
        <w:jc w:val="both"/>
        <w:rPr>
          <w:rFonts w:ascii="Times New Roman" w:hAnsi="Times New Roman" w:cs="Times New Roman"/>
          <w:sz w:val="24"/>
          <w:szCs w:val="24"/>
          <w:lang w:eastAsia="es-ES"/>
        </w:rPr>
      </w:pPr>
      <w:r w:rsidRPr="005B6A9C">
        <w:rPr>
          <w:rFonts w:ascii="Times New Roman" w:hAnsi="Times New Roman" w:cs="Times New Roman"/>
          <w:sz w:val="24"/>
          <w:szCs w:val="24"/>
          <w:lang w:eastAsia="es-ES"/>
        </w:rPr>
        <w:t>Con la fuerte contracción del PIB en el segundo trimestre, que coincide prácticamente con la vigencia del estado de alarma por la crisis sanitaria, España entra de nuevo en recesión técnica al sumar dos trimestres consecutivos en negativo.</w:t>
      </w:r>
    </w:p>
    <w:p w:rsidR="005B6A9C" w:rsidRPr="005B6A9C" w:rsidRDefault="005B6A9C" w:rsidP="00FA4DA9">
      <w:pPr>
        <w:spacing w:line="240" w:lineRule="auto"/>
        <w:jc w:val="both"/>
        <w:rPr>
          <w:rFonts w:ascii="Times New Roman" w:hAnsi="Times New Roman" w:cs="Times New Roman"/>
          <w:sz w:val="24"/>
          <w:szCs w:val="24"/>
          <w:lang w:eastAsia="es-ES"/>
        </w:rPr>
      </w:pPr>
      <w:r w:rsidRPr="005B6A9C">
        <w:rPr>
          <w:rFonts w:ascii="Times New Roman" w:hAnsi="Times New Roman" w:cs="Times New Roman"/>
          <w:sz w:val="24"/>
          <w:szCs w:val="24"/>
          <w:lang w:eastAsia="es-ES"/>
        </w:rPr>
        <w:t>El consumo de los hogares se desplomó un 21,2% y la inversión, un 22,3%, ambos descensos sin precedentes.</w:t>
      </w:r>
    </w:p>
    <w:p w:rsidR="005B6A9C" w:rsidRPr="005B6A9C" w:rsidRDefault="005B6A9C" w:rsidP="00FA4DA9">
      <w:pPr>
        <w:spacing w:line="240" w:lineRule="auto"/>
        <w:jc w:val="both"/>
        <w:rPr>
          <w:rFonts w:ascii="Times New Roman" w:hAnsi="Times New Roman" w:cs="Times New Roman"/>
          <w:color w:val="FF0000"/>
          <w:sz w:val="24"/>
          <w:szCs w:val="24"/>
          <w:u w:val="single"/>
          <w:lang w:eastAsia="es-ES"/>
        </w:rPr>
      </w:pPr>
      <w:r w:rsidRPr="005B6A9C">
        <w:rPr>
          <w:rFonts w:ascii="Times New Roman" w:hAnsi="Times New Roman" w:cs="Times New Roman"/>
          <w:color w:val="FF0000"/>
          <w:sz w:val="24"/>
          <w:szCs w:val="24"/>
          <w:u w:val="single"/>
          <w:lang w:eastAsia="es-ES"/>
        </w:rPr>
        <w:t>Es la tercera vez en el siglo XXI en que la economía española afronta una recesión: durante la crisis de 2008 entró en ella en dos ocasiones, la primera vez en el cuarto trimestre de 2018 (saliendo de ella en el segundo trimestre de 2009) y la segunda en el segundo trimestre de 2011. Esta segunda recesión duró más tiempo, hasta el cuarto trimestre de 2013.</w:t>
      </w:r>
    </w:p>
    <w:p w:rsidR="006B21D6" w:rsidRPr="00070667" w:rsidRDefault="006B21D6" w:rsidP="00FA4DA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070667">
        <w:rPr>
          <w:rFonts w:ascii="Times New Roman" w:hAnsi="Times New Roman" w:cs="Times New Roman"/>
          <w:sz w:val="24"/>
          <w:szCs w:val="24"/>
          <w:u w:val="single"/>
          <w:shd w:val="clear" w:color="auto" w:fill="FFFFFF"/>
        </w:rPr>
        <w:t>Así ayudan las grandes economías europeas a sus empresas y trabajadores frente a la pandemia</w:t>
      </w:r>
      <w:r>
        <w:rPr>
          <w:rFonts w:ascii="Times New Roman" w:hAnsi="Times New Roman" w:cs="Times New Roman"/>
          <w:sz w:val="24"/>
          <w:szCs w:val="24"/>
          <w:shd w:val="clear" w:color="auto" w:fill="FFFFFF"/>
        </w:rPr>
        <w:t xml:space="preserve"> (Cinco Días - </w:t>
      </w:r>
      <w:r w:rsidRPr="00070667">
        <w:rPr>
          <w:rFonts w:ascii="Times New Roman" w:hAnsi="Times New Roman" w:cs="Times New Roman"/>
          <w:b/>
          <w:sz w:val="24"/>
          <w:szCs w:val="24"/>
          <w:shd w:val="clear" w:color="auto" w:fill="FFFFFF"/>
        </w:rPr>
        <w:t>11/8/20</w:t>
      </w:r>
      <w:r>
        <w:rPr>
          <w:rFonts w:ascii="Times New Roman" w:hAnsi="Times New Roman" w:cs="Times New Roman"/>
          <w:sz w:val="24"/>
          <w:szCs w:val="24"/>
          <w:shd w:val="clear" w:color="auto" w:fill="FFFFFF"/>
        </w:rPr>
        <w:t>)</w:t>
      </w:r>
    </w:p>
    <w:p w:rsidR="006B21D6" w:rsidRPr="000201F7" w:rsidRDefault="006B21D6" w:rsidP="00FA4DA9">
      <w:pPr>
        <w:spacing w:line="240" w:lineRule="auto"/>
        <w:jc w:val="both"/>
        <w:rPr>
          <w:rFonts w:ascii="Times New Roman" w:hAnsi="Times New Roman" w:cs="Times New Roman"/>
          <w:color w:val="FF0000"/>
          <w:sz w:val="24"/>
          <w:szCs w:val="24"/>
          <w:u w:val="single"/>
          <w:shd w:val="clear" w:color="auto" w:fill="FFFFFF"/>
        </w:rPr>
      </w:pPr>
      <w:r w:rsidRPr="000201F7">
        <w:rPr>
          <w:rFonts w:ascii="Times New Roman" w:hAnsi="Times New Roman" w:cs="Times New Roman"/>
          <w:sz w:val="24"/>
          <w:szCs w:val="24"/>
          <w:u w:val="single"/>
          <w:shd w:val="clear" w:color="auto" w:fill="FFFFFF"/>
        </w:rPr>
        <w:t>La crisis sanitaria provocada por la pandemia de Covid-19 ha obligado a los gobiernos de todo el mundo a sacar toda su artillería para paliar los efectos que las medidas de contención del virus han provocado en empresas y trabajadores</w:t>
      </w:r>
      <w:r w:rsidRPr="00070667">
        <w:rPr>
          <w:rFonts w:ascii="Times New Roman" w:hAnsi="Times New Roman" w:cs="Times New Roman"/>
          <w:sz w:val="24"/>
          <w:szCs w:val="24"/>
          <w:shd w:val="clear" w:color="auto" w:fill="FFFFFF"/>
        </w:rPr>
        <w:t xml:space="preserve">. </w:t>
      </w:r>
      <w:r w:rsidRPr="000201F7">
        <w:rPr>
          <w:rFonts w:ascii="Times New Roman" w:hAnsi="Times New Roman" w:cs="Times New Roman"/>
          <w:color w:val="FF0000"/>
          <w:sz w:val="24"/>
          <w:szCs w:val="24"/>
          <w:u w:val="single"/>
          <w:shd w:val="clear" w:color="auto" w:fill="FFFFFF"/>
        </w:rPr>
        <w:t>Para ello, se utilizaron tanto instrumentos presupuestarios -cambios en la política impositiva y partidas de gasto en forma de subvenciones, pagos directos y cobertura de los costes fijos operativos de empresas y familias- como instrumentos sin un coste presupuestario directo, a través de programas de avales públicos para líneas de liquidez bancaria, de créditos directos a empresas o incluso de recapitalizaciones de empresas en dificultades.</w:t>
      </w:r>
    </w:p>
    <w:p w:rsidR="006B21D6" w:rsidRPr="000201F7" w:rsidRDefault="006B21D6" w:rsidP="00FA4DA9">
      <w:pPr>
        <w:spacing w:line="240" w:lineRule="auto"/>
        <w:jc w:val="both"/>
        <w:rPr>
          <w:rFonts w:ascii="Times New Roman" w:hAnsi="Times New Roman" w:cs="Times New Roman"/>
          <w:sz w:val="24"/>
          <w:szCs w:val="24"/>
          <w:u w:val="single"/>
          <w:shd w:val="clear" w:color="auto" w:fill="FFFFFF"/>
        </w:rPr>
      </w:pPr>
      <w:r w:rsidRPr="000201F7">
        <w:rPr>
          <w:rFonts w:ascii="Times New Roman" w:hAnsi="Times New Roman" w:cs="Times New Roman"/>
          <w:sz w:val="24"/>
          <w:szCs w:val="24"/>
          <w:u w:val="single"/>
          <w:shd w:val="clear" w:color="auto" w:fill="FFFFFF"/>
        </w:rPr>
        <w:t xml:space="preserve">Según recoge un estudio publicado este lunes por el Banco de España, las medidas adoptadas a través de los programas de avales públicos han sido las más extendidas y generalizadas entre las principales potencias de la UE, como Italia, Alemania o Francia, así como en Reino Unido y Estados Unidos. Sin embargo, entre estos países, España cuenta con el menor paquete de garantías públicas, con una cuantía de 100.000 millones a través del ICO (8% de su PIB), pero es el país que más lo ha utilizado para garantizar liquidez a empresas y </w:t>
      </w:r>
      <w:r w:rsidRPr="000201F7">
        <w:rPr>
          <w:rFonts w:ascii="Times New Roman" w:hAnsi="Times New Roman" w:cs="Times New Roman"/>
          <w:sz w:val="24"/>
          <w:szCs w:val="24"/>
          <w:u w:val="single"/>
          <w:shd w:val="clear" w:color="auto" w:fill="FFFFFF"/>
        </w:rPr>
        <w:lastRenderedPageBreak/>
        <w:t>autónomos hasta el mes de junio. Este último se suma a la nueva línea de 40.000 millones de euros para fomentar la inversión empresarial que aprobó el Gobierno de Pedro Sánchez en julio.</w:t>
      </w:r>
    </w:p>
    <w:p w:rsidR="006B21D6" w:rsidRDefault="006B21D6" w:rsidP="00FA4DA9">
      <w:pPr>
        <w:spacing w:line="240" w:lineRule="auto"/>
        <w:jc w:val="both"/>
        <w:rPr>
          <w:rFonts w:ascii="Times New Roman" w:hAnsi="Times New Roman" w:cs="Times New Roman"/>
          <w:sz w:val="24"/>
          <w:szCs w:val="24"/>
          <w:shd w:val="clear" w:color="auto" w:fill="FFFFFF"/>
          <w:lang w:val="en-US"/>
        </w:rPr>
      </w:pPr>
      <w:r>
        <w:rPr>
          <w:noProof/>
          <w:lang w:eastAsia="es-ES"/>
        </w:rPr>
        <w:drawing>
          <wp:inline distT="0" distB="0" distL="0" distR="0" wp14:anchorId="27892A0D" wp14:editId="541F01D3">
            <wp:extent cx="5727700" cy="4470400"/>
            <wp:effectExtent l="0" t="0" r="6350" b="6350"/>
            <wp:docPr id="154" name="Imagen 154" descr="https://d500.epimg.net/descargables/2020/08/10/603d6c0c2572427da20209ec4d285cc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500.epimg.net/descargables/2020/08/10/603d6c0c2572427da20209ec4d285cc9.png"/>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731510" cy="4473374"/>
                    </a:xfrm>
                    <a:prstGeom prst="rect">
                      <a:avLst/>
                    </a:prstGeom>
                    <a:noFill/>
                    <a:ln>
                      <a:noFill/>
                    </a:ln>
                  </pic:spPr>
                </pic:pic>
              </a:graphicData>
            </a:graphic>
          </wp:inline>
        </w:drawing>
      </w:r>
    </w:p>
    <w:p w:rsidR="006B21D6" w:rsidRPr="000201F7" w:rsidRDefault="006B21D6" w:rsidP="00FA4DA9">
      <w:pPr>
        <w:spacing w:line="240" w:lineRule="auto"/>
        <w:jc w:val="both"/>
        <w:rPr>
          <w:rFonts w:ascii="Times New Roman" w:hAnsi="Times New Roman" w:cs="Times New Roman"/>
          <w:color w:val="FF0000"/>
          <w:sz w:val="24"/>
          <w:szCs w:val="24"/>
          <w:u w:val="single"/>
          <w:shd w:val="clear" w:color="auto" w:fill="FFFFFF"/>
        </w:rPr>
      </w:pPr>
      <w:r w:rsidRPr="000201F7">
        <w:rPr>
          <w:rFonts w:ascii="Times New Roman" w:hAnsi="Times New Roman" w:cs="Times New Roman"/>
          <w:color w:val="FF0000"/>
          <w:sz w:val="24"/>
          <w:szCs w:val="24"/>
          <w:u w:val="single"/>
          <w:shd w:val="clear" w:color="auto" w:fill="FFFFFF"/>
        </w:rPr>
        <w:t>Alemania, por su parte, moviliza con su programa de garantías públicas 820.000 millones de euros (el 24% del PIB) dirigidos a autónomos y empresas, mientras el paquete de avales italiano asciende a 450.000 millones de euros (el 25% del PIB) y el francés, a 300.000 millones de euros (12% de su economía) para préstamos bancarios corporativos. En el caso de Reino Unido, algunos de sus planes de apoyo a la liquidez tienen una naturaleza distinta a la de los Estados miembros de la</w:t>
      </w:r>
      <w:r w:rsidR="005B6A9C">
        <w:rPr>
          <w:rFonts w:ascii="Times New Roman" w:hAnsi="Times New Roman" w:cs="Times New Roman"/>
          <w:color w:val="FF0000"/>
          <w:sz w:val="24"/>
          <w:szCs w:val="24"/>
          <w:u w:val="single"/>
          <w:shd w:val="clear" w:color="auto" w:fill="FFFFFF"/>
        </w:rPr>
        <w:t xml:space="preserve"> UE (al igual que en EE</w:t>
      </w:r>
      <w:r w:rsidRPr="000201F7">
        <w:rPr>
          <w:rFonts w:ascii="Times New Roman" w:hAnsi="Times New Roman" w:cs="Times New Roman"/>
          <w:color w:val="FF0000"/>
          <w:sz w:val="24"/>
          <w:szCs w:val="24"/>
          <w:u w:val="single"/>
          <w:shd w:val="clear" w:color="auto" w:fill="FFFFFF"/>
        </w:rPr>
        <w:t>UU), aunque el importe total se cuantifica en 380.000 millones de euros.</w:t>
      </w:r>
    </w:p>
    <w:p w:rsidR="006B21D6" w:rsidRPr="000201F7" w:rsidRDefault="006B21D6" w:rsidP="00FA4DA9">
      <w:pPr>
        <w:spacing w:line="240" w:lineRule="auto"/>
        <w:jc w:val="both"/>
        <w:rPr>
          <w:rFonts w:ascii="Times New Roman" w:hAnsi="Times New Roman" w:cs="Times New Roman"/>
          <w:sz w:val="24"/>
          <w:szCs w:val="24"/>
          <w:u w:val="single"/>
          <w:shd w:val="clear" w:color="auto" w:fill="FFFFFF"/>
        </w:rPr>
      </w:pPr>
      <w:r w:rsidRPr="000201F7">
        <w:rPr>
          <w:rFonts w:ascii="Times New Roman" w:hAnsi="Times New Roman" w:cs="Times New Roman"/>
          <w:sz w:val="24"/>
          <w:szCs w:val="24"/>
          <w:u w:val="single"/>
          <w:shd w:val="clear" w:color="auto" w:fill="FFFFFF"/>
        </w:rPr>
        <w:t>En este punto, a pesar de que el programa movilizado por el Ejecutivo español destaca por su bajo importe, en junio el país ya había utilizado más del 50% de sus recursos, en tanto que Francia se quedaba en el 35%, Reino Unido sobrepasaba ligeramente el 10%, al igual que Italia, y Alemania lo hacía en escasamente un 5%.</w:t>
      </w:r>
    </w:p>
    <w:p w:rsidR="006B21D6" w:rsidRPr="00070667" w:rsidRDefault="006B21D6" w:rsidP="00FA4DA9">
      <w:pPr>
        <w:spacing w:line="240" w:lineRule="auto"/>
        <w:jc w:val="both"/>
        <w:rPr>
          <w:rFonts w:ascii="Times New Roman" w:hAnsi="Times New Roman" w:cs="Times New Roman"/>
          <w:sz w:val="24"/>
          <w:szCs w:val="24"/>
          <w:shd w:val="clear" w:color="auto" w:fill="FFFFFF"/>
        </w:rPr>
      </w:pPr>
      <w:r w:rsidRPr="00070667">
        <w:rPr>
          <w:rFonts w:ascii="Times New Roman" w:hAnsi="Times New Roman" w:cs="Times New Roman"/>
          <w:sz w:val="24"/>
          <w:szCs w:val="24"/>
          <w:shd w:val="clear" w:color="auto" w:fill="FFFFFF"/>
        </w:rPr>
        <w:t>De esta manera, el Banco de España observa que los programas de avales adoptados presentan una naturaleza y un funcionamiento similares, pero que las características específicas referidas al volumen total de los programas, los plazos, los niveles de cobertura y el coste de las mismas varían entre países. Además, advierte que, a la hora de comparar la cuantía de los planes, hay que tener en cuenta que la estructura y el tamaño de los ingresos y gastos públicos son significativamente diferentes en cada nación.</w:t>
      </w:r>
    </w:p>
    <w:p w:rsidR="006B21D6" w:rsidRPr="000201F7" w:rsidRDefault="006B21D6" w:rsidP="00FA4DA9">
      <w:pPr>
        <w:spacing w:line="240" w:lineRule="auto"/>
        <w:jc w:val="both"/>
        <w:rPr>
          <w:rFonts w:ascii="Times New Roman" w:hAnsi="Times New Roman" w:cs="Times New Roman"/>
          <w:sz w:val="24"/>
          <w:szCs w:val="24"/>
          <w:u w:val="single"/>
          <w:shd w:val="clear" w:color="auto" w:fill="FFFFFF"/>
        </w:rPr>
      </w:pPr>
      <w:r w:rsidRPr="000201F7">
        <w:rPr>
          <w:rFonts w:ascii="Times New Roman" w:hAnsi="Times New Roman" w:cs="Times New Roman"/>
          <w:sz w:val="24"/>
          <w:szCs w:val="24"/>
          <w:u w:val="single"/>
          <w:shd w:val="clear" w:color="auto" w:fill="FFFFFF"/>
        </w:rPr>
        <w:lastRenderedPageBreak/>
        <w:t>Estas ayudas al tejido empresarial son parte de los mecanismos extrapresupuestarios, que operan a través de la concesión tanto de avales públicos como de financiación directa (en menor medida) y recapitalizaciones. Aunque, por otro lado, están las medidas presupuestarias tributarias y de gasto público. Entre estas se observan fundamentalmente dos estrategias: si las ayudas a las empresas se materializan principalmente por la vía de pagos directos y subvenciones a fondo perdido, como en Alemania, Francia, Italia y Reino Unido, o si lo hacen por la vía de coberturas para aplazamientos del pago de suministros, alquileres e hipotecas, como en España.</w:t>
      </w:r>
    </w:p>
    <w:p w:rsidR="006B21D6" w:rsidRPr="00F2099D" w:rsidRDefault="006B21D6" w:rsidP="00FA4DA9">
      <w:pPr>
        <w:spacing w:line="240" w:lineRule="auto"/>
        <w:jc w:val="both"/>
        <w:rPr>
          <w:rFonts w:ascii="Times New Roman" w:hAnsi="Times New Roman" w:cs="Times New Roman"/>
          <w:sz w:val="24"/>
          <w:szCs w:val="24"/>
          <w:u w:val="single"/>
          <w:shd w:val="clear" w:color="auto" w:fill="FFFFFF"/>
        </w:rPr>
      </w:pPr>
      <w:r w:rsidRPr="00F2099D">
        <w:rPr>
          <w:rFonts w:ascii="Times New Roman" w:hAnsi="Times New Roman" w:cs="Times New Roman"/>
          <w:sz w:val="24"/>
          <w:szCs w:val="24"/>
          <w:u w:val="single"/>
          <w:shd w:val="clear" w:color="auto" w:fill="FFFFFF"/>
        </w:rPr>
        <w:t>En algunos países (España, Italia y Francia), estas disposiciones se complementaron con prórrogas o subvenciones de costes financieros, introduciendo moratorias de préstamos e hipotecas. En paralelo, debido al acusado impacto de la pandemia sobre los sectores especialmente expuestos a las medidas de confinamiento, algunos países aprobaron paquetes específicos de ayuda dirigidos a ramas como el turismo, el ocio y la hostelería.</w:t>
      </w:r>
    </w:p>
    <w:p w:rsidR="006B21D6" w:rsidRPr="00070667" w:rsidRDefault="006B21D6" w:rsidP="00FA4DA9">
      <w:pPr>
        <w:spacing w:line="240" w:lineRule="auto"/>
        <w:jc w:val="both"/>
        <w:rPr>
          <w:rFonts w:ascii="Times New Roman" w:hAnsi="Times New Roman" w:cs="Times New Roman"/>
          <w:sz w:val="24"/>
          <w:szCs w:val="24"/>
          <w:shd w:val="clear" w:color="auto" w:fill="FFFFFF"/>
        </w:rPr>
      </w:pPr>
      <w:r w:rsidRPr="00070667">
        <w:rPr>
          <w:rFonts w:ascii="Times New Roman" w:hAnsi="Times New Roman" w:cs="Times New Roman"/>
          <w:sz w:val="24"/>
          <w:szCs w:val="24"/>
          <w:shd w:val="clear" w:color="auto" w:fill="FFFFFF"/>
        </w:rPr>
        <w:t>Protección del empleo</w:t>
      </w:r>
    </w:p>
    <w:p w:rsidR="006B21D6" w:rsidRPr="00F2099D" w:rsidRDefault="006B21D6" w:rsidP="00FA4DA9">
      <w:pPr>
        <w:spacing w:line="240" w:lineRule="auto"/>
        <w:jc w:val="both"/>
        <w:rPr>
          <w:rFonts w:ascii="Times New Roman" w:hAnsi="Times New Roman" w:cs="Times New Roman"/>
          <w:sz w:val="24"/>
          <w:szCs w:val="24"/>
          <w:u w:val="single"/>
          <w:shd w:val="clear" w:color="auto" w:fill="FFFFFF"/>
        </w:rPr>
      </w:pPr>
      <w:r w:rsidRPr="00F2099D">
        <w:rPr>
          <w:rFonts w:ascii="Times New Roman" w:hAnsi="Times New Roman" w:cs="Times New Roman"/>
          <w:sz w:val="24"/>
          <w:szCs w:val="24"/>
          <w:u w:val="single"/>
          <w:shd w:val="clear" w:color="auto" w:fill="FFFFFF"/>
        </w:rPr>
        <w:t>Las medidas de protección del empleo se apoyaron en los mecanismos existentes a escala nacional, si bien no todos contaban con la misma flexibilidad para responder a una crisis que, en principio, no implicaría necesariamente una reasignación sectorial de la fuerza laboral. España, Francia e Italia instrumentaron su respuesta para proteger el empleo a través de refuerzos de los sistemas de desempleo parcial y temporal, mientras Alemania optó por la flexibilización de su sistema de reducción de horas trabajadas (</w:t>
      </w:r>
      <w:r w:rsidR="005B6A9C">
        <w:rPr>
          <w:rFonts w:ascii="Times New Roman" w:hAnsi="Times New Roman" w:cs="Times New Roman"/>
          <w:sz w:val="24"/>
          <w:szCs w:val="24"/>
          <w:u w:val="single"/>
          <w:shd w:val="clear" w:color="auto" w:fill="FFFFFF"/>
        </w:rPr>
        <w:t>Kurzarbeiter). Por su parte, EE</w:t>
      </w:r>
      <w:r w:rsidRPr="00F2099D">
        <w:rPr>
          <w:rFonts w:ascii="Times New Roman" w:hAnsi="Times New Roman" w:cs="Times New Roman"/>
          <w:sz w:val="24"/>
          <w:szCs w:val="24"/>
          <w:u w:val="single"/>
          <w:shd w:val="clear" w:color="auto" w:fill="FFFFFF"/>
        </w:rPr>
        <w:t>UU y Reino Unido optaron por operar a través de préstamos, subvenciones o deducciones fiscales a las empresas que decidieran mantener sus plantillas durante los parones causados por el coronavirus.</w:t>
      </w:r>
    </w:p>
    <w:p w:rsidR="006B21D6" w:rsidRPr="00070667" w:rsidRDefault="006B21D6" w:rsidP="00FA4DA9">
      <w:pPr>
        <w:spacing w:line="240" w:lineRule="auto"/>
        <w:jc w:val="both"/>
        <w:rPr>
          <w:rFonts w:ascii="Times New Roman" w:hAnsi="Times New Roman" w:cs="Times New Roman"/>
          <w:sz w:val="24"/>
          <w:szCs w:val="24"/>
          <w:shd w:val="clear" w:color="auto" w:fill="FFFFFF"/>
        </w:rPr>
      </w:pPr>
      <w:r w:rsidRPr="00F2099D">
        <w:rPr>
          <w:rFonts w:ascii="Times New Roman" w:hAnsi="Times New Roman" w:cs="Times New Roman"/>
          <w:sz w:val="24"/>
          <w:szCs w:val="24"/>
          <w:u w:val="single"/>
          <w:shd w:val="clear" w:color="auto" w:fill="FFFFFF"/>
        </w:rPr>
        <w:t>Asimismo, en el caso de Italia y España, las medidas de protección del empleo existentes (como los ERTE en el caso del Ejecutivo español) se complementaron con otras disposiciones especiales, como la suspensión temporal de los despidos y la regularización de colectivos de trabajadores irregulares</w:t>
      </w:r>
      <w:r>
        <w:rPr>
          <w:rFonts w:ascii="Times New Roman" w:hAnsi="Times New Roman" w:cs="Times New Roman"/>
          <w:sz w:val="24"/>
          <w:szCs w:val="24"/>
          <w:shd w:val="clear" w:color="auto" w:fill="FFFFFF"/>
        </w:rPr>
        <w:t>.</w:t>
      </w:r>
    </w:p>
    <w:p w:rsidR="006B21D6" w:rsidRPr="00070667" w:rsidRDefault="006B21D6" w:rsidP="00FA4DA9">
      <w:pPr>
        <w:spacing w:line="240" w:lineRule="auto"/>
        <w:jc w:val="both"/>
        <w:rPr>
          <w:rFonts w:ascii="Times New Roman" w:hAnsi="Times New Roman" w:cs="Times New Roman"/>
          <w:sz w:val="24"/>
          <w:szCs w:val="24"/>
          <w:shd w:val="clear" w:color="auto" w:fill="FFFFFF"/>
        </w:rPr>
      </w:pPr>
      <w:r w:rsidRPr="00070667">
        <w:rPr>
          <w:rFonts w:ascii="Times New Roman" w:hAnsi="Times New Roman" w:cs="Times New Roman"/>
          <w:sz w:val="24"/>
          <w:szCs w:val="24"/>
          <w:shd w:val="clear" w:color="auto" w:fill="FFFFFF"/>
        </w:rPr>
        <w:t>Con respecto al aplazamiento tributario, el Gobierno alemán aplazó temporalmente los impuestos a empresas al tiempo que redujo el IVA a las compañías dedicadas a la restauración durante un año a partir del uno de julio. Mientras, Italia optó por la cancelación de los impuestos municipales de junio para hoteles y España aplicó una moratoria de seis meses de las deudas tributarias de pyme</w:t>
      </w:r>
      <w:r>
        <w:rPr>
          <w:rFonts w:ascii="Times New Roman" w:hAnsi="Times New Roman" w:cs="Times New Roman"/>
          <w:sz w:val="24"/>
          <w:szCs w:val="24"/>
          <w:shd w:val="clear" w:color="auto" w:fill="FFFFFF"/>
        </w:rPr>
        <w:t>s y autónomos.</w:t>
      </w:r>
    </w:p>
    <w:p w:rsidR="006B21D6" w:rsidRPr="00070667" w:rsidRDefault="006B21D6" w:rsidP="00FA4DA9">
      <w:pPr>
        <w:spacing w:line="240" w:lineRule="auto"/>
        <w:jc w:val="both"/>
        <w:rPr>
          <w:rFonts w:ascii="Times New Roman" w:hAnsi="Times New Roman" w:cs="Times New Roman"/>
          <w:sz w:val="24"/>
          <w:szCs w:val="24"/>
          <w:shd w:val="clear" w:color="auto" w:fill="FFFFFF"/>
        </w:rPr>
      </w:pPr>
      <w:r w:rsidRPr="00070667">
        <w:rPr>
          <w:rFonts w:ascii="Times New Roman" w:hAnsi="Times New Roman" w:cs="Times New Roman"/>
          <w:sz w:val="24"/>
          <w:szCs w:val="24"/>
          <w:shd w:val="clear" w:color="auto" w:fill="FFFFFF"/>
        </w:rPr>
        <w:t>Por otro lado, todos los países adoptaron medidas dirigidas a reforzar el sistema sanitario, así como a proteger a los hogares más de</w:t>
      </w:r>
      <w:r>
        <w:rPr>
          <w:rFonts w:ascii="Times New Roman" w:hAnsi="Times New Roman" w:cs="Times New Roman"/>
          <w:sz w:val="24"/>
          <w:szCs w:val="24"/>
          <w:shd w:val="clear" w:color="auto" w:fill="FFFFFF"/>
        </w:rPr>
        <w:t>s</w:t>
      </w:r>
      <w:r w:rsidRPr="00070667">
        <w:rPr>
          <w:rFonts w:ascii="Times New Roman" w:hAnsi="Times New Roman" w:cs="Times New Roman"/>
          <w:sz w:val="24"/>
          <w:szCs w:val="24"/>
          <w:shd w:val="clear" w:color="auto" w:fill="FFFFFF"/>
        </w:rPr>
        <w:t>favorecidos. Los Estados considerados lanzaron un amplio rango de disposiciones orientadas a apoyar la liquidez de los hogares más vulnerables, como moratorias en el pago de hipotecas, préstamos y alquileres, el apoyo a la conciliación familiar, o el refuerzo de los sistemas de rentas básicas y las ayudas directas pa</w:t>
      </w:r>
      <w:r>
        <w:rPr>
          <w:rFonts w:ascii="Times New Roman" w:hAnsi="Times New Roman" w:cs="Times New Roman"/>
          <w:sz w:val="24"/>
          <w:szCs w:val="24"/>
          <w:shd w:val="clear" w:color="auto" w:fill="FFFFFF"/>
        </w:rPr>
        <w:t>ra la adquisición de alimentos.</w:t>
      </w:r>
    </w:p>
    <w:p w:rsidR="006B21D6" w:rsidRDefault="006B21D6" w:rsidP="00FA4DA9">
      <w:pPr>
        <w:spacing w:line="240" w:lineRule="auto"/>
        <w:jc w:val="both"/>
        <w:rPr>
          <w:rFonts w:ascii="Times New Roman" w:hAnsi="Times New Roman" w:cs="Times New Roman"/>
          <w:sz w:val="24"/>
          <w:szCs w:val="24"/>
          <w:shd w:val="clear" w:color="auto" w:fill="FFFFFF"/>
        </w:rPr>
      </w:pPr>
      <w:r w:rsidRPr="00F2099D">
        <w:rPr>
          <w:rFonts w:ascii="Times New Roman" w:hAnsi="Times New Roman" w:cs="Times New Roman"/>
          <w:sz w:val="24"/>
          <w:szCs w:val="24"/>
          <w:u w:val="single"/>
          <w:shd w:val="clear" w:color="auto" w:fill="FFFFFF"/>
        </w:rPr>
        <w:t xml:space="preserve">Una vez superada la fase de contención de la pandemia, las autoridades están manteniendo un elevado activismo fiscal, orientado a apoyar la economía durante la fase de reactivación, según el Banco de España. Durante esta etapa, los apoyos públicos se están centrando en sostener la renta de hogares y de empresas mientras se estabiliza la economía y se consolida la recuperación, extendiéndose en muchos casos las medidas de carácter temporal previamente adoptadas, apoyando la solvencia de empresas de sectores estratégicos y </w:t>
      </w:r>
      <w:r w:rsidRPr="00F2099D">
        <w:rPr>
          <w:rFonts w:ascii="Times New Roman" w:hAnsi="Times New Roman" w:cs="Times New Roman"/>
          <w:sz w:val="24"/>
          <w:szCs w:val="24"/>
          <w:u w:val="single"/>
          <w:shd w:val="clear" w:color="auto" w:fill="FFFFFF"/>
        </w:rPr>
        <w:lastRenderedPageBreak/>
        <w:t>fomentando la inversión, tanto pública como privada, con una orientación hacia la transición digital y ecológica de las economías</w:t>
      </w:r>
      <w:r w:rsidRPr="00070667">
        <w:rPr>
          <w:rFonts w:ascii="Times New Roman" w:hAnsi="Times New Roman" w:cs="Times New Roman"/>
          <w:sz w:val="24"/>
          <w:szCs w:val="24"/>
          <w:shd w:val="clear" w:color="auto" w:fill="FFFFFF"/>
        </w:rPr>
        <w:t>.</w:t>
      </w:r>
    </w:p>
    <w:p w:rsidR="006B21D6" w:rsidRDefault="006B21D6" w:rsidP="00FA4DA9">
      <w:pPr>
        <w:shd w:val="clear" w:color="auto" w:fill="FFFFFF"/>
        <w:spacing w:after="0" w:line="240" w:lineRule="auto"/>
        <w:jc w:val="both"/>
        <w:textAlignment w:val="baseline"/>
        <w:rPr>
          <w:rFonts w:ascii="Times New Roman" w:eastAsia="Times New Roman" w:hAnsi="Times New Roman" w:cs="Times New Roman"/>
          <w:sz w:val="24"/>
          <w:szCs w:val="24"/>
        </w:rPr>
      </w:pPr>
      <w:r w:rsidRPr="00E51793">
        <w:rPr>
          <w:rFonts w:ascii="Times New Roman" w:hAnsi="Times New Roman" w:cs="Times New Roman"/>
          <w:noProof/>
          <w:sz w:val="24"/>
          <w:szCs w:val="24"/>
          <w:shd w:val="clear" w:color="auto" w:fill="FFFFFF"/>
          <w:lang w:eastAsia="es-ES"/>
        </w:rPr>
        <w:drawing>
          <wp:inline distT="0" distB="0" distL="0" distR="0" wp14:anchorId="4495D1F8" wp14:editId="42A4FA86">
            <wp:extent cx="5731510" cy="4018915"/>
            <wp:effectExtent l="0" t="0" r="2540" b="635"/>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731510" cy="4018915"/>
                    </a:xfrm>
                    <a:prstGeom prst="rect">
                      <a:avLst/>
                    </a:prstGeom>
                  </pic:spPr>
                </pic:pic>
              </a:graphicData>
            </a:graphic>
          </wp:inline>
        </w:drawing>
      </w:r>
    </w:p>
    <w:p w:rsidR="006B21D6" w:rsidRPr="00E73210" w:rsidRDefault="006B21D6" w:rsidP="00FA4DA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E73210">
        <w:rPr>
          <w:rFonts w:ascii="Times New Roman" w:hAnsi="Times New Roman" w:cs="Times New Roman"/>
          <w:sz w:val="24"/>
          <w:szCs w:val="24"/>
          <w:u w:val="single"/>
          <w:shd w:val="clear" w:color="auto" w:fill="FFFFFF"/>
        </w:rPr>
        <w:t>Golpe maestro de la Fed: 10.100 millones bastan para consolidar la calma en la deuda corporativa</w:t>
      </w:r>
      <w:r>
        <w:rPr>
          <w:rFonts w:ascii="Times New Roman" w:hAnsi="Times New Roman" w:cs="Times New Roman"/>
          <w:sz w:val="24"/>
          <w:szCs w:val="24"/>
          <w:shd w:val="clear" w:color="auto" w:fill="FFFFFF"/>
        </w:rPr>
        <w:t xml:space="preserve"> (Cinco Días - </w:t>
      </w:r>
      <w:r w:rsidRPr="00E73210">
        <w:rPr>
          <w:rFonts w:ascii="Times New Roman" w:hAnsi="Times New Roman" w:cs="Times New Roman"/>
          <w:b/>
          <w:sz w:val="24"/>
          <w:szCs w:val="24"/>
          <w:shd w:val="clear" w:color="auto" w:fill="FFFFFF"/>
        </w:rPr>
        <w:t>17/8/20</w:t>
      </w:r>
      <w:r>
        <w:rPr>
          <w:rFonts w:ascii="Times New Roman" w:hAnsi="Times New Roman" w:cs="Times New Roman"/>
          <w:sz w:val="24"/>
          <w:szCs w:val="24"/>
          <w:shd w:val="clear" w:color="auto" w:fill="FFFFFF"/>
        </w:rPr>
        <w:t>)</w:t>
      </w:r>
    </w:p>
    <w:p w:rsidR="006B21D6" w:rsidRDefault="006B21D6" w:rsidP="00FA4DA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(Por Nuria Salobral)</w:t>
      </w:r>
    </w:p>
    <w:p w:rsidR="006B21D6" w:rsidRDefault="006B21D6" w:rsidP="00FA4DA9">
      <w:pPr>
        <w:spacing w:line="240" w:lineRule="auto"/>
        <w:jc w:val="both"/>
        <w:rPr>
          <w:rFonts w:ascii="Times New Roman" w:hAnsi="Times New Roman" w:cs="Times New Roman"/>
          <w:sz w:val="24"/>
          <w:szCs w:val="24"/>
          <w:shd w:val="clear" w:color="auto" w:fill="FFFFFF"/>
        </w:rPr>
      </w:pPr>
      <w:r>
        <w:rPr>
          <w:noProof/>
          <w:lang w:eastAsia="es-ES"/>
        </w:rPr>
        <w:drawing>
          <wp:inline distT="0" distB="0" distL="0" distR="0" wp14:anchorId="4E2BC1F1" wp14:editId="7FBC1D87">
            <wp:extent cx="5731510" cy="2776078"/>
            <wp:effectExtent l="0" t="0" r="2540" b="5715"/>
            <wp:docPr id="157" name="Imagen 157" descr="FED Bal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ED Balance"/>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731510" cy="2776078"/>
                    </a:xfrm>
                    <a:prstGeom prst="rect">
                      <a:avLst/>
                    </a:prstGeom>
                    <a:noFill/>
                    <a:ln>
                      <a:noFill/>
                    </a:ln>
                  </pic:spPr>
                </pic:pic>
              </a:graphicData>
            </a:graphic>
          </wp:inline>
        </w:drawing>
      </w:r>
    </w:p>
    <w:p w:rsidR="006B21D6" w:rsidRPr="006E5BB7" w:rsidRDefault="006B21D6" w:rsidP="00FA4DA9">
      <w:pPr>
        <w:spacing w:line="240" w:lineRule="auto"/>
        <w:jc w:val="both"/>
        <w:rPr>
          <w:rFonts w:ascii="Times New Roman" w:hAnsi="Times New Roman" w:cs="Times New Roman"/>
          <w:color w:val="FF0000"/>
          <w:sz w:val="24"/>
          <w:szCs w:val="24"/>
          <w:u w:val="single"/>
          <w:shd w:val="clear" w:color="auto" w:fill="FFFFFF"/>
        </w:rPr>
      </w:pPr>
      <w:r w:rsidRPr="006E5BB7">
        <w:rPr>
          <w:rFonts w:ascii="Times New Roman" w:hAnsi="Times New Roman" w:cs="Times New Roman"/>
          <w:sz w:val="24"/>
          <w:szCs w:val="24"/>
          <w:u w:val="single"/>
          <w:shd w:val="clear" w:color="auto" w:fill="FFFFFF"/>
        </w:rPr>
        <w:t>La comunicación se convirtió tras la crisis de Lehman en una herramienta clave de política monetaria para los bancos centrales, y la Reserva Federal conserva intacto el poder arrollador de su mensaje</w:t>
      </w:r>
      <w:r w:rsidRPr="006E5BB7">
        <w:rPr>
          <w:rFonts w:ascii="Times New Roman" w:hAnsi="Times New Roman" w:cs="Times New Roman"/>
          <w:color w:val="FF0000"/>
          <w:sz w:val="24"/>
          <w:szCs w:val="24"/>
          <w:u w:val="single"/>
          <w:shd w:val="clear" w:color="auto" w:fill="FFFFFF"/>
        </w:rPr>
        <w:t xml:space="preserve">. La gravedad de la crisis económica desatada por el coronavirus ha llevado a la </w:t>
      </w:r>
      <w:r w:rsidRPr="006E5BB7">
        <w:rPr>
          <w:rFonts w:ascii="Times New Roman" w:hAnsi="Times New Roman" w:cs="Times New Roman"/>
          <w:color w:val="FF0000"/>
          <w:sz w:val="24"/>
          <w:szCs w:val="24"/>
          <w:u w:val="single"/>
          <w:shd w:val="clear" w:color="auto" w:fill="FFFFFF"/>
        </w:rPr>
        <w:lastRenderedPageBreak/>
        <w:t>Fed a tomar drásticas medidas, como dejar los tipos de interés al cero y lanzar por primera vez un programa de compras de deuda corporativa. La institución anunció el 23 de marzo esta medida y su sola mención, insólita hasta el momento en la trayectoria del Banco Central estadounidense, bastó para calmar de inmediato la escalada de los diferenciales de la deuda corporativa a nivel global.</w:t>
      </w:r>
    </w:p>
    <w:p w:rsidR="006B21D6" w:rsidRPr="006E5BB7" w:rsidRDefault="006B21D6" w:rsidP="00FA4DA9">
      <w:pPr>
        <w:spacing w:line="240" w:lineRule="auto"/>
        <w:jc w:val="both"/>
        <w:rPr>
          <w:rFonts w:ascii="Times New Roman" w:hAnsi="Times New Roman" w:cs="Times New Roman"/>
          <w:sz w:val="24"/>
          <w:szCs w:val="24"/>
          <w:u w:val="single"/>
          <w:shd w:val="clear" w:color="auto" w:fill="FFFFFF"/>
        </w:rPr>
      </w:pPr>
      <w:r w:rsidRPr="006E5BB7">
        <w:rPr>
          <w:rFonts w:ascii="Times New Roman" w:hAnsi="Times New Roman" w:cs="Times New Roman"/>
          <w:sz w:val="24"/>
          <w:szCs w:val="24"/>
          <w:u w:val="single"/>
          <w:shd w:val="clear" w:color="auto" w:fill="FFFFFF"/>
        </w:rPr>
        <w:t>Tal anuncio tuvo un efecto de cortafuegos capaz de recordar a las palabras pronunciadas por Mario Draghi en lo más crudo de la crisis del euro en 2012, cuando su compromiso de hacer todo lo necesario por salvar la moneda única frenó la escalada imparable de las primas de riesgo. En el caso de la Fed, únicamente el mensaje ha bastado igualmente para contener el golpe.</w:t>
      </w:r>
    </w:p>
    <w:p w:rsidR="006B21D6" w:rsidRPr="005B6A9C" w:rsidRDefault="006B21D6" w:rsidP="00FA4DA9">
      <w:pPr>
        <w:spacing w:line="240" w:lineRule="auto"/>
        <w:jc w:val="both"/>
        <w:rPr>
          <w:rFonts w:ascii="Times New Roman" w:hAnsi="Times New Roman" w:cs="Times New Roman"/>
          <w:color w:val="FF0000"/>
          <w:sz w:val="24"/>
          <w:szCs w:val="24"/>
          <w:u w:val="single"/>
          <w:shd w:val="clear" w:color="auto" w:fill="FFFFFF"/>
        </w:rPr>
      </w:pPr>
      <w:r w:rsidRPr="005B6A9C">
        <w:rPr>
          <w:rFonts w:ascii="Times New Roman" w:hAnsi="Times New Roman" w:cs="Times New Roman"/>
          <w:color w:val="FF0000"/>
          <w:sz w:val="24"/>
          <w:szCs w:val="24"/>
          <w:u w:val="single"/>
          <w:shd w:val="clear" w:color="auto" w:fill="FFFFFF"/>
        </w:rPr>
        <w:t>La institución no comenzó la compra efectiva de deuda corporativa en el mercado secundario hasta mediados de junio y a finales de julio el volumen adquirido es de apenas 12.000 millones de dólares (10.157 millones de euros). Una cantidad ínfima para la potencia de fuego prevista en el programa, por un total de 750.000 millones de dólares (634.840 millones de euros). En definitiva, un indiscutible efecto tranquilizador en el mercado con un gasto mínimo.</w:t>
      </w:r>
    </w:p>
    <w:p w:rsidR="006B21D6" w:rsidRPr="00E73210" w:rsidRDefault="006B21D6" w:rsidP="00FA4DA9">
      <w:pPr>
        <w:spacing w:line="240" w:lineRule="auto"/>
        <w:jc w:val="both"/>
        <w:rPr>
          <w:rFonts w:ascii="Times New Roman" w:hAnsi="Times New Roman" w:cs="Times New Roman"/>
          <w:sz w:val="24"/>
          <w:szCs w:val="24"/>
          <w:shd w:val="clear" w:color="auto" w:fill="FFFFFF"/>
        </w:rPr>
      </w:pPr>
      <w:r w:rsidRPr="00E73210">
        <w:rPr>
          <w:rFonts w:ascii="Times New Roman" w:hAnsi="Times New Roman" w:cs="Times New Roman"/>
          <w:sz w:val="24"/>
          <w:szCs w:val="24"/>
          <w:shd w:val="clear" w:color="auto" w:fill="FFFFFF"/>
        </w:rPr>
        <w:t>“El anuncio de la Fed tuvo un efecto positivo muy significativo en el mercado de bonos y en el bursátil. Por el contrario, la decisión del BCE del 12 de marzo de elevar su programa de compras y el lanzamiento del plan extraordinario antipandemia una semana después apenas tuvieron efecto en los diferenciales de la deuda con grado de inversión en euros”, apunta Standard &amp; Poor’s. “A la Fed no le ha hecho falta comprar apenas deuda corporativa, con el anuncio ha bastado</w:t>
      </w:r>
      <w:r w:rsidR="00555F2F">
        <w:rPr>
          <w:rFonts w:ascii="Times New Roman" w:hAnsi="Times New Roman" w:cs="Times New Roman"/>
          <w:sz w:val="24"/>
          <w:szCs w:val="24"/>
          <w:shd w:val="clear" w:color="auto" w:fill="FFFFFF"/>
        </w:rPr>
        <w:t>”</w:t>
      </w:r>
      <w:r w:rsidRPr="00E73210">
        <w:rPr>
          <w:rFonts w:ascii="Times New Roman" w:hAnsi="Times New Roman" w:cs="Times New Roman"/>
          <w:sz w:val="24"/>
          <w:szCs w:val="24"/>
          <w:shd w:val="clear" w:color="auto" w:fill="FFFFFF"/>
        </w:rPr>
        <w:t>.</w:t>
      </w:r>
    </w:p>
    <w:p w:rsidR="006B21D6" w:rsidRPr="005B6A9C" w:rsidRDefault="00555F2F" w:rsidP="00FA4DA9">
      <w:pPr>
        <w:spacing w:line="240" w:lineRule="auto"/>
        <w:jc w:val="both"/>
        <w:rPr>
          <w:rFonts w:ascii="Times New Roman" w:hAnsi="Times New Roman" w:cs="Times New Roman"/>
          <w:color w:val="FF0000"/>
          <w:sz w:val="24"/>
          <w:szCs w:val="24"/>
          <w:u w:val="single"/>
          <w:shd w:val="clear" w:color="auto" w:fill="FFFFFF"/>
        </w:rPr>
      </w:pPr>
      <w:r>
        <w:rPr>
          <w:rFonts w:ascii="Times New Roman" w:hAnsi="Times New Roman" w:cs="Times New Roman"/>
          <w:color w:val="FF0000"/>
          <w:sz w:val="24"/>
          <w:szCs w:val="24"/>
          <w:u w:val="single"/>
          <w:shd w:val="clear" w:color="auto" w:fill="FFFFFF"/>
        </w:rPr>
        <w:t>“</w:t>
      </w:r>
      <w:r w:rsidR="006B21D6" w:rsidRPr="005B6A9C">
        <w:rPr>
          <w:rFonts w:ascii="Times New Roman" w:hAnsi="Times New Roman" w:cs="Times New Roman"/>
          <w:color w:val="FF0000"/>
          <w:sz w:val="24"/>
          <w:szCs w:val="24"/>
          <w:u w:val="single"/>
          <w:shd w:val="clear" w:color="auto" w:fill="FFFFFF"/>
        </w:rPr>
        <w:t xml:space="preserve">Los inversores siguen el paso de la Fed y están comprando en mercado, la Reserva Federal no necesita intervenir”, explica José Manuel Amor, experto de AFI. De hecho, el programa de compras por hasta 750.000 millones de dólares contempla la adquisición en el mercado secundario y también en el primario, una opción esta </w:t>
      </w:r>
      <w:r w:rsidR="005B6A9C" w:rsidRPr="005B6A9C">
        <w:rPr>
          <w:rFonts w:ascii="Times New Roman" w:hAnsi="Times New Roman" w:cs="Times New Roman"/>
          <w:color w:val="FF0000"/>
          <w:sz w:val="24"/>
          <w:szCs w:val="24"/>
          <w:u w:val="single"/>
          <w:shd w:val="clear" w:color="auto" w:fill="FFFFFF"/>
        </w:rPr>
        <w:t>última muy empleada por el BCE -</w:t>
      </w:r>
      <w:r w:rsidR="006B21D6" w:rsidRPr="005B6A9C">
        <w:rPr>
          <w:rFonts w:ascii="Times New Roman" w:hAnsi="Times New Roman" w:cs="Times New Roman"/>
          <w:color w:val="FF0000"/>
          <w:sz w:val="24"/>
          <w:szCs w:val="24"/>
          <w:u w:val="single"/>
          <w:shd w:val="clear" w:color="auto" w:fill="FFFFFF"/>
        </w:rPr>
        <w:t>que llega a adquirir más del 30% de las emi</w:t>
      </w:r>
      <w:r w:rsidR="005B6A9C" w:rsidRPr="005B6A9C">
        <w:rPr>
          <w:rFonts w:ascii="Times New Roman" w:hAnsi="Times New Roman" w:cs="Times New Roman"/>
          <w:color w:val="FF0000"/>
          <w:sz w:val="24"/>
          <w:szCs w:val="24"/>
          <w:u w:val="single"/>
          <w:shd w:val="clear" w:color="auto" w:fill="FFFFFF"/>
        </w:rPr>
        <w:t>siones de deuda de las empresas-</w:t>
      </w:r>
      <w:r w:rsidR="006B21D6" w:rsidRPr="005B6A9C">
        <w:rPr>
          <w:rFonts w:ascii="Times New Roman" w:hAnsi="Times New Roman" w:cs="Times New Roman"/>
          <w:color w:val="FF0000"/>
          <w:sz w:val="24"/>
          <w:szCs w:val="24"/>
          <w:u w:val="single"/>
          <w:shd w:val="clear" w:color="auto" w:fill="FFFFFF"/>
        </w:rPr>
        <w:t xml:space="preserve"> y que la Fed ni siquiera ha utilizado aún.</w:t>
      </w:r>
    </w:p>
    <w:p w:rsidR="006B21D6" w:rsidRPr="005B6A9C" w:rsidRDefault="006B21D6" w:rsidP="00FA4DA9">
      <w:pPr>
        <w:spacing w:line="240" w:lineRule="auto"/>
        <w:jc w:val="both"/>
        <w:rPr>
          <w:rFonts w:ascii="Times New Roman" w:hAnsi="Times New Roman" w:cs="Times New Roman"/>
          <w:color w:val="FF0000"/>
          <w:sz w:val="24"/>
          <w:szCs w:val="24"/>
          <w:u w:val="single"/>
          <w:shd w:val="clear" w:color="auto" w:fill="FFFFFF"/>
        </w:rPr>
      </w:pPr>
      <w:r w:rsidRPr="00E73210">
        <w:rPr>
          <w:rFonts w:ascii="Times New Roman" w:hAnsi="Times New Roman" w:cs="Times New Roman"/>
          <w:sz w:val="24"/>
          <w:szCs w:val="24"/>
          <w:shd w:val="clear" w:color="auto" w:fill="FFFFFF"/>
        </w:rPr>
        <w:t xml:space="preserve">Los 12.000 millones de dólares en compras de deuda corporativa por parte de la Fed corresponden principalmente a las realizadas a través del ETF lanzado y con el que se pretende replicar el universo de los bonos en el mercado secundario. </w:t>
      </w:r>
      <w:r w:rsidRPr="005B6A9C">
        <w:rPr>
          <w:rFonts w:ascii="Times New Roman" w:hAnsi="Times New Roman" w:cs="Times New Roman"/>
          <w:color w:val="FF0000"/>
          <w:sz w:val="24"/>
          <w:szCs w:val="24"/>
          <w:u w:val="single"/>
          <w:shd w:val="clear" w:color="auto" w:fill="FFFFFF"/>
        </w:rPr>
        <w:t>Las compras directas de deuda corporativa en el mercado son, de hecho, muy inferiores, por apenas 3.550 millones de dólares. Apenas una gota de agua en el océano de 1,8 billones de dólares de activos elegibles del plan, por encima de los 1,1 billones de euros del programa de compras de deuda privada del BCE.</w:t>
      </w:r>
    </w:p>
    <w:p w:rsidR="006B21D6" w:rsidRPr="00CA43AE" w:rsidRDefault="006B21D6" w:rsidP="00FA4DA9">
      <w:pPr>
        <w:spacing w:line="240" w:lineRule="auto"/>
        <w:jc w:val="both"/>
        <w:rPr>
          <w:rFonts w:ascii="Times New Roman" w:hAnsi="Times New Roman" w:cs="Times New Roman"/>
          <w:b/>
          <w:color w:val="FF0000"/>
          <w:sz w:val="24"/>
          <w:szCs w:val="24"/>
          <w:u w:val="single"/>
          <w:shd w:val="clear" w:color="auto" w:fill="FFFFFF"/>
        </w:rPr>
      </w:pPr>
      <w:r w:rsidRPr="00CA43AE">
        <w:rPr>
          <w:rFonts w:ascii="Times New Roman" w:hAnsi="Times New Roman" w:cs="Times New Roman"/>
          <w:b/>
          <w:color w:val="FF0000"/>
          <w:sz w:val="24"/>
          <w:szCs w:val="24"/>
          <w:u w:val="single"/>
          <w:shd w:val="clear" w:color="auto" w:fill="FFFFFF"/>
        </w:rPr>
        <w:t xml:space="preserve">La Reserva Federal fue además un paso más allá al anunciar, también el 23 de marzo, que compraría deuda corporativa con un rating inferior al grado de inversión, con la condición de que el activo hubiese perdido ese </w:t>
      </w:r>
      <w:r w:rsidR="005B6A9C" w:rsidRPr="00CA43AE">
        <w:rPr>
          <w:rFonts w:ascii="Times New Roman" w:hAnsi="Times New Roman" w:cs="Times New Roman"/>
          <w:b/>
          <w:color w:val="FF0000"/>
          <w:sz w:val="24"/>
          <w:szCs w:val="24"/>
          <w:u w:val="single"/>
          <w:shd w:val="clear" w:color="auto" w:fill="FFFFFF"/>
        </w:rPr>
        <w:t>nivel a partir del 22 de marzo -</w:t>
      </w:r>
      <w:r w:rsidR="00555F2F">
        <w:rPr>
          <w:rFonts w:ascii="Times New Roman" w:hAnsi="Times New Roman" w:cs="Times New Roman"/>
          <w:b/>
          <w:color w:val="FF0000"/>
          <w:sz w:val="24"/>
          <w:szCs w:val="24"/>
          <w:u w:val="single"/>
          <w:shd w:val="clear" w:color="auto" w:fill="FFFFFF"/>
        </w:rPr>
        <w:t>con motivo de la pandemia-</w:t>
      </w:r>
      <w:r w:rsidRPr="00CA43AE">
        <w:rPr>
          <w:rFonts w:ascii="Times New Roman" w:hAnsi="Times New Roman" w:cs="Times New Roman"/>
          <w:b/>
          <w:color w:val="FF0000"/>
          <w:sz w:val="24"/>
          <w:szCs w:val="24"/>
          <w:u w:val="single"/>
          <w:shd w:val="clear" w:color="auto" w:fill="FFFFFF"/>
        </w:rPr>
        <w:t xml:space="preserve"> y de que el rating no sea inferior a BB- en el momento de la emisión. El resultado, además de la relajación generalizada en las primas de riesgo, ha sido una avalancha de emisiones corporativas en Estados Unidos.</w:t>
      </w:r>
    </w:p>
    <w:p w:rsidR="006B21D6" w:rsidRPr="00E73210" w:rsidRDefault="006B21D6" w:rsidP="00FA4DA9">
      <w:pPr>
        <w:spacing w:line="240" w:lineRule="auto"/>
        <w:jc w:val="both"/>
        <w:rPr>
          <w:rFonts w:ascii="Times New Roman" w:hAnsi="Times New Roman" w:cs="Times New Roman"/>
          <w:sz w:val="24"/>
          <w:szCs w:val="24"/>
          <w:shd w:val="clear" w:color="auto" w:fill="FFFFFF"/>
        </w:rPr>
      </w:pPr>
      <w:r w:rsidRPr="00E73210">
        <w:rPr>
          <w:rFonts w:ascii="Times New Roman" w:hAnsi="Times New Roman" w:cs="Times New Roman"/>
          <w:sz w:val="24"/>
          <w:szCs w:val="24"/>
          <w:shd w:val="clear" w:color="auto" w:fill="FFFFFF"/>
        </w:rPr>
        <w:t>Oleada de emisiones</w:t>
      </w:r>
    </w:p>
    <w:p w:rsidR="006B21D6" w:rsidRPr="006E5BB7" w:rsidRDefault="006B21D6" w:rsidP="00FA4DA9">
      <w:pPr>
        <w:spacing w:line="240" w:lineRule="auto"/>
        <w:jc w:val="both"/>
        <w:rPr>
          <w:rFonts w:ascii="Times New Roman" w:hAnsi="Times New Roman" w:cs="Times New Roman"/>
          <w:sz w:val="24"/>
          <w:szCs w:val="24"/>
          <w:u w:val="single"/>
          <w:shd w:val="clear" w:color="auto" w:fill="FFFFFF"/>
        </w:rPr>
      </w:pPr>
      <w:r w:rsidRPr="006E5BB7">
        <w:rPr>
          <w:rFonts w:ascii="Times New Roman" w:hAnsi="Times New Roman" w:cs="Times New Roman"/>
          <w:sz w:val="24"/>
          <w:szCs w:val="24"/>
          <w:u w:val="single"/>
          <w:shd w:val="clear" w:color="auto" w:fill="FFFFFF"/>
        </w:rPr>
        <w:t xml:space="preserve">Las compañías estadounidenses con grado de inversión han emitido en lo que va de año un volumen récord de 1,3 billones de dólares, cerca del 80% más que en el mismo periodo del </w:t>
      </w:r>
      <w:r w:rsidRPr="006E5BB7">
        <w:rPr>
          <w:rFonts w:ascii="Times New Roman" w:hAnsi="Times New Roman" w:cs="Times New Roman"/>
          <w:sz w:val="24"/>
          <w:szCs w:val="24"/>
          <w:u w:val="single"/>
          <w:shd w:val="clear" w:color="auto" w:fill="FFFFFF"/>
        </w:rPr>
        <w:lastRenderedPageBreak/>
        <w:t>año anterior, según Bank of America</w:t>
      </w:r>
      <w:r w:rsidRPr="00E73210">
        <w:rPr>
          <w:rFonts w:ascii="Times New Roman" w:hAnsi="Times New Roman" w:cs="Times New Roman"/>
          <w:sz w:val="24"/>
          <w:szCs w:val="24"/>
          <w:shd w:val="clear" w:color="auto" w:fill="FFFFFF"/>
        </w:rPr>
        <w:t xml:space="preserve">. Solo en marzo, y pese a que buena parte del mes estuvo dominado por las turbulencias financieras, se estableció un primer récord mensual de emisiones de 265.000 millones de dólares, según apuntan desde S&amp;P. </w:t>
      </w:r>
      <w:r w:rsidRPr="006E5BB7">
        <w:rPr>
          <w:rFonts w:ascii="Times New Roman" w:hAnsi="Times New Roman" w:cs="Times New Roman"/>
          <w:sz w:val="24"/>
          <w:szCs w:val="24"/>
          <w:u w:val="single"/>
          <w:shd w:val="clear" w:color="auto" w:fill="FFFFFF"/>
        </w:rPr>
        <w:t>El anuncio del programa de compras de la Fed, al que los inversores han respondido con intensas compras, ha servido por tanto a las compañías estadounidenses para hacer acopio de liquidez ante la crisis.</w:t>
      </w:r>
    </w:p>
    <w:p w:rsidR="006B21D6" w:rsidRPr="00E73210" w:rsidRDefault="006B21D6" w:rsidP="00FA4DA9">
      <w:pPr>
        <w:spacing w:line="240" w:lineRule="auto"/>
        <w:jc w:val="both"/>
        <w:rPr>
          <w:rFonts w:ascii="Times New Roman" w:hAnsi="Times New Roman" w:cs="Times New Roman"/>
          <w:sz w:val="24"/>
          <w:szCs w:val="24"/>
          <w:shd w:val="clear" w:color="auto" w:fill="FFFFFF"/>
        </w:rPr>
      </w:pPr>
      <w:r w:rsidRPr="00E73210">
        <w:rPr>
          <w:rFonts w:ascii="Times New Roman" w:hAnsi="Times New Roman" w:cs="Times New Roman"/>
          <w:sz w:val="24"/>
          <w:szCs w:val="24"/>
          <w:shd w:val="clear" w:color="auto" w:fill="FFFFFF"/>
        </w:rPr>
        <w:t xml:space="preserve">En sus adquisiciones, la Fed se está concentrando en los grandes grupos. De hecho, ha favorecido por ejemplo que Alphabet, la matriz de Google, emitiera el 4 de agosto 10.000 millones de dólares a un </w:t>
      </w:r>
      <w:r>
        <w:rPr>
          <w:rFonts w:ascii="Times New Roman" w:hAnsi="Times New Roman" w:cs="Times New Roman"/>
          <w:sz w:val="24"/>
          <w:szCs w:val="24"/>
          <w:shd w:val="clear" w:color="auto" w:fill="FFFFFF"/>
        </w:rPr>
        <w:t>interés mínimo sin precedentes.</w:t>
      </w:r>
    </w:p>
    <w:p w:rsidR="006B21D6" w:rsidRPr="006E5BB7" w:rsidRDefault="006B21D6" w:rsidP="00FA4DA9">
      <w:pPr>
        <w:spacing w:line="240" w:lineRule="auto"/>
        <w:jc w:val="both"/>
        <w:rPr>
          <w:rFonts w:ascii="Times New Roman" w:hAnsi="Times New Roman" w:cs="Times New Roman"/>
          <w:sz w:val="24"/>
          <w:szCs w:val="24"/>
          <w:u w:val="single"/>
          <w:shd w:val="clear" w:color="auto" w:fill="FFFFFF"/>
        </w:rPr>
      </w:pPr>
      <w:r w:rsidRPr="006E5BB7">
        <w:rPr>
          <w:rFonts w:ascii="Times New Roman" w:hAnsi="Times New Roman" w:cs="Times New Roman"/>
          <w:sz w:val="24"/>
          <w:szCs w:val="24"/>
          <w:u w:val="single"/>
          <w:shd w:val="clear" w:color="auto" w:fill="FFFFFF"/>
        </w:rPr>
        <w:t>La Fed tiene opción para adquirir deuda de alrededor de 800 compañías estadounidenses, si bien sus compras se están concentrando en un número muy inferior de empresas, entre las que figuran nombres como General Motors y Ford, la aerolínea Boeing y las hoteleras Hyatt Hotels y Marriott, sectores especialmente afectados por la crisis. También petroleras como Exxon Mobil y Chevron, a las que se suman AT&amp;T, Home Depot, WalMart, IBM, Medtronic, Pepsico, Coca-Cola, Caterpillar, Berkshire Hathaway, el brazo inversor de Warren Buffett, o Philip Morris. Entre la deuda adquirida, solo el 3% tiene el rating mínimo de BB-, mientras que el vencimiento medio de los activos es de 2,9 años, frente a un tope establecido en cinco años.</w:t>
      </w:r>
    </w:p>
    <w:p w:rsidR="006B21D6" w:rsidRDefault="006B21D6" w:rsidP="00FA4DA9">
      <w:pPr>
        <w:spacing w:line="240" w:lineRule="auto"/>
        <w:jc w:val="both"/>
        <w:rPr>
          <w:rFonts w:ascii="Times New Roman" w:hAnsi="Times New Roman" w:cs="Times New Roman"/>
          <w:color w:val="FF0000"/>
          <w:sz w:val="24"/>
          <w:szCs w:val="24"/>
          <w:u w:val="single"/>
          <w:shd w:val="clear" w:color="auto" w:fill="FFFFFF"/>
        </w:rPr>
      </w:pPr>
      <w:r w:rsidRPr="006E5BB7">
        <w:rPr>
          <w:rFonts w:ascii="Times New Roman" w:hAnsi="Times New Roman" w:cs="Times New Roman"/>
          <w:color w:val="FF0000"/>
          <w:sz w:val="24"/>
          <w:szCs w:val="24"/>
          <w:u w:val="single"/>
          <w:shd w:val="clear" w:color="auto" w:fill="FFFFFF"/>
        </w:rPr>
        <w:t>En el momento actual, los expertos no ven motivos para que la Fed acelere sus compras. “Esperará a que se materialice la inevitable presión a escala mundial en los activos de riesgo en septiembre u octubre para volver a intervenir con gran contundencia, haciendo las veces de seguro”, auguran en Nordea.</w:t>
      </w:r>
    </w:p>
    <w:p w:rsidR="005B6A9C" w:rsidRPr="005B6A9C" w:rsidRDefault="005B6A9C" w:rsidP="00FA4DA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Estímulos constantes y medidas en estudio</w:t>
      </w:r>
    </w:p>
    <w:p w:rsidR="006B21D6" w:rsidRPr="00E73210" w:rsidRDefault="006B21D6" w:rsidP="00FA4DA9">
      <w:pPr>
        <w:spacing w:line="240" w:lineRule="auto"/>
        <w:jc w:val="both"/>
        <w:rPr>
          <w:rFonts w:ascii="Times New Roman" w:hAnsi="Times New Roman" w:cs="Times New Roman"/>
          <w:sz w:val="24"/>
          <w:szCs w:val="24"/>
          <w:shd w:val="clear" w:color="auto" w:fill="FFFFFF"/>
        </w:rPr>
      </w:pPr>
      <w:r w:rsidRPr="00E73210">
        <w:rPr>
          <w:rFonts w:ascii="Times New Roman" w:hAnsi="Times New Roman" w:cs="Times New Roman"/>
          <w:sz w:val="24"/>
          <w:szCs w:val="24"/>
          <w:shd w:val="clear" w:color="auto" w:fill="FFFFFF"/>
        </w:rPr>
        <w:t>Compra de activos. La Fed ha ralentizado su ritmo de compras de deuda, si bien prevé mantener un volumen total de unos 80.000 millones de dólares mensuales, sin fecha prevista para su finalización. La crisis impone la continuidad de los estímulos y en S&amp;P prevén que los tipos no subirán</w:t>
      </w:r>
      <w:r w:rsidR="005B6A9C">
        <w:rPr>
          <w:rFonts w:ascii="Times New Roman" w:hAnsi="Times New Roman" w:cs="Times New Roman"/>
          <w:sz w:val="24"/>
          <w:szCs w:val="24"/>
          <w:shd w:val="clear" w:color="auto" w:fill="FFFFFF"/>
        </w:rPr>
        <w:t xml:space="preserve"> en EE</w:t>
      </w:r>
      <w:r>
        <w:rPr>
          <w:rFonts w:ascii="Times New Roman" w:hAnsi="Times New Roman" w:cs="Times New Roman"/>
          <w:sz w:val="24"/>
          <w:szCs w:val="24"/>
          <w:shd w:val="clear" w:color="auto" w:fill="FFFFFF"/>
        </w:rPr>
        <w:t xml:space="preserve">UU hasta al menos 2023. </w:t>
      </w:r>
    </w:p>
    <w:p w:rsidR="006B21D6" w:rsidRPr="006E5BB7" w:rsidRDefault="006B21D6" w:rsidP="00FA4DA9">
      <w:pPr>
        <w:spacing w:line="240" w:lineRule="auto"/>
        <w:jc w:val="both"/>
        <w:rPr>
          <w:rFonts w:ascii="Times New Roman" w:hAnsi="Times New Roman" w:cs="Times New Roman"/>
          <w:color w:val="FF0000"/>
          <w:sz w:val="24"/>
          <w:szCs w:val="24"/>
          <w:u w:val="single"/>
          <w:shd w:val="clear" w:color="auto" w:fill="FFFFFF"/>
        </w:rPr>
      </w:pPr>
      <w:r w:rsidRPr="006E5BB7">
        <w:rPr>
          <w:rFonts w:ascii="Times New Roman" w:hAnsi="Times New Roman" w:cs="Times New Roman"/>
          <w:color w:val="FF0000"/>
          <w:sz w:val="24"/>
          <w:szCs w:val="24"/>
          <w:u w:val="single"/>
          <w:shd w:val="clear" w:color="auto" w:fill="FFFFFF"/>
        </w:rPr>
        <w:t>Récord. El tamaño del balance de la institución se ha disparado hasta los casi 7 billones de dólares y podría crecer a finales de año hasta r</w:t>
      </w:r>
      <w:r w:rsidR="005B6A9C">
        <w:rPr>
          <w:rFonts w:ascii="Times New Roman" w:hAnsi="Times New Roman" w:cs="Times New Roman"/>
          <w:color w:val="FF0000"/>
          <w:sz w:val="24"/>
          <w:szCs w:val="24"/>
          <w:u w:val="single"/>
          <w:shd w:val="clear" w:color="auto" w:fill="FFFFFF"/>
        </w:rPr>
        <w:t>epresentar el 40% del PIB de EE</w:t>
      </w:r>
      <w:r w:rsidRPr="006E5BB7">
        <w:rPr>
          <w:rFonts w:ascii="Times New Roman" w:hAnsi="Times New Roman" w:cs="Times New Roman"/>
          <w:color w:val="FF0000"/>
          <w:sz w:val="24"/>
          <w:szCs w:val="24"/>
          <w:u w:val="single"/>
          <w:shd w:val="clear" w:color="auto" w:fill="FFFFFF"/>
        </w:rPr>
        <w:t>UU, según S&amp;P. Un incremento en el ejercicio de 21 puntos porcentuales</w:t>
      </w:r>
    </w:p>
    <w:p w:rsidR="006B21D6" w:rsidRPr="006E5BB7" w:rsidRDefault="006B21D6" w:rsidP="00FA4DA9">
      <w:pPr>
        <w:spacing w:line="240" w:lineRule="auto"/>
        <w:jc w:val="both"/>
        <w:rPr>
          <w:rFonts w:ascii="Times New Roman" w:hAnsi="Times New Roman" w:cs="Times New Roman"/>
          <w:sz w:val="24"/>
          <w:szCs w:val="24"/>
          <w:u w:val="single"/>
          <w:shd w:val="clear" w:color="auto" w:fill="FFFFFF"/>
        </w:rPr>
      </w:pPr>
      <w:r w:rsidRPr="00E73210">
        <w:rPr>
          <w:rFonts w:ascii="Times New Roman" w:hAnsi="Times New Roman" w:cs="Times New Roman"/>
          <w:sz w:val="24"/>
          <w:szCs w:val="24"/>
          <w:shd w:val="clear" w:color="auto" w:fill="FFFFFF"/>
        </w:rPr>
        <w:t xml:space="preserve">Más medidas. </w:t>
      </w:r>
      <w:r w:rsidRPr="006E5BB7">
        <w:rPr>
          <w:rFonts w:ascii="Times New Roman" w:hAnsi="Times New Roman" w:cs="Times New Roman"/>
          <w:sz w:val="24"/>
          <w:szCs w:val="24"/>
          <w:u w:val="single"/>
          <w:shd w:val="clear" w:color="auto" w:fill="FFFFFF"/>
        </w:rPr>
        <w:t>La Fed tantea el control de la curva de tipos</w:t>
      </w:r>
      <w:r w:rsidRPr="00E73210">
        <w:rPr>
          <w:rFonts w:ascii="Times New Roman" w:hAnsi="Times New Roman" w:cs="Times New Roman"/>
          <w:sz w:val="24"/>
          <w:szCs w:val="24"/>
          <w:shd w:val="clear" w:color="auto" w:fill="FFFFFF"/>
        </w:rPr>
        <w:t xml:space="preserve">, con el fin de establecer un nivel de rentabilidad para la deuda, una medida que podría anunciar en septiembre. Y </w:t>
      </w:r>
      <w:r w:rsidRPr="006E5BB7">
        <w:rPr>
          <w:rFonts w:ascii="Times New Roman" w:hAnsi="Times New Roman" w:cs="Times New Roman"/>
          <w:sz w:val="24"/>
          <w:szCs w:val="24"/>
          <w:u w:val="single"/>
          <w:shd w:val="clear" w:color="auto" w:fill="FFFFFF"/>
        </w:rPr>
        <w:t>descarta llevar los tipos de interés a terreno negativo.</w:t>
      </w:r>
    </w:p>
    <w:p w:rsidR="006B21D6" w:rsidRDefault="006B21D6" w:rsidP="00FA4DA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EC5CF4">
        <w:rPr>
          <w:rFonts w:ascii="Times New Roman" w:hAnsi="Times New Roman" w:cs="Times New Roman"/>
          <w:sz w:val="24"/>
          <w:szCs w:val="24"/>
          <w:u w:val="single"/>
          <w:shd w:val="clear" w:color="auto" w:fill="FFFFFF"/>
        </w:rPr>
        <w:t>El indicador de Buffett emite señales preocupantes: la bolsa supera el PIB de EEUU y aumenta los temores de una burbuja</w:t>
      </w:r>
      <w:r>
        <w:rPr>
          <w:rFonts w:ascii="Times New Roman" w:hAnsi="Times New Roman" w:cs="Times New Roman"/>
          <w:sz w:val="24"/>
          <w:szCs w:val="24"/>
          <w:shd w:val="clear" w:color="auto" w:fill="FFFFFF"/>
        </w:rPr>
        <w:t xml:space="preserve"> (El Economista - </w:t>
      </w:r>
      <w:r>
        <w:rPr>
          <w:rFonts w:ascii="Times New Roman" w:hAnsi="Times New Roman" w:cs="Times New Roman"/>
          <w:b/>
          <w:sz w:val="24"/>
          <w:szCs w:val="24"/>
          <w:shd w:val="clear" w:color="auto" w:fill="FFFFFF"/>
        </w:rPr>
        <w:t>17</w:t>
      </w:r>
      <w:r w:rsidRPr="00EC5CF4">
        <w:rPr>
          <w:rFonts w:ascii="Times New Roman" w:hAnsi="Times New Roman" w:cs="Times New Roman"/>
          <w:b/>
          <w:sz w:val="24"/>
          <w:szCs w:val="24"/>
          <w:shd w:val="clear" w:color="auto" w:fill="FFFFFF"/>
        </w:rPr>
        <w:t>/8/20</w:t>
      </w:r>
      <w:r>
        <w:rPr>
          <w:rFonts w:ascii="Times New Roman" w:hAnsi="Times New Roman" w:cs="Times New Roman"/>
          <w:sz w:val="24"/>
          <w:szCs w:val="24"/>
          <w:shd w:val="clear" w:color="auto" w:fill="FFFFFF"/>
        </w:rPr>
        <w:t>)</w:t>
      </w:r>
    </w:p>
    <w:p w:rsidR="006B21D6" w:rsidRPr="00D90A0F" w:rsidRDefault="006B21D6" w:rsidP="00FA4DA9">
      <w:pPr>
        <w:pStyle w:val="NormalWeb"/>
        <w:shd w:val="clear" w:color="auto" w:fill="FFFFFF"/>
        <w:spacing w:before="0" w:beforeAutospacing="0" w:after="270" w:afterAutospacing="0"/>
        <w:jc w:val="both"/>
        <w:rPr>
          <w:color w:val="FF0000"/>
          <w:spacing w:val="-1"/>
          <w:u w:val="single"/>
        </w:rPr>
      </w:pPr>
      <w:r w:rsidRPr="00D90A0F">
        <w:rPr>
          <w:color w:val="FF0000"/>
          <w:spacing w:val="-1"/>
          <w:u w:val="single"/>
        </w:rPr>
        <w:t xml:space="preserve">La capitalización bursátil total de las compañías estadounidenses supera el valor del PIB de EEUU y no suele ser buena noticia para el mercado. Para el afamado inversor Warren Buffett es un aviso serio de burbuja en los mercados. En 2001 y 2008, sucedió justo antes de que </w:t>
      </w:r>
      <w:r w:rsidR="00324F4A" w:rsidRPr="00D90A0F">
        <w:rPr>
          <w:color w:val="FF0000"/>
          <w:spacing w:val="-1"/>
          <w:u w:val="single"/>
        </w:rPr>
        <w:t>estallaran</w:t>
      </w:r>
      <w:r w:rsidRPr="00D90A0F">
        <w:rPr>
          <w:color w:val="FF0000"/>
          <w:spacing w:val="-1"/>
          <w:u w:val="single"/>
        </w:rPr>
        <w:t xml:space="preserve"> las puntocom y la crisis subprime.</w:t>
      </w:r>
    </w:p>
    <w:p w:rsidR="006B21D6" w:rsidRPr="00EC5CF4" w:rsidRDefault="006B21D6" w:rsidP="00FA4DA9">
      <w:pPr>
        <w:pStyle w:val="NormalWeb"/>
        <w:shd w:val="clear" w:color="auto" w:fill="FFFFFF"/>
        <w:spacing w:before="0" w:beforeAutospacing="0" w:after="270" w:afterAutospacing="0"/>
        <w:jc w:val="both"/>
        <w:rPr>
          <w:color w:val="212529"/>
          <w:spacing w:val="-1"/>
        </w:rPr>
      </w:pPr>
      <w:r w:rsidRPr="00EC5CF4">
        <w:rPr>
          <w:color w:val="212529"/>
          <w:spacing w:val="-1"/>
        </w:rPr>
        <w:t xml:space="preserve">A finales de 2001, el oráculo de Omaha, el mito de la inversión </w:t>
      </w:r>
      <w:r w:rsidRPr="005B6A9C">
        <w:rPr>
          <w:color w:val="212529"/>
          <w:spacing w:val="-1"/>
        </w:rPr>
        <w:t>Warren Buffett</w:t>
      </w:r>
      <w:r w:rsidRPr="00EC5CF4">
        <w:rPr>
          <w:color w:val="212529"/>
          <w:spacing w:val="-1"/>
        </w:rPr>
        <w:t xml:space="preserve"> dejó por escrito una de sus grand</w:t>
      </w:r>
      <w:r>
        <w:rPr>
          <w:color w:val="212529"/>
          <w:spacing w:val="-1"/>
        </w:rPr>
        <w:t>es lecciones para el resto de lo</w:t>
      </w:r>
      <w:r w:rsidRPr="00EC5CF4">
        <w:rPr>
          <w:color w:val="212529"/>
          <w:spacing w:val="-1"/>
        </w:rPr>
        <w:t xml:space="preserve">s inversores al analizar el colapso de las </w:t>
      </w:r>
      <w:r w:rsidRPr="005B6A9C">
        <w:rPr>
          <w:spacing w:val="-1"/>
        </w:rPr>
        <w:t xml:space="preserve">puntocom. </w:t>
      </w:r>
      <w:r w:rsidRPr="005B6A9C">
        <w:rPr>
          <w:spacing w:val="-1"/>
          <w:u w:val="single"/>
        </w:rPr>
        <w:t>En un artículo de la revista </w:t>
      </w:r>
      <w:r w:rsidRPr="005B6A9C">
        <w:rPr>
          <w:i/>
          <w:iCs/>
          <w:spacing w:val="-1"/>
          <w:u w:val="single"/>
        </w:rPr>
        <w:t>Fortune </w:t>
      </w:r>
      <w:r w:rsidRPr="005B6A9C">
        <w:rPr>
          <w:spacing w:val="-1"/>
          <w:u w:val="single"/>
        </w:rPr>
        <w:t>estableció la relación directa</w:t>
      </w:r>
      <w:r w:rsidRPr="005B6A9C">
        <w:rPr>
          <w:spacing w:val="-1"/>
        </w:rPr>
        <w:t> </w:t>
      </w:r>
      <w:hyperlink r:id="rId130" w:tgtFrame="_blank" w:history="1">
        <w:r w:rsidRPr="005B6A9C">
          <w:rPr>
            <w:rStyle w:val="Hipervnculo"/>
            <w:rFonts w:eastAsiaTheme="minorEastAsia"/>
            <w:color w:val="auto"/>
            <w:spacing w:val="-1"/>
          </w:rPr>
          <w:t>entre la evolución económica y la valoración del mercado</w:t>
        </w:r>
      </w:hyperlink>
      <w:r w:rsidRPr="005B6A9C">
        <w:rPr>
          <w:spacing w:val="-1"/>
        </w:rPr>
        <w:t xml:space="preserve">. </w:t>
      </w:r>
      <w:r w:rsidRPr="005B6A9C">
        <w:rPr>
          <w:spacing w:val="-1"/>
          <w:u w:val="single"/>
        </w:rPr>
        <w:t xml:space="preserve">En la práctica supone una fórmula simple para </w:t>
      </w:r>
      <w:r w:rsidRPr="005B6A9C">
        <w:rPr>
          <w:spacing w:val="-1"/>
          <w:u w:val="single"/>
        </w:rPr>
        <w:lastRenderedPageBreak/>
        <w:t xml:space="preserve">anticiparse a las burbujas que se crean en </w:t>
      </w:r>
      <w:r w:rsidRPr="00D90A0F">
        <w:rPr>
          <w:color w:val="212529"/>
          <w:spacing w:val="-1"/>
          <w:u w:val="single"/>
        </w:rPr>
        <w:t>el mercado. Desde entonces se le conoce como el indicador de Buffett a la división de la capitalización total de la bolsa estadounidenses entre el PIB de EEUU.</w:t>
      </w:r>
      <w:r w:rsidRPr="00EC5CF4">
        <w:rPr>
          <w:color w:val="212529"/>
          <w:spacing w:val="-1"/>
        </w:rPr>
        <w:t xml:space="preserve"> Para el afamado inversor hubiera sido una señal infalible para ver venir una de las mayores debacles bursá</w:t>
      </w:r>
      <w:r w:rsidR="005B6A9C">
        <w:rPr>
          <w:color w:val="212529"/>
          <w:spacing w:val="-1"/>
        </w:rPr>
        <w:t>tiles de la historia reciente, “</w:t>
      </w:r>
      <w:r w:rsidRPr="00EC5CF4">
        <w:rPr>
          <w:color w:val="212529"/>
          <w:spacing w:val="-1"/>
        </w:rPr>
        <w:t xml:space="preserve">probablemente sea la mejor medida individual para saber dónde se encuentran las </w:t>
      </w:r>
      <w:r w:rsidR="005B6A9C">
        <w:rPr>
          <w:color w:val="212529"/>
          <w:spacing w:val="-1"/>
        </w:rPr>
        <w:t>valoraciones en un momento dado”</w:t>
      </w:r>
      <w:r w:rsidRPr="00EC5CF4">
        <w:rPr>
          <w:color w:val="212529"/>
          <w:spacing w:val="-1"/>
        </w:rPr>
        <w:t>.</w:t>
      </w:r>
    </w:p>
    <w:p w:rsidR="006B21D6" w:rsidRPr="00EC5CF4" w:rsidRDefault="006B21D6" w:rsidP="00FA4DA9">
      <w:pPr>
        <w:shd w:val="clear" w:color="auto" w:fill="FFFFFF"/>
        <w:spacing w:line="240" w:lineRule="auto"/>
        <w:jc w:val="both"/>
        <w:rPr>
          <w:rFonts w:ascii="Times New Roman" w:hAnsi="Times New Roman" w:cs="Times New Roman"/>
          <w:color w:val="212529"/>
          <w:sz w:val="24"/>
          <w:szCs w:val="24"/>
        </w:rPr>
      </w:pPr>
      <w:r w:rsidRPr="00EC5CF4">
        <w:rPr>
          <w:rFonts w:ascii="Times New Roman" w:hAnsi="Times New Roman" w:cs="Times New Roman"/>
          <w:noProof/>
          <w:color w:val="212529"/>
          <w:sz w:val="24"/>
          <w:szCs w:val="24"/>
          <w:lang w:eastAsia="es-ES"/>
        </w:rPr>
        <w:drawing>
          <wp:inline distT="0" distB="0" distL="0" distR="0" wp14:anchorId="6EC5C238" wp14:editId="33B8DA0D">
            <wp:extent cx="5676900" cy="2794000"/>
            <wp:effectExtent l="0" t="0" r="0" b="6350"/>
            <wp:docPr id="158" name="Imagen 158" descr="https://s03.s3c.es/imag/_v0/768x458/5/4/3/ffde356088152af638dd0d7a95b439e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68x458/5/4/3/ffde356088152af638dd0d7a95b439ea.pn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676900" cy="2794000"/>
                    </a:xfrm>
                    <a:prstGeom prst="rect">
                      <a:avLst/>
                    </a:prstGeom>
                    <a:noFill/>
                    <a:ln>
                      <a:noFill/>
                    </a:ln>
                  </pic:spPr>
                </pic:pic>
              </a:graphicData>
            </a:graphic>
          </wp:inline>
        </w:drawing>
      </w:r>
    </w:p>
    <w:p w:rsidR="006B21D6" w:rsidRDefault="006B21D6" w:rsidP="00FA4DA9">
      <w:pPr>
        <w:pStyle w:val="NormalWeb"/>
        <w:shd w:val="clear" w:color="auto" w:fill="FFFFFF"/>
        <w:spacing w:before="0" w:beforeAutospacing="0" w:after="270" w:afterAutospacing="0"/>
        <w:jc w:val="both"/>
        <w:rPr>
          <w:b/>
          <w:color w:val="FF0000"/>
          <w:spacing w:val="-1"/>
          <w:u w:val="single"/>
        </w:rPr>
      </w:pPr>
      <w:r w:rsidRPr="00D90A0F">
        <w:rPr>
          <w:color w:val="FF0000"/>
          <w:spacing w:val="-1"/>
          <w:u w:val="single"/>
        </w:rPr>
        <w:t>El indicador funcionó en las dos anteriores crisis, en el 2000 y en el 2008, la capitalización de las acciones americanas superaron el 100% del PIB, lo que se traduce en un mercado sobrevalorado y un aumento del riesgo de asistir a una caída en picado del mercado.</w:t>
      </w:r>
      <w:r w:rsidRPr="00EC5CF4">
        <w:rPr>
          <w:color w:val="212529"/>
          <w:spacing w:val="-1"/>
        </w:rPr>
        <w:t xml:space="preserve"> </w:t>
      </w:r>
      <w:r w:rsidRPr="00D90A0F">
        <w:rPr>
          <w:color w:val="212529"/>
          <w:spacing w:val="-1"/>
          <w:u w:val="single"/>
        </w:rPr>
        <w:t xml:space="preserve">La interpretación de Buffett apunta a una descorrelación entre las expectativas de los inversores y el crecimiento económico del país. </w:t>
      </w:r>
      <w:r w:rsidRPr="00CB325E">
        <w:rPr>
          <w:b/>
          <w:color w:val="FF0000"/>
          <w:spacing w:val="-1"/>
          <w:u w:val="single"/>
        </w:rPr>
        <w:t>La crisis del coronavirus ha provocado </w:t>
      </w:r>
      <w:hyperlink r:id="rId132" w:tgtFrame="_self" w:history="1">
        <w:r w:rsidRPr="00CB325E">
          <w:rPr>
            <w:rStyle w:val="Hipervnculo"/>
            <w:rFonts w:eastAsiaTheme="minorEastAsia"/>
            <w:b/>
            <w:color w:val="FF0000"/>
            <w:spacing w:val="-1"/>
          </w:rPr>
          <w:t>el mayor hundimiento de la economía de la historia en EEUU</w:t>
        </w:r>
      </w:hyperlink>
      <w:r w:rsidRPr="00CB325E">
        <w:rPr>
          <w:b/>
          <w:color w:val="FF0000"/>
          <w:spacing w:val="-1"/>
          <w:u w:val="single"/>
        </w:rPr>
        <w:t>. La caída del PIB sin precedente ha disparado la capitalización del mercado respecto al crecimiento de la economía.</w:t>
      </w:r>
    </w:p>
    <w:p w:rsidR="00CB325E" w:rsidRPr="00CB325E" w:rsidRDefault="00CB325E" w:rsidP="00FA4DA9">
      <w:pPr>
        <w:pStyle w:val="NormalWeb"/>
        <w:shd w:val="clear" w:color="auto" w:fill="FFFFFF"/>
        <w:spacing w:before="0" w:beforeAutospacing="0" w:after="270" w:afterAutospacing="0"/>
        <w:jc w:val="both"/>
        <w:rPr>
          <w:b/>
          <w:color w:val="FF0000"/>
          <w:spacing w:val="-1"/>
          <w:u w:val="single"/>
        </w:rPr>
      </w:pPr>
      <w:r>
        <w:rPr>
          <w:noProof/>
        </w:rPr>
        <w:drawing>
          <wp:inline distT="0" distB="0" distL="0" distR="0" wp14:anchorId="5591FA5D" wp14:editId="5C3EB33A">
            <wp:extent cx="5727283" cy="3130550"/>
            <wp:effectExtent l="0" t="0" r="6985" b="0"/>
            <wp:docPr id="210" name="Imagen 210" descr="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n"/>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731510" cy="3132860"/>
                    </a:xfrm>
                    <a:prstGeom prst="rect">
                      <a:avLst/>
                    </a:prstGeom>
                    <a:noFill/>
                    <a:ln>
                      <a:noFill/>
                    </a:ln>
                  </pic:spPr>
                </pic:pic>
              </a:graphicData>
            </a:graphic>
          </wp:inline>
        </w:drawing>
      </w:r>
    </w:p>
    <w:p w:rsidR="006B21D6" w:rsidRPr="00D90A0F" w:rsidRDefault="006B21D6" w:rsidP="00FA4DA9">
      <w:pPr>
        <w:pStyle w:val="NormalWeb"/>
        <w:shd w:val="clear" w:color="auto" w:fill="FFFFFF"/>
        <w:spacing w:before="0" w:beforeAutospacing="0" w:after="270" w:afterAutospacing="0"/>
        <w:jc w:val="both"/>
        <w:rPr>
          <w:color w:val="212529"/>
          <w:spacing w:val="-1"/>
          <w:u w:val="single"/>
        </w:rPr>
      </w:pPr>
      <w:r w:rsidRPr="00D90A0F">
        <w:rPr>
          <w:color w:val="212529"/>
          <w:spacing w:val="-1"/>
          <w:u w:val="single"/>
        </w:rPr>
        <w:lastRenderedPageBreak/>
        <w:t>Buffett no es el único que no pierde vista de esta métrica. Los inversores suelen utilizar el índice Wilshire 5000</w:t>
      </w:r>
      <w:r w:rsidRPr="00EC5CF4">
        <w:rPr>
          <w:color w:val="212529"/>
          <w:spacing w:val="-1"/>
        </w:rPr>
        <w:t xml:space="preserve">, que engloban a todas las compañías que cotizan en EEUU, aunque no incluye a las compañías que cotizan por debajo de un dólar, como referencia de la capitalización total del mercado americano. La pasada semana superó la producción del país durante el segundo trimestre del año, tal como adelantó el analista Holger Zschaepitz en Twitter. </w:t>
      </w:r>
      <w:r w:rsidRPr="00D90A0F">
        <w:rPr>
          <w:color w:val="212529"/>
          <w:spacing w:val="-1"/>
          <w:u w:val="single"/>
        </w:rPr>
        <w:t>Para muchos operadores es una clara señal de venta y hora de salir del mercado.</w:t>
      </w:r>
    </w:p>
    <w:p w:rsidR="006B21D6" w:rsidRPr="00D90A0F" w:rsidRDefault="006B21D6" w:rsidP="00FA4DA9">
      <w:pPr>
        <w:pStyle w:val="NormalWeb"/>
        <w:shd w:val="clear" w:color="auto" w:fill="FFFFFF"/>
        <w:spacing w:before="0" w:beforeAutospacing="0" w:after="270" w:afterAutospacing="0"/>
        <w:jc w:val="both"/>
        <w:rPr>
          <w:color w:val="212529"/>
          <w:spacing w:val="-1"/>
          <w:u w:val="single"/>
        </w:rPr>
      </w:pPr>
      <w:r w:rsidRPr="00D90A0F">
        <w:rPr>
          <w:color w:val="212529"/>
          <w:spacing w:val="-1"/>
          <w:u w:val="single"/>
        </w:rPr>
        <w:t>Históricamente, el promedio del indicador Buffett ha estado alrededor del 65% del PIB. Cuando está en el rango del 70% al 80%, el famoso inversor considera que es un buen punto de entrada en el mercado, con las compañías cotizadas infravaloradas.</w:t>
      </w:r>
    </w:p>
    <w:p w:rsidR="006B21D6" w:rsidRPr="00D90A0F" w:rsidRDefault="006B21D6" w:rsidP="00FA4DA9">
      <w:pPr>
        <w:pStyle w:val="NormalWeb"/>
        <w:shd w:val="clear" w:color="auto" w:fill="FFFFFF"/>
        <w:spacing w:before="0" w:beforeAutospacing="0" w:after="270" w:afterAutospacing="0"/>
        <w:jc w:val="both"/>
        <w:rPr>
          <w:color w:val="212529"/>
          <w:spacing w:val="-1"/>
          <w:u w:val="single"/>
        </w:rPr>
      </w:pPr>
      <w:r w:rsidRPr="00EC5CF4">
        <w:rPr>
          <w:color w:val="212529"/>
          <w:spacing w:val="-1"/>
        </w:rPr>
        <w:t xml:space="preserve">El aviso del indicador se produce con los principales índices de Wall Street recuperados de la súbita caída sufrida en marzo, cuando el coronavirus impacto con toda virulencia sobre las bolsas mundiales. </w:t>
      </w:r>
      <w:r w:rsidRPr="00D90A0F">
        <w:rPr>
          <w:color w:val="212529"/>
          <w:spacing w:val="-1"/>
          <w:u w:val="single"/>
        </w:rPr>
        <w:t>Es más el Nasdaq y el S&amp;P 500 campan en máximos históricos, mientras la segunda ola de la epidemia vuelve a poner en duda la vuelta a la normalidad de la economía. La gran pregunta que se hacen los inversores es si la bolsa americana no ha ido demasiado rápido en su remontada y ya ha entrado en terreno peligroso.</w:t>
      </w:r>
    </w:p>
    <w:p w:rsidR="006B21D6" w:rsidRPr="00D90A0F" w:rsidRDefault="006B21D6" w:rsidP="00FA4DA9">
      <w:pPr>
        <w:pStyle w:val="NormalWeb"/>
        <w:shd w:val="clear" w:color="auto" w:fill="FFFFFF"/>
        <w:spacing w:before="0" w:beforeAutospacing="0" w:after="270" w:afterAutospacing="0"/>
        <w:jc w:val="both"/>
        <w:rPr>
          <w:color w:val="212529"/>
          <w:spacing w:val="-1"/>
          <w:u w:val="single"/>
        </w:rPr>
      </w:pPr>
      <w:r w:rsidRPr="00D90A0F">
        <w:rPr>
          <w:color w:val="212529"/>
          <w:spacing w:val="-1"/>
          <w:u w:val="single"/>
        </w:rPr>
        <w:t>Curiosamente, como en 2001, las compañías tecnológicas surgen como las sospechosas habituales</w:t>
      </w:r>
      <w:r w:rsidRPr="00EC5CF4">
        <w:rPr>
          <w:color w:val="212529"/>
          <w:spacing w:val="-1"/>
        </w:rPr>
        <w:t xml:space="preserve">. La veloz recuperación del mercado estadounidense ha tenido que ver mucho con el sector y su peso relativo en los principales índices más allá del Nasdaq. </w:t>
      </w:r>
      <w:r w:rsidRPr="00D90A0F">
        <w:rPr>
          <w:color w:val="212529"/>
          <w:spacing w:val="-1"/>
          <w:u w:val="single"/>
        </w:rPr>
        <w:t>Sin embargo, el indicador de Buffett no ha sido muy efectivo en los últimos años. En 2017 y 2018, ya se mantuvo en niveles por encima del 100% del PIB.</w:t>
      </w:r>
    </w:p>
    <w:p w:rsidR="006B21D6" w:rsidRPr="004F37DD" w:rsidRDefault="006B21D6" w:rsidP="00FA4DA9">
      <w:pPr>
        <w:pStyle w:val="NormalWeb"/>
        <w:spacing w:after="0"/>
        <w:jc w:val="both"/>
        <w:textAlignment w:val="baseline"/>
      </w:pPr>
      <w:r>
        <w:t xml:space="preserve">- </w:t>
      </w:r>
      <w:r w:rsidRPr="004F37DD">
        <w:rPr>
          <w:u w:val="single"/>
        </w:rPr>
        <w:t>El PIB de la OCDE sufre una caída histórica del 9,8% en el segundo trimestre del año</w:t>
      </w:r>
      <w:r>
        <w:t xml:space="preserve"> (Cinco Días - </w:t>
      </w:r>
      <w:r w:rsidRPr="004F37DD">
        <w:rPr>
          <w:b/>
        </w:rPr>
        <w:t>26/8/20</w:t>
      </w:r>
      <w:r>
        <w:t>)</w:t>
      </w:r>
    </w:p>
    <w:p w:rsidR="006B21D6" w:rsidRDefault="006B21D6" w:rsidP="00FA4DA9">
      <w:pPr>
        <w:pStyle w:val="NormalWeb"/>
        <w:spacing w:before="0" w:beforeAutospacing="0" w:after="0" w:afterAutospacing="0"/>
        <w:jc w:val="both"/>
        <w:textAlignment w:val="baseline"/>
        <w:rPr>
          <w:color w:val="FF0000"/>
        </w:rPr>
      </w:pPr>
      <w:r w:rsidRPr="00CB325E">
        <w:rPr>
          <w:color w:val="FF0000"/>
        </w:rPr>
        <w:t>La zona euro y la Unión Europea se contraen más de un 12% y un 11%, y España un 18,5%</w:t>
      </w:r>
    </w:p>
    <w:p w:rsidR="006B28D2" w:rsidRPr="00CB325E" w:rsidRDefault="006B28D2" w:rsidP="00FA4DA9">
      <w:pPr>
        <w:pStyle w:val="NormalWeb"/>
        <w:spacing w:before="0" w:beforeAutospacing="0" w:after="0" w:afterAutospacing="0"/>
        <w:jc w:val="both"/>
        <w:textAlignment w:val="baseline"/>
        <w:rPr>
          <w:color w:val="FF0000"/>
        </w:rPr>
      </w:pPr>
    </w:p>
    <w:p w:rsidR="006B21D6" w:rsidRDefault="006B21D6" w:rsidP="00FA4DA9">
      <w:pPr>
        <w:pStyle w:val="NormalWeb"/>
        <w:spacing w:before="0" w:beforeAutospacing="0" w:after="0" w:afterAutospacing="0"/>
        <w:jc w:val="both"/>
        <w:textAlignment w:val="baseline"/>
        <w:rPr>
          <w:lang w:val="en-US"/>
        </w:rPr>
      </w:pPr>
      <w:r>
        <w:rPr>
          <w:noProof/>
        </w:rPr>
        <w:drawing>
          <wp:inline distT="0" distB="0" distL="0" distR="0" wp14:anchorId="6C6E920F" wp14:editId="68E6290E">
            <wp:extent cx="5731510" cy="2818775"/>
            <wp:effectExtent l="0" t="0" r="2540" b="635"/>
            <wp:docPr id="160" name="Imagen 160" descr="https://d500.epimg.net/descargables/2020/08/26/c4ccea7dd4a32d6621b8517a0d5148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500.epimg.net/descargables/2020/08/26/c4ccea7dd4a32d6621b8517a0d514890.png"/>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731510" cy="2818775"/>
                    </a:xfrm>
                    <a:prstGeom prst="rect">
                      <a:avLst/>
                    </a:prstGeom>
                    <a:noFill/>
                    <a:ln>
                      <a:noFill/>
                    </a:ln>
                  </pic:spPr>
                </pic:pic>
              </a:graphicData>
            </a:graphic>
          </wp:inline>
        </w:drawing>
      </w:r>
    </w:p>
    <w:p w:rsidR="006B21D6" w:rsidRDefault="006B21D6" w:rsidP="00FA4DA9">
      <w:pPr>
        <w:pStyle w:val="NormalWeb"/>
        <w:spacing w:before="0" w:beforeAutospacing="0" w:after="0" w:afterAutospacing="0"/>
        <w:jc w:val="both"/>
        <w:textAlignment w:val="baseline"/>
        <w:rPr>
          <w:lang w:val="en-US"/>
        </w:rPr>
      </w:pPr>
    </w:p>
    <w:p w:rsidR="006B28D2" w:rsidRDefault="006B28D2" w:rsidP="00FA4DA9">
      <w:pPr>
        <w:spacing w:line="240" w:lineRule="auto"/>
        <w:jc w:val="both"/>
        <w:rPr>
          <w:rFonts w:ascii="Times New Roman" w:hAnsi="Times New Roman" w:cs="Times New Roman"/>
          <w:sz w:val="24"/>
          <w:szCs w:val="24"/>
        </w:rPr>
      </w:pPr>
    </w:p>
    <w:p w:rsidR="006B28D2" w:rsidRDefault="006B28D2" w:rsidP="00FA4DA9">
      <w:pPr>
        <w:spacing w:line="240" w:lineRule="auto"/>
        <w:jc w:val="both"/>
        <w:rPr>
          <w:rFonts w:ascii="Times New Roman" w:hAnsi="Times New Roman" w:cs="Times New Roman"/>
          <w:sz w:val="24"/>
          <w:szCs w:val="24"/>
        </w:rPr>
      </w:pPr>
    </w:p>
    <w:p w:rsidR="006B21D6" w:rsidRPr="00BA743D" w:rsidRDefault="006B21D6"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BA743D">
        <w:rPr>
          <w:rFonts w:ascii="Times New Roman" w:hAnsi="Times New Roman" w:cs="Times New Roman"/>
          <w:sz w:val="24"/>
          <w:szCs w:val="24"/>
          <w:u w:val="single"/>
        </w:rPr>
        <w:t>El FMI denuncia que un 15% del gasto público se desperdicia y desemboca en corrupción</w:t>
      </w:r>
      <w:r>
        <w:rPr>
          <w:rFonts w:ascii="Times New Roman" w:hAnsi="Times New Roman" w:cs="Times New Roman"/>
          <w:sz w:val="24"/>
          <w:szCs w:val="24"/>
        </w:rPr>
        <w:t xml:space="preserve"> (Vozpópuli - </w:t>
      </w:r>
      <w:r>
        <w:rPr>
          <w:rFonts w:ascii="Times New Roman" w:hAnsi="Times New Roman" w:cs="Times New Roman"/>
          <w:b/>
          <w:sz w:val="24"/>
          <w:szCs w:val="24"/>
        </w:rPr>
        <w:t>4</w:t>
      </w:r>
      <w:r w:rsidRPr="00BA743D">
        <w:rPr>
          <w:rFonts w:ascii="Times New Roman" w:hAnsi="Times New Roman" w:cs="Times New Roman"/>
          <w:b/>
          <w:sz w:val="24"/>
          <w:szCs w:val="24"/>
        </w:rPr>
        <w:t>/9/20</w:t>
      </w:r>
      <w:r>
        <w:rPr>
          <w:rFonts w:ascii="Times New Roman" w:hAnsi="Times New Roman" w:cs="Times New Roman"/>
          <w:sz w:val="24"/>
          <w:szCs w:val="24"/>
        </w:rPr>
        <w:t>)</w:t>
      </w:r>
    </w:p>
    <w:p w:rsidR="006B21D6" w:rsidRPr="009D62F6" w:rsidRDefault="006B21D6" w:rsidP="00FA4DA9">
      <w:pPr>
        <w:spacing w:line="240" w:lineRule="auto"/>
        <w:jc w:val="both"/>
        <w:rPr>
          <w:rFonts w:ascii="Times New Roman" w:hAnsi="Times New Roman" w:cs="Times New Roman"/>
          <w:color w:val="FF0000"/>
          <w:sz w:val="24"/>
          <w:szCs w:val="24"/>
          <w:u w:val="single"/>
        </w:rPr>
      </w:pPr>
      <w:r w:rsidRPr="009D62F6">
        <w:rPr>
          <w:rFonts w:ascii="Times New Roman" w:hAnsi="Times New Roman" w:cs="Times New Roman"/>
          <w:color w:val="FF0000"/>
          <w:sz w:val="24"/>
          <w:szCs w:val="24"/>
          <w:u w:val="single"/>
        </w:rPr>
        <w:t>El Fondo Monetario Internacional (FMI) ha pedido eficiencia a los Gobiernos en las inversiones que vayan a acometer para amortiguar el impacto del coronavirus en la economía, dado que un 15% de las inversiones en infraestructuras que se realizan en los países desarrollados suelen malgastarse y dar lugar a casos de corrupción.</w:t>
      </w:r>
    </w:p>
    <w:p w:rsidR="006B21D6" w:rsidRPr="009D62F6" w:rsidRDefault="00CB325E" w:rsidP="00FA4DA9">
      <w:pPr>
        <w:spacing w:line="240" w:lineRule="auto"/>
        <w:jc w:val="both"/>
        <w:rPr>
          <w:rFonts w:ascii="Times New Roman" w:hAnsi="Times New Roman" w:cs="Times New Roman"/>
          <w:b/>
          <w:color w:val="FF0000"/>
          <w:sz w:val="24"/>
          <w:szCs w:val="24"/>
          <w:u w:val="single"/>
        </w:rPr>
      </w:pPr>
      <w:r>
        <w:rPr>
          <w:rFonts w:ascii="Times New Roman" w:hAnsi="Times New Roman" w:cs="Times New Roman"/>
          <w:sz w:val="24"/>
          <w:szCs w:val="24"/>
        </w:rPr>
        <w:t>“</w:t>
      </w:r>
      <w:r w:rsidR="006B21D6" w:rsidRPr="00BA743D">
        <w:rPr>
          <w:rFonts w:ascii="Times New Roman" w:hAnsi="Times New Roman" w:cs="Times New Roman"/>
          <w:sz w:val="24"/>
          <w:szCs w:val="24"/>
        </w:rPr>
        <w:t>La inversión pública en infraestructuras jugará un papel clave en la recuperación. Pero con los recursos limitados, los Gobiernos deben gastar el dinero de los contribuyentes sabiamente en los proyectos correctos. Para ello, los países necesitan una buena gobernanza de la infraestructura: instituciones y marcos sólidos para planificar, asignar e implementar una inf</w:t>
      </w:r>
      <w:r>
        <w:rPr>
          <w:rFonts w:ascii="Times New Roman" w:hAnsi="Times New Roman" w:cs="Times New Roman"/>
          <w:sz w:val="24"/>
          <w:szCs w:val="24"/>
        </w:rPr>
        <w:t>raestructura pública de calidad”</w:t>
      </w:r>
      <w:r w:rsidR="006B21D6" w:rsidRPr="00BA743D">
        <w:rPr>
          <w:rFonts w:ascii="Times New Roman" w:hAnsi="Times New Roman" w:cs="Times New Roman"/>
          <w:sz w:val="24"/>
          <w:szCs w:val="24"/>
        </w:rPr>
        <w:t xml:space="preserve">, pide </w:t>
      </w:r>
      <w:r w:rsidR="006B21D6" w:rsidRPr="009D62F6">
        <w:rPr>
          <w:rFonts w:ascii="Times New Roman" w:hAnsi="Times New Roman" w:cs="Times New Roman"/>
          <w:b/>
          <w:color w:val="FF0000"/>
          <w:sz w:val="24"/>
          <w:szCs w:val="24"/>
          <w:u w:val="single"/>
        </w:rPr>
        <w:t>el FMI</w:t>
      </w:r>
      <w:r>
        <w:rPr>
          <w:rFonts w:ascii="Times New Roman" w:hAnsi="Times New Roman" w:cs="Times New Roman"/>
          <w:b/>
          <w:color w:val="FF0000"/>
          <w:sz w:val="24"/>
          <w:szCs w:val="24"/>
          <w:u w:val="single"/>
        </w:rPr>
        <w:t xml:space="preserve"> en su último trabajo titulado “</w:t>
      </w:r>
      <w:r w:rsidR="006B21D6" w:rsidRPr="009D62F6">
        <w:rPr>
          <w:rFonts w:ascii="Times New Roman" w:hAnsi="Times New Roman" w:cs="Times New Roman"/>
          <w:b/>
          <w:color w:val="FF0000"/>
          <w:sz w:val="24"/>
          <w:szCs w:val="24"/>
          <w:u w:val="single"/>
        </w:rPr>
        <w:t>Bien gastado: cómo una sólida gobernanza de la infraestructura puede acabar con el desp</w:t>
      </w:r>
      <w:r>
        <w:rPr>
          <w:rFonts w:ascii="Times New Roman" w:hAnsi="Times New Roman" w:cs="Times New Roman"/>
          <w:b/>
          <w:color w:val="FF0000"/>
          <w:sz w:val="24"/>
          <w:szCs w:val="24"/>
          <w:u w:val="single"/>
        </w:rPr>
        <w:t>erdicio en la inversión pública”</w:t>
      </w:r>
      <w:r w:rsidR="006B21D6" w:rsidRPr="009D62F6">
        <w:rPr>
          <w:rFonts w:ascii="Times New Roman" w:hAnsi="Times New Roman" w:cs="Times New Roman"/>
          <w:b/>
          <w:color w:val="FF0000"/>
          <w:sz w:val="24"/>
          <w:szCs w:val="24"/>
          <w:u w:val="single"/>
        </w:rPr>
        <w:t>.</w:t>
      </w:r>
    </w:p>
    <w:p w:rsidR="006B21D6" w:rsidRPr="009D62F6" w:rsidRDefault="006B21D6" w:rsidP="00FA4DA9">
      <w:pPr>
        <w:spacing w:line="240" w:lineRule="auto"/>
        <w:jc w:val="both"/>
        <w:rPr>
          <w:rFonts w:ascii="Times New Roman" w:hAnsi="Times New Roman" w:cs="Times New Roman"/>
          <w:color w:val="FF0000"/>
          <w:sz w:val="24"/>
          <w:szCs w:val="24"/>
          <w:u w:val="single"/>
        </w:rPr>
      </w:pPr>
      <w:r w:rsidRPr="009D62F6">
        <w:rPr>
          <w:rFonts w:ascii="Times New Roman" w:hAnsi="Times New Roman" w:cs="Times New Roman"/>
          <w:color w:val="FF0000"/>
          <w:sz w:val="24"/>
          <w:szCs w:val="24"/>
          <w:u w:val="single"/>
        </w:rPr>
        <w:t>La institución que dirige Kristalina Georgi</w:t>
      </w:r>
      <w:r w:rsidR="00CB325E">
        <w:rPr>
          <w:rFonts w:ascii="Times New Roman" w:hAnsi="Times New Roman" w:cs="Times New Roman"/>
          <w:color w:val="FF0000"/>
          <w:sz w:val="24"/>
          <w:szCs w:val="24"/>
          <w:u w:val="single"/>
        </w:rPr>
        <w:t>eva denuncia en este libro que “</w:t>
      </w:r>
      <w:r w:rsidRPr="009D62F6">
        <w:rPr>
          <w:rFonts w:ascii="Times New Roman" w:hAnsi="Times New Roman" w:cs="Times New Roman"/>
          <w:color w:val="FF0000"/>
          <w:sz w:val="24"/>
          <w:szCs w:val="24"/>
          <w:u w:val="single"/>
        </w:rPr>
        <w:t>con demasiada frecuencia, la inversión pública genera una infraestructura cara y de mala calidad, con beneficios limitados para las personas y la economía. Tiende a involucrar proyectos que son grandes, a largo plazo y complejos, todo terreno fértil para la corrupción, las demoras y los sobrecostos. Una sólida gobernanza de la infraestructura es clav</w:t>
      </w:r>
      <w:r w:rsidR="00CB325E">
        <w:rPr>
          <w:rFonts w:ascii="Times New Roman" w:hAnsi="Times New Roman" w:cs="Times New Roman"/>
          <w:color w:val="FF0000"/>
          <w:sz w:val="24"/>
          <w:szCs w:val="24"/>
          <w:u w:val="single"/>
        </w:rPr>
        <w:t>e para reducir este desperdicio”</w:t>
      </w:r>
      <w:r w:rsidRPr="009D62F6">
        <w:rPr>
          <w:rFonts w:ascii="Times New Roman" w:hAnsi="Times New Roman" w:cs="Times New Roman"/>
          <w:color w:val="FF0000"/>
          <w:sz w:val="24"/>
          <w:szCs w:val="24"/>
          <w:u w:val="single"/>
        </w:rPr>
        <w:t xml:space="preserve">. </w:t>
      </w:r>
    </w:p>
    <w:p w:rsidR="006B21D6" w:rsidRPr="009D62F6" w:rsidRDefault="006B21D6" w:rsidP="00FA4DA9">
      <w:pPr>
        <w:spacing w:line="240" w:lineRule="auto"/>
        <w:jc w:val="both"/>
        <w:rPr>
          <w:rFonts w:ascii="Times New Roman" w:hAnsi="Times New Roman" w:cs="Times New Roman"/>
          <w:b/>
          <w:color w:val="FF0000"/>
          <w:sz w:val="24"/>
          <w:szCs w:val="24"/>
          <w:u w:val="single"/>
        </w:rPr>
      </w:pPr>
      <w:r w:rsidRPr="009D62F6">
        <w:rPr>
          <w:rFonts w:ascii="Times New Roman" w:hAnsi="Times New Roman" w:cs="Times New Roman"/>
          <w:b/>
          <w:color w:val="FF0000"/>
          <w:sz w:val="24"/>
          <w:szCs w:val="24"/>
          <w:u w:val="single"/>
        </w:rPr>
        <w:t xml:space="preserve">En concreto, su estudio pone de relieve que los países desperdician de media un 33% de su gasto en infraestructuras por culpa de las ineficiencias, un porcentaje que en el caso de los países desarrollados baja hasta el 15%. </w:t>
      </w:r>
    </w:p>
    <w:p w:rsidR="006B21D6" w:rsidRPr="009D62F6" w:rsidRDefault="006B21D6" w:rsidP="00FA4DA9">
      <w:pPr>
        <w:spacing w:line="240" w:lineRule="auto"/>
        <w:jc w:val="both"/>
        <w:rPr>
          <w:rFonts w:ascii="Times New Roman" w:hAnsi="Times New Roman" w:cs="Times New Roman"/>
          <w:color w:val="FF0000"/>
          <w:sz w:val="24"/>
          <w:szCs w:val="24"/>
          <w:u w:val="single"/>
        </w:rPr>
      </w:pPr>
      <w:r w:rsidRPr="009D62F6">
        <w:rPr>
          <w:rFonts w:ascii="Times New Roman" w:hAnsi="Times New Roman" w:cs="Times New Roman"/>
          <w:color w:val="FF0000"/>
          <w:sz w:val="24"/>
          <w:szCs w:val="24"/>
          <w:u w:val="single"/>
        </w:rPr>
        <w:t>En su análisis sobre España, el FMI denunc</w:t>
      </w:r>
      <w:r w:rsidR="00CB325E">
        <w:rPr>
          <w:rFonts w:ascii="Times New Roman" w:hAnsi="Times New Roman" w:cs="Times New Roman"/>
          <w:color w:val="FF0000"/>
          <w:sz w:val="24"/>
          <w:szCs w:val="24"/>
          <w:u w:val="single"/>
        </w:rPr>
        <w:t>ia que en el periodo 1995-2016 “</w:t>
      </w:r>
      <w:r w:rsidRPr="009D62F6">
        <w:rPr>
          <w:rFonts w:ascii="Times New Roman" w:hAnsi="Times New Roman" w:cs="Times New Roman"/>
          <w:color w:val="FF0000"/>
          <w:sz w:val="24"/>
          <w:szCs w:val="24"/>
          <w:u w:val="single"/>
        </w:rPr>
        <w:t>la falta de transparencia en las licitaciones pública</w:t>
      </w:r>
      <w:r w:rsidR="00CB325E">
        <w:rPr>
          <w:rFonts w:ascii="Times New Roman" w:hAnsi="Times New Roman" w:cs="Times New Roman"/>
          <w:color w:val="FF0000"/>
          <w:sz w:val="24"/>
          <w:szCs w:val="24"/>
          <w:u w:val="single"/>
        </w:rPr>
        <w:t>s condujo a prácticas corruptas”</w:t>
      </w:r>
      <w:r w:rsidRPr="009D62F6">
        <w:rPr>
          <w:rFonts w:ascii="Times New Roman" w:hAnsi="Times New Roman" w:cs="Times New Roman"/>
          <w:color w:val="FF0000"/>
          <w:sz w:val="24"/>
          <w:szCs w:val="24"/>
          <w:u w:val="single"/>
        </w:rPr>
        <w:t xml:space="preserve"> y pone como ejemplo de mala práctica la construcción </w:t>
      </w:r>
      <w:r w:rsidR="00CB325E">
        <w:rPr>
          <w:rFonts w:ascii="Times New Roman" w:hAnsi="Times New Roman" w:cs="Times New Roman"/>
          <w:color w:val="FF0000"/>
          <w:sz w:val="24"/>
          <w:szCs w:val="24"/>
          <w:u w:val="single"/>
        </w:rPr>
        <w:t>del aeropuerto de Ciudad Real, “</w:t>
      </w:r>
      <w:r w:rsidRPr="009D62F6">
        <w:rPr>
          <w:rFonts w:ascii="Times New Roman" w:hAnsi="Times New Roman" w:cs="Times New Roman"/>
          <w:color w:val="FF0000"/>
          <w:sz w:val="24"/>
          <w:szCs w:val="24"/>
          <w:u w:val="single"/>
        </w:rPr>
        <w:t xml:space="preserve">que no pudo garantizar un mínimo de demanda y tuvo que cerrarse unos </w:t>
      </w:r>
      <w:r w:rsidR="00CB325E">
        <w:rPr>
          <w:rFonts w:ascii="Times New Roman" w:hAnsi="Times New Roman" w:cs="Times New Roman"/>
          <w:color w:val="FF0000"/>
          <w:sz w:val="24"/>
          <w:szCs w:val="24"/>
          <w:u w:val="single"/>
        </w:rPr>
        <w:t>años después de su construcción”</w:t>
      </w:r>
      <w:r w:rsidRPr="009D62F6">
        <w:rPr>
          <w:rFonts w:ascii="Times New Roman" w:hAnsi="Times New Roman" w:cs="Times New Roman"/>
          <w:color w:val="FF0000"/>
          <w:sz w:val="24"/>
          <w:szCs w:val="24"/>
          <w:u w:val="single"/>
        </w:rPr>
        <w:t xml:space="preserve">, o la quiebra de las autopistas y el rescate del Estado. </w:t>
      </w:r>
    </w:p>
    <w:p w:rsidR="006B21D6" w:rsidRPr="00BA743D" w:rsidRDefault="006B21D6" w:rsidP="00FA4DA9">
      <w:pPr>
        <w:spacing w:line="240" w:lineRule="auto"/>
        <w:jc w:val="both"/>
        <w:rPr>
          <w:rFonts w:ascii="Times New Roman" w:hAnsi="Times New Roman" w:cs="Times New Roman"/>
          <w:sz w:val="24"/>
          <w:szCs w:val="24"/>
        </w:rPr>
      </w:pPr>
      <w:r w:rsidRPr="00BA743D">
        <w:rPr>
          <w:rFonts w:ascii="Times New Roman" w:hAnsi="Times New Roman" w:cs="Times New Roman"/>
          <w:sz w:val="24"/>
          <w:szCs w:val="24"/>
        </w:rPr>
        <w:t>La importancia de gastar mejor</w:t>
      </w:r>
    </w:p>
    <w:p w:rsidR="006B21D6" w:rsidRPr="009D62F6" w:rsidRDefault="00CB325E" w:rsidP="00FA4DA9">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6B21D6" w:rsidRPr="009D62F6">
        <w:rPr>
          <w:rFonts w:ascii="Times New Roman" w:hAnsi="Times New Roman" w:cs="Times New Roman"/>
          <w:color w:val="FF0000"/>
          <w:sz w:val="24"/>
          <w:szCs w:val="24"/>
          <w:u w:val="single"/>
        </w:rPr>
        <w:t>Liberar este potencial debería desempeñar un papel importante a medida que los países se recuperan de la pandemia. La buena noticia es que las pérdidas de eficiencia y el despilfarro en infraestructura no son inevitables. Nuestras estimaciones muestran que más de la mitad de estas pérdidas podrían compensarse mediante una mejor gobernanza de la infraestructu</w:t>
      </w:r>
      <w:r>
        <w:rPr>
          <w:rFonts w:ascii="Times New Roman" w:hAnsi="Times New Roman" w:cs="Times New Roman"/>
          <w:color w:val="FF0000"/>
          <w:sz w:val="24"/>
          <w:szCs w:val="24"/>
          <w:u w:val="single"/>
        </w:rPr>
        <w:t>ra”</w:t>
      </w:r>
      <w:r w:rsidR="006B21D6" w:rsidRPr="009D62F6">
        <w:rPr>
          <w:rFonts w:ascii="Times New Roman" w:hAnsi="Times New Roman" w:cs="Times New Roman"/>
          <w:color w:val="FF0000"/>
          <w:sz w:val="24"/>
          <w:szCs w:val="24"/>
          <w:u w:val="single"/>
        </w:rPr>
        <w:t xml:space="preserve">, apuntan. </w:t>
      </w:r>
    </w:p>
    <w:p w:rsidR="006B21D6" w:rsidRPr="009D62F6" w:rsidRDefault="006B21D6" w:rsidP="00FA4DA9">
      <w:pPr>
        <w:spacing w:line="240" w:lineRule="auto"/>
        <w:jc w:val="both"/>
        <w:rPr>
          <w:rFonts w:ascii="Times New Roman" w:hAnsi="Times New Roman" w:cs="Times New Roman"/>
          <w:sz w:val="24"/>
          <w:szCs w:val="24"/>
          <w:u w:val="single"/>
        </w:rPr>
      </w:pPr>
      <w:r w:rsidRPr="009D62F6">
        <w:rPr>
          <w:rFonts w:ascii="Times New Roman" w:hAnsi="Times New Roman" w:cs="Times New Roman"/>
          <w:sz w:val="24"/>
          <w:szCs w:val="24"/>
          <w:u w:val="single"/>
        </w:rPr>
        <w:t>Esta institución considera que la recuperación económica necesaria tras la crisis provocada por la covid-19 es una oportunidad para q</w:t>
      </w:r>
      <w:r w:rsidR="00CB325E">
        <w:rPr>
          <w:rFonts w:ascii="Times New Roman" w:hAnsi="Times New Roman" w:cs="Times New Roman"/>
          <w:sz w:val="24"/>
          <w:szCs w:val="24"/>
          <w:u w:val="single"/>
        </w:rPr>
        <w:t>ue los países inviertan en una “</w:t>
      </w:r>
      <w:r w:rsidRPr="009D62F6">
        <w:rPr>
          <w:rFonts w:ascii="Times New Roman" w:hAnsi="Times New Roman" w:cs="Times New Roman"/>
          <w:sz w:val="24"/>
          <w:szCs w:val="24"/>
          <w:u w:val="single"/>
        </w:rPr>
        <w:t>infraestructura públi</w:t>
      </w:r>
      <w:r w:rsidR="00CB325E">
        <w:rPr>
          <w:rFonts w:ascii="Times New Roman" w:hAnsi="Times New Roman" w:cs="Times New Roman"/>
          <w:sz w:val="24"/>
          <w:szCs w:val="24"/>
          <w:u w:val="single"/>
        </w:rPr>
        <w:t>ca bien diseñada e implementada”</w:t>
      </w:r>
      <w:r w:rsidRPr="009D62F6">
        <w:rPr>
          <w:rFonts w:ascii="Times New Roman" w:hAnsi="Times New Roman" w:cs="Times New Roman"/>
          <w:sz w:val="24"/>
          <w:szCs w:val="24"/>
          <w:u w:val="single"/>
        </w:rPr>
        <w:t xml:space="preserve">. </w:t>
      </w:r>
    </w:p>
    <w:p w:rsidR="006B21D6" w:rsidRPr="00BA743D" w:rsidRDefault="00CB325E"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6B21D6" w:rsidRPr="00BA743D">
        <w:rPr>
          <w:rFonts w:ascii="Times New Roman" w:hAnsi="Times New Roman" w:cs="Times New Roman"/>
          <w:sz w:val="24"/>
          <w:szCs w:val="24"/>
        </w:rPr>
        <w:t>La inversión en sistemas de salud, infraestructura digital y sostenible con el medio ambiente puede mejorar la vida de las personas, conectar los mercados y mejorar la resiliencia de los países al cambio climático y l</w:t>
      </w:r>
      <w:r>
        <w:rPr>
          <w:rFonts w:ascii="Times New Roman" w:hAnsi="Times New Roman" w:cs="Times New Roman"/>
          <w:sz w:val="24"/>
          <w:szCs w:val="24"/>
        </w:rPr>
        <w:t>as pandemias futuras”</w:t>
      </w:r>
      <w:r w:rsidR="006B21D6">
        <w:rPr>
          <w:rFonts w:ascii="Times New Roman" w:hAnsi="Times New Roman" w:cs="Times New Roman"/>
          <w:sz w:val="24"/>
          <w:szCs w:val="24"/>
        </w:rPr>
        <w:t>, señalan.</w:t>
      </w:r>
    </w:p>
    <w:p w:rsidR="006B21D6" w:rsidRPr="00BA743D" w:rsidRDefault="006B21D6" w:rsidP="00FA4DA9">
      <w:pPr>
        <w:spacing w:line="240" w:lineRule="auto"/>
        <w:jc w:val="both"/>
        <w:rPr>
          <w:rFonts w:ascii="Times New Roman" w:hAnsi="Times New Roman" w:cs="Times New Roman"/>
          <w:sz w:val="24"/>
          <w:szCs w:val="24"/>
        </w:rPr>
      </w:pPr>
      <w:r w:rsidRPr="00BA743D">
        <w:rPr>
          <w:rFonts w:ascii="Times New Roman" w:hAnsi="Times New Roman" w:cs="Times New Roman"/>
          <w:sz w:val="24"/>
          <w:szCs w:val="24"/>
        </w:rPr>
        <w:t xml:space="preserve">Además, creen que los países también deberán aumentar la inversión pública para alcanzar los Objetivos de Desarrollo Sostenible (ODS) y las economías avanzadas deben abordar el envejecimiento de sus infraestructuras, como carreteras, puentes </w:t>
      </w:r>
      <w:r>
        <w:rPr>
          <w:rFonts w:ascii="Times New Roman" w:hAnsi="Times New Roman" w:cs="Times New Roman"/>
          <w:sz w:val="24"/>
          <w:szCs w:val="24"/>
        </w:rPr>
        <w:t xml:space="preserve">y sistemas de atención médica. </w:t>
      </w:r>
    </w:p>
    <w:p w:rsidR="006B21D6" w:rsidRPr="009D62F6" w:rsidRDefault="006B21D6" w:rsidP="00FA4DA9">
      <w:pPr>
        <w:spacing w:line="240" w:lineRule="auto"/>
        <w:jc w:val="both"/>
        <w:rPr>
          <w:rFonts w:ascii="Times New Roman" w:hAnsi="Times New Roman" w:cs="Times New Roman"/>
          <w:sz w:val="24"/>
          <w:szCs w:val="24"/>
          <w:u w:val="single"/>
        </w:rPr>
      </w:pPr>
      <w:r w:rsidRPr="009D62F6">
        <w:rPr>
          <w:rFonts w:ascii="Times New Roman" w:hAnsi="Times New Roman" w:cs="Times New Roman"/>
          <w:sz w:val="24"/>
          <w:szCs w:val="24"/>
          <w:u w:val="single"/>
        </w:rPr>
        <w:lastRenderedPageBreak/>
        <w:t>Advierten, aun así, de que los países deben gastar mejor para sacar el máximo provech</w:t>
      </w:r>
      <w:r w:rsidR="00CB325E">
        <w:rPr>
          <w:rFonts w:ascii="Times New Roman" w:hAnsi="Times New Roman" w:cs="Times New Roman"/>
          <w:sz w:val="24"/>
          <w:szCs w:val="24"/>
          <w:u w:val="single"/>
        </w:rPr>
        <w:t>o de sus inversiones, algo que “</w:t>
      </w:r>
      <w:r w:rsidRPr="009D62F6">
        <w:rPr>
          <w:rFonts w:ascii="Times New Roman" w:hAnsi="Times New Roman" w:cs="Times New Roman"/>
          <w:sz w:val="24"/>
          <w:szCs w:val="24"/>
          <w:u w:val="single"/>
        </w:rPr>
        <w:t>será más importante que nunca para reconstruir las economí</w:t>
      </w:r>
      <w:r w:rsidR="00CB325E">
        <w:rPr>
          <w:rFonts w:ascii="Times New Roman" w:hAnsi="Times New Roman" w:cs="Times New Roman"/>
          <w:sz w:val="24"/>
          <w:szCs w:val="24"/>
          <w:u w:val="single"/>
        </w:rPr>
        <w:t>as tras la pandemia de covid-19”</w:t>
      </w:r>
      <w:r w:rsidRPr="009D62F6">
        <w:rPr>
          <w:rFonts w:ascii="Times New Roman" w:hAnsi="Times New Roman" w:cs="Times New Roman"/>
          <w:sz w:val="24"/>
          <w:szCs w:val="24"/>
          <w:u w:val="single"/>
        </w:rPr>
        <w:t>, aseguran.</w:t>
      </w:r>
    </w:p>
    <w:p w:rsidR="006B21D6" w:rsidRPr="00C07D4E" w:rsidRDefault="006B21D6"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07D4E">
        <w:rPr>
          <w:rFonts w:ascii="Times New Roman" w:hAnsi="Times New Roman" w:cs="Times New Roman"/>
          <w:sz w:val="24"/>
          <w:szCs w:val="24"/>
          <w:u w:val="single"/>
        </w:rPr>
        <w:t>España sufrirá la peor recesión y la recuperación más lenta del mundo</w:t>
      </w:r>
      <w:r>
        <w:rPr>
          <w:rFonts w:ascii="Times New Roman" w:hAnsi="Times New Roman" w:cs="Times New Roman"/>
          <w:sz w:val="24"/>
          <w:szCs w:val="24"/>
        </w:rPr>
        <w:t xml:space="preserve"> (Libertad Digital - </w:t>
      </w:r>
      <w:r w:rsidRPr="00C07D4E">
        <w:rPr>
          <w:rFonts w:ascii="Times New Roman" w:hAnsi="Times New Roman" w:cs="Times New Roman"/>
          <w:b/>
          <w:sz w:val="24"/>
          <w:szCs w:val="24"/>
        </w:rPr>
        <w:t>17/9/20</w:t>
      </w:r>
      <w:r>
        <w:rPr>
          <w:rFonts w:ascii="Times New Roman" w:hAnsi="Times New Roman" w:cs="Times New Roman"/>
          <w:sz w:val="24"/>
          <w:szCs w:val="24"/>
        </w:rPr>
        <w:t>)</w:t>
      </w:r>
    </w:p>
    <w:p w:rsidR="006B21D6" w:rsidRPr="00C07D4E" w:rsidRDefault="006B21D6" w:rsidP="00FA4DA9">
      <w:pPr>
        <w:spacing w:line="240" w:lineRule="auto"/>
        <w:jc w:val="both"/>
        <w:rPr>
          <w:rFonts w:ascii="Times New Roman" w:hAnsi="Times New Roman" w:cs="Times New Roman"/>
          <w:sz w:val="24"/>
          <w:szCs w:val="24"/>
        </w:rPr>
      </w:pPr>
      <w:r w:rsidRPr="00C07D4E">
        <w:rPr>
          <w:rFonts w:ascii="Times New Roman" w:hAnsi="Times New Roman" w:cs="Times New Roman"/>
          <w:sz w:val="24"/>
          <w:szCs w:val="24"/>
        </w:rPr>
        <w:t>(Por M. Llamas)</w:t>
      </w:r>
    </w:p>
    <w:p w:rsidR="00CB325E" w:rsidRPr="00210C27" w:rsidRDefault="006B21D6" w:rsidP="00FA4DA9">
      <w:pPr>
        <w:pStyle w:val="NormalWeb"/>
        <w:shd w:val="clear" w:color="auto" w:fill="FFFFFF"/>
        <w:spacing w:before="0" w:beforeAutospacing="0" w:after="360" w:afterAutospacing="0"/>
        <w:jc w:val="both"/>
        <w:textAlignment w:val="baseline"/>
        <w:rPr>
          <w:color w:val="333333"/>
        </w:rPr>
      </w:pPr>
      <w:r w:rsidRPr="00C07D4E">
        <w:rPr>
          <w:color w:val="333333"/>
        </w:rPr>
        <w:t>Semana negra para la economía española. Se confirman l</w:t>
      </w:r>
      <w:r w:rsidR="00CB325E">
        <w:rPr>
          <w:color w:val="333333"/>
        </w:rPr>
        <w:t>os peores augurios. Ni “V” ni “</w:t>
      </w:r>
      <w:r w:rsidRPr="00C07D4E">
        <w:rPr>
          <w:color w:val="333333"/>
        </w:rPr>
        <w:t>V asimétrica</w:t>
      </w:r>
      <w:r w:rsidR="00CB325E">
        <w:rPr>
          <w:color w:val="333333"/>
        </w:rPr>
        <w:t>”</w:t>
      </w:r>
      <w:r w:rsidRPr="00C07D4E">
        <w:rPr>
          <w:color w:val="333333"/>
        </w:rPr>
        <w:t>. La crisis que atraviesa España, la más profunda desde la Guerr</w:t>
      </w:r>
      <w:r w:rsidR="00CB325E">
        <w:rPr>
          <w:color w:val="333333"/>
        </w:rPr>
        <w:t>a Civil, adoptará una forma de “L”</w:t>
      </w:r>
      <w:r w:rsidRPr="00C07D4E">
        <w:rPr>
          <w:color w:val="333333"/>
        </w:rPr>
        <w:t xml:space="preserve">, cuya intensidad y longitud podría incluso empeorar en caso de </w:t>
      </w:r>
      <w:r w:rsidR="00210C27">
        <w:rPr>
          <w:color w:val="333333"/>
        </w:rPr>
        <w:t xml:space="preserve">que no se controle la pandemia. </w:t>
      </w:r>
      <w:r w:rsidRPr="000955F1">
        <w:rPr>
          <w:color w:val="FF0000"/>
          <w:u w:val="single"/>
        </w:rPr>
        <w:t>España registró en el segundo trimestre la </w:t>
      </w:r>
      <w:r w:rsidRPr="000955F1">
        <w:rPr>
          <w:rStyle w:val="Textoennegrita"/>
          <w:color w:val="FF0000"/>
          <w:u w:val="single"/>
          <w:bdr w:val="none" w:sz="0" w:space="0" w:color="auto" w:frame="1"/>
        </w:rPr>
        <w:t>mayor caída del PIB</w:t>
      </w:r>
      <w:r w:rsidRPr="000955F1">
        <w:rPr>
          <w:color w:val="FF0000"/>
          <w:u w:val="single"/>
        </w:rPr>
        <w:t> de la treintena de países ricos que componen la OCDE, con más de un </w:t>
      </w:r>
      <w:r w:rsidRPr="000955F1">
        <w:rPr>
          <w:rStyle w:val="Textoennegrita"/>
          <w:color w:val="FF0000"/>
          <w:u w:val="single"/>
          <w:bdr w:val="none" w:sz="0" w:space="0" w:color="auto" w:frame="1"/>
        </w:rPr>
        <w:t>22% interanual</w:t>
      </w:r>
      <w:r w:rsidRPr="000955F1">
        <w:rPr>
          <w:color w:val="FF0000"/>
          <w:u w:val="single"/>
        </w:rPr>
        <w:t>, tan sólo superado por India.</w:t>
      </w:r>
    </w:p>
    <w:p w:rsidR="006B21D6" w:rsidRPr="00C07D4E" w:rsidRDefault="006B21D6" w:rsidP="00FA4DA9">
      <w:pPr>
        <w:spacing w:line="240" w:lineRule="auto"/>
        <w:jc w:val="both"/>
        <w:rPr>
          <w:rFonts w:ascii="Times New Roman" w:hAnsi="Times New Roman" w:cs="Times New Roman"/>
          <w:sz w:val="24"/>
          <w:szCs w:val="24"/>
        </w:rPr>
      </w:pPr>
      <w:r w:rsidRPr="00C07D4E">
        <w:rPr>
          <w:rFonts w:ascii="Times New Roman" w:hAnsi="Times New Roman" w:cs="Times New Roman"/>
          <w:noProof/>
          <w:color w:val="E97D3B"/>
          <w:sz w:val="24"/>
          <w:szCs w:val="24"/>
          <w:bdr w:val="none" w:sz="0" w:space="0" w:color="auto" w:frame="1"/>
          <w:lang w:eastAsia="es-ES"/>
        </w:rPr>
        <w:drawing>
          <wp:inline distT="0" distB="0" distL="0" distR="0" wp14:anchorId="60C1F598" wp14:editId="0BF7BD8F">
            <wp:extent cx="5645150" cy="2647950"/>
            <wp:effectExtent l="0" t="0" r="0" b="0"/>
            <wp:docPr id="145" name="Imagen 145" descr="recre1.png">
              <a:hlinkClick xmlns:a="http://schemas.openxmlformats.org/drawingml/2006/main" r:id="rId135"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cre1.png">
                      <a:hlinkClick r:id="rId135" tooltip="&quot;&quot;"/>
                    </pic:cNvPr>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645150" cy="2647950"/>
                    </a:xfrm>
                    <a:prstGeom prst="rect">
                      <a:avLst/>
                    </a:prstGeom>
                    <a:noFill/>
                    <a:ln>
                      <a:noFill/>
                    </a:ln>
                  </pic:spPr>
                </pic:pic>
              </a:graphicData>
            </a:graphic>
          </wp:inline>
        </w:drawing>
      </w:r>
    </w:p>
    <w:p w:rsidR="006B21D6" w:rsidRDefault="006B21D6" w:rsidP="00FA4DA9">
      <w:pPr>
        <w:pStyle w:val="NormalWeb"/>
        <w:shd w:val="clear" w:color="auto" w:fill="FFFFFF"/>
        <w:spacing w:before="0" w:beforeAutospacing="0" w:after="0" w:afterAutospacing="0"/>
        <w:jc w:val="both"/>
        <w:textAlignment w:val="baseline"/>
        <w:rPr>
          <w:color w:val="FF0000"/>
          <w:u w:val="single"/>
        </w:rPr>
      </w:pPr>
      <w:r w:rsidRPr="000955F1">
        <w:rPr>
          <w:color w:val="FF0000"/>
          <w:u w:val="single"/>
        </w:rPr>
        <w:t>Además, según las previsiones que elaboró la OCDE el pasado mes de junio, España sufriría la peor recesión del mundo desarrollado en 2020, con una </w:t>
      </w:r>
      <w:r w:rsidRPr="000955F1">
        <w:rPr>
          <w:rStyle w:val="Textoennegrita"/>
          <w:color w:val="FF0000"/>
          <w:u w:val="single"/>
          <w:bdr w:val="none" w:sz="0" w:space="0" w:color="auto" w:frame="1"/>
        </w:rPr>
        <w:t>contracción de entre el 11% y el 14% en el peor escenario</w:t>
      </w:r>
      <w:r w:rsidRPr="000955F1">
        <w:rPr>
          <w:color w:val="FF0000"/>
          <w:u w:val="single"/>
        </w:rPr>
        <w:t>, que incluía el impacto de una segunda ola.</w:t>
      </w:r>
    </w:p>
    <w:p w:rsidR="00210C27" w:rsidRPr="000955F1" w:rsidRDefault="00210C27" w:rsidP="00FA4DA9">
      <w:pPr>
        <w:pStyle w:val="NormalWeb"/>
        <w:shd w:val="clear" w:color="auto" w:fill="FFFFFF"/>
        <w:spacing w:before="0" w:beforeAutospacing="0" w:after="0" w:afterAutospacing="0"/>
        <w:jc w:val="both"/>
        <w:textAlignment w:val="baseline"/>
        <w:rPr>
          <w:color w:val="FF0000"/>
          <w:u w:val="single"/>
        </w:rPr>
      </w:pPr>
    </w:p>
    <w:p w:rsidR="006B21D6" w:rsidRPr="00C07D4E" w:rsidRDefault="006B21D6" w:rsidP="00FA4DA9">
      <w:pPr>
        <w:spacing w:line="240" w:lineRule="auto"/>
        <w:jc w:val="both"/>
        <w:rPr>
          <w:rFonts w:ascii="Times New Roman" w:hAnsi="Times New Roman" w:cs="Times New Roman"/>
          <w:sz w:val="24"/>
          <w:szCs w:val="24"/>
        </w:rPr>
      </w:pPr>
      <w:r w:rsidRPr="00C07D4E">
        <w:rPr>
          <w:rFonts w:ascii="Times New Roman" w:hAnsi="Times New Roman" w:cs="Times New Roman"/>
          <w:noProof/>
          <w:color w:val="E97D3B"/>
          <w:sz w:val="24"/>
          <w:szCs w:val="24"/>
          <w:bdr w:val="none" w:sz="0" w:space="0" w:color="auto" w:frame="1"/>
          <w:lang w:eastAsia="es-ES"/>
        </w:rPr>
        <w:drawing>
          <wp:inline distT="0" distB="0" distL="0" distR="0" wp14:anchorId="3A2FDBA9" wp14:editId="590AAB86">
            <wp:extent cx="5740400" cy="2628900"/>
            <wp:effectExtent l="0" t="0" r="0" b="0"/>
            <wp:docPr id="147" name="Imagen 147" descr="recre2.png">
              <a:hlinkClick xmlns:a="http://schemas.openxmlformats.org/drawingml/2006/main" r:id="rId137"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cre2.png">
                      <a:hlinkClick r:id="rId137" tooltip="&quot;&quot;"/>
                    </pic:cNvPr>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740400" cy="2628900"/>
                    </a:xfrm>
                    <a:prstGeom prst="rect">
                      <a:avLst/>
                    </a:prstGeom>
                    <a:noFill/>
                    <a:ln>
                      <a:noFill/>
                    </a:ln>
                  </pic:spPr>
                </pic:pic>
              </a:graphicData>
            </a:graphic>
          </wp:inline>
        </w:drawing>
      </w:r>
    </w:p>
    <w:p w:rsidR="006B21D6" w:rsidRPr="000955F1" w:rsidRDefault="006B21D6" w:rsidP="00FA4DA9">
      <w:pPr>
        <w:pStyle w:val="NormalWeb"/>
        <w:shd w:val="clear" w:color="auto" w:fill="FFFFFF"/>
        <w:spacing w:before="0" w:beforeAutospacing="0" w:after="360" w:afterAutospacing="0"/>
        <w:jc w:val="both"/>
        <w:textAlignment w:val="baseline"/>
        <w:rPr>
          <w:color w:val="FF0000"/>
          <w:u w:val="single"/>
        </w:rPr>
      </w:pPr>
      <w:r w:rsidRPr="00C07D4E">
        <w:rPr>
          <w:color w:val="333333"/>
        </w:rPr>
        <w:lastRenderedPageBreak/>
        <w:t xml:space="preserve">Desde entonces, sin embargo, la situación, lejos de mejorar, ha empeorado. </w:t>
      </w:r>
      <w:r w:rsidRPr="000955F1">
        <w:rPr>
          <w:color w:val="FF0000"/>
          <w:u w:val="single"/>
        </w:rPr>
        <w:t>Los últimos datos disponibles avanzan que España no sólo registrará la peor recesión de la OCDE en 2020, sino también la recuperación más lenta.</w:t>
      </w:r>
    </w:p>
    <w:p w:rsidR="006B21D6" w:rsidRDefault="006B21D6" w:rsidP="00FA4DA9">
      <w:pPr>
        <w:pStyle w:val="NormalWeb"/>
        <w:shd w:val="clear" w:color="auto" w:fill="FFFFFF"/>
        <w:spacing w:before="0" w:beforeAutospacing="0" w:after="0" w:afterAutospacing="0"/>
        <w:jc w:val="both"/>
        <w:textAlignment w:val="baseline"/>
      </w:pPr>
      <w:r w:rsidRPr="00CB325E">
        <w:t>Si en verano, la </w:t>
      </w:r>
      <w:hyperlink r:id="rId139" w:history="1">
        <w:r w:rsidRPr="00CB325E">
          <w:rPr>
            <w:rStyle w:val="Hipervnculo"/>
            <w:rFonts w:eastAsiaTheme="minorEastAsia"/>
            <w:color w:val="auto"/>
            <w:u w:val="none"/>
            <w:bdr w:val="none" w:sz="0" w:space="0" w:color="auto" w:frame="1"/>
          </w:rPr>
          <w:t>Fundación de las Cajas de Ahorros</w:t>
        </w:r>
      </w:hyperlink>
      <w:r w:rsidRPr="00CB325E">
        <w:t> (Funcas) estimaba una caída del PIB próxima al 10% durante el conjunto del año, ahora pronostica un </w:t>
      </w:r>
      <w:r w:rsidRPr="00CB325E">
        <w:rPr>
          <w:rStyle w:val="Textoennegrita"/>
          <w:b w:val="0"/>
          <w:bdr w:val="none" w:sz="0" w:space="0" w:color="auto" w:frame="1"/>
        </w:rPr>
        <w:t>desplome del 13%</w:t>
      </w:r>
      <w:r w:rsidRPr="00CB325E">
        <w:t> debido, principalmente, al efecto de los rebrotes sobre la llegada de turistas extranjeros y, en menor medida, a la contención de la demanda de hogares y empresas por la incertidumbre.</w:t>
      </w:r>
    </w:p>
    <w:p w:rsidR="00CB325E" w:rsidRPr="00CB325E" w:rsidRDefault="00CB325E" w:rsidP="00FA4DA9">
      <w:pPr>
        <w:pStyle w:val="NormalWeb"/>
        <w:shd w:val="clear" w:color="auto" w:fill="FFFFFF"/>
        <w:spacing w:before="0" w:beforeAutospacing="0" w:after="0" w:afterAutospacing="0"/>
        <w:jc w:val="both"/>
        <w:textAlignment w:val="baseline"/>
      </w:pPr>
    </w:p>
    <w:p w:rsidR="006B21D6" w:rsidRDefault="006B21D6" w:rsidP="00FA4DA9">
      <w:pPr>
        <w:pStyle w:val="NormalWeb"/>
        <w:shd w:val="clear" w:color="auto" w:fill="FFFFFF"/>
        <w:spacing w:before="0" w:beforeAutospacing="0" w:after="0" w:afterAutospacing="0"/>
        <w:jc w:val="both"/>
        <w:textAlignment w:val="baseline"/>
      </w:pPr>
      <w:r w:rsidRPr="00CB325E">
        <w:t>No es el único. El </w:t>
      </w:r>
      <w:hyperlink r:id="rId140" w:history="1">
        <w:r w:rsidRPr="00CB325E">
          <w:rPr>
            <w:rStyle w:val="Hipervnculo"/>
            <w:rFonts w:eastAsiaTheme="minorEastAsia"/>
            <w:color w:val="auto"/>
            <w:u w:val="none"/>
            <w:bdr w:val="none" w:sz="0" w:space="0" w:color="auto" w:frame="1"/>
          </w:rPr>
          <w:t>Banco de España</w:t>
        </w:r>
      </w:hyperlink>
      <w:r w:rsidRPr="00CB325E">
        <w:t xml:space="preserve"> también ha empeorado sus </w:t>
      </w:r>
      <w:r w:rsidR="00CB325E">
        <w:t>previsiones, tras descartar un “</w:t>
      </w:r>
      <w:r w:rsidRPr="00CB325E">
        <w:t>esc</w:t>
      </w:r>
      <w:r w:rsidR="00CB325E">
        <w:t>enario de recuperación temprana”</w:t>
      </w:r>
      <w:r w:rsidRPr="00CB325E">
        <w:t xml:space="preserve"> en el tercer y cuarto trimestre. Ahora, se decanta por una</w:t>
      </w:r>
      <w:r w:rsidRPr="00CB325E">
        <w:rPr>
          <w:rStyle w:val="Textoennegrita"/>
          <w:bdr w:val="none" w:sz="0" w:space="0" w:color="auto" w:frame="1"/>
        </w:rPr>
        <w:t> </w:t>
      </w:r>
      <w:r w:rsidRPr="00CB325E">
        <w:rPr>
          <w:rStyle w:val="Textoennegrita"/>
          <w:b w:val="0"/>
          <w:bdr w:val="none" w:sz="0" w:space="0" w:color="auto" w:frame="1"/>
        </w:rPr>
        <w:t>caída de entre el 10,5% y el 12,6%</w:t>
      </w:r>
      <w:r w:rsidRPr="00CB325E">
        <w:t> en el conjunto del año, por encima incluso de los peores escenarios elaborados en junio (-11,6%).</w:t>
      </w:r>
    </w:p>
    <w:p w:rsidR="00CB325E" w:rsidRPr="00CB325E" w:rsidRDefault="00CB325E" w:rsidP="00FA4DA9">
      <w:pPr>
        <w:pStyle w:val="NormalWeb"/>
        <w:shd w:val="clear" w:color="auto" w:fill="FFFFFF"/>
        <w:spacing w:before="0" w:beforeAutospacing="0" w:after="0" w:afterAutospacing="0"/>
        <w:jc w:val="both"/>
        <w:textAlignment w:val="baseline"/>
      </w:pPr>
    </w:p>
    <w:p w:rsidR="006B21D6" w:rsidRPr="00C07D4E" w:rsidRDefault="006B21D6" w:rsidP="00FA4DA9">
      <w:pPr>
        <w:spacing w:line="240" w:lineRule="auto"/>
        <w:jc w:val="both"/>
        <w:rPr>
          <w:rFonts w:ascii="Times New Roman" w:hAnsi="Times New Roman" w:cs="Times New Roman"/>
          <w:sz w:val="24"/>
          <w:szCs w:val="24"/>
        </w:rPr>
      </w:pPr>
      <w:r w:rsidRPr="00C07D4E">
        <w:rPr>
          <w:rFonts w:ascii="Times New Roman" w:hAnsi="Times New Roman" w:cs="Times New Roman"/>
          <w:noProof/>
          <w:color w:val="E97D3B"/>
          <w:sz w:val="24"/>
          <w:szCs w:val="24"/>
          <w:bdr w:val="none" w:sz="0" w:space="0" w:color="auto" w:frame="1"/>
          <w:lang w:eastAsia="es-ES"/>
        </w:rPr>
        <w:drawing>
          <wp:inline distT="0" distB="0" distL="0" distR="0" wp14:anchorId="09631850" wp14:editId="39A8665E">
            <wp:extent cx="5772150" cy="2438400"/>
            <wp:effectExtent l="0" t="0" r="0" b="0"/>
            <wp:docPr id="149" name="Imagen 149" descr="recre3.png">
              <a:hlinkClick xmlns:a="http://schemas.openxmlformats.org/drawingml/2006/main" r:id="rId141"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cre3.png">
                      <a:hlinkClick r:id="rId141" tooltip="&quot;&quot;"/>
                    </pic:cNvPr>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772150" cy="2438400"/>
                    </a:xfrm>
                    <a:prstGeom prst="rect">
                      <a:avLst/>
                    </a:prstGeom>
                    <a:noFill/>
                    <a:ln>
                      <a:noFill/>
                    </a:ln>
                  </pic:spPr>
                </pic:pic>
              </a:graphicData>
            </a:graphic>
          </wp:inline>
        </w:drawing>
      </w:r>
    </w:p>
    <w:p w:rsidR="006B21D6" w:rsidRDefault="006B21D6" w:rsidP="00FA4DA9">
      <w:pPr>
        <w:pStyle w:val="NormalWeb"/>
        <w:shd w:val="clear" w:color="auto" w:fill="FFFFFF"/>
        <w:spacing w:before="0" w:beforeAutospacing="0" w:after="0" w:afterAutospacing="0"/>
        <w:jc w:val="both"/>
        <w:textAlignment w:val="baseline"/>
        <w:rPr>
          <w:color w:val="333333"/>
        </w:rPr>
      </w:pPr>
      <w:r w:rsidRPr="000955F1">
        <w:rPr>
          <w:color w:val="FF0000"/>
          <w:u w:val="single"/>
        </w:rPr>
        <w:t>Y, por si fuera poco, también reduce su pronóstico sobre el crecimiento de 2021 y 2022, </w:t>
      </w:r>
      <w:r w:rsidRPr="000955F1">
        <w:rPr>
          <w:rStyle w:val="Textoennegrita"/>
          <w:color w:val="FF0000"/>
          <w:u w:val="single"/>
          <w:bdr w:val="none" w:sz="0" w:space="0" w:color="auto" w:frame="1"/>
        </w:rPr>
        <w:t>retrasando así a 2023 la recuperación del nivel de PIB previo</w:t>
      </w:r>
      <w:r w:rsidRPr="000955F1">
        <w:rPr>
          <w:color w:val="FF0000"/>
          <w:u w:val="single"/>
        </w:rPr>
        <w:t> al estallido de la crisis del coronavirus</w:t>
      </w:r>
      <w:r w:rsidRPr="00C07D4E">
        <w:rPr>
          <w:color w:val="333333"/>
        </w:rPr>
        <w:t>. Bajo este escenario, el dibujo que arroja la recuperación de la economía españ</w:t>
      </w:r>
      <w:r w:rsidR="00CB325E">
        <w:rPr>
          <w:color w:val="333333"/>
        </w:rPr>
        <w:t>ola se asemeja mucho más a una “L” que a la pretendida “V”</w:t>
      </w:r>
      <w:r w:rsidRPr="00C07D4E">
        <w:rPr>
          <w:color w:val="333333"/>
        </w:rPr>
        <w:t xml:space="preserve"> que anunció el Gobierno inicialmente.</w:t>
      </w:r>
    </w:p>
    <w:p w:rsidR="00CB325E" w:rsidRPr="00C07D4E" w:rsidRDefault="00CB325E" w:rsidP="00FA4DA9">
      <w:pPr>
        <w:pStyle w:val="NormalWeb"/>
        <w:shd w:val="clear" w:color="auto" w:fill="FFFFFF"/>
        <w:spacing w:before="0" w:beforeAutospacing="0" w:after="0" w:afterAutospacing="0"/>
        <w:jc w:val="both"/>
        <w:textAlignment w:val="baseline"/>
        <w:rPr>
          <w:color w:val="333333"/>
        </w:rPr>
      </w:pPr>
    </w:p>
    <w:p w:rsidR="006B21D6" w:rsidRPr="00C07D4E" w:rsidRDefault="006B21D6" w:rsidP="00FA4DA9">
      <w:pPr>
        <w:spacing w:line="240" w:lineRule="auto"/>
        <w:jc w:val="both"/>
        <w:rPr>
          <w:rFonts w:ascii="Times New Roman" w:hAnsi="Times New Roman" w:cs="Times New Roman"/>
          <w:sz w:val="24"/>
          <w:szCs w:val="24"/>
        </w:rPr>
      </w:pPr>
      <w:r w:rsidRPr="00C07D4E">
        <w:rPr>
          <w:rFonts w:ascii="Times New Roman" w:hAnsi="Times New Roman" w:cs="Times New Roman"/>
          <w:noProof/>
          <w:color w:val="E97D3B"/>
          <w:sz w:val="24"/>
          <w:szCs w:val="24"/>
          <w:bdr w:val="none" w:sz="0" w:space="0" w:color="auto" w:frame="1"/>
          <w:lang w:eastAsia="es-ES"/>
        </w:rPr>
        <w:drawing>
          <wp:inline distT="0" distB="0" distL="0" distR="0" wp14:anchorId="0C6BEB8F" wp14:editId="23388466">
            <wp:extent cx="5772150" cy="2705100"/>
            <wp:effectExtent l="0" t="0" r="0" b="0"/>
            <wp:docPr id="150" name="Imagen 150" descr="recre4.png">
              <a:hlinkClick xmlns:a="http://schemas.openxmlformats.org/drawingml/2006/main" r:id="rId143"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cre4.png">
                      <a:hlinkClick r:id="rId143" tooltip="&quot;&quot;"/>
                    </pic:cNvPr>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772150" cy="2705100"/>
                    </a:xfrm>
                    <a:prstGeom prst="rect">
                      <a:avLst/>
                    </a:prstGeom>
                    <a:noFill/>
                    <a:ln>
                      <a:noFill/>
                    </a:ln>
                  </pic:spPr>
                </pic:pic>
              </a:graphicData>
            </a:graphic>
          </wp:inline>
        </w:drawing>
      </w:r>
    </w:p>
    <w:p w:rsidR="006B21D6" w:rsidRPr="00C07D4E" w:rsidRDefault="006B21D6" w:rsidP="00FA4DA9">
      <w:pPr>
        <w:pStyle w:val="Ttulo3"/>
        <w:shd w:val="clear" w:color="auto" w:fill="FFFFFF"/>
        <w:spacing w:before="0" w:after="242" w:line="240" w:lineRule="auto"/>
        <w:jc w:val="both"/>
        <w:textAlignment w:val="baseline"/>
        <w:rPr>
          <w:b w:val="0"/>
          <w:bCs w:val="0"/>
          <w:color w:val="333333"/>
          <w:sz w:val="24"/>
          <w:szCs w:val="24"/>
        </w:rPr>
      </w:pPr>
      <w:r w:rsidRPr="00C07D4E">
        <w:rPr>
          <w:b w:val="0"/>
          <w:bCs w:val="0"/>
          <w:color w:val="333333"/>
          <w:sz w:val="24"/>
          <w:szCs w:val="24"/>
        </w:rPr>
        <w:lastRenderedPageBreak/>
        <w:t>La recuperación más lenta</w:t>
      </w:r>
    </w:p>
    <w:p w:rsidR="006B21D6" w:rsidRDefault="006B21D6" w:rsidP="00FA4DA9">
      <w:pPr>
        <w:pStyle w:val="NormalWeb"/>
        <w:shd w:val="clear" w:color="auto" w:fill="FFFFFF"/>
        <w:spacing w:before="0" w:beforeAutospacing="0" w:after="0" w:afterAutospacing="0"/>
        <w:jc w:val="both"/>
        <w:textAlignment w:val="baseline"/>
        <w:rPr>
          <w:color w:val="333333"/>
        </w:rPr>
      </w:pPr>
      <w:r w:rsidRPr="00C07D4E">
        <w:rPr>
          <w:color w:val="333333"/>
        </w:rPr>
        <w:t>Y es aquí donde, una vez más, la evolución de España diverge del resto de grandes</w:t>
      </w:r>
      <w:r>
        <w:rPr>
          <w:color w:val="333333"/>
        </w:rPr>
        <w:t xml:space="preserve"> </w:t>
      </w:r>
      <w:r w:rsidRPr="00C07D4E">
        <w:rPr>
          <w:color w:val="333333"/>
        </w:rPr>
        <w:t xml:space="preserve">potencias. </w:t>
      </w:r>
      <w:r w:rsidRPr="00CB325E">
        <w:t>Los </w:t>
      </w:r>
      <w:hyperlink r:id="rId145" w:history="1">
        <w:r w:rsidRPr="00CB325E">
          <w:rPr>
            <w:rStyle w:val="Hipervnculo"/>
            <w:rFonts w:eastAsiaTheme="minorEastAsia"/>
            <w:color w:val="auto"/>
            <w:u w:val="none"/>
            <w:bdr w:val="none" w:sz="0" w:space="0" w:color="auto" w:frame="1"/>
          </w:rPr>
          <w:t>últimos datos de la OCDE</w:t>
        </w:r>
      </w:hyperlink>
      <w:r w:rsidRPr="00C07D4E">
        <w:rPr>
          <w:color w:val="333333"/>
        </w:rPr>
        <w:t>, publicados el pasado miércoles, confirman que España se ha descolgado de la recuperación global. Aunque la incertidumbre sigue siendo muy elevada y, de hecho, augura un crecimiento algo menor el próximo año, con un avance del PIB mundial del 5% frente al 5,2% previsto hace tres meses, el escenario central que calcula ahora este organismo consiste en una </w:t>
      </w:r>
      <w:r w:rsidRPr="00CB325E">
        <w:rPr>
          <w:rStyle w:val="Textoennegrita"/>
          <w:b w:val="0"/>
          <w:color w:val="333333"/>
          <w:bdr w:val="none" w:sz="0" w:space="0" w:color="auto" w:frame="1"/>
        </w:rPr>
        <w:t>recesión global del 4,5%</w:t>
      </w:r>
      <w:r w:rsidRPr="00C07D4E">
        <w:rPr>
          <w:color w:val="333333"/>
        </w:rPr>
        <w:t> (línea roja del gráfico), frente al 6% estimado en junio.</w:t>
      </w:r>
    </w:p>
    <w:p w:rsidR="00CB325E" w:rsidRPr="00C07D4E" w:rsidRDefault="00CB325E" w:rsidP="00FA4DA9">
      <w:pPr>
        <w:pStyle w:val="NormalWeb"/>
        <w:shd w:val="clear" w:color="auto" w:fill="FFFFFF"/>
        <w:spacing w:before="0" w:beforeAutospacing="0" w:after="0" w:afterAutospacing="0"/>
        <w:jc w:val="both"/>
        <w:textAlignment w:val="baseline"/>
        <w:rPr>
          <w:color w:val="333333"/>
        </w:rPr>
      </w:pPr>
    </w:p>
    <w:p w:rsidR="006B21D6" w:rsidRPr="00C07D4E" w:rsidRDefault="00CB325E"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6B21D6" w:rsidRPr="00C07D4E">
        <w:rPr>
          <w:rFonts w:ascii="Times New Roman" w:hAnsi="Times New Roman" w:cs="Times New Roman"/>
          <w:noProof/>
          <w:color w:val="E97D3B"/>
          <w:sz w:val="24"/>
          <w:szCs w:val="24"/>
          <w:bdr w:val="none" w:sz="0" w:space="0" w:color="auto" w:frame="1"/>
          <w:lang w:eastAsia="es-ES"/>
        </w:rPr>
        <w:drawing>
          <wp:inline distT="0" distB="0" distL="0" distR="0" wp14:anchorId="4A3C006A" wp14:editId="7AE8C7A8">
            <wp:extent cx="4495800" cy="2571750"/>
            <wp:effectExtent l="0" t="0" r="0" b="0"/>
            <wp:docPr id="151" name="Imagen 151" descr="recre5.png">
              <a:hlinkClick xmlns:a="http://schemas.openxmlformats.org/drawingml/2006/main" r:id="rId146"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cre5.png">
                      <a:hlinkClick r:id="rId146" tooltip="&quot;&quot;"/>
                    </pic:cNvPr>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495800" cy="2571750"/>
                    </a:xfrm>
                    <a:prstGeom prst="rect">
                      <a:avLst/>
                    </a:prstGeom>
                    <a:noFill/>
                    <a:ln>
                      <a:noFill/>
                    </a:ln>
                  </pic:spPr>
                </pic:pic>
              </a:graphicData>
            </a:graphic>
          </wp:inline>
        </w:drawing>
      </w:r>
    </w:p>
    <w:p w:rsidR="006B21D6" w:rsidRDefault="006B21D6" w:rsidP="00FA4DA9">
      <w:pPr>
        <w:pStyle w:val="NormalWeb"/>
        <w:shd w:val="clear" w:color="auto" w:fill="FFFFFF"/>
        <w:spacing w:before="0" w:beforeAutospacing="0" w:after="0" w:afterAutospacing="0"/>
        <w:jc w:val="both"/>
        <w:textAlignment w:val="baseline"/>
        <w:rPr>
          <w:color w:val="333333"/>
        </w:rPr>
      </w:pPr>
      <w:r w:rsidRPr="00C07D4E">
        <w:rPr>
          <w:color w:val="333333"/>
        </w:rPr>
        <w:t>Y ello debido a la </w:t>
      </w:r>
      <w:r w:rsidRPr="00CB325E">
        <w:rPr>
          <w:rStyle w:val="Textoennegrita"/>
          <w:b w:val="0"/>
          <w:color w:val="333333"/>
          <w:bdr w:val="none" w:sz="0" w:space="0" w:color="auto" w:frame="1"/>
        </w:rPr>
        <w:t>mejora económica que han registrado casi todos los países ricos</w:t>
      </w:r>
      <w:r w:rsidRPr="00C07D4E">
        <w:rPr>
          <w:color w:val="333333"/>
        </w:rPr>
        <w:t xml:space="preserve"> en los últimos meses, desde China y EEUU hasta </w:t>
      </w:r>
      <w:r w:rsidR="00CB325E">
        <w:rPr>
          <w:color w:val="333333"/>
        </w:rPr>
        <w:t>la zona euro o Reino Unido. El “casi”</w:t>
      </w:r>
      <w:r w:rsidRPr="00C07D4E">
        <w:rPr>
          <w:color w:val="333333"/>
        </w:rPr>
        <w:t>, en este caso, lo representa </w:t>
      </w:r>
      <w:hyperlink r:id="rId148" w:history="1">
        <w:r w:rsidRPr="00CB325E">
          <w:rPr>
            <w:rStyle w:val="Hipervnculo"/>
            <w:rFonts w:eastAsiaTheme="minorEastAsia"/>
            <w:color w:val="auto"/>
            <w:u w:val="none"/>
            <w:bdr w:val="none" w:sz="0" w:space="0" w:color="auto" w:frame="1"/>
          </w:rPr>
          <w:t>España, el único país rico cuya actividad volvió a caer en agosto</w:t>
        </w:r>
      </w:hyperlink>
      <w:r w:rsidRPr="00C07D4E">
        <w:rPr>
          <w:color w:val="333333"/>
        </w:rPr>
        <w:t>, según los indicadores que maneja la OCDE, junto con algunas economías emergentes, tales como Sudáfrica, México e India. Dentro del mundo desarrollado, por tanto, España no sólo registrará la peor recesión en 2020, sino la recuperación más lenta.</w:t>
      </w:r>
    </w:p>
    <w:p w:rsidR="00CB325E" w:rsidRPr="00C07D4E" w:rsidRDefault="00CB325E" w:rsidP="00FA4DA9">
      <w:pPr>
        <w:pStyle w:val="NormalWeb"/>
        <w:shd w:val="clear" w:color="auto" w:fill="FFFFFF"/>
        <w:spacing w:before="0" w:beforeAutospacing="0" w:after="0" w:afterAutospacing="0"/>
        <w:jc w:val="both"/>
        <w:textAlignment w:val="baseline"/>
        <w:rPr>
          <w:color w:val="333333"/>
        </w:rPr>
      </w:pPr>
    </w:p>
    <w:p w:rsidR="006B21D6" w:rsidRDefault="006B21D6" w:rsidP="00FA4DA9">
      <w:pPr>
        <w:spacing w:line="240" w:lineRule="auto"/>
        <w:rPr>
          <w:rFonts w:ascii="Times New Roman" w:hAnsi="Times New Roman" w:cs="Times New Roman"/>
          <w:sz w:val="24"/>
          <w:szCs w:val="24"/>
        </w:rPr>
      </w:pPr>
      <w:r>
        <w:rPr>
          <w:rFonts w:ascii="inherit" w:hAnsi="inherit"/>
          <w:noProof/>
          <w:color w:val="E97D3B"/>
          <w:sz w:val="17"/>
          <w:szCs w:val="17"/>
          <w:bdr w:val="none" w:sz="0" w:space="0" w:color="auto" w:frame="1"/>
          <w:lang w:eastAsia="es-ES"/>
        </w:rPr>
        <w:drawing>
          <wp:inline distT="0" distB="0" distL="0" distR="0" wp14:anchorId="4F40807A" wp14:editId="788D9951">
            <wp:extent cx="5664200" cy="3016250"/>
            <wp:effectExtent l="0" t="0" r="0" b="0"/>
            <wp:docPr id="152" name="Imagen 152" descr="recre6.png">
              <a:hlinkClick xmlns:a="http://schemas.openxmlformats.org/drawingml/2006/main" r:id="rId149"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cre6.png">
                      <a:hlinkClick r:id="rId149" tooltip="&quot;&quot;"/>
                    </pic:cNvPr>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664200" cy="3016250"/>
                    </a:xfrm>
                    <a:prstGeom prst="rect">
                      <a:avLst/>
                    </a:prstGeom>
                    <a:noFill/>
                    <a:ln>
                      <a:noFill/>
                    </a:ln>
                  </pic:spPr>
                </pic:pic>
              </a:graphicData>
            </a:graphic>
          </wp:inline>
        </w:drawing>
      </w:r>
    </w:p>
    <w:p w:rsidR="007C5D83" w:rsidRPr="001869D4" w:rsidRDefault="007C5D83"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1869D4">
        <w:rPr>
          <w:rFonts w:ascii="Times New Roman" w:hAnsi="Times New Roman" w:cs="Times New Roman"/>
          <w:sz w:val="24"/>
          <w:szCs w:val="24"/>
          <w:u w:val="single"/>
        </w:rPr>
        <w:t>Las horas de trabajo perdidas por la pandemia en el mundo equivalen a casi 500 millones de empleos</w:t>
      </w:r>
      <w:r>
        <w:rPr>
          <w:rFonts w:ascii="Times New Roman" w:hAnsi="Times New Roman" w:cs="Times New Roman"/>
          <w:sz w:val="24"/>
          <w:szCs w:val="24"/>
        </w:rPr>
        <w:t xml:space="preserve"> (Cinco Días - </w:t>
      </w:r>
      <w:r w:rsidRPr="001869D4">
        <w:rPr>
          <w:rFonts w:ascii="Times New Roman" w:hAnsi="Times New Roman" w:cs="Times New Roman"/>
          <w:b/>
          <w:sz w:val="24"/>
          <w:szCs w:val="24"/>
        </w:rPr>
        <w:t>23/9/20</w:t>
      </w:r>
      <w:r>
        <w:rPr>
          <w:rFonts w:ascii="Times New Roman" w:hAnsi="Times New Roman" w:cs="Times New Roman"/>
          <w:sz w:val="24"/>
          <w:szCs w:val="24"/>
        </w:rPr>
        <w:t>)</w:t>
      </w:r>
    </w:p>
    <w:p w:rsidR="007C5D83" w:rsidRDefault="007C5D83" w:rsidP="00FA4DA9">
      <w:pPr>
        <w:spacing w:line="240" w:lineRule="auto"/>
        <w:jc w:val="both"/>
        <w:rPr>
          <w:rFonts w:ascii="Times New Roman" w:hAnsi="Times New Roman" w:cs="Times New Roman"/>
          <w:sz w:val="24"/>
          <w:szCs w:val="24"/>
        </w:rPr>
      </w:pPr>
      <w:r>
        <w:rPr>
          <w:noProof/>
          <w:lang w:eastAsia="es-ES"/>
        </w:rPr>
        <w:drawing>
          <wp:inline distT="0" distB="0" distL="0" distR="0" wp14:anchorId="6B3F9FD3" wp14:editId="02E354F9">
            <wp:extent cx="5731510" cy="2861856"/>
            <wp:effectExtent l="0" t="0" r="2540" b="0"/>
            <wp:docPr id="153" name="Imagen 153" descr="Horas de traba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oras de trabajo"/>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731510" cy="2861856"/>
                    </a:xfrm>
                    <a:prstGeom prst="rect">
                      <a:avLst/>
                    </a:prstGeom>
                    <a:noFill/>
                    <a:ln>
                      <a:noFill/>
                    </a:ln>
                  </pic:spPr>
                </pic:pic>
              </a:graphicData>
            </a:graphic>
          </wp:inline>
        </w:drawing>
      </w:r>
    </w:p>
    <w:p w:rsidR="007C5D83" w:rsidRPr="00210C27" w:rsidRDefault="007C5D83" w:rsidP="00FA4DA9">
      <w:pPr>
        <w:spacing w:line="240" w:lineRule="auto"/>
        <w:jc w:val="both"/>
        <w:rPr>
          <w:rFonts w:ascii="Times New Roman" w:hAnsi="Times New Roman" w:cs="Times New Roman"/>
          <w:b/>
          <w:color w:val="FF0000"/>
          <w:sz w:val="24"/>
          <w:szCs w:val="24"/>
          <w:u w:val="single"/>
        </w:rPr>
      </w:pPr>
      <w:r w:rsidRPr="00210C27">
        <w:rPr>
          <w:rFonts w:ascii="Times New Roman" w:hAnsi="Times New Roman" w:cs="Times New Roman"/>
          <w:b/>
          <w:color w:val="FF0000"/>
          <w:sz w:val="24"/>
          <w:szCs w:val="24"/>
          <w:u w:val="single"/>
        </w:rPr>
        <w:t xml:space="preserve">El 94% de los habitantes del mundo reside en países en los que se ha establecido algún tipo de cierre de lugares de trabajo. Esto ha disparado el número de horas de trabajo perdidas en los mercados de trabajo mundiales un 17% en el segundo trimestre respecto a finales de 2019, lo que equivale a casi 500 millones de empleos a tiempo completo, según la última actualización del observatorio de la Organización Internacional del Trabajo (OIT) sobre el impacto laboral de la pandemia de Covid-1.9 </w:t>
      </w:r>
    </w:p>
    <w:p w:rsidR="007C5D83" w:rsidRPr="004276AA" w:rsidRDefault="007C5D83" w:rsidP="00FA4DA9">
      <w:pPr>
        <w:spacing w:line="240" w:lineRule="auto"/>
        <w:jc w:val="both"/>
        <w:rPr>
          <w:rFonts w:ascii="Times New Roman" w:hAnsi="Times New Roman" w:cs="Times New Roman"/>
          <w:sz w:val="24"/>
          <w:szCs w:val="24"/>
          <w:u w:val="single"/>
        </w:rPr>
      </w:pPr>
      <w:r w:rsidRPr="004276AA">
        <w:rPr>
          <w:rFonts w:ascii="Times New Roman" w:hAnsi="Times New Roman" w:cs="Times New Roman"/>
          <w:sz w:val="24"/>
          <w:szCs w:val="24"/>
          <w:u w:val="single"/>
        </w:rPr>
        <w:t>Esto supone una mayor pérdida de horas respecto a la previsión de caída del 14% (400 millones de empleos equivalentes a tiempo completo) estimado en la quinta edición del Observatorio de la OIT de junio pasado. Los países de ingreso mediano bajo son los más afectados, al registrarse en ellos una pérdida de horas de trabajo de alrededor del 23,3% (240 millones de empleos equivalentes a tiempo completo) en el segundo trimestre de este año.</w:t>
      </w:r>
    </w:p>
    <w:p w:rsidR="007C5D83" w:rsidRPr="004276AA" w:rsidRDefault="007C5D83" w:rsidP="00FA4DA9">
      <w:pPr>
        <w:spacing w:line="240" w:lineRule="auto"/>
        <w:jc w:val="both"/>
        <w:rPr>
          <w:rFonts w:ascii="Times New Roman" w:hAnsi="Times New Roman" w:cs="Times New Roman"/>
          <w:sz w:val="24"/>
          <w:szCs w:val="24"/>
          <w:u w:val="single"/>
        </w:rPr>
      </w:pPr>
      <w:r w:rsidRPr="004276AA">
        <w:rPr>
          <w:rFonts w:ascii="Times New Roman" w:hAnsi="Times New Roman" w:cs="Times New Roman"/>
          <w:sz w:val="24"/>
          <w:szCs w:val="24"/>
          <w:u w:val="single"/>
        </w:rPr>
        <w:t>Y las perspectivas para el tercer y cuarto trimestre no son mucho mejores, ya que la OIT prevé que la pérdida de horas de trabajo por el cierre de actividades causado por la pandemia sea del 12% (lo que equivaldría a 345 millones de empleos a tiempo completo menos) entre julio y septiembre; y del 8,6% (el 245 millones de empleos) en los últimos tres meses de 2020.</w:t>
      </w:r>
    </w:p>
    <w:p w:rsidR="007C5D83" w:rsidRPr="004276AA" w:rsidRDefault="007C5D83" w:rsidP="00FA4DA9">
      <w:pPr>
        <w:spacing w:line="240" w:lineRule="auto"/>
        <w:jc w:val="both"/>
        <w:rPr>
          <w:rFonts w:ascii="Times New Roman" w:hAnsi="Times New Roman" w:cs="Times New Roman"/>
          <w:color w:val="FF0000"/>
          <w:sz w:val="24"/>
          <w:szCs w:val="24"/>
          <w:u w:val="single"/>
        </w:rPr>
      </w:pPr>
      <w:r w:rsidRPr="004276AA">
        <w:rPr>
          <w:rFonts w:ascii="Times New Roman" w:hAnsi="Times New Roman" w:cs="Times New Roman"/>
          <w:color w:val="FF0000"/>
          <w:sz w:val="24"/>
          <w:szCs w:val="24"/>
          <w:u w:val="single"/>
        </w:rPr>
        <w:t>Este elevado número de horas de trabajo que se han dejado de realizar ha propiciado asimismo a una notable pérdida de ingresos provenientes del trabajo, advierten desde este organismo internacional. Concretamente, calculan que la pérdida de ingresos a escala mundial a lo largo de los tres primeros trimestres de 2020 (sin tener en cuenta la aplicación de medidas para sustentar esos ingresos) se eleva al 10,7%, con respecto al mismo periodo de 2019), lo que corresponde a casi tres billones de euros (3,5 billones de dólares estadounidenses) que, a su vez, equivale al 5,5% del PIB mundial para los tres primeros trimestres de 2019.</w:t>
      </w:r>
    </w:p>
    <w:p w:rsidR="007C5D83" w:rsidRDefault="007C5D83" w:rsidP="00FA4DA9">
      <w:pPr>
        <w:spacing w:line="240" w:lineRule="auto"/>
        <w:jc w:val="both"/>
        <w:rPr>
          <w:rFonts w:ascii="Times New Roman" w:hAnsi="Times New Roman" w:cs="Times New Roman"/>
          <w:sz w:val="24"/>
          <w:szCs w:val="24"/>
        </w:rPr>
      </w:pPr>
      <w:r w:rsidRPr="001869D4">
        <w:rPr>
          <w:rFonts w:ascii="Times New Roman" w:hAnsi="Times New Roman" w:cs="Times New Roman"/>
          <w:sz w:val="24"/>
          <w:szCs w:val="24"/>
        </w:rPr>
        <w:t xml:space="preserve">Si bien, desde la OIT admiten que esta situación se ha producido a pesar de que muchos países han aplicado un amplio conjunto de medidas fiscales a gran escala para hacer frente a la crisis, y en particular, sustentar los ingresos y las empresas. Así, según diversas </w:t>
      </w:r>
      <w:r w:rsidRPr="001869D4">
        <w:rPr>
          <w:rFonts w:ascii="Times New Roman" w:hAnsi="Times New Roman" w:cs="Times New Roman"/>
          <w:sz w:val="24"/>
          <w:szCs w:val="24"/>
        </w:rPr>
        <w:lastRenderedPageBreak/>
        <w:t>estimaciones, cada aumento de los incentivos fiscales del 1% del PIB anual, en promedio, ha permitido mitigar la pérdida de horas de trabajo en 0,8 puntos porcentuales en el segundo trimestre de 2020. Por ello, de no haberse aplicado ninguna medida de incentivo fiscal, dicha pérdida de horas de trabajo ha</w:t>
      </w:r>
      <w:r>
        <w:rPr>
          <w:rFonts w:ascii="Times New Roman" w:hAnsi="Times New Roman" w:cs="Times New Roman"/>
          <w:sz w:val="24"/>
          <w:szCs w:val="24"/>
        </w:rPr>
        <w:t>bría sido del 28%, en promedio.</w:t>
      </w:r>
    </w:p>
    <w:p w:rsidR="00CB325E" w:rsidRPr="001869D4" w:rsidRDefault="00CB325E" w:rsidP="00FA4DA9">
      <w:pPr>
        <w:spacing w:line="240" w:lineRule="auto"/>
        <w:jc w:val="both"/>
        <w:rPr>
          <w:rFonts w:ascii="Times New Roman" w:hAnsi="Times New Roman" w:cs="Times New Roman"/>
          <w:sz w:val="24"/>
          <w:szCs w:val="24"/>
        </w:rPr>
      </w:pPr>
      <w:r>
        <w:rPr>
          <w:noProof/>
          <w:lang w:eastAsia="es-ES"/>
        </w:rPr>
        <w:drawing>
          <wp:inline distT="0" distB="0" distL="0" distR="0" wp14:anchorId="663F768C" wp14:editId="2BB3CB81">
            <wp:extent cx="5727700" cy="3092450"/>
            <wp:effectExtent l="0" t="0" r="6350" b="0"/>
            <wp:docPr id="221" name="Imagen 221" descr="paro-juven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aro-juvenil.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731510" cy="3094507"/>
                    </a:xfrm>
                    <a:prstGeom prst="rect">
                      <a:avLst/>
                    </a:prstGeom>
                    <a:noFill/>
                    <a:ln>
                      <a:noFill/>
                    </a:ln>
                  </pic:spPr>
                </pic:pic>
              </a:graphicData>
            </a:graphic>
          </wp:inline>
        </w:drawing>
      </w:r>
    </w:p>
    <w:p w:rsidR="007C5D83" w:rsidRPr="001869D4" w:rsidRDefault="007C5D83" w:rsidP="00FA4DA9">
      <w:pPr>
        <w:spacing w:line="240" w:lineRule="auto"/>
        <w:jc w:val="both"/>
        <w:rPr>
          <w:rFonts w:ascii="Times New Roman" w:hAnsi="Times New Roman" w:cs="Times New Roman"/>
          <w:sz w:val="24"/>
          <w:szCs w:val="24"/>
        </w:rPr>
      </w:pPr>
      <w:r w:rsidRPr="001869D4">
        <w:rPr>
          <w:rFonts w:ascii="Times New Roman" w:hAnsi="Times New Roman" w:cs="Times New Roman"/>
          <w:sz w:val="24"/>
          <w:szCs w:val="24"/>
        </w:rPr>
        <w:t>Los expertos de esta organización alertan de que esta pérdida de horas de trabajo se traduce también en un aumento del desempleo pero, sobre todo, incrementa la inactividad (personas que ni tienen empleo ni lo buscan). Por ello alertan de que las políticas económicas deben abordar especialmente este aspecto de la crisis laboral mundial.</w:t>
      </w:r>
    </w:p>
    <w:p w:rsidR="007C5D83" w:rsidRPr="00CB325E" w:rsidRDefault="007C5D83" w:rsidP="00FA4DA9">
      <w:pPr>
        <w:spacing w:line="240" w:lineRule="auto"/>
        <w:jc w:val="both"/>
        <w:rPr>
          <w:rFonts w:ascii="Times New Roman" w:hAnsi="Times New Roman" w:cs="Times New Roman"/>
          <w:color w:val="FF0000"/>
          <w:sz w:val="24"/>
          <w:szCs w:val="24"/>
          <w:u w:val="single"/>
        </w:rPr>
      </w:pPr>
      <w:r w:rsidRPr="004276AA">
        <w:rPr>
          <w:rFonts w:ascii="Times New Roman" w:hAnsi="Times New Roman" w:cs="Times New Roman"/>
          <w:color w:val="FF0000"/>
          <w:sz w:val="24"/>
          <w:szCs w:val="24"/>
          <w:u w:val="single"/>
        </w:rPr>
        <w:t>El deterioro económico no está afectando de manera equiparable a toda la población: los jóvenes están siendo uno de los grupos demográficos más afectados a nivel económico y social por el impacto del coronavirus</w:t>
      </w:r>
      <w:r w:rsidR="00CB325E">
        <w:rPr>
          <w:rFonts w:ascii="Times New Roman" w:hAnsi="Times New Roman" w:cs="Times New Roman"/>
          <w:color w:val="FF0000"/>
          <w:sz w:val="24"/>
          <w:szCs w:val="24"/>
          <w:u w:val="single"/>
        </w:rPr>
        <w:t>.</w:t>
      </w:r>
    </w:p>
    <w:p w:rsidR="007C5D83" w:rsidRPr="00514793" w:rsidRDefault="007C5D83" w:rsidP="00FA4DA9">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00210C27">
        <w:rPr>
          <w:rFonts w:ascii="Times New Roman" w:hAnsi="Times New Roman" w:cs="Times New Roman"/>
          <w:sz w:val="24"/>
          <w:szCs w:val="24"/>
          <w:u w:val="single"/>
          <w:lang w:val="en-US"/>
        </w:rPr>
        <w:t>White House Draws Up New $1,</w:t>
      </w:r>
      <w:r w:rsidRPr="00514793">
        <w:rPr>
          <w:rFonts w:ascii="Times New Roman" w:hAnsi="Times New Roman" w:cs="Times New Roman"/>
          <w:sz w:val="24"/>
          <w:szCs w:val="24"/>
          <w:u w:val="single"/>
          <w:lang w:val="en-US"/>
        </w:rPr>
        <w:t>8 Trillion Virus-Relief Plan</w:t>
      </w:r>
      <w:r>
        <w:rPr>
          <w:rFonts w:ascii="Times New Roman" w:hAnsi="Times New Roman" w:cs="Times New Roman"/>
          <w:sz w:val="24"/>
          <w:szCs w:val="24"/>
          <w:lang w:val="en-US"/>
        </w:rPr>
        <w:t xml:space="preserve"> (WSJ - </w:t>
      </w:r>
      <w:r w:rsidRPr="00514793">
        <w:rPr>
          <w:rFonts w:ascii="Times New Roman" w:hAnsi="Times New Roman" w:cs="Times New Roman"/>
          <w:b/>
          <w:sz w:val="24"/>
          <w:szCs w:val="24"/>
          <w:lang w:val="en-US"/>
        </w:rPr>
        <w:t>9/10/20</w:t>
      </w:r>
      <w:r>
        <w:rPr>
          <w:rFonts w:ascii="Times New Roman" w:hAnsi="Times New Roman" w:cs="Times New Roman"/>
          <w:sz w:val="24"/>
          <w:szCs w:val="24"/>
          <w:lang w:val="en-US"/>
        </w:rPr>
        <w:t>)</w:t>
      </w:r>
    </w:p>
    <w:p w:rsidR="007C5D83" w:rsidRDefault="007C5D83" w:rsidP="00FA4DA9">
      <w:pPr>
        <w:spacing w:line="240" w:lineRule="auto"/>
        <w:jc w:val="both"/>
        <w:rPr>
          <w:rFonts w:ascii="Times New Roman" w:hAnsi="Times New Roman" w:cs="Times New Roman"/>
          <w:sz w:val="24"/>
          <w:szCs w:val="24"/>
          <w:lang w:val="en-US"/>
        </w:rPr>
      </w:pPr>
      <w:r w:rsidRPr="00514793">
        <w:rPr>
          <w:rFonts w:ascii="Times New Roman" w:hAnsi="Times New Roman" w:cs="Times New Roman"/>
          <w:sz w:val="24"/>
          <w:szCs w:val="24"/>
          <w:lang w:val="en-US"/>
        </w:rPr>
        <w:t>The Trump administration increased its offer to Democrats on a coronavirus-relief package, further closing the gap between the parties in a bid to pass new aid for households and businesses before the election</w:t>
      </w:r>
      <w:r>
        <w:rPr>
          <w:rFonts w:ascii="Times New Roman" w:hAnsi="Times New Roman" w:cs="Times New Roman"/>
          <w:sz w:val="24"/>
          <w:szCs w:val="24"/>
          <w:lang w:val="en-US"/>
        </w:rPr>
        <w:t>…</w:t>
      </w:r>
    </w:p>
    <w:p w:rsidR="007C5D83" w:rsidRPr="00514793" w:rsidRDefault="007C5D83" w:rsidP="00FA4DA9">
      <w:pPr>
        <w:spacing w:line="240" w:lineRule="auto"/>
        <w:jc w:val="both"/>
        <w:rPr>
          <w:rFonts w:ascii="Times New Roman" w:hAnsi="Times New Roman" w:cs="Times New Roman"/>
          <w:sz w:val="24"/>
          <w:szCs w:val="24"/>
        </w:rPr>
      </w:pPr>
      <w:r w:rsidRPr="00511F1F">
        <w:rPr>
          <w:rFonts w:ascii="Times New Roman" w:hAnsi="Times New Roman" w:cs="Times New Roman"/>
          <w:b/>
          <w:sz w:val="24"/>
          <w:szCs w:val="24"/>
        </w:rPr>
        <w:t>Nota</w:t>
      </w:r>
      <w:r>
        <w:rPr>
          <w:rFonts w:ascii="Times New Roman" w:hAnsi="Times New Roman" w:cs="Times New Roman"/>
          <w:sz w:val="24"/>
          <w:szCs w:val="24"/>
        </w:rPr>
        <w:t xml:space="preserve">: </w:t>
      </w:r>
      <w:r w:rsidRPr="00514793">
        <w:rPr>
          <w:rFonts w:ascii="Times New Roman" w:hAnsi="Times New Roman" w:cs="Times New Roman"/>
          <w:sz w:val="24"/>
          <w:szCs w:val="24"/>
        </w:rPr>
        <w:t>“Hemos dejado claro que queremos un paquete modesto, pero estamos abiertos a apostar por algo más grande”, dijo la portavoz de la Casa Blanca Alyssa Farah tras reiterar la oposición republicana al plan demócr</w:t>
      </w:r>
      <w:r>
        <w:rPr>
          <w:rFonts w:ascii="Times New Roman" w:hAnsi="Times New Roman" w:cs="Times New Roman"/>
          <w:sz w:val="24"/>
          <w:szCs w:val="24"/>
        </w:rPr>
        <w:t>ata de 2,2 billones de dólares.</w:t>
      </w:r>
    </w:p>
    <w:p w:rsidR="007C5D83" w:rsidRPr="00803FD4" w:rsidRDefault="007C5D83" w:rsidP="00FA4DA9">
      <w:pPr>
        <w:spacing w:line="240" w:lineRule="auto"/>
        <w:jc w:val="both"/>
        <w:rPr>
          <w:rFonts w:ascii="Times New Roman" w:hAnsi="Times New Roman" w:cs="Times New Roman"/>
          <w:color w:val="FF0000"/>
          <w:sz w:val="24"/>
          <w:szCs w:val="24"/>
          <w:u w:val="single"/>
        </w:rPr>
      </w:pPr>
      <w:r w:rsidRPr="00803FD4">
        <w:rPr>
          <w:rFonts w:ascii="Times New Roman" w:hAnsi="Times New Roman" w:cs="Times New Roman"/>
          <w:color w:val="FF0000"/>
          <w:sz w:val="24"/>
          <w:szCs w:val="24"/>
          <w:u w:val="single"/>
        </w:rPr>
        <w:t>La nueva contraoferta republicana sería un paquete fiscal de 1,8 billones de dólares, mayor de lo propuesto anteriormente y cuyo anuncio, avanzado por el Wall Street Journal, intensificó las alzas el viernes en Wall Street.</w:t>
      </w:r>
    </w:p>
    <w:p w:rsidR="007C5D83" w:rsidRDefault="007C5D83" w:rsidP="00FA4DA9">
      <w:pPr>
        <w:spacing w:line="240" w:lineRule="auto"/>
        <w:jc w:val="both"/>
        <w:rPr>
          <w:rFonts w:ascii="Times New Roman" w:hAnsi="Times New Roman" w:cs="Times New Roman"/>
          <w:sz w:val="24"/>
          <w:szCs w:val="24"/>
        </w:rPr>
      </w:pPr>
      <w:r w:rsidRPr="00514793">
        <w:rPr>
          <w:rFonts w:ascii="Times New Roman" w:hAnsi="Times New Roman" w:cs="Times New Roman"/>
          <w:sz w:val="24"/>
          <w:szCs w:val="24"/>
        </w:rPr>
        <w:t>Se trata de un nuevo cambio de criterio, ya que los republicanos parecían apostar por ayudas individuales dirigidas a las partes más vulnerables de la economía. La contraoferta, de ser definitiva, sería la respuesta republicana a la percepción de que los inversores están apostando cada vez más por una victoria de Joe Biden. “Las especulaciones ahora giran en</w:t>
      </w:r>
      <w:r>
        <w:rPr>
          <w:rFonts w:ascii="Times New Roman" w:hAnsi="Times New Roman" w:cs="Times New Roman"/>
          <w:sz w:val="24"/>
          <w:szCs w:val="24"/>
        </w:rPr>
        <w:t xml:space="preserve"> </w:t>
      </w:r>
      <w:r w:rsidRPr="00514793">
        <w:rPr>
          <w:rFonts w:ascii="Times New Roman" w:hAnsi="Times New Roman" w:cs="Times New Roman"/>
          <w:sz w:val="24"/>
          <w:szCs w:val="24"/>
        </w:rPr>
        <w:t>torno a si los demócratas lograrán mayoría en el Senado y aprovecharán para lanzar estímulos masivos”, apunta la agencia estadounidense Bloomberg.</w:t>
      </w:r>
    </w:p>
    <w:p w:rsidR="00CB325E" w:rsidRDefault="00CB325E"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E36222">
        <w:rPr>
          <w:rFonts w:ascii="Times New Roman" w:hAnsi="Times New Roman" w:cs="Times New Roman"/>
          <w:sz w:val="24"/>
          <w:szCs w:val="24"/>
          <w:u w:val="single"/>
        </w:rPr>
        <w:t>La pandemia crea un nuevo orden mundial: todos pierden, China gana</w:t>
      </w:r>
      <w:r w:rsidR="00707530">
        <w:rPr>
          <w:rFonts w:ascii="Times New Roman" w:hAnsi="Times New Roman" w:cs="Times New Roman"/>
          <w:sz w:val="24"/>
          <w:szCs w:val="24"/>
        </w:rPr>
        <w:t xml:space="preserve"> (El C</w:t>
      </w:r>
      <w:r>
        <w:rPr>
          <w:rFonts w:ascii="Times New Roman" w:hAnsi="Times New Roman" w:cs="Times New Roman"/>
          <w:sz w:val="24"/>
          <w:szCs w:val="24"/>
        </w:rPr>
        <w:t xml:space="preserve">onfidencial - </w:t>
      </w:r>
      <w:r w:rsidRPr="00E36222">
        <w:rPr>
          <w:rFonts w:ascii="Times New Roman" w:hAnsi="Times New Roman" w:cs="Times New Roman"/>
          <w:b/>
          <w:sz w:val="24"/>
          <w:szCs w:val="24"/>
        </w:rPr>
        <w:t>12/10/20</w:t>
      </w:r>
      <w:r>
        <w:rPr>
          <w:rFonts w:ascii="Times New Roman" w:hAnsi="Times New Roman" w:cs="Times New Roman"/>
          <w:sz w:val="24"/>
          <w:szCs w:val="24"/>
        </w:rPr>
        <w:t>)</w:t>
      </w:r>
    </w:p>
    <w:p w:rsidR="00E36222" w:rsidRPr="00E36222" w:rsidRDefault="00E36222" w:rsidP="00FA4DA9">
      <w:pPr>
        <w:spacing w:line="240" w:lineRule="auto"/>
        <w:jc w:val="both"/>
        <w:rPr>
          <w:rFonts w:ascii="Times New Roman" w:hAnsi="Times New Roman" w:cs="Times New Roman"/>
          <w:sz w:val="24"/>
          <w:szCs w:val="24"/>
        </w:rPr>
      </w:pPr>
      <w:r w:rsidRPr="00E36222">
        <w:rPr>
          <w:rFonts w:ascii="Times New Roman" w:hAnsi="Times New Roman" w:cs="Times New Roman"/>
          <w:sz w:val="24"/>
          <w:szCs w:val="24"/>
        </w:rPr>
        <w:t>(Por Carlos Sánchez)</w:t>
      </w:r>
    </w:p>
    <w:p w:rsidR="00E36222" w:rsidRPr="001714AE" w:rsidRDefault="00E36222" w:rsidP="00FA4DA9">
      <w:pPr>
        <w:spacing w:line="240" w:lineRule="auto"/>
        <w:jc w:val="both"/>
        <w:rPr>
          <w:rFonts w:ascii="Times New Roman" w:hAnsi="Times New Roman" w:cs="Times New Roman"/>
          <w:color w:val="FF0000"/>
          <w:sz w:val="24"/>
          <w:szCs w:val="24"/>
          <w:u w:val="single"/>
        </w:rPr>
      </w:pPr>
      <w:r w:rsidRPr="001714AE">
        <w:rPr>
          <w:rFonts w:ascii="Times New Roman" w:hAnsi="Times New Roman" w:cs="Times New Roman"/>
          <w:color w:val="FF0000"/>
          <w:sz w:val="24"/>
          <w:szCs w:val="24"/>
          <w:u w:val="single"/>
        </w:rPr>
        <w:t>En todas las guerras, como se sabe, siempre hay ganadores y perdedores. Y en la guerra de la pandemia, que no solo se juega en el plano de la salud pública, también en el de la economía, hay un claro vencedor. Precisamente, el país que dio origen al virus, y que no es otro que China.</w:t>
      </w:r>
    </w:p>
    <w:p w:rsidR="00E36222" w:rsidRPr="00E36222" w:rsidRDefault="00E36222" w:rsidP="00FA4DA9">
      <w:pPr>
        <w:spacing w:line="240" w:lineRule="auto"/>
        <w:jc w:val="both"/>
        <w:rPr>
          <w:rFonts w:ascii="Times New Roman" w:hAnsi="Times New Roman" w:cs="Times New Roman"/>
          <w:sz w:val="24"/>
          <w:szCs w:val="24"/>
        </w:rPr>
      </w:pPr>
      <w:r w:rsidRPr="00E36222">
        <w:rPr>
          <w:rFonts w:ascii="Times New Roman" w:hAnsi="Times New Roman" w:cs="Times New Roman"/>
          <w:sz w:val="24"/>
          <w:szCs w:val="24"/>
        </w:rPr>
        <w:t>El gigante asiático no solo será el único de las grandes naciones que crecerá en 2020, sino que, al mismo tiempo, se beneficiará de forma significativa del flujo de capitales hacia Asia. Sin contar los efectos positivos que tendrán para su economía los bajos precios de las materias primas, en particular el petróleo, lo que beneficia a países especializados en la industria de componentes p</w:t>
      </w:r>
      <w:r>
        <w:rPr>
          <w:rFonts w:ascii="Times New Roman" w:hAnsi="Times New Roman" w:cs="Times New Roman"/>
          <w:sz w:val="24"/>
          <w:szCs w:val="24"/>
        </w:rPr>
        <w:t>ara fabricar productos finales.</w:t>
      </w:r>
    </w:p>
    <w:p w:rsidR="00E36222" w:rsidRPr="001714AE" w:rsidRDefault="00E36222" w:rsidP="00FA4DA9">
      <w:pPr>
        <w:spacing w:line="240" w:lineRule="auto"/>
        <w:jc w:val="both"/>
        <w:rPr>
          <w:rFonts w:ascii="Times New Roman" w:hAnsi="Times New Roman" w:cs="Times New Roman"/>
          <w:color w:val="FF0000"/>
          <w:sz w:val="24"/>
          <w:szCs w:val="24"/>
          <w:u w:val="single"/>
        </w:rPr>
      </w:pPr>
      <w:r w:rsidRPr="001714AE">
        <w:rPr>
          <w:rFonts w:ascii="Times New Roman" w:hAnsi="Times New Roman" w:cs="Times New Roman"/>
          <w:color w:val="FF0000"/>
          <w:sz w:val="24"/>
          <w:szCs w:val="24"/>
          <w:u w:val="single"/>
        </w:rPr>
        <w:t>Para hacerse una idea del nuevo escenario solo hay que tener cuenta que el PIB mundial caerá este año un 4,1%, muy lejos del 0,4% que retrocedió durante la Gran Recesión. Pero China, por el contrario, crecerá un 2,2% espoleada por los ingentes recursos que ha metido el Gobierno de Pekín en su economía, controlada por el Estado en un régimen de partido único. En todo caso, inferiores a los que inyectó en la anterior recesión, aunque con perfil distinto. Es esta ocasión, para sostener el consumo de las familias.</w:t>
      </w:r>
    </w:p>
    <w:p w:rsidR="00E36222" w:rsidRPr="001714AE" w:rsidRDefault="00E36222" w:rsidP="00FA4DA9">
      <w:pPr>
        <w:spacing w:line="240" w:lineRule="auto"/>
        <w:jc w:val="both"/>
        <w:rPr>
          <w:rFonts w:ascii="Times New Roman" w:hAnsi="Times New Roman" w:cs="Times New Roman"/>
          <w:color w:val="FF0000"/>
          <w:sz w:val="24"/>
          <w:szCs w:val="24"/>
          <w:u w:val="single"/>
        </w:rPr>
      </w:pPr>
      <w:r w:rsidRPr="001714AE">
        <w:rPr>
          <w:rFonts w:ascii="Times New Roman" w:hAnsi="Times New Roman" w:cs="Times New Roman"/>
          <w:color w:val="FF0000"/>
          <w:sz w:val="24"/>
          <w:szCs w:val="24"/>
          <w:u w:val="single"/>
        </w:rPr>
        <w:t>Ese crecimiento, el 2,2%, contrasta con lo que sucederá en las otras tres áreas geográficas con las que compite China. El llamado G-3 (EEUU, la Unión Europea y Japón) verá cómo su PIB caerá un 5,3%, mientras que en Latinoamérica el descenso será del 8,4%. Incluso Asia retrocederá un 0,4%, fundamentalmente a causa del desplome de la economía de India, cuyo PIB se hundirá este año un 11,3% debido tanto a su especialización productiva como a la debilidad de su demanda doméstica. Sucede al contrario en China, donde el Estado juega un papel fundamental. Obviamente, también influye un efecto arrastre, ya que el PIB de China venía de crecer un 6% en 2019.</w:t>
      </w:r>
    </w:p>
    <w:p w:rsidR="007C5D83" w:rsidRDefault="007C5D83" w:rsidP="00FA4DA9">
      <w:pPr>
        <w:spacing w:line="240" w:lineRule="auto"/>
        <w:jc w:val="both"/>
        <w:textAlignment w:val="baseline"/>
        <w:rPr>
          <w:rFonts w:ascii="Times New Roman" w:hAnsi="Times New Roman" w:cs="Times New Roman"/>
          <w:color w:val="1A1A1A"/>
          <w:sz w:val="24"/>
          <w:szCs w:val="24"/>
        </w:rPr>
      </w:pPr>
      <w:r w:rsidRPr="0030188B">
        <w:rPr>
          <w:rFonts w:ascii="Times New Roman" w:hAnsi="Times New Roman" w:cs="Times New Roman"/>
          <w:noProof/>
          <w:color w:val="1A1A1A"/>
          <w:sz w:val="24"/>
          <w:szCs w:val="24"/>
          <w:lang w:eastAsia="es-ES"/>
        </w:rPr>
        <w:drawing>
          <wp:inline distT="0" distB="0" distL="0" distR="0" wp14:anchorId="2B92DAE6" wp14:editId="3BE46486">
            <wp:extent cx="6232525" cy="2716530"/>
            <wp:effectExtent l="0" t="0" r="0" b="7620"/>
            <wp:docPr id="122" name="Imagen 122" descr="Dos gráficas comparativas del crecimiento del PIB en los mercados mundiales. (Fuente: I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os gráficas comparativas del crecimiento del PIB en los mercados mundiales. (Fuente: IIF)"/>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6232525" cy="2716530"/>
                    </a:xfrm>
                    <a:prstGeom prst="rect">
                      <a:avLst/>
                    </a:prstGeom>
                    <a:noFill/>
                    <a:ln>
                      <a:noFill/>
                    </a:ln>
                  </pic:spPr>
                </pic:pic>
              </a:graphicData>
            </a:graphic>
          </wp:inline>
        </w:drawing>
      </w:r>
      <w:r w:rsidRPr="0030188B">
        <w:rPr>
          <w:rFonts w:ascii="Times New Roman" w:hAnsi="Times New Roman" w:cs="Times New Roman"/>
          <w:color w:val="1A1A1A"/>
          <w:sz w:val="24"/>
          <w:szCs w:val="24"/>
        </w:rPr>
        <w:t>Dos gráficas comparativas del crecimiento del PIB en los mercados mundiales. (Fuente: IIF)</w:t>
      </w:r>
    </w:p>
    <w:p w:rsidR="00707530" w:rsidRDefault="00707530" w:rsidP="00FA4DA9">
      <w:pPr>
        <w:spacing w:line="240" w:lineRule="auto"/>
        <w:jc w:val="both"/>
        <w:textAlignment w:val="baseline"/>
        <w:rPr>
          <w:rFonts w:ascii="Times New Roman" w:hAnsi="Times New Roman" w:cs="Times New Roman"/>
          <w:color w:val="1A1A1A"/>
          <w:sz w:val="24"/>
          <w:szCs w:val="24"/>
        </w:rPr>
      </w:pPr>
    </w:p>
    <w:p w:rsidR="00707530" w:rsidRPr="0030188B" w:rsidRDefault="00707530" w:rsidP="00FA4DA9">
      <w:pPr>
        <w:spacing w:line="240" w:lineRule="auto"/>
        <w:jc w:val="both"/>
        <w:textAlignment w:val="baseline"/>
        <w:rPr>
          <w:rFonts w:ascii="Times New Roman" w:hAnsi="Times New Roman" w:cs="Times New Roman"/>
          <w:color w:val="1A1A1A"/>
          <w:sz w:val="24"/>
          <w:szCs w:val="24"/>
        </w:rPr>
      </w:pPr>
    </w:p>
    <w:p w:rsidR="007C5D83" w:rsidRDefault="007C5D83" w:rsidP="00FA4DA9">
      <w:pPr>
        <w:pStyle w:val="NormalWeb"/>
        <w:spacing w:before="0" w:beforeAutospacing="0" w:after="0" w:afterAutospacing="0"/>
        <w:jc w:val="both"/>
        <w:textAlignment w:val="baseline"/>
        <w:rPr>
          <w:color w:val="1A1A1A"/>
        </w:rPr>
      </w:pPr>
      <w:r w:rsidRPr="0030188B">
        <w:rPr>
          <w:color w:val="1A1A1A"/>
        </w:rPr>
        <w:lastRenderedPageBreak/>
        <w:t>Un efecto caso neutro</w:t>
      </w:r>
    </w:p>
    <w:p w:rsidR="007C5D83" w:rsidRPr="0030188B" w:rsidRDefault="007C5D83" w:rsidP="00FA4DA9">
      <w:pPr>
        <w:pStyle w:val="NormalWeb"/>
        <w:spacing w:before="0" w:beforeAutospacing="0" w:after="0" w:afterAutospacing="0"/>
        <w:jc w:val="both"/>
        <w:textAlignment w:val="baseline"/>
        <w:rPr>
          <w:color w:val="1A1A1A"/>
        </w:rPr>
      </w:pPr>
    </w:p>
    <w:p w:rsidR="007C5D83" w:rsidRPr="00E36222" w:rsidRDefault="007C5D83" w:rsidP="00FA4DA9">
      <w:pPr>
        <w:pStyle w:val="NormalWeb"/>
        <w:spacing w:before="0" w:beforeAutospacing="0" w:after="0" w:afterAutospacing="0"/>
        <w:jc w:val="both"/>
        <w:textAlignment w:val="baseline"/>
      </w:pPr>
      <w:r w:rsidRPr="00E36222">
        <w:t>Los </w:t>
      </w:r>
      <w:hyperlink r:id="rId154" w:history="1">
        <w:r w:rsidRPr="00E36222">
          <w:rPr>
            <w:rStyle w:val="Hipervnculo"/>
            <w:color w:val="auto"/>
            <w:u w:val="none"/>
          </w:rPr>
          <w:t>datos proceden</w:t>
        </w:r>
      </w:hyperlink>
      <w:r w:rsidRPr="00E36222">
        <w:t> del último informe que ha elaborado el </w:t>
      </w:r>
      <w:hyperlink r:id="rId155" w:history="1">
        <w:r w:rsidRPr="00E36222">
          <w:rPr>
            <w:rStyle w:val="Hipervnculo"/>
            <w:color w:val="auto"/>
            <w:u w:val="none"/>
          </w:rPr>
          <w:t>Instituto Financiero Internacional</w:t>
        </w:r>
      </w:hyperlink>
      <w:r w:rsidRPr="00E36222">
        <w:t> (IIF, por sus siglas en inglés), que es una especie de patronal bancaria mundial, y reflejan un escenario de recuperación intensa en 2021, si bien China vuelve a destacar. El gigante asiático, si se cumplen las previsiones, crecerá el año próximo </w:t>
      </w:r>
      <w:r w:rsidRPr="00E36222">
        <w:rPr>
          <w:rStyle w:val="Textoennegrita"/>
          <w:b w:val="0"/>
          <w:bdr w:val="none" w:sz="0" w:space="0" w:color="auto" w:frame="1"/>
        </w:rPr>
        <w:t>un 8,5%</w:t>
      </w:r>
      <w:r w:rsidRPr="00E36222">
        <w:t>, lo que significa un avance de </w:t>
      </w:r>
      <w:r w:rsidRPr="00E36222">
        <w:rPr>
          <w:rStyle w:val="Textoennegrita"/>
          <w:b w:val="0"/>
          <w:bdr w:val="none" w:sz="0" w:space="0" w:color="auto" w:frame="1"/>
        </w:rPr>
        <w:t>10,7 puntos porcentuales</w:t>
      </w:r>
      <w:r w:rsidRPr="00E36222">
        <w:t> en los dos años centrales de la pandemia. Por lo tanto, muy cerca de su velocidad de crucero en caso de que no se hubiera producido la pandemia. </w:t>
      </w:r>
      <w:hyperlink r:id="rId156" w:tgtFrame="_self" w:history="1">
        <w:r w:rsidRPr="00E36222">
          <w:rPr>
            <w:rStyle w:val="Hipervnculo"/>
            <w:color w:val="auto"/>
            <w:u w:val="none"/>
          </w:rPr>
          <w:t>El FMI </w:t>
        </w:r>
      </w:hyperlink>
      <w:r w:rsidRPr="00E36222">
        <w:t>había estimado un crecimiento del 5,8% para este año y una tasa similar para el próximo, es decir, alrededor de </w:t>
      </w:r>
      <w:r w:rsidRPr="00E36222">
        <w:rPr>
          <w:rStyle w:val="Textoennegrita"/>
          <w:b w:val="0"/>
          <w:bdr w:val="none" w:sz="0" w:space="0" w:color="auto" w:frame="1"/>
        </w:rPr>
        <w:t>11,5 puntos porcentuales</w:t>
      </w:r>
      <w:r w:rsidRPr="00E36222">
        <w:t>.</w:t>
      </w:r>
    </w:p>
    <w:p w:rsidR="00E36222" w:rsidRPr="00E36222" w:rsidRDefault="00E36222" w:rsidP="00FA4DA9">
      <w:pPr>
        <w:pStyle w:val="NormalWeb"/>
        <w:spacing w:before="0" w:beforeAutospacing="0" w:after="0" w:afterAutospacing="0"/>
        <w:jc w:val="both"/>
        <w:textAlignment w:val="baseline"/>
      </w:pPr>
    </w:p>
    <w:p w:rsidR="007C5D83" w:rsidRPr="00E36222" w:rsidRDefault="007C5D83" w:rsidP="00FA4DA9">
      <w:pPr>
        <w:pStyle w:val="NormalWeb"/>
        <w:spacing w:before="0" w:beforeAutospacing="0" w:after="0" w:afterAutospacing="0"/>
        <w:jc w:val="both"/>
        <w:textAlignment w:val="baseline"/>
      </w:pPr>
      <w:r w:rsidRPr="00E36222">
        <w:t>El G-3, por el contrario, no recuperará hasta 2022 </w:t>
      </w:r>
      <w:r w:rsidRPr="00E36222">
        <w:rPr>
          <w:rStyle w:val="Textoennegrita"/>
          <w:b w:val="0"/>
          <w:bdr w:val="none" w:sz="0" w:space="0" w:color="auto" w:frame="1"/>
        </w:rPr>
        <w:t>su nivel de PIB previo a la crisis</w:t>
      </w:r>
      <w:r w:rsidRPr="00E36222">
        <w:t>. El actual ejercicio, el producto interior bruto caerá un 5,3%, mientras que en el próximo la recuperación será equivalente al 4,4%. En el caso de Europa, el retroceso será del 7,5% en 2020, con una fuerte recuperación del 5,7% en 2021, pero insuficiente para volver </w:t>
      </w:r>
      <w:hyperlink r:id="rId157" w:tgtFrame="_self" w:history="1">
        <w:r w:rsidRPr="00E36222">
          <w:rPr>
            <w:rStyle w:val="Hipervnculo"/>
            <w:color w:val="auto"/>
            <w:u w:val="none"/>
          </w:rPr>
          <w:t>a los niveles precrisis.</w:t>
        </w:r>
      </w:hyperlink>
    </w:p>
    <w:p w:rsidR="007C5D83" w:rsidRPr="00E36222" w:rsidRDefault="007C5D83" w:rsidP="00FA4DA9">
      <w:pPr>
        <w:pStyle w:val="NormalWeb"/>
        <w:spacing w:before="0" w:beforeAutospacing="0" w:after="0" w:afterAutospacing="0"/>
        <w:jc w:val="both"/>
        <w:textAlignment w:val="baseline"/>
      </w:pPr>
    </w:p>
    <w:p w:rsidR="007C5D83" w:rsidRPr="0030188B" w:rsidRDefault="007C5D83" w:rsidP="00FA4DA9">
      <w:pPr>
        <w:spacing w:line="240" w:lineRule="auto"/>
        <w:jc w:val="both"/>
        <w:textAlignment w:val="baseline"/>
        <w:rPr>
          <w:rFonts w:ascii="Times New Roman" w:hAnsi="Times New Roman" w:cs="Times New Roman"/>
          <w:color w:val="1A1A1A"/>
          <w:sz w:val="24"/>
          <w:szCs w:val="24"/>
        </w:rPr>
      </w:pPr>
      <w:r w:rsidRPr="0030188B">
        <w:rPr>
          <w:rFonts w:ascii="Times New Roman" w:hAnsi="Times New Roman" w:cs="Times New Roman"/>
          <w:noProof/>
          <w:color w:val="1A1A1A"/>
          <w:sz w:val="24"/>
          <w:szCs w:val="24"/>
          <w:lang w:eastAsia="es-ES"/>
        </w:rPr>
        <w:drawing>
          <wp:inline distT="0" distB="0" distL="0" distR="0" wp14:anchorId="43F140A5" wp14:editId="1949DD39">
            <wp:extent cx="5765800" cy="3879850"/>
            <wp:effectExtent l="0" t="0" r="6350" b="6350"/>
            <wp:docPr id="123" name="Imagen 123" descr="Tabla comparativa del crecimiento del PIB mundial, del G3 y de distintos mercados emergentes. (Fuente: I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abla comparativa del crecimiento del PIB mundial, del G3 y de distintos mercados emergentes. (Fuente: IIF)"/>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765800" cy="3879850"/>
                    </a:xfrm>
                    <a:prstGeom prst="rect">
                      <a:avLst/>
                    </a:prstGeom>
                    <a:noFill/>
                    <a:ln>
                      <a:noFill/>
                    </a:ln>
                  </pic:spPr>
                </pic:pic>
              </a:graphicData>
            </a:graphic>
          </wp:inline>
        </w:drawing>
      </w:r>
      <w:r w:rsidRPr="0030188B">
        <w:rPr>
          <w:rFonts w:ascii="Times New Roman" w:hAnsi="Times New Roman" w:cs="Times New Roman"/>
          <w:color w:val="1A1A1A"/>
          <w:sz w:val="24"/>
          <w:szCs w:val="24"/>
        </w:rPr>
        <w:t>Tabla comparativa del crecimiento del PIB mundial, del G3 y de distintos mercados emergentes. (Fuente: IIF)</w:t>
      </w:r>
    </w:p>
    <w:p w:rsidR="007C5D83" w:rsidRDefault="007C5D83" w:rsidP="00FA4DA9">
      <w:pPr>
        <w:pStyle w:val="NormalWeb"/>
        <w:spacing w:before="0" w:beforeAutospacing="0" w:after="0" w:afterAutospacing="0"/>
        <w:jc w:val="both"/>
        <w:textAlignment w:val="baseline"/>
        <w:rPr>
          <w:rStyle w:val="Textoennegrita"/>
          <w:color w:val="1A1A1A"/>
          <w:bdr w:val="none" w:sz="0" w:space="0" w:color="auto" w:frame="1"/>
        </w:rPr>
      </w:pPr>
      <w:r w:rsidRPr="0030188B">
        <w:rPr>
          <w:color w:val="1A1A1A"/>
        </w:rPr>
        <w:t>Detrás de esa distinta evolución se encuentra la </w:t>
      </w:r>
      <w:r w:rsidRPr="00E36222">
        <w:rPr>
          <w:rStyle w:val="Textoennegrita"/>
          <w:b w:val="0"/>
          <w:color w:val="1A1A1A"/>
          <w:bdr w:val="none" w:sz="0" w:space="0" w:color="auto" w:frame="1"/>
        </w:rPr>
        <w:t>“anémica recuperación”</w:t>
      </w:r>
      <w:r w:rsidRPr="0030188B">
        <w:rPr>
          <w:color w:val="1A1A1A"/>
        </w:rPr>
        <w:t> en los flujos de capitales a nivel global, que pasarán una importante factura, en especial a los dirigidos a Latinoamérica, una región lastrada, aunque por distintas razones, por </w:t>
      </w:r>
      <w:r w:rsidRPr="0030188B">
        <w:rPr>
          <w:rStyle w:val="Textoennegrita"/>
          <w:color w:val="1A1A1A"/>
          <w:bdr w:val="none" w:sz="0" w:space="0" w:color="auto" w:frame="1"/>
        </w:rPr>
        <w:t>Argentina </w:t>
      </w:r>
      <w:r w:rsidRPr="0030188B">
        <w:rPr>
          <w:color w:val="1A1A1A"/>
        </w:rPr>
        <w:t>y sus problemas crónicos de deuda externa; </w:t>
      </w:r>
      <w:r w:rsidRPr="00E36222">
        <w:rPr>
          <w:rStyle w:val="Textoennegrita"/>
          <w:b w:val="0"/>
          <w:color w:val="1A1A1A"/>
          <w:bdr w:val="none" w:sz="0" w:space="0" w:color="auto" w:frame="1"/>
        </w:rPr>
        <w:t>Venezuela</w:t>
      </w:r>
      <w:r w:rsidRPr="0030188B">
        <w:rPr>
          <w:color w:val="1A1A1A"/>
        </w:rPr>
        <w:t xml:space="preserve">, por causas relacionadas </w:t>
      </w:r>
      <w:r w:rsidRPr="00E36222">
        <w:t>con su</w:t>
      </w:r>
      <w:hyperlink r:id="rId159" w:tgtFrame="_self" w:history="1">
        <w:r w:rsidRPr="00E36222">
          <w:rPr>
            <w:rStyle w:val="Hipervnculo"/>
            <w:color w:val="auto"/>
            <w:u w:val="none"/>
          </w:rPr>
          <w:t> situación política externa</w:t>
        </w:r>
      </w:hyperlink>
      <w:r w:rsidRPr="00E36222">
        <w:t>,</w:t>
      </w:r>
      <w:r w:rsidRPr="0030188B">
        <w:rPr>
          <w:color w:val="1A1A1A"/>
        </w:rPr>
        <w:t xml:space="preserve"> y </w:t>
      </w:r>
      <w:r w:rsidRPr="00E36222">
        <w:rPr>
          <w:rStyle w:val="Textoennegrita"/>
          <w:b w:val="0"/>
          <w:color w:val="1A1A1A"/>
          <w:bdr w:val="none" w:sz="0" w:space="0" w:color="auto" w:frame="1"/>
        </w:rPr>
        <w:t>Perú</w:t>
      </w:r>
      <w:r w:rsidRPr="0030188B">
        <w:rPr>
          <w:color w:val="1A1A1A"/>
        </w:rPr>
        <w:t>, cuyo PIB se desplomará un increíble 30%, más propio de un país asolado por una guerra. Esto hará, sostiene el informe, que los flujos de capitales se reorienten hacia Asia y Oriente Medio, en particular hacia Arabia Saudí y Emiratos Árabes, lo que explica un </w:t>
      </w:r>
      <w:r w:rsidR="00E36222" w:rsidRPr="00E36222">
        <w:rPr>
          <w:rStyle w:val="Textoennegrita"/>
          <w:b w:val="0"/>
          <w:color w:val="1A1A1A"/>
          <w:bdr w:val="none" w:sz="0" w:space="0" w:color="auto" w:frame="1"/>
        </w:rPr>
        <w:t>“</w:t>
      </w:r>
      <w:r w:rsidRPr="00E36222">
        <w:rPr>
          <w:rStyle w:val="Textoennegrita"/>
          <w:b w:val="0"/>
          <w:color w:val="1A1A1A"/>
          <w:bdr w:val="none" w:sz="0" w:space="0" w:color="auto" w:frame="1"/>
        </w:rPr>
        <w:t>panorama sólido para China”</w:t>
      </w:r>
      <w:r w:rsidRPr="0030188B">
        <w:rPr>
          <w:rStyle w:val="Textoennegrita"/>
          <w:color w:val="1A1A1A"/>
          <w:bdr w:val="none" w:sz="0" w:space="0" w:color="auto" w:frame="1"/>
        </w:rPr>
        <w:t>.</w:t>
      </w:r>
    </w:p>
    <w:p w:rsidR="007C5D83" w:rsidRPr="0030188B" w:rsidRDefault="007C5D83" w:rsidP="00FA4DA9">
      <w:pPr>
        <w:pStyle w:val="NormalWeb"/>
        <w:spacing w:before="0" w:beforeAutospacing="0" w:after="0" w:afterAutospacing="0"/>
        <w:jc w:val="both"/>
        <w:textAlignment w:val="baseline"/>
        <w:rPr>
          <w:color w:val="1A1A1A"/>
        </w:rPr>
      </w:pPr>
    </w:p>
    <w:p w:rsidR="007C5D83" w:rsidRPr="00E36222" w:rsidRDefault="007C5D83" w:rsidP="00FA4DA9">
      <w:pPr>
        <w:pStyle w:val="NormalWeb"/>
        <w:spacing w:before="0" w:beforeAutospacing="0" w:after="0" w:afterAutospacing="0"/>
        <w:jc w:val="both"/>
        <w:textAlignment w:val="baseline"/>
        <w:rPr>
          <w:u w:val="single"/>
        </w:rPr>
      </w:pPr>
      <w:r w:rsidRPr="00E36222">
        <w:rPr>
          <w:u w:val="single"/>
        </w:rPr>
        <w:t>Las estimaciones del IIF, lógicamente, están sembradas de incertidumbre debido a un posible rebrote de la pandemia con la llegada del invierno al hemisferio norte, y son ligeramente más positivas que </w:t>
      </w:r>
      <w:hyperlink r:id="rId160" w:tgtFrame="_blank" w:history="1">
        <w:r w:rsidRPr="00E36222">
          <w:rPr>
            <w:rStyle w:val="Hipervnculo"/>
            <w:color w:val="auto"/>
          </w:rPr>
          <w:t>las que realizó</w:t>
        </w:r>
      </w:hyperlink>
      <w:r w:rsidRPr="00E36222">
        <w:rPr>
          <w:u w:val="single"/>
        </w:rPr>
        <w:t> el FMI en junio, que previó una recesión global del 4,9%. El</w:t>
      </w:r>
      <w:hyperlink r:id="rId161" w:tgtFrame="_blank" w:history="1">
        <w:r w:rsidRPr="00E36222">
          <w:rPr>
            <w:rStyle w:val="Hipervnculo"/>
            <w:color w:val="auto"/>
          </w:rPr>
          <w:t> Fondo Monetario Internacional,</w:t>
        </w:r>
      </w:hyperlink>
      <w:r w:rsidRPr="00E36222">
        <w:rPr>
          <w:u w:val="single"/>
        </w:rPr>
        <w:t> sin embargo, presentará una revisión de sus estimaciones el próximo martes, día 13, y ya contará con la información de los últimos rebrotes.</w:t>
      </w:r>
    </w:p>
    <w:p w:rsidR="007C5D83" w:rsidRPr="00E36222" w:rsidRDefault="007C5D83" w:rsidP="00FA4DA9">
      <w:pPr>
        <w:pStyle w:val="NormalWeb"/>
        <w:spacing w:before="0" w:beforeAutospacing="0" w:after="0" w:afterAutospacing="0"/>
        <w:jc w:val="both"/>
        <w:textAlignment w:val="baseline"/>
        <w:rPr>
          <w:u w:val="single"/>
        </w:rPr>
      </w:pPr>
    </w:p>
    <w:p w:rsidR="007C5D83" w:rsidRDefault="007C5D83" w:rsidP="00FA4DA9">
      <w:pPr>
        <w:pStyle w:val="NormalWeb"/>
        <w:spacing w:before="0" w:beforeAutospacing="0" w:after="0" w:afterAutospacing="0"/>
        <w:jc w:val="both"/>
        <w:textAlignment w:val="baseline"/>
        <w:rPr>
          <w:u w:val="single"/>
        </w:rPr>
      </w:pPr>
      <w:r w:rsidRPr="00E36222">
        <w:rPr>
          <w:u w:val="single"/>
        </w:rPr>
        <w:t>En el informe de junio, el FMI ya advertía que China estaba abriendo</w:t>
      </w:r>
      <w:r w:rsidRPr="00E36222">
        <w:rPr>
          <w:rStyle w:val="Textoennegrita"/>
          <w:u w:val="single"/>
          <w:bdr w:val="none" w:sz="0" w:space="0" w:color="auto" w:frame="1"/>
        </w:rPr>
        <w:t> </w:t>
      </w:r>
      <w:r w:rsidRPr="00E36222">
        <w:rPr>
          <w:rStyle w:val="Textoennegrita"/>
          <w:b w:val="0"/>
          <w:u w:val="single"/>
          <w:bdr w:val="none" w:sz="0" w:space="0" w:color="auto" w:frame="1"/>
        </w:rPr>
        <w:t>una brecha cada vez mayor</w:t>
      </w:r>
      <w:r w:rsidRPr="00E36222">
        <w:rPr>
          <w:u w:val="single"/>
        </w:rPr>
        <w:t> con el resto del mundo. Los </w:t>
      </w:r>
      <w:hyperlink r:id="rId162" w:history="1">
        <w:r w:rsidRPr="00E36222">
          <w:rPr>
            <w:rStyle w:val="Hipervnculo"/>
            <w:color w:val="auto"/>
          </w:rPr>
          <w:t>indicadores de alta frecuencia</w:t>
        </w:r>
      </w:hyperlink>
      <w:r w:rsidRPr="00E36222">
        <w:rPr>
          <w:u w:val="single"/>
        </w:rPr>
        <w:t>, que muestran la actividad real más reciente, por ejemplo, midiendo el gasto con tarjetas, apuntaban a una contracción más grave en el segundo trimestre, excepto en el caso de China, que en buena medida había ya reabierto su actividad a comienzos de abril. Es decir, apenas cuatro meses después de revelarse la </w:t>
      </w:r>
      <w:hyperlink r:id="rId163" w:history="1">
        <w:r w:rsidRPr="00E36222">
          <w:rPr>
            <w:rStyle w:val="Hipervnculo"/>
            <w:color w:val="auto"/>
          </w:rPr>
          <w:t>existencia de un virus</w:t>
        </w:r>
      </w:hyperlink>
      <w:r w:rsidRPr="00E36222">
        <w:rPr>
          <w:u w:val="single"/>
        </w:rPr>
        <w:t> en la provincia de Wuhan.</w:t>
      </w:r>
    </w:p>
    <w:p w:rsidR="001714AE" w:rsidRDefault="001714AE" w:rsidP="00FA4DA9">
      <w:pPr>
        <w:pStyle w:val="NormalWeb"/>
        <w:spacing w:before="0" w:beforeAutospacing="0" w:after="0" w:afterAutospacing="0"/>
        <w:jc w:val="both"/>
        <w:textAlignment w:val="baseline"/>
        <w:rPr>
          <w:u w:val="single"/>
        </w:rPr>
      </w:pPr>
    </w:p>
    <w:p w:rsidR="007C5D83" w:rsidRPr="00E36222" w:rsidRDefault="007C5D83" w:rsidP="00FA4DA9">
      <w:pPr>
        <w:pStyle w:val="Ttulo4"/>
        <w:spacing w:before="0" w:line="240" w:lineRule="auto"/>
        <w:jc w:val="both"/>
        <w:textAlignment w:val="baseline"/>
        <w:rPr>
          <w:rFonts w:ascii="Times New Roman" w:hAnsi="Times New Roman" w:cs="Times New Roman"/>
          <w:b w:val="0"/>
          <w:i w:val="0"/>
          <w:color w:val="1A1A1A"/>
          <w:sz w:val="24"/>
          <w:szCs w:val="24"/>
        </w:rPr>
      </w:pPr>
      <w:r w:rsidRPr="00E36222">
        <w:rPr>
          <w:rFonts w:ascii="Times New Roman" w:hAnsi="Times New Roman" w:cs="Times New Roman"/>
          <w:b w:val="0"/>
          <w:i w:val="0"/>
          <w:color w:val="1A1A1A"/>
          <w:sz w:val="24"/>
          <w:szCs w:val="24"/>
        </w:rPr>
        <w:t>Más consumo, menos infraestructuras</w:t>
      </w:r>
    </w:p>
    <w:p w:rsidR="00E36222" w:rsidRDefault="00E36222" w:rsidP="00FA4DA9">
      <w:pPr>
        <w:pStyle w:val="NormalWeb"/>
        <w:spacing w:before="0" w:beforeAutospacing="0" w:after="0" w:afterAutospacing="0"/>
        <w:jc w:val="both"/>
        <w:textAlignment w:val="baseline"/>
        <w:rPr>
          <w:rFonts w:asciiTheme="minorHAnsi" w:eastAsiaTheme="minorHAnsi" w:hAnsiTheme="minorHAnsi" w:cstheme="minorBidi"/>
          <w:sz w:val="22"/>
          <w:szCs w:val="22"/>
          <w:lang w:eastAsia="en-US"/>
        </w:rPr>
      </w:pPr>
    </w:p>
    <w:p w:rsidR="007C5D83" w:rsidRDefault="007C5D83" w:rsidP="00FA4DA9">
      <w:pPr>
        <w:pStyle w:val="NormalWeb"/>
        <w:spacing w:before="0" w:beforeAutospacing="0" w:after="0" w:afterAutospacing="0"/>
        <w:jc w:val="both"/>
        <w:textAlignment w:val="baseline"/>
        <w:rPr>
          <w:color w:val="1A1A1A"/>
        </w:rPr>
      </w:pPr>
      <w:r w:rsidRPr="0030188B">
        <w:rPr>
          <w:color w:val="1A1A1A"/>
        </w:rPr>
        <w:t>Al contrario de lo que sucedió en la anterior recesión, cuando las autoridades chinas optaron por inyectar recursos a </w:t>
      </w:r>
      <w:r w:rsidRPr="00E36222">
        <w:rPr>
          <w:rStyle w:val="Textoennegrita"/>
          <w:b w:val="0"/>
          <w:color w:val="1A1A1A"/>
          <w:bdr w:val="none" w:sz="0" w:space="0" w:color="auto" w:frame="1"/>
        </w:rPr>
        <w:t>infraestructuras</w:t>
      </w:r>
      <w:r w:rsidRPr="0030188B">
        <w:rPr>
          <w:color w:val="1A1A1A"/>
        </w:rPr>
        <w:t>, en esta ocasión se ha preferido actuar sobre la demanda interna, en particular sobre el consumo privado.</w:t>
      </w:r>
      <w:hyperlink r:id="rId164" w:tgtFrame="_self" w:history="1">
        <w:r w:rsidRPr="00E36222">
          <w:rPr>
            <w:rStyle w:val="Hipervnculo"/>
            <w:color w:val="auto"/>
            <w:u w:val="none"/>
          </w:rPr>
          <w:t> Los datos del FMI </w:t>
        </w:r>
      </w:hyperlink>
      <w:r w:rsidRPr="0030188B">
        <w:rPr>
          <w:color w:val="1A1A1A"/>
        </w:rPr>
        <w:t>muestran que, a medida que la actividad ha comenzado a recuperarse, Pekín ha seguido centrando sus esfuerzos en las empresas y en los hogares vulnerables, entre otros instrumentos, mediante la ampliación de la red de protección social, los servicios médicos y la infraestructura digital. El Fondo Monetario, en concreto, estima que el </w:t>
      </w:r>
      <w:r w:rsidRPr="00E36222">
        <w:rPr>
          <w:rStyle w:val="Textoennegrita"/>
          <w:b w:val="0"/>
          <w:color w:val="1A1A1A"/>
          <w:bdr w:val="none" w:sz="0" w:space="0" w:color="auto" w:frame="1"/>
        </w:rPr>
        <w:t>saldo fiscal</w:t>
      </w:r>
      <w:r w:rsidRPr="0030188B">
        <w:rPr>
          <w:color w:val="1A1A1A"/>
        </w:rPr>
        <w:t> de China, el déficit presupuestario, cerrará este año con un -12,1%, del PIB, mientras que el próximo se situará en el 10,7%, es decir, incluso </w:t>
      </w:r>
      <w:r w:rsidRPr="00E36222">
        <w:rPr>
          <w:rStyle w:val="Textoennegrita"/>
          <w:b w:val="0"/>
          <w:color w:val="1A1A1A"/>
          <w:bdr w:val="none" w:sz="0" w:space="0" w:color="auto" w:frame="1"/>
        </w:rPr>
        <w:t>por encima de España</w:t>
      </w:r>
      <w:r w:rsidRPr="0030188B">
        <w:rPr>
          <w:color w:val="1A1A1A"/>
        </w:rPr>
        <w:t> en 2021.</w:t>
      </w:r>
    </w:p>
    <w:p w:rsidR="007C5D83" w:rsidRPr="0030188B" w:rsidRDefault="007C5D83" w:rsidP="00FA4DA9">
      <w:pPr>
        <w:pStyle w:val="NormalWeb"/>
        <w:spacing w:before="0" w:beforeAutospacing="0" w:after="0" w:afterAutospacing="0"/>
        <w:jc w:val="both"/>
        <w:textAlignment w:val="baseline"/>
        <w:rPr>
          <w:color w:val="1A1A1A"/>
        </w:rPr>
      </w:pPr>
    </w:p>
    <w:p w:rsidR="007C5D83" w:rsidRPr="0030188B" w:rsidRDefault="007C5D83" w:rsidP="00FA4DA9">
      <w:pPr>
        <w:pStyle w:val="NormalWeb"/>
        <w:spacing w:before="0" w:beforeAutospacing="0" w:after="0" w:afterAutospacing="0"/>
        <w:jc w:val="both"/>
        <w:textAlignment w:val="baseline"/>
        <w:rPr>
          <w:color w:val="1A1A1A"/>
        </w:rPr>
      </w:pPr>
      <w:r w:rsidRPr="0030188B">
        <w:rPr>
          <w:color w:val="1A1A1A"/>
        </w:rPr>
        <w:t>Detrás de estas cifras lo que hay es un </w:t>
      </w:r>
      <w:r w:rsidRPr="00E36222">
        <w:rPr>
          <w:rStyle w:val="Textoennegrita"/>
          <w:b w:val="0"/>
          <w:color w:val="1A1A1A"/>
          <w:bdr w:val="none" w:sz="0" w:space="0" w:color="auto" w:frame="1"/>
        </w:rPr>
        <w:t>cambio de política económica</w:t>
      </w:r>
      <w:r w:rsidRPr="0030188B">
        <w:rPr>
          <w:color w:val="1A1A1A"/>
        </w:rPr>
        <w:t> por parte de las autoridades chinas, más preocupadas ahora por alentar la demanda interna, lo que para un país volcado desde hace décadas a la exportación es una auténtica novedad. Algo que hace sospechar a los analistas sobre la sostenibilidad de este modelo de crecimiento. El Gobierno de </w:t>
      </w:r>
      <w:r w:rsidRPr="00E36222">
        <w:rPr>
          <w:rStyle w:val="Textoennegrita"/>
          <w:b w:val="0"/>
          <w:color w:val="1A1A1A"/>
          <w:bdr w:val="none" w:sz="0" w:space="0" w:color="auto" w:frame="1"/>
        </w:rPr>
        <w:t>Xi Jinping</w:t>
      </w:r>
      <w:r w:rsidRPr="0030188B">
        <w:rPr>
          <w:color w:val="1A1A1A"/>
        </w:rPr>
        <w:t>, incluso, se ha visto obligado a otorgar préstamos rápidos y otros subsidios a las empresas con la condición de que no despidan a los trabajadores, lo que ha sostenido el consumo.</w:t>
      </w:r>
    </w:p>
    <w:p w:rsidR="007C5D83" w:rsidRDefault="007C5D83" w:rsidP="00FA4DA9">
      <w:pPr>
        <w:pStyle w:val="NormalWeb"/>
        <w:spacing w:before="0" w:beforeAutospacing="0" w:after="0" w:afterAutospacing="0"/>
        <w:jc w:val="both"/>
        <w:textAlignment w:val="baseline"/>
        <w:rPr>
          <w:color w:val="1A1A1A"/>
        </w:rPr>
      </w:pPr>
    </w:p>
    <w:p w:rsidR="007C5D83" w:rsidRPr="00E36222" w:rsidRDefault="007C5D83" w:rsidP="00FA4DA9">
      <w:pPr>
        <w:pStyle w:val="NormalWeb"/>
        <w:spacing w:before="0" w:beforeAutospacing="0" w:after="0" w:afterAutospacing="0"/>
        <w:jc w:val="both"/>
        <w:textAlignment w:val="baseline"/>
      </w:pPr>
      <w:r w:rsidRPr="00E36222">
        <w:t>Detrás de la recuperación más fuerte de China se encuentra, igualmente, la reactivación del comercio mundial, que, </w:t>
      </w:r>
      <w:hyperlink r:id="rId165" w:history="1">
        <w:r w:rsidRPr="00E36222">
          <w:rPr>
            <w:rStyle w:val="Hipervnculo"/>
            <w:color w:val="auto"/>
            <w:u w:val="none"/>
          </w:rPr>
          <w:t>según la OMC</w:t>
        </w:r>
      </w:hyperlink>
      <w:r w:rsidRPr="00E36222">
        <w:t>, está siendo más intensa de lo previsto anteriormente, respecto de las hipótesis más optimistas expuestas en las previsiones comerciales de abril, que suponían una caída del 12,9%. Ahora, lo previsto es un -9,2% este año y un aumento del 7,2% el próximo. Sin embargo, </w:t>
      </w:r>
      <w:r w:rsidRPr="00E36222">
        <w:rPr>
          <w:rStyle w:val="Textoennegrita"/>
          <w:b w:val="0"/>
          <w:bdr w:val="none" w:sz="0" w:space="0" w:color="auto" w:frame="1"/>
        </w:rPr>
        <w:t>en el caso de Asia</w:t>
      </w:r>
      <w:r w:rsidRPr="00E36222">
        <w:t>, donde el peso de China es fundamental, el descenso será de apenas un 4,4% este año y una fuerte de recuperación del 6,2% en 2021.</w:t>
      </w:r>
    </w:p>
    <w:p w:rsidR="00E36222" w:rsidRPr="00E36222" w:rsidRDefault="00E36222" w:rsidP="00FA4DA9">
      <w:pPr>
        <w:pStyle w:val="NormalWeb"/>
        <w:spacing w:before="0" w:beforeAutospacing="0" w:after="0" w:afterAutospacing="0"/>
        <w:jc w:val="both"/>
        <w:textAlignment w:val="baseline"/>
      </w:pPr>
    </w:p>
    <w:p w:rsidR="007C5D83" w:rsidRDefault="007C5D83" w:rsidP="00FA4DA9">
      <w:pPr>
        <w:pStyle w:val="NormalWeb"/>
        <w:spacing w:before="0" w:beforeAutospacing="0" w:after="0" w:afterAutospacing="0"/>
        <w:jc w:val="both"/>
        <w:textAlignment w:val="baseline"/>
      </w:pPr>
      <w:r w:rsidRPr="00E36222">
        <w:t>China, por último, se aprovecha de que el precio de las </w:t>
      </w:r>
      <w:r w:rsidRPr="00E36222">
        <w:rPr>
          <w:rStyle w:val="Textoennegrita"/>
          <w:b w:val="0"/>
          <w:bdr w:val="none" w:sz="0" w:space="0" w:color="auto" w:frame="1"/>
        </w:rPr>
        <w:t>materias primas</w:t>
      </w:r>
      <w:r w:rsidRPr="00E36222">
        <w:t> sigue en niveles bajos, en particular el </w:t>
      </w:r>
      <w:hyperlink r:id="rId166" w:history="1">
        <w:r w:rsidRPr="00E36222">
          <w:rPr>
            <w:rStyle w:val="Hipervnculo"/>
            <w:color w:val="auto"/>
            <w:u w:val="none"/>
          </w:rPr>
          <w:t>petróleo</w:t>
        </w:r>
      </w:hyperlink>
      <w:r w:rsidRPr="00E36222">
        <w:t>, del que es muy dependiente. Esto hace que el país gaste menos importaciones, por lo su superávit comercial es todavía mayor. Y un mayor excedente exterior, lógicamente, afecta al saldo en términos de </w:t>
      </w:r>
      <w:r w:rsidRPr="00E36222">
        <w:rPr>
          <w:rStyle w:val="Textoennegrita"/>
          <w:b w:val="0"/>
          <w:bdr w:val="none" w:sz="0" w:space="0" w:color="auto" w:frame="1"/>
        </w:rPr>
        <w:t>contabilidad nacional</w:t>
      </w:r>
      <w:r w:rsidRPr="00E36222">
        <w:t>, lo que explica, en parte, que esté saliendo del agujero mucho más rápido que el resto del planeta. China gana; los demás pierden.</w:t>
      </w:r>
    </w:p>
    <w:p w:rsidR="008F26D1" w:rsidRDefault="008F26D1" w:rsidP="00FA4DA9">
      <w:pPr>
        <w:pStyle w:val="NormalWeb"/>
        <w:spacing w:before="0" w:beforeAutospacing="0" w:after="0" w:afterAutospacing="0"/>
        <w:jc w:val="both"/>
        <w:textAlignment w:val="baseline"/>
      </w:pPr>
    </w:p>
    <w:p w:rsidR="006C03AB" w:rsidRDefault="006C03AB" w:rsidP="00FA4DA9">
      <w:pPr>
        <w:pStyle w:val="NormalWeb"/>
        <w:spacing w:before="0" w:beforeAutospacing="0" w:after="0" w:afterAutospacing="0"/>
        <w:jc w:val="both"/>
        <w:textAlignment w:val="baseline"/>
      </w:pPr>
    </w:p>
    <w:p w:rsidR="006C03AB" w:rsidRPr="00C15F6C" w:rsidRDefault="006C03AB"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C15F6C">
        <w:rPr>
          <w:rFonts w:ascii="Times New Roman" w:hAnsi="Times New Roman" w:cs="Times New Roman"/>
          <w:sz w:val="24"/>
          <w:szCs w:val="24"/>
          <w:u w:val="single"/>
        </w:rPr>
        <w:t>El FMI estima que la pandemia puede generar una pérdida acumulada a la economía global de 28 billones de dólares hasta 2025</w:t>
      </w:r>
      <w:r>
        <w:rPr>
          <w:rFonts w:ascii="Times New Roman" w:hAnsi="Times New Roman" w:cs="Times New Roman"/>
          <w:sz w:val="24"/>
          <w:szCs w:val="24"/>
        </w:rPr>
        <w:t xml:space="preserve"> (El Economista - </w:t>
      </w:r>
      <w:r w:rsidRPr="00C15F6C">
        <w:rPr>
          <w:rFonts w:ascii="Times New Roman" w:hAnsi="Times New Roman" w:cs="Times New Roman"/>
          <w:b/>
          <w:sz w:val="24"/>
          <w:szCs w:val="24"/>
        </w:rPr>
        <w:t>13/10/20</w:t>
      </w:r>
      <w:r>
        <w:rPr>
          <w:rFonts w:ascii="Times New Roman" w:hAnsi="Times New Roman" w:cs="Times New Roman"/>
          <w:sz w:val="24"/>
          <w:szCs w:val="24"/>
        </w:rPr>
        <w:t>)</w:t>
      </w:r>
    </w:p>
    <w:p w:rsidR="006C03AB" w:rsidRPr="00C15F6C" w:rsidRDefault="006C03AB"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(Por José</w:t>
      </w:r>
      <w:r w:rsidRPr="00C15F6C">
        <w:rPr>
          <w:rFonts w:ascii="Times New Roman" w:hAnsi="Times New Roman" w:cs="Times New Roman"/>
          <w:sz w:val="24"/>
          <w:szCs w:val="24"/>
        </w:rPr>
        <w:t xml:space="preserve"> Luis de Haro</w:t>
      </w:r>
      <w:r>
        <w:rPr>
          <w:rFonts w:ascii="Times New Roman" w:hAnsi="Times New Roman" w:cs="Times New Roman"/>
          <w:sz w:val="24"/>
          <w:szCs w:val="24"/>
        </w:rPr>
        <w:t>)</w:t>
      </w:r>
    </w:p>
    <w:p w:rsidR="006C03AB" w:rsidRPr="001714AE" w:rsidRDefault="006C03AB" w:rsidP="00FA4DA9">
      <w:pPr>
        <w:spacing w:line="240" w:lineRule="auto"/>
        <w:jc w:val="both"/>
        <w:rPr>
          <w:rFonts w:ascii="Times New Roman" w:hAnsi="Times New Roman" w:cs="Times New Roman"/>
          <w:b/>
          <w:color w:val="FF0000"/>
          <w:sz w:val="24"/>
          <w:szCs w:val="24"/>
          <w:u w:val="single"/>
        </w:rPr>
      </w:pPr>
      <w:r w:rsidRPr="001714AE">
        <w:rPr>
          <w:rFonts w:ascii="Times New Roman" w:hAnsi="Times New Roman" w:cs="Times New Roman"/>
          <w:b/>
          <w:color w:val="FF0000"/>
          <w:sz w:val="24"/>
          <w:szCs w:val="24"/>
          <w:u w:val="single"/>
        </w:rPr>
        <w:t>El Fondo Monetario Internacional ha publicado sus Perspectivas de Crecimiento Mundial (WEO por sus siglas en inglés) donde todavía sigue proyectando una profunda recesión este año como consecuencia de la pandemia del coronavirus. De esta forma, la economía global se contraerá un 4,4% este año, una mejora de 0,8 puntos porcentuales en comparación con lo estimado el pasado junio. Para 2021, la institución proyecta que el crecimiento repunte al 5,2%, 0,2 puntos porcentuales por debajo de lo previsto hace poco más de tres meses.</w:t>
      </w:r>
    </w:p>
    <w:p w:rsidR="006C03AB" w:rsidRDefault="006C03AB" w:rsidP="00FA4DA9">
      <w:pPr>
        <w:spacing w:line="240" w:lineRule="auto"/>
        <w:jc w:val="both"/>
        <w:rPr>
          <w:rFonts w:ascii="Times New Roman" w:hAnsi="Times New Roman" w:cs="Times New Roman"/>
          <w:color w:val="FF0000"/>
          <w:sz w:val="24"/>
          <w:szCs w:val="24"/>
          <w:u w:val="single"/>
        </w:rPr>
      </w:pPr>
      <w:r w:rsidRPr="00D32EB4">
        <w:rPr>
          <w:rFonts w:ascii="Times New Roman" w:hAnsi="Times New Roman" w:cs="Times New Roman"/>
          <w:color w:val="FF0000"/>
          <w:sz w:val="24"/>
          <w:szCs w:val="24"/>
          <w:u w:val="single"/>
        </w:rPr>
        <w:t>No obstante, cómo insiste su economista jefa, Gita Gopinath, “esta crisis está lejos de terminar” asegurando que es probable que el ascenso para salir de ésta “sea largo, desigual y muy incierto”. Su diagnóstico es poco alentador, especialmente en lo que al mercado laboral se refiere. El empleo sigue estando muy por debajo de los niveles previos al azote del virus mientras hace mella especialmente entre los trabajadores de bajos ingresos, los jóvenes y las mujeres.</w:t>
      </w:r>
    </w:p>
    <w:p w:rsidR="001714AE" w:rsidRPr="00D32EB4" w:rsidRDefault="001714AE" w:rsidP="00FA4DA9">
      <w:pPr>
        <w:spacing w:line="240" w:lineRule="auto"/>
        <w:jc w:val="both"/>
        <w:rPr>
          <w:rFonts w:ascii="Times New Roman" w:hAnsi="Times New Roman" w:cs="Times New Roman"/>
          <w:color w:val="FF0000"/>
          <w:sz w:val="24"/>
          <w:szCs w:val="24"/>
          <w:u w:val="single"/>
        </w:rPr>
      </w:pPr>
      <w:r>
        <w:rPr>
          <w:noProof/>
          <w:lang w:eastAsia="es-ES"/>
        </w:rPr>
        <w:drawing>
          <wp:inline distT="0" distB="0" distL="0" distR="0" wp14:anchorId="41B8A109" wp14:editId="63069B20">
            <wp:extent cx="5731510" cy="4213225"/>
            <wp:effectExtent l="0" t="0" r="2540" b="0"/>
            <wp:docPr id="69" name="Imagen 69" descr="https://s03.s3c.es/imag/_v0/770x566/c/8/6/WE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770x566/c/8/6/WEO.jpg"/>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731510" cy="4213225"/>
                    </a:xfrm>
                    <a:prstGeom prst="rect">
                      <a:avLst/>
                    </a:prstGeom>
                    <a:noFill/>
                    <a:ln>
                      <a:noFill/>
                    </a:ln>
                  </pic:spPr>
                </pic:pic>
              </a:graphicData>
            </a:graphic>
          </wp:inline>
        </w:drawing>
      </w:r>
    </w:p>
    <w:p w:rsidR="006C03AB" w:rsidRPr="00C15F6C" w:rsidRDefault="006C03AB" w:rsidP="00FA4DA9">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A excepción de China, donde se espera un crecimiento del 1,9% este año, se prevé que la actividad tanto en las economías avanzadas como en las emergentes se mantengan por debajo de los niveles de 2019 incluso el próximo año. Tanto los países que dependen más de los servicios intensivos en contacto y los exportadores de petróleo enfrentan recuperaciones más débiles en comparación con las economías lideradas por las manufacturas.</w:t>
      </w:r>
    </w:p>
    <w:p w:rsidR="006C03AB" w:rsidRPr="00C15F6C" w:rsidRDefault="006C03AB" w:rsidP="00FA4DA9">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lastRenderedPageBreak/>
        <w:t>El FMI ha mejorado su pronóstico para las economías avanzadas para 2020, cuando espera una contracción del 5,8% seguida por un repunte del 3,9% en 2021. Los países emergentes (donde se excluye a China) sufrirán una recesión de 5,7% este año y u</w:t>
      </w:r>
      <w:r>
        <w:rPr>
          <w:rFonts w:ascii="Times New Roman" w:hAnsi="Times New Roman" w:cs="Times New Roman"/>
          <w:sz w:val="24"/>
          <w:szCs w:val="24"/>
        </w:rPr>
        <w:t>na recuperación del 5% en 2021.</w:t>
      </w:r>
    </w:p>
    <w:p w:rsidR="006C03AB" w:rsidRPr="00C15F6C" w:rsidRDefault="006C03AB"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15F6C">
        <w:rPr>
          <w:rFonts w:ascii="Times New Roman" w:hAnsi="Times New Roman" w:cs="Times New Roman"/>
          <w:sz w:val="24"/>
          <w:szCs w:val="24"/>
        </w:rPr>
        <w:t>Es probable que esta crisis deje cicatrices a medio plazo, ya que los mercados laborales tardarán en sanar, la inversión se verá frenada por la incertidumbre y los problemas en los balances y la pérdida de escolaridad afectarán al ca</w:t>
      </w:r>
      <w:r>
        <w:rPr>
          <w:rFonts w:ascii="Times New Roman" w:hAnsi="Times New Roman" w:cs="Times New Roman"/>
          <w:sz w:val="24"/>
          <w:szCs w:val="24"/>
        </w:rPr>
        <w:t>pital humano”, indica Gopinath.</w:t>
      </w:r>
    </w:p>
    <w:p w:rsidR="006C03AB" w:rsidRPr="00C15F6C" w:rsidRDefault="006C03AB" w:rsidP="00FA4DA9">
      <w:pPr>
        <w:spacing w:line="240" w:lineRule="auto"/>
        <w:jc w:val="both"/>
        <w:rPr>
          <w:rFonts w:ascii="Times New Roman" w:hAnsi="Times New Roman" w:cs="Times New Roman"/>
          <w:b/>
          <w:color w:val="FF0000"/>
          <w:sz w:val="24"/>
          <w:szCs w:val="24"/>
          <w:u w:val="single"/>
        </w:rPr>
      </w:pPr>
      <w:r w:rsidRPr="00C15F6C">
        <w:rPr>
          <w:rFonts w:ascii="Times New Roman" w:hAnsi="Times New Roman" w:cs="Times New Roman"/>
          <w:sz w:val="24"/>
          <w:szCs w:val="24"/>
        </w:rPr>
        <w:t xml:space="preserve">De esta forma, tras el repunte en 2021, se espera que el crecimiento global se desacelere gradualmente a alrededor del 3,5%. </w:t>
      </w:r>
      <w:r w:rsidRPr="00C15F6C">
        <w:rPr>
          <w:rFonts w:ascii="Times New Roman" w:hAnsi="Times New Roman" w:cs="Times New Roman"/>
          <w:b/>
          <w:color w:val="FF0000"/>
          <w:sz w:val="24"/>
          <w:szCs w:val="24"/>
          <w:u w:val="single"/>
        </w:rPr>
        <w:t xml:space="preserve">La institución calcula que la pérdida acumulada de producción en relación con la trayectoria prevista antes de la pandemia crezca desde los 11 billones entre 2020 y 2021 hasta los </w:t>
      </w:r>
      <w:r>
        <w:rPr>
          <w:rFonts w:ascii="Times New Roman" w:hAnsi="Times New Roman" w:cs="Times New Roman"/>
          <w:b/>
          <w:color w:val="FF0000"/>
          <w:sz w:val="24"/>
          <w:szCs w:val="24"/>
          <w:u w:val="single"/>
        </w:rPr>
        <w:t>28 billones entre 2020 y 2025. “</w:t>
      </w:r>
      <w:r w:rsidRPr="00C15F6C">
        <w:rPr>
          <w:rFonts w:ascii="Times New Roman" w:hAnsi="Times New Roman" w:cs="Times New Roman"/>
          <w:b/>
          <w:color w:val="FF0000"/>
          <w:sz w:val="24"/>
          <w:szCs w:val="24"/>
          <w:u w:val="single"/>
        </w:rPr>
        <w:t>Esto representa un grave revés para la mejora del nivel de vida medio en todos los grupos de paí</w:t>
      </w:r>
      <w:r>
        <w:rPr>
          <w:rFonts w:ascii="Times New Roman" w:hAnsi="Times New Roman" w:cs="Times New Roman"/>
          <w:b/>
          <w:color w:val="FF0000"/>
          <w:sz w:val="24"/>
          <w:szCs w:val="24"/>
          <w:u w:val="single"/>
        </w:rPr>
        <w:t>ses”, avisa su economista jefa.</w:t>
      </w:r>
    </w:p>
    <w:p w:rsidR="006C03AB" w:rsidRPr="00C15F6C" w:rsidRDefault="006C03AB" w:rsidP="00FA4DA9">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El equipo del Departamento de Análisis del FMI determina que, a día de hoy, sigue habiendo una tremenda incertidumbre sobre sus perspectivas con riesgo</w:t>
      </w:r>
      <w:r>
        <w:rPr>
          <w:rFonts w:ascii="Times New Roman" w:hAnsi="Times New Roman" w:cs="Times New Roman"/>
          <w:sz w:val="24"/>
          <w:szCs w:val="24"/>
        </w:rPr>
        <w:t>s tanto al alza como a la baja.</w:t>
      </w:r>
    </w:p>
    <w:p w:rsidR="006C03AB" w:rsidRPr="00C15F6C" w:rsidRDefault="006C03AB" w:rsidP="00FA4DA9">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El pesimismo apunta al repunte de las infecciones en las últimas semanas obligando a restablecer algunos confinamientos localizados. Si esto empeorase y las perspectivas tanto para tratamientos como para vacunas efectivas contra el Covid-19 se deterioran, el impacto en la actividad económica sería grave y probablemente se vería agravado por las graves turbulencias del mercado financiero. Las crecientes restricciones al comercio, en forma de aranceles, así como la creciente incertidumbre geopolítica podrían tamb</w:t>
      </w:r>
      <w:r>
        <w:rPr>
          <w:rFonts w:ascii="Times New Roman" w:hAnsi="Times New Roman" w:cs="Times New Roman"/>
          <w:sz w:val="24"/>
          <w:szCs w:val="24"/>
        </w:rPr>
        <w:t>ién perjudicar la recuperación.</w:t>
      </w:r>
    </w:p>
    <w:p w:rsidR="006C03AB" w:rsidRPr="00C15F6C" w:rsidRDefault="006C03AB" w:rsidP="00FA4DA9">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Del lado positivo, la disponibilidad más rápida y generalizada de pruebas, tratamientos, vacunas y estímulos adicionales pueden mejorar signi</w:t>
      </w:r>
      <w:r>
        <w:rPr>
          <w:rFonts w:ascii="Times New Roman" w:hAnsi="Times New Roman" w:cs="Times New Roman"/>
          <w:sz w:val="24"/>
          <w:szCs w:val="24"/>
        </w:rPr>
        <w:t>ficativamente las perspectivas.</w:t>
      </w:r>
    </w:p>
    <w:p w:rsidR="006C03AB" w:rsidRPr="00D32EB4" w:rsidRDefault="006C03AB" w:rsidP="00FA4DA9">
      <w:pPr>
        <w:spacing w:line="240" w:lineRule="auto"/>
        <w:jc w:val="both"/>
        <w:rPr>
          <w:rFonts w:ascii="Times New Roman" w:hAnsi="Times New Roman" w:cs="Times New Roman"/>
          <w:b/>
          <w:color w:val="FF0000"/>
          <w:sz w:val="24"/>
          <w:szCs w:val="24"/>
          <w:u w:val="single"/>
        </w:rPr>
      </w:pPr>
      <w:r w:rsidRPr="00D32EB4">
        <w:rPr>
          <w:rFonts w:ascii="Times New Roman" w:hAnsi="Times New Roman" w:cs="Times New Roman"/>
          <w:b/>
          <w:color w:val="FF0000"/>
          <w:sz w:val="24"/>
          <w:szCs w:val="24"/>
          <w:u w:val="single"/>
        </w:rPr>
        <w:t>Para el FMI, el considerable apoyo fiscal de cerca de 12 billones de dólares activado por los gobiernos de todo el mundo y los importantes recortes de tipos así como las inyecciones de liquidez o las compras de activos por parte de los bancos centrales han ayudado no solo a salvar vidas sino también medios de vida y evitar una catástrofe financiera.</w:t>
      </w:r>
    </w:p>
    <w:p w:rsidR="006C03AB" w:rsidRPr="00C15F6C" w:rsidRDefault="006C03AB" w:rsidP="00FA4DA9">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Dicho esto, todavía queda mucho por hacer para asegurar una recuperación sostenida. En primer lugar, el FMI exige una mayor colaboración internacional para poner fin a e</w:t>
      </w:r>
      <w:r>
        <w:rPr>
          <w:rFonts w:ascii="Times New Roman" w:hAnsi="Times New Roman" w:cs="Times New Roman"/>
          <w:sz w:val="24"/>
          <w:szCs w:val="24"/>
        </w:rPr>
        <w:t>sta crisis de salud. “</w:t>
      </w:r>
      <w:r w:rsidRPr="00C15F6C">
        <w:rPr>
          <w:rFonts w:ascii="Times New Roman" w:hAnsi="Times New Roman" w:cs="Times New Roman"/>
          <w:sz w:val="24"/>
          <w:szCs w:val="24"/>
        </w:rPr>
        <w:t>Solo si los países colaboran estrechamente habrá suficiente producción y distribución general</w:t>
      </w:r>
      <w:r>
        <w:rPr>
          <w:rFonts w:ascii="Times New Roman" w:hAnsi="Times New Roman" w:cs="Times New Roman"/>
          <w:sz w:val="24"/>
          <w:szCs w:val="24"/>
        </w:rPr>
        <w:t>izada en todas partes del mundo”</w:t>
      </w:r>
      <w:r w:rsidRPr="00C15F6C">
        <w:rPr>
          <w:rFonts w:ascii="Times New Roman" w:hAnsi="Times New Roman" w:cs="Times New Roman"/>
          <w:sz w:val="24"/>
          <w:szCs w:val="24"/>
        </w:rPr>
        <w:t>, considera Gopinath haciendo ref</w:t>
      </w:r>
      <w:r>
        <w:rPr>
          <w:rFonts w:ascii="Times New Roman" w:hAnsi="Times New Roman" w:cs="Times New Roman"/>
          <w:sz w:val="24"/>
          <w:szCs w:val="24"/>
        </w:rPr>
        <w:t>erencia a una potencial vacuna.</w:t>
      </w:r>
    </w:p>
    <w:p w:rsidR="006C03AB" w:rsidRPr="00C15F6C" w:rsidRDefault="006C03AB"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15F6C">
        <w:rPr>
          <w:rFonts w:ascii="Times New Roman" w:hAnsi="Times New Roman" w:cs="Times New Roman"/>
          <w:sz w:val="24"/>
          <w:szCs w:val="24"/>
        </w:rPr>
        <w:t>Si las soluciones médicas están disponibles más rápido y de manera más amplia en relación con nuestra línea de base esto podría conducir a un aumento acumulado en los ingresos globales de casi 9 billones de dólares hasta finales de 2025, aumentando así los ingresos en todos los países y red</w:t>
      </w:r>
      <w:r>
        <w:rPr>
          <w:rFonts w:ascii="Times New Roman" w:hAnsi="Times New Roman" w:cs="Times New Roman"/>
          <w:sz w:val="24"/>
          <w:szCs w:val="24"/>
        </w:rPr>
        <w:t>uciendo su divergencia”, añade.</w:t>
      </w:r>
    </w:p>
    <w:p w:rsidR="006C03AB" w:rsidRPr="00C15F6C" w:rsidRDefault="006C03AB" w:rsidP="00FA4DA9">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En segundo lugar, en la medida de lo posible, el Fondo recomienda que las políticas deban centrarse agresivamente en limitar el daño económico de esta crisis. Así, los gobiernos deben seguir proporcionando apoyo mediante transferencias de efectivo, subsidios sala</w:t>
      </w:r>
      <w:r>
        <w:rPr>
          <w:rFonts w:ascii="Times New Roman" w:hAnsi="Times New Roman" w:cs="Times New Roman"/>
          <w:sz w:val="24"/>
          <w:szCs w:val="24"/>
        </w:rPr>
        <w:t>riales y seguros por desempleo.</w:t>
      </w:r>
    </w:p>
    <w:p w:rsidR="006C03AB" w:rsidRPr="00C15F6C" w:rsidRDefault="006C03AB" w:rsidP="00FA4DA9">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lastRenderedPageBreak/>
        <w:t>Para prevenir quiebras a gran escala y garantizar que los empleado</w:t>
      </w:r>
      <w:r>
        <w:rPr>
          <w:rFonts w:ascii="Times New Roman" w:hAnsi="Times New Roman" w:cs="Times New Roman"/>
          <w:sz w:val="24"/>
          <w:szCs w:val="24"/>
        </w:rPr>
        <w:t>s</w:t>
      </w:r>
      <w:r w:rsidRPr="00C15F6C">
        <w:rPr>
          <w:rFonts w:ascii="Times New Roman" w:hAnsi="Times New Roman" w:cs="Times New Roman"/>
          <w:sz w:val="24"/>
          <w:szCs w:val="24"/>
        </w:rPr>
        <w:t xml:space="preserve"> puedan regresar a trabajos productivos, las empresas vulnerables pero viables deben seguir recibiendo apoyo, siempre que sea po</w:t>
      </w:r>
      <w:r>
        <w:rPr>
          <w:rFonts w:ascii="Times New Roman" w:hAnsi="Times New Roman" w:cs="Times New Roman"/>
          <w:sz w:val="24"/>
          <w:szCs w:val="24"/>
        </w:rPr>
        <w:t>sible, mediante el aplazamiento</w:t>
      </w:r>
      <w:r w:rsidRPr="00C15F6C">
        <w:rPr>
          <w:rFonts w:ascii="Times New Roman" w:hAnsi="Times New Roman" w:cs="Times New Roman"/>
          <w:sz w:val="24"/>
          <w:szCs w:val="24"/>
        </w:rPr>
        <w:t xml:space="preserve"> de impuestos, moratorias al servicio de su deuda e inyecciones similares a las de capital.</w:t>
      </w:r>
    </w:p>
    <w:p w:rsidR="006C03AB" w:rsidRPr="00C15F6C" w:rsidRDefault="006C03AB" w:rsidP="00FA4DA9">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Con el tiempo, a medida que se fortalezca la recuperación, las políticas deberían cambiar para facilitar la reasignación de trabajadores de sectores que probablemente se contraerán a largo plazo, como los viajes y el turismo, a otros de mayor crecimiento</w:t>
      </w:r>
      <w:r>
        <w:rPr>
          <w:rFonts w:ascii="Times New Roman" w:hAnsi="Times New Roman" w:cs="Times New Roman"/>
          <w:sz w:val="24"/>
          <w:szCs w:val="24"/>
        </w:rPr>
        <w:t>, como el comercio electrónico.</w:t>
      </w:r>
    </w:p>
    <w:p w:rsidR="006C03AB" w:rsidRPr="00C15F6C" w:rsidRDefault="006C03AB" w:rsidP="00FA4DA9">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Los trabajadores deberían recibir apoyo en este proceso de reajuste con transferencias de ingresos y programas de recapacitación. Esto también requerirá medidas para acelerar los procedimientos de quiebra y los mecanismos de resolución para abordar de manera eficiente la</w:t>
      </w:r>
      <w:r>
        <w:rPr>
          <w:rFonts w:ascii="Times New Roman" w:hAnsi="Times New Roman" w:cs="Times New Roman"/>
          <w:sz w:val="24"/>
          <w:szCs w:val="24"/>
        </w:rPr>
        <w:t>s insolvencias de las empresas.</w:t>
      </w:r>
    </w:p>
    <w:p w:rsidR="006C03AB" w:rsidRDefault="006C03AB" w:rsidP="00FA4DA9">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Por último, un impulso el inversión pública en infraestructura verde en tiempos de tasas de interés bajas y alta incertidumbre puede aumentar significativamente los puestos de trabajo y acelerar la recuperación, al mismo tiempo que sirve como un gran paso inicial hacia la reducción de las emisiones de carbono.</w:t>
      </w:r>
    </w:p>
    <w:p w:rsidR="006C03AB" w:rsidRDefault="006C03AB"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74F6C">
        <w:rPr>
          <w:rFonts w:ascii="Times New Roman" w:hAnsi="Times New Roman" w:cs="Times New Roman"/>
          <w:sz w:val="24"/>
          <w:szCs w:val="24"/>
          <w:u w:val="single"/>
        </w:rPr>
        <w:t>Gita Gopinath (FMI): “</w:t>
      </w:r>
      <w:r w:rsidRPr="00C15F6C">
        <w:rPr>
          <w:rFonts w:ascii="Times New Roman" w:hAnsi="Times New Roman" w:cs="Times New Roman"/>
          <w:sz w:val="24"/>
          <w:szCs w:val="24"/>
          <w:u w:val="single"/>
        </w:rPr>
        <w:t>La economía global no volverá</w:t>
      </w:r>
      <w:r>
        <w:rPr>
          <w:rFonts w:ascii="Times New Roman" w:hAnsi="Times New Roman" w:cs="Times New Roman"/>
          <w:sz w:val="24"/>
          <w:szCs w:val="24"/>
          <w:u w:val="single"/>
        </w:rPr>
        <w:t xml:space="preserve"> a la senda precovid hasta 2025”</w:t>
      </w:r>
      <w:r>
        <w:rPr>
          <w:rFonts w:ascii="Times New Roman" w:hAnsi="Times New Roman" w:cs="Times New Roman"/>
          <w:sz w:val="24"/>
          <w:szCs w:val="24"/>
        </w:rPr>
        <w:t xml:space="preserve"> (El Economista - </w:t>
      </w:r>
      <w:r w:rsidRPr="00C15F6C">
        <w:rPr>
          <w:rFonts w:ascii="Times New Roman" w:hAnsi="Times New Roman" w:cs="Times New Roman"/>
          <w:b/>
          <w:sz w:val="24"/>
          <w:szCs w:val="24"/>
        </w:rPr>
        <w:t>14/10/20</w:t>
      </w:r>
      <w:r>
        <w:rPr>
          <w:rFonts w:ascii="Times New Roman" w:hAnsi="Times New Roman" w:cs="Times New Roman"/>
          <w:sz w:val="24"/>
          <w:szCs w:val="24"/>
        </w:rPr>
        <w:t>)</w:t>
      </w:r>
    </w:p>
    <w:p w:rsidR="006C03AB" w:rsidRDefault="006C03AB"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(Por José Luis de Haro)</w:t>
      </w:r>
    </w:p>
    <w:p w:rsidR="006C03AB" w:rsidRPr="00C15F6C" w:rsidRDefault="006C03AB" w:rsidP="00FA4DA9">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La primera mujer economista jefa del Fondo Monetario Internacional (FMI) actúa en estos momentos de brújula para guiar a los 189 países miembros de la institución en la peor crisis económica desde la Gran Depresión. Gita Gopinath, nacida en la India, doctorada en Princeton y profesora en la Universidad de Harvard atendía esta semana a elEconomista para desgranar la última edición de sus Perspectivas de Crecimiento Mundial (WEO, por sus siglas en inglés). Concisa y directa, Gopinath observa una recuperación larga, desigual e incierta para la economía global. También insiste en que el impacto de la pandemia no será pasajero</w:t>
      </w:r>
      <w:r>
        <w:rPr>
          <w:rFonts w:ascii="Times New Roman" w:hAnsi="Times New Roman" w:cs="Times New Roman"/>
          <w:sz w:val="24"/>
          <w:szCs w:val="24"/>
        </w:rPr>
        <w:t xml:space="preserve"> y dejará huella a medio plazo.</w:t>
      </w:r>
    </w:p>
    <w:p w:rsidR="006C03AB" w:rsidRPr="00C15F6C" w:rsidRDefault="006C03AB" w:rsidP="00FA4DA9">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 xml:space="preserve">Es por ello que habrá que hilar fino. Los niveles de deuda pública ascenderán este año hasta niveles récord, como es el caso de España, por las medidas excepcionales para limitar el impacto de la crisis en la sociedad y el desplome en los ingresos. La economista jefa del Fondo considera que, obviamente, este no es el momento para una consolidación fiscal pero se puede comenzar a planear cuál será </w:t>
      </w:r>
      <w:r>
        <w:rPr>
          <w:rFonts w:ascii="Times New Roman" w:hAnsi="Times New Roman" w:cs="Times New Roman"/>
          <w:sz w:val="24"/>
          <w:szCs w:val="24"/>
        </w:rPr>
        <w:t>la hoja de ruta a medio plazo. “</w:t>
      </w:r>
      <w:r w:rsidRPr="00C15F6C">
        <w:rPr>
          <w:rFonts w:ascii="Times New Roman" w:hAnsi="Times New Roman" w:cs="Times New Roman"/>
          <w:sz w:val="24"/>
          <w:szCs w:val="24"/>
        </w:rPr>
        <w:t>Hay que pensar en planes una vez que la recuperación se vuelva más fuerte y la pandemia haya pasado para que los países comiencen a acumular reservas, reduciendo sus niveles de endeudamiento y mejorand</w:t>
      </w:r>
      <w:r>
        <w:rPr>
          <w:rFonts w:ascii="Times New Roman" w:hAnsi="Times New Roman" w:cs="Times New Roman"/>
          <w:sz w:val="24"/>
          <w:szCs w:val="24"/>
        </w:rPr>
        <w:t>o la situación fiscal”, señala.</w:t>
      </w:r>
    </w:p>
    <w:p w:rsidR="006C03AB" w:rsidRPr="00C15F6C" w:rsidRDefault="006C03AB" w:rsidP="00FA4DA9">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Este consejo es aplicable a nuestro país, que sufrirá el mayor golpe entre las principales economías del mundo este año. Aunque la proyección para 2021 indique un repunte del 7,2% es importante destacar que la economía española no comenzará a reducir su tasa de desempleo hasta un año después. Todo ello en un momento en que la dependencia del turismo y el elevado número de contratos temporales son solo algunos de los factores que dificultan aún más la recuperación en Espa</w:t>
      </w:r>
      <w:r>
        <w:rPr>
          <w:rFonts w:ascii="Times New Roman" w:hAnsi="Times New Roman" w:cs="Times New Roman"/>
          <w:sz w:val="24"/>
          <w:szCs w:val="24"/>
        </w:rPr>
        <w:t>ña con respecto a otros países.</w:t>
      </w:r>
    </w:p>
    <w:p w:rsidR="006C03AB" w:rsidRPr="00C15F6C" w:rsidRDefault="006C03AB" w:rsidP="00FA4DA9">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Parece que el FMI prevé una recuperación en forma de K, con un crecimiento desigual e inusual en el futuro que podría dejar atrás a los más vulnerables. ¿Está de acuerdo?</w:t>
      </w:r>
    </w:p>
    <w:p w:rsidR="006C03AB" w:rsidRPr="00C15F6C" w:rsidRDefault="006C03AB" w:rsidP="00FA4DA9">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lastRenderedPageBreak/>
        <w:t>La disparidad en las perspectivas ha aumentado dentro de los países. Los trabajadores de bajos ingresos y poco cualificados se están viendo mucho más afectados que aquellos con habilidades más especializados. A nivel internacional, si se excluye a China, se prevé que las economías emergentes se vean más afectadas por esta crisis que las avanzadas. Estamos viendo una mayor divergenc</w:t>
      </w:r>
      <w:r>
        <w:rPr>
          <w:rFonts w:ascii="Times New Roman" w:hAnsi="Times New Roman" w:cs="Times New Roman"/>
          <w:sz w:val="24"/>
          <w:szCs w:val="24"/>
        </w:rPr>
        <w:t>ia en muchos lugares del mundo.</w:t>
      </w:r>
    </w:p>
    <w:p w:rsidR="006C03AB" w:rsidRPr="00C15F6C" w:rsidRDefault="006C03AB" w:rsidP="00FA4DA9">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¿Cómo de preocupada está por las posibles cicatrices que dejará la actual crisis? ¿Podrá la economía global volver al mismo camino</w:t>
      </w:r>
      <w:r>
        <w:rPr>
          <w:rFonts w:ascii="Times New Roman" w:hAnsi="Times New Roman" w:cs="Times New Roman"/>
          <w:sz w:val="24"/>
          <w:szCs w:val="24"/>
        </w:rPr>
        <w:t xml:space="preserve"> previsto antes de la pandemia?</w:t>
      </w:r>
    </w:p>
    <w:p w:rsidR="006C03AB" w:rsidRPr="00C15F6C" w:rsidRDefault="006C03AB" w:rsidP="00FA4DA9">
      <w:pPr>
        <w:spacing w:line="240" w:lineRule="auto"/>
        <w:jc w:val="both"/>
        <w:rPr>
          <w:rFonts w:ascii="Times New Roman" w:hAnsi="Times New Roman" w:cs="Times New Roman"/>
          <w:sz w:val="24"/>
          <w:szCs w:val="24"/>
        </w:rPr>
      </w:pPr>
      <w:r w:rsidRPr="00C15F6C">
        <w:rPr>
          <w:rFonts w:ascii="Times New Roman" w:hAnsi="Times New Roman" w:cs="Times New Roman"/>
          <w:b/>
          <w:color w:val="FF0000"/>
          <w:sz w:val="24"/>
          <w:szCs w:val="24"/>
          <w:u w:val="single"/>
        </w:rPr>
        <w:t>En nuestra proyección de referencia, la economía global no volverá a la misma trayectoria al menos hasta 2025. Incluso para entonces existe una brecha significativa con respecto a lo que habíamos proyectado antes del Covid. Ésta varía entre países y regiones</w:t>
      </w:r>
      <w:r w:rsidRPr="00C15F6C">
        <w:rPr>
          <w:rFonts w:ascii="Times New Roman" w:hAnsi="Times New Roman" w:cs="Times New Roman"/>
          <w:sz w:val="24"/>
          <w:szCs w:val="24"/>
        </w:rPr>
        <w:t xml:space="preserve">. Por ejemplo, en América Latina, será aún mayor. </w:t>
      </w:r>
      <w:r w:rsidRPr="00C15F6C">
        <w:rPr>
          <w:rFonts w:ascii="Times New Roman" w:hAnsi="Times New Roman" w:cs="Times New Roman"/>
          <w:color w:val="FF0000"/>
          <w:sz w:val="24"/>
          <w:szCs w:val="24"/>
          <w:u w:val="single"/>
        </w:rPr>
        <w:t>En términos de la recuperación, China parece experimentar una en forma de V y el resto de países se debaten entre una V y una L.</w:t>
      </w:r>
      <w:r w:rsidRPr="00C15F6C">
        <w:rPr>
          <w:rFonts w:ascii="Times New Roman" w:hAnsi="Times New Roman" w:cs="Times New Roman"/>
          <w:sz w:val="24"/>
          <w:szCs w:val="24"/>
        </w:rPr>
        <w:t xml:space="preserve"> Aquellos que dependen más del turismo seguramente experimenten una recuperación en forma de L mientras en los más orientados a las manufacturas ésta será más rápida. Aun así, en todo el mundo, esta crisis supone un golpe a medio plazo. No es algo transitorio y tendrá un efecto permanente en la producción.</w:t>
      </w:r>
    </w:p>
    <w:p w:rsidR="006C03AB" w:rsidRPr="00D32EB4" w:rsidRDefault="006C03AB" w:rsidP="00FA4DA9">
      <w:pPr>
        <w:spacing w:line="240" w:lineRule="auto"/>
        <w:jc w:val="both"/>
        <w:rPr>
          <w:rFonts w:ascii="Times New Roman" w:hAnsi="Times New Roman" w:cs="Times New Roman"/>
          <w:color w:val="FF0000"/>
          <w:sz w:val="24"/>
          <w:szCs w:val="24"/>
          <w:u w:val="single"/>
        </w:rPr>
      </w:pPr>
      <w:r w:rsidRPr="00D32EB4">
        <w:rPr>
          <w:rFonts w:ascii="Times New Roman" w:hAnsi="Times New Roman" w:cs="Times New Roman"/>
          <w:color w:val="FF0000"/>
          <w:sz w:val="24"/>
          <w:szCs w:val="24"/>
          <w:u w:val="single"/>
        </w:rPr>
        <w:t>Europa ha sufrido una recesión mucho más acusada que Estados Unidos en la primera mitad del año. ¿Qué importancia tendrá para la potencial recuperación en 2021 y más allá el fondo de 750.000 millones de euros?</w:t>
      </w:r>
    </w:p>
    <w:p w:rsidR="006C03AB" w:rsidRPr="00D32EB4" w:rsidRDefault="006C03AB" w:rsidP="00FA4DA9">
      <w:pPr>
        <w:spacing w:line="240" w:lineRule="auto"/>
        <w:jc w:val="both"/>
        <w:rPr>
          <w:rFonts w:ascii="Times New Roman" w:hAnsi="Times New Roman" w:cs="Times New Roman"/>
          <w:color w:val="FF0000"/>
          <w:sz w:val="24"/>
          <w:szCs w:val="24"/>
          <w:u w:val="single"/>
        </w:rPr>
      </w:pPr>
      <w:r w:rsidRPr="00D32EB4">
        <w:rPr>
          <w:rFonts w:ascii="Times New Roman" w:hAnsi="Times New Roman" w:cs="Times New Roman"/>
          <w:color w:val="FF0000"/>
          <w:sz w:val="24"/>
          <w:szCs w:val="24"/>
          <w:u w:val="single"/>
        </w:rPr>
        <w:t>En la eurozona el impacto ha sido mucho mayor debido a los confinamientos más estrictos. Países como Italia, España y Francia, que dependen en gran medida del turismo, se están viendo muy afectados mientras que ya estamos observando una segunda ola de infecciones, por lo que la preocupación es obvia. Es muy importante que estos países puedan proporcionar el apoyo que requieren tanto sus ciudadanos como sus empresas. Cualquier paquete de amplio alcance como el acordado juega un papel muy importante. El fondo de recuperación es fundamental, pero el dinero debe utilizarse para inversiones y programas de alta calidad que puedan tener un impacto sustancial y positivo en el crecimiento de los países que lo reciben.</w:t>
      </w:r>
    </w:p>
    <w:p w:rsidR="006C03AB" w:rsidRPr="00C15F6C" w:rsidRDefault="006C03AB" w:rsidP="00FA4DA9">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 xml:space="preserve">¿Tendría un retraso en la distribución de dichos fondos un impacto en las proyecciones que el FMI tiene ahora </w:t>
      </w:r>
      <w:r>
        <w:rPr>
          <w:rFonts w:ascii="Times New Roman" w:hAnsi="Times New Roman" w:cs="Times New Roman"/>
          <w:sz w:val="24"/>
          <w:szCs w:val="24"/>
        </w:rPr>
        <w:t>mismo para los países europeos?</w:t>
      </w:r>
    </w:p>
    <w:p w:rsidR="006C03AB" w:rsidRPr="00C15F6C" w:rsidRDefault="006C03AB" w:rsidP="00FA4DA9">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El calendario de distribución afectará principalmente a las cifras de 2021, por lo que no me preocuparía demasiado en este momento por demoras inmediatas. No obstante, será muy importante que los fondos lleguen lo más rápido posible a manos de los países que los necesitan. Cuando lo hagan, los países deben tener ya listos los planes y programas así como las inversiones de alta calidad para ser implementados.</w:t>
      </w:r>
    </w:p>
    <w:p w:rsidR="006C03AB" w:rsidRPr="00C15F6C" w:rsidRDefault="006C03AB" w:rsidP="00FA4DA9">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¿Cómo se reconcilia la idea de una recuperación para España, la economía más golpeada por la crisis, que contará con un desempleo obstinadamente alto y una situación fiscal muy deteriorada en el medio plazo? ¿Cu</w:t>
      </w:r>
      <w:r>
        <w:rPr>
          <w:rFonts w:ascii="Times New Roman" w:hAnsi="Times New Roman" w:cs="Times New Roman"/>
          <w:sz w:val="24"/>
          <w:szCs w:val="24"/>
        </w:rPr>
        <w:t>áles son los riesgos a la baja?</w:t>
      </w:r>
    </w:p>
    <w:p w:rsidR="006C03AB" w:rsidRPr="00C15F6C" w:rsidRDefault="006C03AB" w:rsidP="00FA4DA9">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 xml:space="preserve">España se ha visto muy afectada por la pandemia. El número de casos per cápita ha sido elevado. La economía depende en gran medida del turismo y sabemos que los países que dependen mucho del turismo se han recuperado más lentamente. Hay muchos más trabajadores con contrato temporal. Todos estos factores son la razón por la que el país está sufriendo un fuerte impacto. Ahora también estamos viendo el resurgimiento de las infecciones y los confinamientos localizados. Eso hará que la recuperación sea aún mucho </w:t>
      </w:r>
      <w:r w:rsidRPr="00C15F6C">
        <w:rPr>
          <w:rFonts w:ascii="Times New Roman" w:hAnsi="Times New Roman" w:cs="Times New Roman"/>
          <w:sz w:val="24"/>
          <w:szCs w:val="24"/>
        </w:rPr>
        <w:lastRenderedPageBreak/>
        <w:t xml:space="preserve">más difícil. Es importante que España pueda mantenerse al día, o al menos, de la mejor manera posible, con el apoyo a sus trabajadores y empresas. España también debe planear un marco fiscal a medio plazo para reducir los niveles de deuda a los niveles anteriores a la crisis. Pero, en este momento, </w:t>
      </w:r>
      <w:r>
        <w:rPr>
          <w:rFonts w:ascii="Times New Roman" w:hAnsi="Times New Roman" w:cs="Times New Roman"/>
          <w:sz w:val="24"/>
          <w:szCs w:val="24"/>
        </w:rPr>
        <w:t>debería seguir brindando apoyo.</w:t>
      </w:r>
    </w:p>
    <w:p w:rsidR="006C03AB" w:rsidRPr="00C15F6C" w:rsidRDefault="006C03AB" w:rsidP="00FA4DA9">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¿Supondrá esta crisis un catalizador que forzará una transición en el mercado laboral de aquellas economías que dependen de sectores específicos, como el turismo? ¿Cómo se</w:t>
      </w:r>
      <w:r>
        <w:rPr>
          <w:rFonts w:ascii="Times New Roman" w:hAnsi="Times New Roman" w:cs="Times New Roman"/>
          <w:sz w:val="24"/>
          <w:szCs w:val="24"/>
        </w:rPr>
        <w:t xml:space="preserve"> puede minimizar dicho impacto?</w:t>
      </w:r>
    </w:p>
    <w:p w:rsidR="006C03AB" w:rsidRPr="00C15F6C" w:rsidRDefault="006C03AB" w:rsidP="00FA4DA9">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Es un gran desafío, independientemente de lo que suceda con la crisis. Por ejemplo, todos nos hemos dado cuenta de que podemos hacer mucho más sin tener que viajar. Así que dicho sector va a sufrir un fuerte impacto y de forma permanente. Y si tenemos una economía que depende en gran medida de las personas que visitan el país, bien por trabajo o por placer, el impacto en la producción será duradero. Es por ello que habrá que encontrar nuevas formas de crear empleo. Una de las recomendaciones que hacemos es incrementar la inversión pública medioambiental y sostenible. Ese es un sector que crea muchos puestos de trabajo y conduce a una recuperación rica en empleo. Pero estas transiciones no son fáciles. No voy a decir que esto puede suceder rápidamente. Es por eso que es crucial apoyar a los trabajadores d</w:t>
      </w:r>
      <w:r>
        <w:rPr>
          <w:rFonts w:ascii="Times New Roman" w:hAnsi="Times New Roman" w:cs="Times New Roman"/>
          <w:sz w:val="24"/>
          <w:szCs w:val="24"/>
        </w:rPr>
        <w:t>urante este tipo de transición.</w:t>
      </w:r>
    </w:p>
    <w:p w:rsidR="006C03AB" w:rsidRPr="00C15F6C" w:rsidRDefault="006C03AB" w:rsidP="00FA4DA9">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 xml:space="preserve">¿Ha empeorado estructuralmente la pandemia las perspectivas laborales para los trabajadores jóvenes, ya golpeados por la crisis financiera, en las </w:t>
      </w:r>
      <w:r>
        <w:rPr>
          <w:rFonts w:ascii="Times New Roman" w:hAnsi="Times New Roman" w:cs="Times New Roman"/>
          <w:sz w:val="24"/>
          <w:szCs w:val="24"/>
        </w:rPr>
        <w:t>economías avanzadas?</w:t>
      </w:r>
    </w:p>
    <w:p w:rsidR="006C03AB" w:rsidRPr="00C15F6C" w:rsidRDefault="006C03AB" w:rsidP="00FA4DA9">
      <w:pPr>
        <w:spacing w:line="240" w:lineRule="auto"/>
        <w:jc w:val="both"/>
        <w:rPr>
          <w:rFonts w:ascii="Times New Roman" w:hAnsi="Times New Roman" w:cs="Times New Roman"/>
          <w:sz w:val="24"/>
          <w:szCs w:val="24"/>
        </w:rPr>
      </w:pPr>
      <w:r w:rsidRPr="00C15F6C">
        <w:rPr>
          <w:rFonts w:ascii="Times New Roman" w:hAnsi="Times New Roman" w:cs="Times New Roman"/>
          <w:color w:val="FF0000"/>
          <w:sz w:val="24"/>
          <w:szCs w:val="24"/>
          <w:u w:val="single"/>
        </w:rPr>
        <w:t>Hemos aprendido de recesiones anteriores que un trabajador joven y nuevo en la fuerza laboral durante uno de estos episodios lamentablemente sufrirá un efecto permanente en sus perspectivas de futuro</w:t>
      </w:r>
      <w:r w:rsidRPr="00C15F6C">
        <w:rPr>
          <w:rFonts w:ascii="Times New Roman" w:hAnsi="Times New Roman" w:cs="Times New Roman"/>
          <w:sz w:val="24"/>
          <w:szCs w:val="24"/>
        </w:rPr>
        <w:t>. No debemos dar esto por hecho y el gobierno debe trabajar de manera proactiva para poder volver a capacitar a los trabajadores según sea necesario, fomentar las oportunidades de empleo disponibles y proporcionar subsidios específicos para contratar a los jóvenes. Todos estos factores pueden ayudar a prevenir las cicatrices a largo plazo. Pero hay una segunda característica a tener en cuenta, y es que la pandemia está impulsando un aumento en la automatización. Y con ello algunas de las tendencias anteriores en términos de dónde se originarán los nuevos empleos. Creo que esa preocupación va en aumento. Por lo tanto, los gobiernos deberán prestar mucha atención a todos estos cambios estr</w:t>
      </w:r>
      <w:r>
        <w:rPr>
          <w:rFonts w:ascii="Times New Roman" w:hAnsi="Times New Roman" w:cs="Times New Roman"/>
          <w:sz w:val="24"/>
          <w:szCs w:val="24"/>
        </w:rPr>
        <w:t>ucturales que están ocurriendo.</w:t>
      </w:r>
    </w:p>
    <w:p w:rsidR="006C03AB" w:rsidRPr="00C15F6C" w:rsidRDefault="006C03AB" w:rsidP="00FA4DA9">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 xml:space="preserve">¿Cómo afectará la consolidación fiscal que será necesaria a medio plazo a los planes públicos de pensiones en las economías avanzadas si la jubilación depende en </w:t>
      </w:r>
      <w:r>
        <w:rPr>
          <w:rFonts w:ascii="Times New Roman" w:hAnsi="Times New Roman" w:cs="Times New Roman"/>
          <w:sz w:val="24"/>
          <w:szCs w:val="24"/>
        </w:rPr>
        <w:t>gran medida de tales programas?</w:t>
      </w:r>
    </w:p>
    <w:p w:rsidR="006C03AB" w:rsidRPr="00C15F6C" w:rsidRDefault="006C03AB" w:rsidP="00FA4DA9">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Esto será específico de cada país. Hay algunos que ya estaban haciendo reformas en las pensiones antes de que estallara la crisis y las han puesto en pausa. No obstante, continuarán con este proceso una vez que la catástrofe haya pasado. Pero no se trata solo de reducir el gasto, también se trata de aumentar los ingresos. Podemos ver un mundo donde algunos países pueden tener aún más progresividad en sus sistemas tributarios. Es necesario garantizar que las multinacionales pagan su parte justa de impuestos. Habrá nuevas formas de recaudación de ingresos. Además, el simple hecho de evitar las lagunas y la evasión fiscal puede generar ingresos, y este es también es un factor muy importante en la consolidación fiscal en el futuro.</w:t>
      </w:r>
    </w:p>
    <w:p w:rsidR="006C03AB" w:rsidRPr="00C15F6C" w:rsidRDefault="006C03AB" w:rsidP="00FA4DA9">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Por último, ¿qué impacto tendrán en la recuperación las tensiones comerciales entre las principales economías del mundo, instigadas principalmente por Estados Unidos?</w:t>
      </w:r>
    </w:p>
    <w:p w:rsidR="006C03AB" w:rsidRPr="00C15F6C" w:rsidRDefault="006C03AB" w:rsidP="00FA4DA9">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lastRenderedPageBreak/>
        <w:t xml:space="preserve">Las restricciones comerciales, a la inversión, en la tecnología,... todas han ido en aumento. Ya crecían antes de que estallara la crisis y lo han hecho aún más desde entonces. Este es un gran problema para la economía global. Y es muy importante que los países trabajen juntos para no incrementar aún más el proteccionismo. Al comienzo de esta pandemia, muchos países impusieron restricciones a las exportaciones de medicamentos. Afortunadamente, varios de ellos no las consolidaron, pero me preocupa que una vez que los tratamientos y las vacunas estén disponibles, podría haber países que comiencen a poner de nuevo controles de exportación. Realmente tenemos que evitar esto porque los países deben trabajar juntos para asegurarse de que todos superan la pandemia aproximadamente al mismo tiempo. No podemos permitirnos otro gran impacto en la productividad y eso es lo que sucederá si </w:t>
      </w:r>
      <w:r>
        <w:rPr>
          <w:rFonts w:ascii="Times New Roman" w:hAnsi="Times New Roman" w:cs="Times New Roman"/>
          <w:sz w:val="24"/>
          <w:szCs w:val="24"/>
        </w:rPr>
        <w:t>el sistema comercial colapsase.</w:t>
      </w:r>
    </w:p>
    <w:p w:rsidR="006C03AB" w:rsidRDefault="006C03AB" w:rsidP="00FA4DA9">
      <w:pPr>
        <w:pStyle w:val="NormalWeb"/>
        <w:spacing w:before="0" w:beforeAutospacing="0" w:after="0" w:afterAutospacing="0"/>
        <w:jc w:val="both"/>
        <w:textAlignment w:val="baseline"/>
      </w:pPr>
    </w:p>
    <w:p w:rsidR="00E36222" w:rsidRPr="00E36222" w:rsidRDefault="00E36222" w:rsidP="00FA4DA9">
      <w:pPr>
        <w:shd w:val="clear" w:color="auto" w:fill="FFFFFF"/>
        <w:spacing w:after="0" w:line="240" w:lineRule="auto"/>
        <w:jc w:val="both"/>
        <w:textAlignment w:val="baseline"/>
        <w:rPr>
          <w:rFonts w:ascii="Times New Roman" w:eastAsia="Times New Roman" w:hAnsi="Times New Roman" w:cs="Times New Roman"/>
          <w:sz w:val="24"/>
          <w:szCs w:val="24"/>
        </w:rPr>
      </w:pPr>
    </w:p>
    <w:p w:rsidR="007C5D83" w:rsidRDefault="007C5D83" w:rsidP="00FA4DA9">
      <w:pPr>
        <w:shd w:val="clear" w:color="auto" w:fill="FFFFFF"/>
        <w:spacing w:after="0" w:line="240" w:lineRule="auto"/>
        <w:jc w:val="both"/>
        <w:textAlignment w:val="baseline"/>
        <w:rPr>
          <w:rFonts w:ascii="Times New Roman" w:eastAsia="Times New Roman" w:hAnsi="Times New Roman" w:cs="Times New Roman"/>
          <w:sz w:val="24"/>
          <w:szCs w:val="24"/>
        </w:rPr>
      </w:pPr>
      <w:r>
        <w:rPr>
          <w:noProof/>
          <w:lang w:eastAsia="es-ES"/>
        </w:rPr>
        <w:drawing>
          <wp:inline distT="0" distB="0" distL="0" distR="0" wp14:anchorId="0F7A180F" wp14:editId="59F9AD79">
            <wp:extent cx="5731510" cy="4500880"/>
            <wp:effectExtent l="0" t="0" r="2540" b="0"/>
            <wp:docPr id="125" name="Imagen 125" descr="Evolución PIB y tasa desempleo en Europa. (Fuente: F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volución PIB y tasa desempleo en Europa. (Fuente: FMI)"/>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731510" cy="4500880"/>
                    </a:xfrm>
                    <a:prstGeom prst="rect">
                      <a:avLst/>
                    </a:prstGeom>
                    <a:noFill/>
                    <a:ln>
                      <a:noFill/>
                    </a:ln>
                  </pic:spPr>
                </pic:pic>
              </a:graphicData>
            </a:graphic>
          </wp:inline>
        </w:drawing>
      </w:r>
    </w:p>
    <w:p w:rsidR="007C5D83" w:rsidRPr="003804D9" w:rsidRDefault="007C5D83" w:rsidP="00FA4DA9">
      <w:pPr>
        <w:pStyle w:val="Sinespaciado"/>
        <w:jc w:val="both"/>
        <w:rPr>
          <w:rFonts w:ascii="Times New Roman" w:hAnsi="Times New Roman" w:cs="Times New Roman"/>
          <w:sz w:val="24"/>
          <w:szCs w:val="24"/>
        </w:rPr>
      </w:pPr>
      <w:r w:rsidRPr="003804D9">
        <w:rPr>
          <w:rFonts w:ascii="Times New Roman" w:hAnsi="Times New Roman" w:cs="Times New Roman"/>
          <w:sz w:val="24"/>
          <w:szCs w:val="24"/>
        </w:rPr>
        <w:t>Evolución PIB y tasa desempleo en Europa. (Fuente: FMI)</w:t>
      </w:r>
    </w:p>
    <w:p w:rsidR="00E36222" w:rsidRDefault="00E36222" w:rsidP="00FA4DA9">
      <w:pPr>
        <w:pStyle w:val="Sinespaciado"/>
        <w:jc w:val="both"/>
        <w:rPr>
          <w:rFonts w:ascii="Times New Roman" w:hAnsi="Times New Roman" w:cs="Times New Roman"/>
          <w:sz w:val="24"/>
          <w:szCs w:val="24"/>
        </w:rPr>
      </w:pPr>
    </w:p>
    <w:p w:rsidR="007C5D83" w:rsidRDefault="007C5D83" w:rsidP="00FA4DA9">
      <w:pPr>
        <w:pStyle w:val="Sinespaciado"/>
        <w:jc w:val="both"/>
        <w:rPr>
          <w:rFonts w:ascii="Times New Roman" w:hAnsi="Times New Roman" w:cs="Times New Roman"/>
          <w:sz w:val="24"/>
          <w:szCs w:val="24"/>
        </w:rPr>
      </w:pPr>
      <w:r>
        <w:rPr>
          <w:rFonts w:ascii="Times New Roman" w:hAnsi="Times New Roman" w:cs="Times New Roman"/>
          <w:sz w:val="24"/>
          <w:szCs w:val="24"/>
        </w:rPr>
        <w:t xml:space="preserve">- </w:t>
      </w:r>
      <w:r w:rsidRPr="00D30FDF">
        <w:rPr>
          <w:rFonts w:ascii="Times New Roman" w:hAnsi="Times New Roman" w:cs="Times New Roman"/>
          <w:sz w:val="24"/>
          <w:szCs w:val="24"/>
          <w:u w:val="single"/>
        </w:rPr>
        <w:t>El FMI alerta de que la deuda global iguala por primera vez al tamaño de la economía mundial</w:t>
      </w:r>
      <w:r>
        <w:rPr>
          <w:rFonts w:ascii="Times New Roman" w:hAnsi="Times New Roman" w:cs="Times New Roman"/>
          <w:sz w:val="24"/>
          <w:szCs w:val="24"/>
        </w:rPr>
        <w:t xml:space="preserve"> (Cinco Días - </w:t>
      </w:r>
      <w:r>
        <w:rPr>
          <w:rFonts w:ascii="Times New Roman" w:hAnsi="Times New Roman" w:cs="Times New Roman"/>
          <w:b/>
          <w:sz w:val="24"/>
          <w:szCs w:val="24"/>
        </w:rPr>
        <w:t>14</w:t>
      </w:r>
      <w:r w:rsidRPr="00D30FDF">
        <w:rPr>
          <w:rFonts w:ascii="Times New Roman" w:hAnsi="Times New Roman" w:cs="Times New Roman"/>
          <w:b/>
          <w:sz w:val="24"/>
          <w:szCs w:val="24"/>
        </w:rPr>
        <w:t>/10/20</w:t>
      </w:r>
      <w:r>
        <w:rPr>
          <w:rFonts w:ascii="Times New Roman" w:hAnsi="Times New Roman" w:cs="Times New Roman"/>
          <w:sz w:val="24"/>
          <w:szCs w:val="24"/>
        </w:rPr>
        <w:t>)</w:t>
      </w:r>
    </w:p>
    <w:p w:rsidR="007C5D83" w:rsidRPr="002965E1" w:rsidRDefault="007C5D83" w:rsidP="00FA4DA9">
      <w:pPr>
        <w:pStyle w:val="Sinespaciado"/>
        <w:jc w:val="both"/>
        <w:rPr>
          <w:rFonts w:ascii="Times New Roman" w:hAnsi="Times New Roman" w:cs="Times New Roman"/>
          <w:sz w:val="24"/>
          <w:szCs w:val="24"/>
        </w:rPr>
      </w:pPr>
    </w:p>
    <w:p w:rsidR="007C5D83" w:rsidRDefault="00E36222" w:rsidP="00FA4DA9">
      <w:pPr>
        <w:pStyle w:val="Sinespaciado"/>
        <w:jc w:val="both"/>
        <w:rPr>
          <w:rFonts w:ascii="Times New Roman" w:hAnsi="Times New Roman" w:cs="Times New Roman"/>
          <w:sz w:val="24"/>
          <w:szCs w:val="24"/>
        </w:rPr>
      </w:pPr>
      <w:r>
        <w:rPr>
          <w:rFonts w:ascii="Times New Roman" w:hAnsi="Times New Roman" w:cs="Times New Roman"/>
          <w:sz w:val="24"/>
          <w:szCs w:val="24"/>
        </w:rPr>
        <w:t xml:space="preserve"> </w:t>
      </w:r>
      <w:r w:rsidR="007C5D83">
        <w:rPr>
          <w:rFonts w:ascii="Times New Roman" w:hAnsi="Times New Roman" w:cs="Times New Roman"/>
          <w:sz w:val="24"/>
          <w:szCs w:val="24"/>
        </w:rPr>
        <w:t xml:space="preserve">(Por </w:t>
      </w:r>
      <w:r w:rsidR="007C5D83" w:rsidRPr="002965E1">
        <w:rPr>
          <w:rFonts w:ascii="Times New Roman" w:hAnsi="Times New Roman" w:cs="Times New Roman"/>
          <w:sz w:val="24"/>
          <w:szCs w:val="24"/>
        </w:rPr>
        <w:t>Juande Portillo</w:t>
      </w:r>
      <w:r w:rsidR="007C5D83">
        <w:rPr>
          <w:rFonts w:ascii="Times New Roman" w:hAnsi="Times New Roman" w:cs="Times New Roman"/>
          <w:sz w:val="24"/>
          <w:szCs w:val="24"/>
        </w:rPr>
        <w:t>)</w:t>
      </w:r>
    </w:p>
    <w:p w:rsidR="00707530" w:rsidRDefault="00707530" w:rsidP="00FA4DA9">
      <w:pPr>
        <w:pStyle w:val="Sinespaciado"/>
        <w:jc w:val="both"/>
        <w:rPr>
          <w:rFonts w:ascii="Times New Roman" w:hAnsi="Times New Roman" w:cs="Times New Roman"/>
          <w:sz w:val="24"/>
          <w:szCs w:val="24"/>
        </w:rPr>
      </w:pPr>
    </w:p>
    <w:p w:rsidR="00707530" w:rsidRPr="00D30FDF" w:rsidRDefault="00707530" w:rsidP="00707530">
      <w:pPr>
        <w:pStyle w:val="Sinespaciado"/>
        <w:jc w:val="both"/>
        <w:rPr>
          <w:rFonts w:ascii="Times New Roman" w:hAnsi="Times New Roman" w:cs="Times New Roman"/>
          <w:sz w:val="24"/>
          <w:szCs w:val="24"/>
        </w:rPr>
      </w:pPr>
      <w:r w:rsidRPr="00D30FDF">
        <w:rPr>
          <w:rFonts w:ascii="Times New Roman" w:hAnsi="Times New Roman" w:cs="Times New Roman"/>
          <w:sz w:val="24"/>
          <w:szCs w:val="24"/>
        </w:rPr>
        <w:t>El coste de afrontar la pandemia del coronavirus supondrá una factura tan inédita que está a punto de elevar el endeudamiento global hasta el punto de igualar, por primera vez en la historia, el tamaño de la economía mundial.</w:t>
      </w:r>
    </w:p>
    <w:p w:rsidR="00707530" w:rsidRPr="00D30FDF" w:rsidRDefault="00707530" w:rsidP="00707530">
      <w:pPr>
        <w:pStyle w:val="Sinespaciado"/>
        <w:jc w:val="both"/>
        <w:rPr>
          <w:rFonts w:ascii="Times New Roman" w:hAnsi="Times New Roman" w:cs="Times New Roman"/>
          <w:sz w:val="24"/>
          <w:szCs w:val="24"/>
        </w:rPr>
      </w:pPr>
    </w:p>
    <w:p w:rsidR="00707530" w:rsidRPr="00D30FDF" w:rsidRDefault="00707530" w:rsidP="00707530">
      <w:pPr>
        <w:pStyle w:val="Sinespaciado"/>
        <w:jc w:val="both"/>
        <w:rPr>
          <w:rFonts w:ascii="Times New Roman" w:hAnsi="Times New Roman" w:cs="Times New Roman"/>
          <w:sz w:val="24"/>
          <w:szCs w:val="24"/>
        </w:rPr>
      </w:pPr>
      <w:r w:rsidRPr="00D30FDF">
        <w:rPr>
          <w:rFonts w:ascii="Times New Roman" w:hAnsi="Times New Roman" w:cs="Times New Roman"/>
          <w:sz w:val="24"/>
          <w:szCs w:val="24"/>
        </w:rPr>
        <w:lastRenderedPageBreak/>
        <w:t>Así lo ha advertido este miércoles el Fondo de Monetario Internacional en su análisis de otoño sobre la situación fiscal de la economía internacional, marcada por la recesión generalizada que deja el virus.</w:t>
      </w:r>
    </w:p>
    <w:p w:rsidR="00707530" w:rsidRDefault="00707530" w:rsidP="00FA4DA9">
      <w:pPr>
        <w:pStyle w:val="Sinespaciado"/>
        <w:jc w:val="both"/>
        <w:rPr>
          <w:rFonts w:ascii="Times New Roman" w:hAnsi="Times New Roman" w:cs="Times New Roman"/>
          <w:sz w:val="24"/>
          <w:szCs w:val="24"/>
        </w:rPr>
      </w:pPr>
    </w:p>
    <w:p w:rsidR="007C5D83" w:rsidRDefault="007C5D83" w:rsidP="00FA4DA9">
      <w:pPr>
        <w:pStyle w:val="Sinespaciado"/>
        <w:jc w:val="both"/>
        <w:rPr>
          <w:rFonts w:ascii="Times New Roman" w:hAnsi="Times New Roman" w:cs="Times New Roman"/>
          <w:sz w:val="24"/>
          <w:szCs w:val="24"/>
        </w:rPr>
      </w:pPr>
    </w:p>
    <w:p w:rsidR="007C5D83" w:rsidRDefault="007C5D83" w:rsidP="00FA4DA9">
      <w:pPr>
        <w:pStyle w:val="Sinespaciado"/>
        <w:jc w:val="both"/>
        <w:rPr>
          <w:rFonts w:ascii="Times New Roman" w:hAnsi="Times New Roman" w:cs="Times New Roman"/>
          <w:sz w:val="24"/>
          <w:szCs w:val="24"/>
        </w:rPr>
      </w:pPr>
      <w:r>
        <w:rPr>
          <w:noProof/>
        </w:rPr>
        <w:drawing>
          <wp:inline distT="0" distB="0" distL="0" distR="0" wp14:anchorId="5A80D35F" wp14:editId="1B39CA3E">
            <wp:extent cx="5733884" cy="3327400"/>
            <wp:effectExtent l="0" t="0" r="635" b="6350"/>
            <wp:docPr id="126" name="Imagen 126" descr="El FMI alerta de que la deuda global iguala por primera vez al tamaño de la economía mund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 FMI alerta de que la deuda global iguala por primera vez al tamaño de la economía mundial"/>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731510" cy="3326022"/>
                    </a:xfrm>
                    <a:prstGeom prst="rect">
                      <a:avLst/>
                    </a:prstGeom>
                    <a:noFill/>
                    <a:ln>
                      <a:noFill/>
                    </a:ln>
                  </pic:spPr>
                </pic:pic>
              </a:graphicData>
            </a:graphic>
          </wp:inline>
        </w:drawing>
      </w:r>
    </w:p>
    <w:p w:rsidR="007C5D83" w:rsidRDefault="007C5D83" w:rsidP="00FA4DA9">
      <w:pPr>
        <w:pStyle w:val="Sinespaciado"/>
        <w:jc w:val="both"/>
        <w:rPr>
          <w:rFonts w:ascii="Times New Roman" w:hAnsi="Times New Roman" w:cs="Times New Roman"/>
          <w:sz w:val="24"/>
          <w:szCs w:val="24"/>
        </w:rPr>
      </w:pPr>
    </w:p>
    <w:p w:rsidR="007C5D83" w:rsidRPr="00D30FDF" w:rsidRDefault="007C5D83" w:rsidP="00FA4DA9">
      <w:pPr>
        <w:pStyle w:val="Sinespaciado"/>
        <w:jc w:val="both"/>
        <w:rPr>
          <w:rFonts w:ascii="Times New Roman" w:hAnsi="Times New Roman" w:cs="Times New Roman"/>
          <w:sz w:val="24"/>
          <w:szCs w:val="24"/>
        </w:rPr>
      </w:pPr>
    </w:p>
    <w:p w:rsidR="007C5D83" w:rsidRPr="001714AE" w:rsidRDefault="007C5D83" w:rsidP="00FA4DA9">
      <w:pPr>
        <w:pStyle w:val="Sinespaciado"/>
        <w:jc w:val="both"/>
        <w:rPr>
          <w:rFonts w:ascii="Times New Roman" w:hAnsi="Times New Roman" w:cs="Times New Roman"/>
          <w:b/>
          <w:color w:val="FF0000"/>
          <w:sz w:val="24"/>
          <w:szCs w:val="24"/>
          <w:u w:val="single"/>
        </w:rPr>
      </w:pPr>
      <w:r w:rsidRPr="001714AE">
        <w:rPr>
          <w:rFonts w:ascii="Times New Roman" w:hAnsi="Times New Roman" w:cs="Times New Roman"/>
          <w:b/>
          <w:color w:val="FF0000"/>
          <w:sz w:val="24"/>
          <w:szCs w:val="24"/>
          <w:u w:val="single"/>
        </w:rPr>
        <w:t>“La crisis del Covid-19 ha devastado la vida de las personas, sus trabajos y negocios. Los Gobiernos han tomado medidas enérgicas para amortiguar el golpe, por un total de 12 billones de euros en todo el mundo”, expone el Fondo, que reconoce que esta batería de medidas fiscales “han salvado vidas” y empresas, pero también han resultado muy “costosas”.</w:t>
      </w:r>
    </w:p>
    <w:p w:rsidR="007C5D83" w:rsidRPr="001714AE" w:rsidRDefault="007C5D83" w:rsidP="00FA4DA9">
      <w:pPr>
        <w:pStyle w:val="Sinespaciado"/>
        <w:jc w:val="both"/>
        <w:rPr>
          <w:rFonts w:ascii="Times New Roman" w:hAnsi="Times New Roman" w:cs="Times New Roman"/>
          <w:b/>
          <w:color w:val="FF0000"/>
          <w:sz w:val="24"/>
          <w:szCs w:val="24"/>
          <w:u w:val="single"/>
        </w:rPr>
      </w:pPr>
    </w:p>
    <w:p w:rsidR="007C5D83" w:rsidRPr="001714AE" w:rsidRDefault="007C5D83" w:rsidP="00FA4DA9">
      <w:pPr>
        <w:pStyle w:val="Sinespaciado"/>
        <w:jc w:val="both"/>
        <w:rPr>
          <w:rFonts w:ascii="Times New Roman" w:hAnsi="Times New Roman" w:cs="Times New Roman"/>
          <w:b/>
          <w:color w:val="FF0000"/>
          <w:sz w:val="24"/>
          <w:szCs w:val="24"/>
          <w:u w:val="single"/>
        </w:rPr>
      </w:pPr>
      <w:r w:rsidRPr="001714AE">
        <w:rPr>
          <w:rFonts w:ascii="Times New Roman" w:hAnsi="Times New Roman" w:cs="Times New Roman"/>
          <w:b/>
          <w:color w:val="FF0000"/>
          <w:sz w:val="24"/>
          <w:szCs w:val="24"/>
          <w:u w:val="single"/>
        </w:rPr>
        <w:t>Semejante incremento del gasto público internacional, unido a la fuerte caída de ingresos tributarios como consecuencia de la parálisis de la actividad impuesta para contener la propagación del virus, detalla, “han llevado la deuda pública mundial a un máximo histórico cercano al 100% del PIB”.</w:t>
      </w:r>
    </w:p>
    <w:p w:rsidR="007C5D83" w:rsidRPr="00D30FDF" w:rsidRDefault="007C5D83" w:rsidP="00FA4DA9">
      <w:pPr>
        <w:pStyle w:val="Sinespaciado"/>
        <w:jc w:val="both"/>
        <w:rPr>
          <w:rFonts w:ascii="Times New Roman" w:hAnsi="Times New Roman" w:cs="Times New Roman"/>
          <w:sz w:val="24"/>
          <w:szCs w:val="24"/>
        </w:rPr>
      </w:pPr>
    </w:p>
    <w:p w:rsidR="007C5D83" w:rsidRPr="00D30FDF" w:rsidRDefault="007C5D83" w:rsidP="00FA4DA9">
      <w:pPr>
        <w:pStyle w:val="Sinespaciado"/>
        <w:jc w:val="both"/>
        <w:rPr>
          <w:rFonts w:ascii="Times New Roman" w:hAnsi="Times New Roman" w:cs="Times New Roman"/>
          <w:sz w:val="24"/>
          <w:szCs w:val="24"/>
        </w:rPr>
      </w:pPr>
      <w:r w:rsidRPr="00D30FDF">
        <w:rPr>
          <w:rFonts w:ascii="Times New Roman" w:hAnsi="Times New Roman" w:cs="Times New Roman"/>
          <w:sz w:val="24"/>
          <w:szCs w:val="24"/>
        </w:rPr>
        <w:t>En el caso de España, que ya se situaba cerca de estos niveles antes de la nueva crisis, con un 95,5% de deuda sobre el PIB a cierre de 2019, la debacle supondrá salta al 123% este año y seguir en torno al 118% en 2025, según las estimaciones del fondo.</w:t>
      </w:r>
    </w:p>
    <w:p w:rsidR="007C5D83" w:rsidRPr="00D30FDF" w:rsidRDefault="007C5D83" w:rsidP="00FA4DA9">
      <w:pPr>
        <w:pStyle w:val="Sinespaciado"/>
        <w:jc w:val="both"/>
        <w:rPr>
          <w:rFonts w:ascii="Times New Roman" w:hAnsi="Times New Roman" w:cs="Times New Roman"/>
          <w:sz w:val="24"/>
          <w:szCs w:val="24"/>
        </w:rPr>
      </w:pPr>
    </w:p>
    <w:p w:rsidR="007C5D83" w:rsidRPr="00D30FDF" w:rsidRDefault="007C5D83" w:rsidP="00FA4DA9">
      <w:pPr>
        <w:pStyle w:val="Sinespaciado"/>
        <w:jc w:val="both"/>
        <w:rPr>
          <w:rFonts w:ascii="Times New Roman" w:hAnsi="Times New Roman" w:cs="Times New Roman"/>
          <w:sz w:val="24"/>
          <w:szCs w:val="24"/>
        </w:rPr>
      </w:pPr>
      <w:r w:rsidRPr="00D30FDF">
        <w:rPr>
          <w:rFonts w:ascii="Times New Roman" w:hAnsi="Times New Roman" w:cs="Times New Roman"/>
          <w:sz w:val="24"/>
          <w:szCs w:val="24"/>
        </w:rPr>
        <w:t>Este asume que el gasto público pasará este ejercicio de suponer el 41,9% del PIB al 52,7%, mientras que los ingresos caerán del 39,1% al 38,6%, arrojando un déficit del 14,1% frente al 2,83% con que cerró 2019.</w:t>
      </w:r>
    </w:p>
    <w:p w:rsidR="007C5D83" w:rsidRPr="00D30FDF" w:rsidRDefault="007C5D83" w:rsidP="00FA4DA9">
      <w:pPr>
        <w:pStyle w:val="Sinespaciado"/>
        <w:jc w:val="both"/>
        <w:rPr>
          <w:rFonts w:ascii="Times New Roman" w:hAnsi="Times New Roman" w:cs="Times New Roman"/>
          <w:sz w:val="24"/>
          <w:szCs w:val="24"/>
        </w:rPr>
      </w:pPr>
    </w:p>
    <w:p w:rsidR="007C5D83" w:rsidRPr="001714AE" w:rsidRDefault="007C5D83" w:rsidP="00FA4DA9">
      <w:pPr>
        <w:pStyle w:val="Sinespaciado"/>
        <w:jc w:val="both"/>
        <w:rPr>
          <w:rFonts w:ascii="Times New Roman" w:hAnsi="Times New Roman" w:cs="Times New Roman"/>
          <w:color w:val="FF0000"/>
          <w:sz w:val="24"/>
          <w:szCs w:val="24"/>
          <w:u w:val="single"/>
        </w:rPr>
      </w:pPr>
      <w:r w:rsidRPr="001714AE">
        <w:rPr>
          <w:rFonts w:ascii="Times New Roman" w:hAnsi="Times New Roman" w:cs="Times New Roman"/>
          <w:color w:val="FF0000"/>
          <w:sz w:val="24"/>
          <w:szCs w:val="24"/>
          <w:u w:val="single"/>
        </w:rPr>
        <w:t>El Fondo se muestra comprensivo con semejantes desviaciones de las cuentas públicas. “Es demasiado pronto para que los gobiernos retiren el apoyo excepcional”, prestado, dice, animando a los países a mantener en marcha las políticas de expansión fiscal para ayudar a superar la crisis y a consolidar la recuperación.</w:t>
      </w:r>
    </w:p>
    <w:p w:rsidR="007C5D83" w:rsidRPr="00D30FDF" w:rsidRDefault="007C5D83" w:rsidP="00FA4DA9">
      <w:pPr>
        <w:pStyle w:val="Sinespaciado"/>
        <w:jc w:val="both"/>
        <w:rPr>
          <w:rFonts w:ascii="Times New Roman" w:hAnsi="Times New Roman" w:cs="Times New Roman"/>
          <w:sz w:val="24"/>
          <w:szCs w:val="24"/>
        </w:rPr>
      </w:pPr>
    </w:p>
    <w:p w:rsidR="007C5D83" w:rsidRPr="00D30FDF" w:rsidRDefault="007C5D83" w:rsidP="00FA4DA9">
      <w:pPr>
        <w:pStyle w:val="Sinespaciado"/>
        <w:jc w:val="both"/>
        <w:rPr>
          <w:rFonts w:ascii="Times New Roman" w:hAnsi="Times New Roman" w:cs="Times New Roman"/>
          <w:sz w:val="24"/>
          <w:szCs w:val="24"/>
        </w:rPr>
      </w:pPr>
      <w:r w:rsidRPr="00D30FDF">
        <w:rPr>
          <w:rFonts w:ascii="Times New Roman" w:hAnsi="Times New Roman" w:cs="Times New Roman"/>
          <w:sz w:val="24"/>
          <w:szCs w:val="24"/>
        </w:rPr>
        <w:lastRenderedPageBreak/>
        <w:t>Sin embargo, el organismo que dirige Kristalina Georgieva insta a los estados a comenzar a diseñar planes de consolidación fiscal a medio plazo que permitan acometer reducciones de deuda y déficit en los próximos años para compensar el sobreesfuerzo actual.</w:t>
      </w:r>
    </w:p>
    <w:p w:rsidR="007C5D83" w:rsidRPr="00D30FDF" w:rsidRDefault="007C5D83" w:rsidP="00FA4DA9">
      <w:pPr>
        <w:pStyle w:val="Sinespaciado"/>
        <w:jc w:val="both"/>
        <w:rPr>
          <w:rFonts w:ascii="Times New Roman" w:hAnsi="Times New Roman" w:cs="Times New Roman"/>
          <w:sz w:val="24"/>
          <w:szCs w:val="24"/>
        </w:rPr>
      </w:pPr>
    </w:p>
    <w:p w:rsidR="007C5D83" w:rsidRDefault="007C5D83" w:rsidP="00FA4DA9">
      <w:pPr>
        <w:pStyle w:val="Sinespaciado"/>
        <w:jc w:val="both"/>
        <w:rPr>
          <w:rFonts w:ascii="Times New Roman" w:hAnsi="Times New Roman" w:cs="Times New Roman"/>
          <w:sz w:val="24"/>
          <w:szCs w:val="24"/>
        </w:rPr>
      </w:pPr>
      <w:r w:rsidRPr="00D30FDF">
        <w:rPr>
          <w:rFonts w:ascii="Times New Roman" w:hAnsi="Times New Roman" w:cs="Times New Roman"/>
          <w:sz w:val="24"/>
          <w:szCs w:val="24"/>
        </w:rPr>
        <w:t>La posición de España</w:t>
      </w:r>
    </w:p>
    <w:p w:rsidR="00E36222" w:rsidRPr="00D30FDF" w:rsidRDefault="00E36222" w:rsidP="00FA4DA9">
      <w:pPr>
        <w:pStyle w:val="Sinespaciado"/>
        <w:jc w:val="both"/>
        <w:rPr>
          <w:rFonts w:ascii="Times New Roman" w:hAnsi="Times New Roman" w:cs="Times New Roman"/>
          <w:sz w:val="24"/>
          <w:szCs w:val="24"/>
        </w:rPr>
      </w:pPr>
    </w:p>
    <w:p w:rsidR="007C5D83" w:rsidRPr="00D30FDF" w:rsidRDefault="007C5D83" w:rsidP="00FA4DA9">
      <w:pPr>
        <w:pStyle w:val="Sinespaciado"/>
        <w:jc w:val="both"/>
        <w:rPr>
          <w:rFonts w:ascii="Times New Roman" w:hAnsi="Times New Roman" w:cs="Times New Roman"/>
          <w:sz w:val="24"/>
          <w:szCs w:val="24"/>
        </w:rPr>
      </w:pPr>
      <w:r w:rsidRPr="00D30FDF">
        <w:rPr>
          <w:rFonts w:ascii="Times New Roman" w:hAnsi="Times New Roman" w:cs="Times New Roman"/>
          <w:sz w:val="24"/>
          <w:szCs w:val="24"/>
        </w:rPr>
        <w:t>España será de uno de los países que mayor esfuerzo tenga que realizar en este campo. Después de todo, el FMI ha señalado al país como la economía desarrollada más golpeada por la crisis, con una caída del PIB para este año del 12,8% y un impacto no menor en sus cuentas públicas.</w:t>
      </w:r>
    </w:p>
    <w:p w:rsidR="007C5D83" w:rsidRPr="00D30FDF" w:rsidRDefault="007C5D83" w:rsidP="00FA4DA9">
      <w:pPr>
        <w:pStyle w:val="Sinespaciado"/>
        <w:jc w:val="both"/>
        <w:rPr>
          <w:rFonts w:ascii="Times New Roman" w:hAnsi="Times New Roman" w:cs="Times New Roman"/>
          <w:sz w:val="24"/>
          <w:szCs w:val="24"/>
        </w:rPr>
      </w:pPr>
    </w:p>
    <w:p w:rsidR="007C5D83" w:rsidRPr="00D30FDF" w:rsidRDefault="007C5D83" w:rsidP="00FA4DA9">
      <w:pPr>
        <w:pStyle w:val="Sinespaciado"/>
        <w:jc w:val="both"/>
        <w:rPr>
          <w:rFonts w:ascii="Times New Roman" w:hAnsi="Times New Roman" w:cs="Times New Roman"/>
          <w:sz w:val="24"/>
          <w:szCs w:val="24"/>
        </w:rPr>
      </w:pPr>
      <w:r w:rsidRPr="00D30FDF">
        <w:rPr>
          <w:rFonts w:ascii="Times New Roman" w:hAnsi="Times New Roman" w:cs="Times New Roman"/>
          <w:sz w:val="24"/>
          <w:szCs w:val="24"/>
        </w:rPr>
        <w:t>Como resultado, el nivel de deuda pública sobre el PIB de España se situará a cierre de 2020 como el séptimo más alto dentro de las economías desarrolladas, y el decimosexto en el ranking mundial.</w:t>
      </w:r>
    </w:p>
    <w:p w:rsidR="007C5D83" w:rsidRPr="00D30FDF" w:rsidRDefault="007C5D83" w:rsidP="00FA4DA9">
      <w:pPr>
        <w:pStyle w:val="Sinespaciado"/>
        <w:jc w:val="both"/>
        <w:rPr>
          <w:rFonts w:ascii="Times New Roman" w:hAnsi="Times New Roman" w:cs="Times New Roman"/>
          <w:sz w:val="24"/>
          <w:szCs w:val="24"/>
        </w:rPr>
      </w:pPr>
    </w:p>
    <w:p w:rsidR="007C5D83" w:rsidRPr="00D30FDF" w:rsidRDefault="007C5D83" w:rsidP="00FA4DA9">
      <w:pPr>
        <w:pStyle w:val="Sinespaciado"/>
        <w:jc w:val="both"/>
        <w:rPr>
          <w:rFonts w:ascii="Times New Roman" w:hAnsi="Times New Roman" w:cs="Times New Roman"/>
          <w:sz w:val="24"/>
          <w:szCs w:val="24"/>
        </w:rPr>
      </w:pPr>
      <w:r w:rsidRPr="00D30FDF">
        <w:rPr>
          <w:rFonts w:ascii="Times New Roman" w:hAnsi="Times New Roman" w:cs="Times New Roman"/>
          <w:sz w:val="24"/>
          <w:szCs w:val="24"/>
        </w:rPr>
        <w:t>Quedan por encima Japón (266%); Grecia (205%); Italia (161%); Portugal (137%); Singapur (131%) o Estados Unidos (131%).</w:t>
      </w:r>
    </w:p>
    <w:p w:rsidR="007C5D83" w:rsidRPr="00D30FDF" w:rsidRDefault="007C5D83" w:rsidP="00FA4DA9">
      <w:pPr>
        <w:pStyle w:val="Sinespaciado"/>
        <w:jc w:val="both"/>
        <w:rPr>
          <w:rFonts w:ascii="Times New Roman" w:hAnsi="Times New Roman" w:cs="Times New Roman"/>
          <w:sz w:val="24"/>
          <w:szCs w:val="24"/>
        </w:rPr>
      </w:pPr>
    </w:p>
    <w:p w:rsidR="007C5D83" w:rsidRDefault="007C5D83" w:rsidP="00FA4DA9">
      <w:pPr>
        <w:pStyle w:val="Sinespaciado"/>
        <w:jc w:val="both"/>
        <w:rPr>
          <w:rFonts w:ascii="Times New Roman" w:hAnsi="Times New Roman" w:cs="Times New Roman"/>
          <w:sz w:val="24"/>
          <w:szCs w:val="24"/>
        </w:rPr>
      </w:pPr>
      <w:r w:rsidRPr="00D30FDF">
        <w:rPr>
          <w:rFonts w:ascii="Times New Roman" w:hAnsi="Times New Roman" w:cs="Times New Roman"/>
          <w:sz w:val="24"/>
          <w:szCs w:val="24"/>
        </w:rPr>
        <w:t>Del lado del déficit, España salta al quinto puesto del podio mundial de mayores agujeros fiscales por detrás de Canadá (19,9%); Estados Unidos (18,7%); Reino Unido (16,5%) y Japón (14,15%), y en el puesto decimoséptimo a escala global.</w:t>
      </w:r>
    </w:p>
    <w:p w:rsidR="00E36222" w:rsidRDefault="00E36222" w:rsidP="00FA4DA9">
      <w:pPr>
        <w:pStyle w:val="Sinespaciado"/>
        <w:jc w:val="both"/>
        <w:rPr>
          <w:rFonts w:ascii="Times New Roman" w:hAnsi="Times New Roman" w:cs="Times New Roman"/>
          <w:sz w:val="24"/>
          <w:szCs w:val="24"/>
        </w:rPr>
      </w:pPr>
    </w:p>
    <w:p w:rsidR="00E36222" w:rsidRPr="00E36222" w:rsidRDefault="00E36222" w:rsidP="00FA4DA9">
      <w:pPr>
        <w:pStyle w:val="Sinespaciado"/>
        <w:jc w:val="both"/>
        <w:rPr>
          <w:rFonts w:ascii="Times New Roman" w:hAnsi="Times New Roman" w:cs="Times New Roman"/>
          <w:sz w:val="24"/>
          <w:szCs w:val="24"/>
        </w:rPr>
      </w:pPr>
      <w:r w:rsidRPr="00E36222">
        <w:rPr>
          <w:rFonts w:ascii="Times New Roman" w:hAnsi="Times New Roman" w:cs="Times New Roman"/>
          <w:sz w:val="24"/>
          <w:szCs w:val="24"/>
        </w:rPr>
        <w:t xml:space="preserve">- </w:t>
      </w:r>
      <w:r w:rsidRPr="00B10763">
        <w:rPr>
          <w:rFonts w:ascii="Times New Roman" w:hAnsi="Times New Roman" w:cs="Times New Roman"/>
          <w:sz w:val="24"/>
          <w:szCs w:val="24"/>
          <w:u w:val="single"/>
        </w:rPr>
        <w:t>El virus deja el mundo sobre un barril de pólvora: 68 billones de deuda pública</w:t>
      </w:r>
      <w:r w:rsidRPr="00E36222">
        <w:rPr>
          <w:rFonts w:ascii="Times New Roman" w:hAnsi="Times New Roman" w:cs="Times New Roman"/>
          <w:sz w:val="24"/>
          <w:szCs w:val="24"/>
        </w:rPr>
        <w:t xml:space="preserve"> (El Confidencial - </w:t>
      </w:r>
      <w:r w:rsidRPr="00B10763">
        <w:rPr>
          <w:rFonts w:ascii="Times New Roman" w:hAnsi="Times New Roman" w:cs="Times New Roman"/>
          <w:b/>
          <w:sz w:val="24"/>
          <w:szCs w:val="24"/>
        </w:rPr>
        <w:t>15/10/20</w:t>
      </w:r>
      <w:r w:rsidRPr="00E36222">
        <w:rPr>
          <w:rFonts w:ascii="Times New Roman" w:hAnsi="Times New Roman" w:cs="Times New Roman"/>
          <w:sz w:val="24"/>
          <w:szCs w:val="24"/>
        </w:rPr>
        <w:t>)</w:t>
      </w:r>
    </w:p>
    <w:p w:rsidR="00E36222" w:rsidRPr="00E36222" w:rsidRDefault="00E36222" w:rsidP="00FA4DA9">
      <w:pPr>
        <w:pStyle w:val="Sinespaciado"/>
        <w:jc w:val="both"/>
        <w:rPr>
          <w:rFonts w:ascii="Times New Roman" w:hAnsi="Times New Roman" w:cs="Times New Roman"/>
          <w:sz w:val="24"/>
          <w:szCs w:val="24"/>
        </w:rPr>
      </w:pPr>
    </w:p>
    <w:p w:rsidR="00E36222" w:rsidRDefault="00E36222" w:rsidP="00FA4DA9">
      <w:pPr>
        <w:pStyle w:val="Sinespaciado"/>
        <w:jc w:val="both"/>
        <w:rPr>
          <w:rFonts w:ascii="Times New Roman" w:hAnsi="Times New Roman" w:cs="Times New Roman"/>
          <w:sz w:val="24"/>
          <w:szCs w:val="24"/>
        </w:rPr>
      </w:pPr>
      <w:r w:rsidRPr="00E36222">
        <w:rPr>
          <w:rFonts w:ascii="Times New Roman" w:hAnsi="Times New Roman" w:cs="Times New Roman"/>
          <w:sz w:val="24"/>
          <w:szCs w:val="24"/>
        </w:rPr>
        <w:t>(Por Carlos Sánchez)</w:t>
      </w:r>
    </w:p>
    <w:p w:rsidR="007C5D83" w:rsidRDefault="007C5D83" w:rsidP="00FA4DA9">
      <w:pPr>
        <w:pStyle w:val="Sinespaciado"/>
        <w:jc w:val="both"/>
        <w:rPr>
          <w:rFonts w:ascii="Times New Roman" w:hAnsi="Times New Roman" w:cs="Times New Roman"/>
          <w:sz w:val="24"/>
          <w:szCs w:val="24"/>
        </w:rPr>
      </w:pPr>
    </w:p>
    <w:p w:rsidR="007C5D83" w:rsidRPr="00B10763" w:rsidRDefault="007C5D83" w:rsidP="00FA4DA9">
      <w:pPr>
        <w:pStyle w:val="NormalWeb"/>
        <w:spacing w:before="0" w:beforeAutospacing="0" w:after="0" w:afterAutospacing="0"/>
        <w:jc w:val="both"/>
        <w:textAlignment w:val="baseline"/>
        <w:rPr>
          <w:b/>
          <w:color w:val="FF0000"/>
          <w:u w:val="single"/>
        </w:rPr>
      </w:pPr>
      <w:r w:rsidRPr="00B10763">
        <w:rPr>
          <w:b/>
          <w:color w:val="FF0000"/>
          <w:u w:val="single"/>
        </w:rPr>
        <w:t>La factura de esta crisis, como se sabe, no solo se mide en términos de </w:t>
      </w:r>
      <w:r w:rsidRPr="00B10763">
        <w:rPr>
          <w:rStyle w:val="Textoennegrita"/>
          <w:b w:val="0"/>
          <w:color w:val="FF0000"/>
          <w:u w:val="single"/>
          <w:bdr w:val="none" w:sz="0" w:space="0" w:color="auto" w:frame="1"/>
        </w:rPr>
        <w:t>salud pública</w:t>
      </w:r>
      <w:r w:rsidRPr="00B10763">
        <w:rPr>
          <w:b/>
          <w:color w:val="FF0000"/>
          <w:u w:val="single"/>
        </w:rPr>
        <w:t>: 1,08 millones de muertos hasta este miércoles, </w:t>
      </w:r>
      <w:hyperlink r:id="rId170" w:history="1">
        <w:r w:rsidRPr="00B10763">
          <w:rPr>
            <w:rStyle w:val="Hipervnculo"/>
            <w:b/>
            <w:color w:val="FF0000"/>
          </w:rPr>
          <w:t>según</w:t>
        </w:r>
      </w:hyperlink>
      <w:r w:rsidRPr="00B10763">
        <w:rPr>
          <w:b/>
          <w:color w:val="FF0000"/>
          <w:u w:val="single"/>
        </w:rPr>
        <w:t> la Universidad Johns Hopkins. El coronavirus también arrastrará a la </w:t>
      </w:r>
      <w:r w:rsidRPr="00B10763">
        <w:rPr>
          <w:rStyle w:val="Textoennegrita"/>
          <w:b w:val="0"/>
          <w:color w:val="FF0000"/>
          <w:u w:val="single"/>
          <w:bdr w:val="none" w:sz="0" w:space="0" w:color="auto" w:frame="1"/>
        </w:rPr>
        <w:t>pobreza extrema</w:t>
      </w:r>
      <w:r w:rsidRPr="00B10763">
        <w:rPr>
          <w:b/>
          <w:color w:val="FF0000"/>
          <w:u w:val="single"/>
        </w:rPr>
        <w:t> a más de 100 millones de personas en todo el planeta</w:t>
      </w:r>
      <w:hyperlink r:id="rId171" w:history="1">
        <w:r w:rsidRPr="00B10763">
          <w:rPr>
            <w:rStyle w:val="Hipervnculo"/>
            <w:b/>
            <w:color w:val="FF0000"/>
          </w:rPr>
          <w:t>, según</w:t>
        </w:r>
      </w:hyperlink>
      <w:r w:rsidRPr="00B10763">
        <w:rPr>
          <w:b/>
          <w:color w:val="FF0000"/>
          <w:u w:val="single"/>
        </w:rPr>
        <w:t> el Fondo Monetario, rompiéndose una tendencia decreciente desde el inicio de la globalización. Pero es que, si se miden sus consecuencias dramáticas sobre las </w:t>
      </w:r>
      <w:r w:rsidRPr="00B10763">
        <w:rPr>
          <w:rStyle w:val="Textoennegrita"/>
          <w:b w:val="0"/>
          <w:color w:val="FF0000"/>
          <w:u w:val="single"/>
          <w:bdr w:val="none" w:sz="0" w:space="0" w:color="auto" w:frame="1"/>
        </w:rPr>
        <w:t>cuentas públicas</w:t>
      </w:r>
      <w:r w:rsidRPr="00B10763">
        <w:rPr>
          <w:b/>
          <w:color w:val="FF0000"/>
          <w:u w:val="single"/>
        </w:rPr>
        <w:t>, el efecto de la pandemia es demoledor: el mundo se sienta hoy sobre un barril de pólvora en términos de deuda soberana superior a </w:t>
      </w:r>
      <w:r w:rsidRPr="00B10763">
        <w:rPr>
          <w:rStyle w:val="Textoennegrita"/>
          <w:b w:val="0"/>
          <w:color w:val="FF0000"/>
          <w:u w:val="single"/>
          <w:bdr w:val="none" w:sz="0" w:space="0" w:color="auto" w:frame="1"/>
        </w:rPr>
        <w:t>68 billones de euros</w:t>
      </w:r>
      <w:r w:rsidRPr="00B10763">
        <w:rPr>
          <w:b/>
          <w:color w:val="FF0000"/>
          <w:u w:val="single"/>
        </w:rPr>
        <w:t> (algo más de 80 billones de dólares).</w:t>
      </w:r>
    </w:p>
    <w:p w:rsidR="007C5D83" w:rsidRPr="00B10763" w:rsidRDefault="007C5D83" w:rsidP="00FA4DA9">
      <w:pPr>
        <w:pStyle w:val="NormalWeb"/>
        <w:spacing w:before="0" w:beforeAutospacing="0" w:after="0" w:afterAutospacing="0"/>
        <w:jc w:val="both"/>
        <w:textAlignment w:val="baseline"/>
        <w:rPr>
          <w:b/>
          <w:color w:val="FF0000"/>
          <w:u w:val="single"/>
        </w:rPr>
      </w:pPr>
    </w:p>
    <w:p w:rsidR="007C5D83" w:rsidRDefault="007C5D83" w:rsidP="00FA4DA9">
      <w:pPr>
        <w:pStyle w:val="NormalWeb"/>
        <w:spacing w:before="0" w:beforeAutospacing="0" w:after="0" w:afterAutospacing="0"/>
        <w:jc w:val="both"/>
        <w:textAlignment w:val="baseline"/>
        <w:rPr>
          <w:b/>
          <w:color w:val="FF0000"/>
          <w:u w:val="single"/>
        </w:rPr>
      </w:pPr>
      <w:r w:rsidRPr="00B10763">
        <w:rPr>
          <w:b/>
          <w:color w:val="FF0000"/>
          <w:u w:val="single"/>
        </w:rPr>
        <w:t>Esto quiere decir que los Estados, por primera vez desde que hay registros, </w:t>
      </w:r>
      <w:r w:rsidRPr="00B10763">
        <w:rPr>
          <w:rStyle w:val="Textoennegrita"/>
          <w:color w:val="FF0000"/>
          <w:u w:val="single"/>
          <w:bdr w:val="none" w:sz="0" w:space="0" w:color="auto" w:frame="1"/>
        </w:rPr>
        <w:t>deben tanto como sus economías son capaces de producir </w:t>
      </w:r>
      <w:r w:rsidRPr="00B10763">
        <w:rPr>
          <w:b/>
          <w:color w:val="FF0000"/>
          <w:u w:val="single"/>
        </w:rPr>
        <w:t>en un año. O lo que es lo mismo, el endeudamiento público representará el 100% del PIB entre 2021 y 2025. En el caso de las economías avanzadas, que incluye a los países más ricos, la deuda pública alcanzará un histórico 125%.</w:t>
      </w:r>
    </w:p>
    <w:p w:rsidR="00707530" w:rsidRDefault="00707530" w:rsidP="00FA4DA9">
      <w:pPr>
        <w:pStyle w:val="NormalWeb"/>
        <w:spacing w:before="0" w:beforeAutospacing="0" w:after="0" w:afterAutospacing="0"/>
        <w:jc w:val="both"/>
        <w:textAlignment w:val="baseline"/>
        <w:rPr>
          <w:b/>
          <w:color w:val="FF0000"/>
          <w:u w:val="single"/>
        </w:rPr>
      </w:pPr>
    </w:p>
    <w:p w:rsidR="00707530" w:rsidRPr="00B10763" w:rsidRDefault="00707530" w:rsidP="00707530">
      <w:pPr>
        <w:pStyle w:val="NormalWeb"/>
        <w:spacing w:before="0" w:beforeAutospacing="0" w:after="0" w:afterAutospacing="0"/>
        <w:jc w:val="both"/>
        <w:textAlignment w:val="baseline"/>
        <w:rPr>
          <w:color w:val="FF0000"/>
          <w:u w:val="single"/>
        </w:rPr>
      </w:pPr>
      <w:r w:rsidRPr="00B10763">
        <w:rPr>
          <w:color w:val="FF0000"/>
          <w:u w:val="single"/>
        </w:rPr>
        <w:t>Y es histórico porque se trata de un nivel solo comparable al que llegó a registrarse en los países ricos</w:t>
      </w:r>
      <w:r w:rsidRPr="00B10763">
        <w:rPr>
          <w:rStyle w:val="Textoennegrita"/>
          <w:color w:val="FF0000"/>
          <w:u w:val="single"/>
          <w:bdr w:val="none" w:sz="0" w:space="0" w:color="auto" w:frame="1"/>
        </w:rPr>
        <w:t> durante la II Guerra Mundial</w:t>
      </w:r>
      <w:r w:rsidRPr="00B10763">
        <w:rPr>
          <w:color w:val="FF0000"/>
          <w:u w:val="single"/>
        </w:rPr>
        <w:t>, cuando los Estados tuvieron que endeudarse hasta las cejas para financiar el conflicto (ver gráfico).</w:t>
      </w:r>
    </w:p>
    <w:p w:rsidR="00707530" w:rsidRPr="00692A59" w:rsidRDefault="00707530" w:rsidP="00707530">
      <w:pPr>
        <w:pStyle w:val="NormalWeb"/>
        <w:spacing w:before="0" w:beforeAutospacing="0" w:after="0" w:afterAutospacing="0"/>
        <w:jc w:val="both"/>
        <w:textAlignment w:val="baseline"/>
        <w:rPr>
          <w:color w:val="1A1A1A"/>
        </w:rPr>
      </w:pPr>
    </w:p>
    <w:p w:rsidR="00707530" w:rsidRPr="00B10763" w:rsidRDefault="00707530" w:rsidP="00FA4DA9">
      <w:pPr>
        <w:pStyle w:val="NormalWeb"/>
        <w:spacing w:before="0" w:beforeAutospacing="0" w:after="0" w:afterAutospacing="0"/>
        <w:jc w:val="both"/>
        <w:textAlignment w:val="baseline"/>
        <w:rPr>
          <w:b/>
          <w:color w:val="FF0000"/>
          <w:u w:val="single"/>
        </w:rPr>
      </w:pPr>
    </w:p>
    <w:p w:rsidR="00B10763" w:rsidRPr="00692A59" w:rsidRDefault="00B10763" w:rsidP="00FA4DA9">
      <w:pPr>
        <w:pStyle w:val="NormalWeb"/>
        <w:spacing w:before="0" w:beforeAutospacing="0" w:after="0" w:afterAutospacing="0"/>
        <w:jc w:val="both"/>
        <w:textAlignment w:val="baseline"/>
        <w:rPr>
          <w:color w:val="1A1A1A"/>
        </w:rPr>
      </w:pPr>
    </w:p>
    <w:p w:rsidR="007C5D83" w:rsidRPr="00692A59" w:rsidRDefault="007C5D83" w:rsidP="00FA4DA9">
      <w:pPr>
        <w:spacing w:line="240" w:lineRule="auto"/>
        <w:jc w:val="both"/>
        <w:textAlignment w:val="baseline"/>
        <w:rPr>
          <w:rFonts w:ascii="Times New Roman" w:hAnsi="Times New Roman" w:cs="Times New Roman"/>
          <w:color w:val="1A1A1A"/>
          <w:sz w:val="24"/>
          <w:szCs w:val="24"/>
        </w:rPr>
      </w:pPr>
      <w:r w:rsidRPr="00692A59">
        <w:rPr>
          <w:rFonts w:ascii="Times New Roman" w:hAnsi="Times New Roman" w:cs="Times New Roman"/>
          <w:noProof/>
          <w:color w:val="1A1A1A"/>
          <w:sz w:val="24"/>
          <w:szCs w:val="24"/>
          <w:lang w:eastAsia="es-ES"/>
        </w:rPr>
        <w:lastRenderedPageBreak/>
        <w:drawing>
          <wp:inline distT="0" distB="0" distL="0" distR="0" wp14:anchorId="13106120" wp14:editId="766ACFBB">
            <wp:extent cx="5705118" cy="2736850"/>
            <wp:effectExtent l="0" t="0" r="0" b="6350"/>
            <wp:docPr id="127" name="Imagen 127" descr="Deuda pública. (Fuente: F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uda pública. (Fuente: FMI)"/>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708105" cy="2738283"/>
                    </a:xfrm>
                    <a:prstGeom prst="rect">
                      <a:avLst/>
                    </a:prstGeom>
                    <a:noFill/>
                    <a:ln>
                      <a:noFill/>
                    </a:ln>
                  </pic:spPr>
                </pic:pic>
              </a:graphicData>
            </a:graphic>
          </wp:inline>
        </w:drawing>
      </w:r>
      <w:r w:rsidRPr="00692A59">
        <w:rPr>
          <w:rFonts w:ascii="Times New Roman" w:hAnsi="Times New Roman" w:cs="Times New Roman"/>
          <w:color w:val="1A1A1A"/>
          <w:sz w:val="24"/>
          <w:szCs w:val="24"/>
        </w:rPr>
        <w:t>Deuda pública. (Fuente: FMI)</w:t>
      </w:r>
    </w:p>
    <w:p w:rsidR="00B10763" w:rsidRDefault="007C5D83" w:rsidP="00FA4DA9">
      <w:pPr>
        <w:pStyle w:val="NormalWeb"/>
        <w:spacing w:before="0" w:beforeAutospacing="0" w:after="0" w:afterAutospacing="0"/>
        <w:jc w:val="both"/>
        <w:textAlignment w:val="baseline"/>
        <w:rPr>
          <w:color w:val="1A1A1A"/>
        </w:rPr>
      </w:pPr>
      <w:r w:rsidRPr="00692A59">
        <w:rPr>
          <w:color w:val="1A1A1A"/>
        </w:rPr>
        <w:t>El caso más extremo seguirá siendo </w:t>
      </w:r>
      <w:r w:rsidRPr="00B10763">
        <w:rPr>
          <w:rStyle w:val="Textoennegrita"/>
          <w:b w:val="0"/>
          <w:color w:val="1A1A1A"/>
          <w:bdr w:val="none" w:sz="0" w:space="0" w:color="auto" w:frame="1"/>
        </w:rPr>
        <w:t>Japón</w:t>
      </w:r>
      <w:r w:rsidRPr="00692A59">
        <w:rPr>
          <w:color w:val="1A1A1A"/>
        </w:rPr>
        <w:t>, con un endeudamiento equivalente al 264% de su PIB, mientras que en el otro extremo está Nigeria como referente de los países en vías de desarrollo de bajos ingresos, cuya deuda se situará en torno al 36</w:t>
      </w:r>
      <w:r w:rsidR="00B10763">
        <w:rPr>
          <w:color w:val="1A1A1A"/>
        </w:rPr>
        <w:t>% durante el próximo quinquenio.</w:t>
      </w:r>
    </w:p>
    <w:p w:rsidR="00B10763" w:rsidRDefault="00B10763" w:rsidP="00FA4DA9">
      <w:pPr>
        <w:pStyle w:val="NormalWeb"/>
        <w:spacing w:before="0" w:beforeAutospacing="0" w:after="0" w:afterAutospacing="0"/>
        <w:jc w:val="both"/>
        <w:textAlignment w:val="baseline"/>
        <w:rPr>
          <w:color w:val="1A1A1A"/>
        </w:rPr>
      </w:pPr>
      <w:r>
        <w:rPr>
          <w:color w:val="1A1A1A"/>
        </w:rPr>
        <w:t>Acceso a los mercados</w:t>
      </w:r>
    </w:p>
    <w:p w:rsidR="00B10763" w:rsidRDefault="00B10763" w:rsidP="00FA4DA9">
      <w:pPr>
        <w:pStyle w:val="NormalWeb"/>
        <w:spacing w:before="0" w:beforeAutospacing="0" w:after="0" w:afterAutospacing="0"/>
        <w:jc w:val="both"/>
        <w:textAlignment w:val="baseline"/>
      </w:pPr>
    </w:p>
    <w:p w:rsidR="007C5D83" w:rsidRDefault="007C5D83" w:rsidP="00FA4DA9">
      <w:pPr>
        <w:pStyle w:val="NormalWeb"/>
        <w:spacing w:before="0" w:beforeAutospacing="0" w:after="0" w:afterAutospacing="0"/>
        <w:jc w:val="both"/>
        <w:textAlignment w:val="baseline"/>
      </w:pPr>
      <w:r w:rsidRPr="00B10763">
        <w:t>Los datos proceden del último </w:t>
      </w:r>
      <w:hyperlink r:id="rId173" w:history="1">
        <w:r w:rsidRPr="00B10763">
          <w:rPr>
            <w:rStyle w:val="Hipervnculo"/>
            <w:color w:val="auto"/>
            <w:u w:val="none"/>
          </w:rPr>
          <w:t>Monitor Fiscal</w:t>
        </w:r>
      </w:hyperlink>
      <w:r w:rsidRPr="00B10763">
        <w:t> de Fondo Monetario Internacional (FMI), y ponen de relieve una verdad incómoda para muchos gobiernos de las economías avanzadas: es la deuda, en buena medida </w:t>
      </w:r>
      <w:hyperlink r:id="rId174" w:history="1">
        <w:r w:rsidRPr="00B10763">
          <w:rPr>
            <w:rStyle w:val="Hipervnculo"/>
            <w:color w:val="auto"/>
            <w:u w:val="none"/>
          </w:rPr>
          <w:t>adquirida</w:t>
        </w:r>
      </w:hyperlink>
      <w:r w:rsidRPr="00B10763">
        <w:t> por los bancos centrales, lo que está permitiendo a muchos países mantener sus elevados niveles de vida en comparación con los países más pobres, cuya capacidad para acceder a los mercados financieros en busca de financiación es mucho más reducida. Desde el pasado mes de febrero, el Banco de Japón ha comprado (ver gráfico) </w:t>
      </w:r>
      <w:r w:rsidRPr="00B10763">
        <w:rPr>
          <w:rStyle w:val="Textoennegrita"/>
          <w:b w:val="0"/>
          <w:bdr w:val="none" w:sz="0" w:space="0" w:color="auto" w:frame="1"/>
        </w:rPr>
        <w:t>el 75% de lo emitido por el Tesoro nipón</w:t>
      </w:r>
      <w:r w:rsidRPr="00B10763">
        <w:rPr>
          <w:rStyle w:val="Textoennegrita"/>
          <w:bdr w:val="none" w:sz="0" w:space="0" w:color="auto" w:frame="1"/>
        </w:rPr>
        <w:t>,</w:t>
      </w:r>
      <w:r w:rsidRPr="00B10763">
        <w:t> mientras que en el caso del BCE el porcentaje es del 71%.</w:t>
      </w:r>
    </w:p>
    <w:p w:rsidR="00B10763" w:rsidRPr="00B10763" w:rsidRDefault="00B10763" w:rsidP="00FA4DA9">
      <w:pPr>
        <w:pStyle w:val="NormalWeb"/>
        <w:spacing w:before="0" w:beforeAutospacing="0" w:after="0" w:afterAutospacing="0"/>
        <w:jc w:val="both"/>
        <w:textAlignment w:val="baseline"/>
      </w:pPr>
    </w:p>
    <w:p w:rsidR="007C5D83" w:rsidRPr="00692A59" w:rsidRDefault="007C5D83" w:rsidP="00FA4DA9">
      <w:pPr>
        <w:spacing w:line="240" w:lineRule="auto"/>
        <w:jc w:val="both"/>
        <w:textAlignment w:val="baseline"/>
        <w:rPr>
          <w:rFonts w:ascii="Times New Roman" w:hAnsi="Times New Roman" w:cs="Times New Roman"/>
          <w:color w:val="1A1A1A"/>
          <w:sz w:val="24"/>
          <w:szCs w:val="24"/>
        </w:rPr>
      </w:pPr>
      <w:r w:rsidRPr="00692A59">
        <w:rPr>
          <w:rFonts w:ascii="Times New Roman" w:hAnsi="Times New Roman" w:cs="Times New Roman"/>
          <w:noProof/>
          <w:color w:val="1A1A1A"/>
          <w:sz w:val="24"/>
          <w:szCs w:val="24"/>
          <w:lang w:eastAsia="es-ES"/>
        </w:rPr>
        <w:drawing>
          <wp:inline distT="0" distB="0" distL="0" distR="0" wp14:anchorId="7AB0213B" wp14:editId="51F7CEA4">
            <wp:extent cx="5778500" cy="2120900"/>
            <wp:effectExtent l="0" t="0" r="0" b="0"/>
            <wp:docPr id="128" name="Imagen 128" descr="Evolución de deuda pública (i) y compras de deuda de los bancos centrales. (Fuente: F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volución de deuda pública (i) y compras de deuda de los bancos centrales. (Fuente: FMI)"/>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779013" cy="2121088"/>
                    </a:xfrm>
                    <a:prstGeom prst="rect">
                      <a:avLst/>
                    </a:prstGeom>
                    <a:noFill/>
                    <a:ln>
                      <a:noFill/>
                    </a:ln>
                  </pic:spPr>
                </pic:pic>
              </a:graphicData>
            </a:graphic>
          </wp:inline>
        </w:drawing>
      </w:r>
      <w:r w:rsidRPr="00692A59">
        <w:rPr>
          <w:rFonts w:ascii="Times New Roman" w:hAnsi="Times New Roman" w:cs="Times New Roman"/>
          <w:color w:val="1A1A1A"/>
          <w:sz w:val="24"/>
          <w:szCs w:val="24"/>
        </w:rPr>
        <w:t>Evolución de deuda pública (i) y compras de deuda de los bancos centrales. (Fuente: FMI)</w:t>
      </w:r>
    </w:p>
    <w:p w:rsidR="007C5D83" w:rsidRDefault="007C5D83" w:rsidP="00FA4DA9">
      <w:pPr>
        <w:pStyle w:val="NormalWeb"/>
        <w:spacing w:before="0" w:beforeAutospacing="0" w:after="0" w:afterAutospacing="0"/>
        <w:jc w:val="both"/>
        <w:textAlignment w:val="baseline"/>
        <w:rPr>
          <w:color w:val="1A1A1A"/>
        </w:rPr>
      </w:pPr>
      <w:r w:rsidRPr="00692A59">
        <w:rPr>
          <w:color w:val="1A1A1A"/>
        </w:rPr>
        <w:t>Así, por ejemplo, la deuda pública en EEUU se situará en el 137% del PIB en 2025, mientras que </w:t>
      </w:r>
      <w:r w:rsidRPr="00B10763">
        <w:rPr>
          <w:rStyle w:val="Textoennegrita"/>
          <w:b w:val="0"/>
          <w:color w:val="1A1A1A"/>
          <w:bdr w:val="none" w:sz="0" w:space="0" w:color="auto" w:frame="1"/>
        </w:rPr>
        <w:t>Francia, la segunda economía de la UE, soportará un pasivo del 125%</w:t>
      </w:r>
      <w:r w:rsidRPr="00B10763">
        <w:rPr>
          <w:b/>
          <w:color w:val="1A1A1A"/>
        </w:rPr>
        <w:t>.</w:t>
      </w:r>
      <w:r w:rsidRPr="00692A59">
        <w:rPr>
          <w:color w:val="1A1A1A"/>
        </w:rPr>
        <w:t xml:space="preserve"> El caso de Italia es muy significativo, porque el elevado endeudamiento se ha convertido en crónico, hasta el punto de que durante los próximos cinco años se situará por encima del 150% del PIB.</w:t>
      </w:r>
    </w:p>
    <w:p w:rsidR="00B10763" w:rsidRPr="00B10763" w:rsidRDefault="00B10763" w:rsidP="00FA4DA9">
      <w:pPr>
        <w:spacing w:line="240" w:lineRule="auto"/>
        <w:jc w:val="both"/>
        <w:rPr>
          <w:rFonts w:ascii="Times New Roman" w:eastAsia="Times New Roman" w:hAnsi="Times New Roman" w:cs="Times New Roman"/>
          <w:b/>
          <w:color w:val="FF0000"/>
          <w:sz w:val="24"/>
          <w:szCs w:val="24"/>
          <w:u w:val="single"/>
          <w:lang w:eastAsia="es-ES"/>
        </w:rPr>
      </w:pPr>
      <w:r w:rsidRPr="00B10763">
        <w:rPr>
          <w:rFonts w:ascii="Times New Roman" w:eastAsia="Times New Roman" w:hAnsi="Times New Roman" w:cs="Times New Roman"/>
          <w:b/>
          <w:color w:val="FF0000"/>
          <w:sz w:val="24"/>
          <w:szCs w:val="24"/>
          <w:u w:val="single"/>
          <w:lang w:eastAsia="es-ES"/>
        </w:rPr>
        <w:lastRenderedPageBreak/>
        <w:t>Es decir, se viene a cumplir lo que algunos economistas han denominado la “maldición de la deuda”, que se produce cuando el endeudamiento se resiste a bajar después de haberse situado dentro de una horquilla que los economistas Rogoff y Reinhart ubicaron entre el 90% y el 100%. Incluso China, un país históricamente con un nivel bajo de deuda, un 34% en 2012, alcanzará el 78% en 2025, lo que da idea de las medidas ultraexpansivas aprobadas por Pekín para paliar los efectos económicos de la pandemia.</w:t>
      </w:r>
    </w:p>
    <w:p w:rsidR="007C5D83" w:rsidRDefault="007C5D83" w:rsidP="00FA4DA9">
      <w:pPr>
        <w:pStyle w:val="NormalWeb"/>
        <w:spacing w:before="0" w:beforeAutospacing="0" w:after="0" w:afterAutospacing="0"/>
        <w:jc w:val="both"/>
        <w:textAlignment w:val="baseline"/>
        <w:rPr>
          <w:color w:val="1A1A1A"/>
        </w:rPr>
      </w:pPr>
      <w:r w:rsidRPr="00692A59">
        <w:rPr>
          <w:color w:val="1A1A1A"/>
        </w:rPr>
        <w:t>La excepción entre los países ricos será </w:t>
      </w:r>
      <w:r w:rsidRPr="00B10763">
        <w:rPr>
          <w:rStyle w:val="Textoennegrita"/>
          <w:b w:val="0"/>
          <w:color w:val="1A1A1A"/>
          <w:bdr w:val="none" w:sz="0" w:space="0" w:color="auto" w:frame="1"/>
        </w:rPr>
        <w:t>Alemania</w:t>
      </w:r>
      <w:r w:rsidRPr="00692A59">
        <w:rPr>
          <w:color w:val="1A1A1A"/>
        </w:rPr>
        <w:t>, que en 2025, según el FMI, ya habrá recuperado los niveles anteriores a la crisis. En concreto, un 59,5% del PIB. La factura del coronavirus para España, por el contrario, será enorme, nada menos que unos 25 puntos de PIB, o, lo que es lo mismo, más de 250.000 millones de euros.</w:t>
      </w:r>
    </w:p>
    <w:p w:rsidR="007C5D83" w:rsidRPr="00692A59" w:rsidRDefault="007C5D83" w:rsidP="00FA4DA9">
      <w:pPr>
        <w:pStyle w:val="NormalWeb"/>
        <w:spacing w:before="0" w:beforeAutospacing="0" w:after="0" w:afterAutospacing="0"/>
        <w:jc w:val="both"/>
        <w:textAlignment w:val="baseline"/>
        <w:rPr>
          <w:color w:val="1A1A1A"/>
        </w:rPr>
      </w:pPr>
    </w:p>
    <w:p w:rsidR="007C5D83" w:rsidRDefault="007C5D83" w:rsidP="00FA4DA9">
      <w:pPr>
        <w:pStyle w:val="NormalWeb"/>
        <w:spacing w:before="0" w:beforeAutospacing="0" w:after="0" w:afterAutospacing="0"/>
        <w:jc w:val="both"/>
        <w:textAlignment w:val="baseline"/>
        <w:rPr>
          <w:color w:val="1A1A1A"/>
        </w:rPr>
      </w:pPr>
      <w:r w:rsidRPr="00692A59">
        <w:rPr>
          <w:color w:val="1A1A1A"/>
        </w:rPr>
        <w:t>La causa de este aumento en vertical de la deuda tiene que ver, lógicamente, con las extraordinarias medidas que se han visto obligados a poner en circulación los gobiernos para </w:t>
      </w:r>
      <w:r w:rsidRPr="00B10763">
        <w:rPr>
          <w:rStyle w:val="Textoennegrita"/>
          <w:b w:val="0"/>
          <w:color w:val="1A1A1A"/>
          <w:bdr w:val="none" w:sz="0" w:space="0" w:color="auto" w:frame="1"/>
        </w:rPr>
        <w:t>suavizar los efectos económicos y sociales del virus</w:t>
      </w:r>
      <w:r w:rsidRPr="00692A59">
        <w:rPr>
          <w:color w:val="1A1A1A"/>
        </w:rPr>
        <w:t>, que se concretan en una cifra impresionante. El Fondo Monetario ha estimado que hasta el pasado 11 de septiembre las medidas han supuesto un gasto adicional equivalente a 11,7 billones de dólares, es decir, alrededor de 10 billones de euros, una cifra que </w:t>
      </w:r>
      <w:r w:rsidRPr="00B10763">
        <w:rPr>
          <w:rStyle w:val="Textoennegrita"/>
          <w:b w:val="0"/>
          <w:color w:val="1A1A1A"/>
          <w:bdr w:val="none" w:sz="0" w:space="0" w:color="auto" w:frame="1"/>
        </w:rPr>
        <w:t>supone alrededor de 10 veces el PIB de España en 2020</w:t>
      </w:r>
      <w:r w:rsidRPr="00B10763">
        <w:rPr>
          <w:b/>
          <w:color w:val="1A1A1A"/>
        </w:rPr>
        <w:t>,</w:t>
      </w:r>
      <w:r w:rsidRPr="00692A59">
        <w:rPr>
          <w:color w:val="1A1A1A"/>
        </w:rPr>
        <w:t xml:space="preserve"> después del desplome de la actividad económica, que se llevará por delante unos 150.000 millones de euros respecto del valor del PIB en 2019.</w:t>
      </w:r>
    </w:p>
    <w:p w:rsidR="008F26D1" w:rsidRDefault="008F26D1" w:rsidP="00FA4DA9">
      <w:pPr>
        <w:pStyle w:val="NormalWeb"/>
        <w:spacing w:before="0" w:beforeAutospacing="0" w:after="0" w:afterAutospacing="0"/>
        <w:jc w:val="both"/>
        <w:textAlignment w:val="baseline"/>
        <w:rPr>
          <w:color w:val="FF0000"/>
          <w:u w:val="single"/>
        </w:rPr>
      </w:pPr>
    </w:p>
    <w:p w:rsidR="007C5D83" w:rsidRPr="001714AE" w:rsidRDefault="007C5D83" w:rsidP="00FA4DA9">
      <w:pPr>
        <w:pStyle w:val="NormalWeb"/>
        <w:spacing w:before="0" w:beforeAutospacing="0" w:after="0" w:afterAutospacing="0"/>
        <w:jc w:val="both"/>
        <w:textAlignment w:val="baseline"/>
        <w:rPr>
          <w:color w:val="FF0000"/>
          <w:u w:val="single"/>
        </w:rPr>
      </w:pPr>
      <w:r w:rsidRPr="001714AE">
        <w:rPr>
          <w:color w:val="FF0000"/>
          <w:u w:val="single"/>
        </w:rPr>
        <w:t>¿Y en qué se han gastado ese dinero los gobiernos? Como pone de relieve el FMI, la </w:t>
      </w:r>
      <w:r w:rsidRPr="001714AE">
        <w:rPr>
          <w:rStyle w:val="Textoennegrita"/>
          <w:b w:val="0"/>
          <w:color w:val="FF0000"/>
          <w:u w:val="single"/>
          <w:bdr w:val="none" w:sz="0" w:space="0" w:color="auto" w:frame="1"/>
        </w:rPr>
        <w:t>terapia de choque</w:t>
      </w:r>
      <w:r w:rsidRPr="001714AE">
        <w:rPr>
          <w:color w:val="FF0000"/>
          <w:u w:val="single"/>
        </w:rPr>
        <w:t> ha sido financiar los costes de desempleo, reforzamiento de los sistemas sanitarios y otras medidas destinadas a evitar las quiebras de autónomos y pequeñas empresas. Es decir, todavía no se contabiliza la inversión pública que sostenga la recuperación. Y en este sentido, el Fondo recuerda que el gasto en infraestructuras digitales será “fundamental” para promover el distanciamiento social y reducir la brecha digital que exacerba las disparidades en el acceso a la información, la educación y las oportunidades de trabajo.</w:t>
      </w:r>
    </w:p>
    <w:p w:rsidR="007C5D83" w:rsidRPr="00692A59" w:rsidRDefault="007C5D83" w:rsidP="00FA4DA9">
      <w:pPr>
        <w:spacing w:line="240" w:lineRule="auto"/>
        <w:jc w:val="both"/>
        <w:textAlignment w:val="baseline"/>
        <w:rPr>
          <w:rFonts w:ascii="Times New Roman" w:hAnsi="Times New Roman" w:cs="Times New Roman"/>
          <w:color w:val="1A1A1A"/>
          <w:sz w:val="24"/>
          <w:szCs w:val="24"/>
        </w:rPr>
      </w:pPr>
      <w:r w:rsidRPr="00692A59">
        <w:rPr>
          <w:rFonts w:ascii="Times New Roman" w:hAnsi="Times New Roman" w:cs="Times New Roman"/>
          <w:noProof/>
          <w:color w:val="1A1A1A"/>
          <w:sz w:val="24"/>
          <w:szCs w:val="24"/>
          <w:lang w:eastAsia="es-ES"/>
        </w:rPr>
        <w:drawing>
          <wp:inline distT="0" distB="0" distL="0" distR="0" wp14:anchorId="2ABF4D4F" wp14:editId="0805A07A">
            <wp:extent cx="5647578" cy="2440641"/>
            <wp:effectExtent l="0" t="0" r="0" b="0"/>
            <wp:docPr id="129" name="Imagen 129" descr="Evolución deuda pública y privada. (Fuente: F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volución deuda pública y privada. (Fuente: FMI)"/>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647578" cy="2440641"/>
                    </a:xfrm>
                    <a:prstGeom prst="rect">
                      <a:avLst/>
                    </a:prstGeom>
                    <a:noFill/>
                    <a:ln>
                      <a:noFill/>
                    </a:ln>
                  </pic:spPr>
                </pic:pic>
              </a:graphicData>
            </a:graphic>
          </wp:inline>
        </w:drawing>
      </w:r>
      <w:r w:rsidRPr="00692A59">
        <w:rPr>
          <w:rFonts w:ascii="Times New Roman" w:hAnsi="Times New Roman" w:cs="Times New Roman"/>
          <w:color w:val="1A1A1A"/>
          <w:sz w:val="24"/>
          <w:szCs w:val="24"/>
        </w:rPr>
        <w:t>Evolución deuda pública y privada. (Fuente: FMI)</w:t>
      </w:r>
    </w:p>
    <w:p w:rsidR="007C5D83" w:rsidRPr="00B10763" w:rsidRDefault="007C5D83" w:rsidP="00FA4DA9">
      <w:pPr>
        <w:pStyle w:val="NormalWeb"/>
        <w:spacing w:before="0" w:beforeAutospacing="0" w:after="0" w:afterAutospacing="0"/>
        <w:jc w:val="both"/>
        <w:textAlignment w:val="baseline"/>
        <w:rPr>
          <w:color w:val="FF0000"/>
          <w:u w:val="single"/>
        </w:rPr>
      </w:pPr>
      <w:r w:rsidRPr="00B10763">
        <w:rPr>
          <w:color w:val="FF0000"/>
          <w:u w:val="single"/>
        </w:rPr>
        <w:t>Según sus cálculos, realizados a partir de una muestra de 400.000 empresas, la inversión pública </w:t>
      </w:r>
      <w:r w:rsidRPr="00B10763">
        <w:rPr>
          <w:rStyle w:val="Textoennegrita"/>
          <w:b w:val="0"/>
          <w:color w:val="FF0000"/>
          <w:u w:val="single"/>
          <w:bdr w:val="none" w:sz="0" w:space="0" w:color="auto" w:frame="1"/>
        </w:rPr>
        <w:t>puede tener un enorme impacto en el crecimiento del PIB</w:t>
      </w:r>
      <w:r w:rsidRPr="00B10763">
        <w:rPr>
          <w:rStyle w:val="Textoennegrita"/>
          <w:color w:val="FF0000"/>
          <w:u w:val="single"/>
          <w:bdr w:val="none" w:sz="0" w:space="0" w:color="auto" w:frame="1"/>
        </w:rPr>
        <w:t> </w:t>
      </w:r>
      <w:r w:rsidRPr="00B10763">
        <w:rPr>
          <w:color w:val="FF0000"/>
          <w:u w:val="single"/>
        </w:rPr>
        <w:t>y en el empleo durante periodos de gran incertidumbre. Y, en concreto, estima que en las economías avanzadas y de mercados emergentes, el </w:t>
      </w:r>
      <w:hyperlink r:id="rId177" w:history="1">
        <w:r w:rsidRPr="00B10763">
          <w:rPr>
            <w:rStyle w:val="Hipervnculo"/>
            <w:color w:val="FF0000"/>
          </w:rPr>
          <w:t>multiplicador fiscal</w:t>
        </w:r>
      </w:hyperlink>
      <w:r w:rsidRPr="00B10763">
        <w:rPr>
          <w:color w:val="FF0000"/>
          <w:u w:val="single"/>
        </w:rPr>
        <w:t> alcanza su máximo superior a dos en los próximos dos años.</w:t>
      </w:r>
    </w:p>
    <w:p w:rsidR="007C5D83" w:rsidRPr="00B10763" w:rsidRDefault="007C5D83" w:rsidP="00FA4DA9">
      <w:pPr>
        <w:pStyle w:val="NormalWeb"/>
        <w:spacing w:before="0" w:beforeAutospacing="0" w:after="0" w:afterAutospacing="0"/>
        <w:jc w:val="both"/>
        <w:textAlignment w:val="baseline"/>
        <w:rPr>
          <w:color w:val="FF0000"/>
          <w:u w:val="single"/>
        </w:rPr>
      </w:pPr>
    </w:p>
    <w:p w:rsidR="007C5D83" w:rsidRPr="00B10763" w:rsidRDefault="007C5D83" w:rsidP="00FA4DA9">
      <w:pPr>
        <w:pStyle w:val="NormalWeb"/>
        <w:spacing w:before="0" w:beforeAutospacing="0" w:after="0" w:afterAutospacing="0"/>
        <w:jc w:val="both"/>
        <w:textAlignment w:val="baseline"/>
        <w:rPr>
          <w:b/>
          <w:color w:val="FF0000"/>
          <w:u w:val="single"/>
        </w:rPr>
      </w:pPr>
      <w:r w:rsidRPr="00B10763">
        <w:rPr>
          <w:color w:val="FF0000"/>
          <w:u w:val="single"/>
        </w:rPr>
        <w:lastRenderedPageBreak/>
        <w:t>Para ser más precisos, aumentar la </w:t>
      </w:r>
      <w:hyperlink r:id="rId178" w:history="1">
        <w:r w:rsidRPr="00B10763">
          <w:rPr>
            <w:rStyle w:val="Hipervnculo"/>
            <w:color w:val="FF0000"/>
          </w:rPr>
          <w:t>inversión pública</w:t>
        </w:r>
      </w:hyperlink>
      <w:r w:rsidRPr="00B10763">
        <w:rPr>
          <w:color w:val="FF0000"/>
          <w:u w:val="single"/>
        </w:rPr>
        <w:t xml:space="preserve"> un 1% del PIB en esas economías crearía siete millones de puestos de trabajo directamente, y entre 20 y 33 millones de puestos de trabajo si se tienen en cuenta los efectos macroeconómicos indirectos. </w:t>
      </w:r>
      <w:r w:rsidRPr="00B10763">
        <w:rPr>
          <w:b/>
          <w:color w:val="FF0000"/>
          <w:u w:val="single"/>
        </w:rPr>
        <w:t>Es decir, que la deuda</w:t>
      </w:r>
      <w:r w:rsidRPr="00B10763">
        <w:rPr>
          <w:rStyle w:val="Textoennegrita"/>
          <w:b w:val="0"/>
          <w:color w:val="FF0000"/>
          <w:u w:val="single"/>
          <w:bdr w:val="none" w:sz="0" w:space="0" w:color="auto" w:frame="1"/>
        </w:rPr>
        <w:t> </w:t>
      </w:r>
      <w:r w:rsidRPr="00B10763">
        <w:rPr>
          <w:rStyle w:val="Textoennegrita"/>
          <w:color w:val="FF0000"/>
          <w:u w:val="single"/>
          <w:bdr w:val="none" w:sz="0" w:space="0" w:color="auto" w:frame="1"/>
        </w:rPr>
        <w:t>tendrá que seguir necesariamente creciendo en los próximos años</w:t>
      </w:r>
      <w:r w:rsidRPr="00B10763">
        <w:rPr>
          <w:rStyle w:val="Textoennegrita"/>
          <w:b w:val="0"/>
          <w:color w:val="FF0000"/>
          <w:u w:val="single"/>
          <w:bdr w:val="none" w:sz="0" w:space="0" w:color="auto" w:frame="1"/>
        </w:rPr>
        <w:t> </w:t>
      </w:r>
      <w:r w:rsidRPr="00B10763">
        <w:rPr>
          <w:b/>
          <w:color w:val="FF0000"/>
          <w:u w:val="single"/>
        </w:rPr>
        <w:t>para financiar esos proyectos. También la deuda privada, y el FMI estima que en 2019 se cerró con un endeudamiento global equivalente al 225% del PIB, lo que supone 30 puntos más que antes de la crisis de hace una década.</w:t>
      </w:r>
    </w:p>
    <w:p w:rsidR="007C5D83" w:rsidRPr="00B10763" w:rsidRDefault="007C5D83" w:rsidP="00FA4DA9">
      <w:pPr>
        <w:pStyle w:val="NormalWeb"/>
        <w:spacing w:before="0" w:beforeAutospacing="0" w:after="0" w:afterAutospacing="0"/>
        <w:jc w:val="both"/>
        <w:textAlignment w:val="baseline"/>
        <w:rPr>
          <w:b/>
          <w:color w:val="FF0000"/>
          <w:u w:val="single"/>
        </w:rPr>
      </w:pPr>
    </w:p>
    <w:p w:rsidR="007C5D83" w:rsidRDefault="007C5D83" w:rsidP="00FA4DA9">
      <w:pPr>
        <w:pStyle w:val="NormalWeb"/>
        <w:spacing w:before="0" w:beforeAutospacing="0" w:after="0" w:afterAutospacing="0"/>
        <w:jc w:val="both"/>
        <w:textAlignment w:val="baseline"/>
        <w:rPr>
          <w:b/>
          <w:color w:val="FF0000"/>
          <w:u w:val="single"/>
        </w:rPr>
      </w:pPr>
      <w:r w:rsidRPr="00B10763">
        <w:rPr>
          <w:b/>
          <w:color w:val="FF0000"/>
          <w:u w:val="single"/>
        </w:rPr>
        <w:t>Y seguirá creciendo, sostiene el FMI, porque </w:t>
      </w:r>
      <w:r w:rsidRPr="00B10763">
        <w:rPr>
          <w:rStyle w:val="Textoennegrita"/>
          <w:color w:val="FF0000"/>
          <w:u w:val="single"/>
          <w:bdr w:val="none" w:sz="0" w:space="0" w:color="auto" w:frame="1"/>
        </w:rPr>
        <w:t>no es momento de retirar los estímulos</w:t>
      </w:r>
      <w:r w:rsidRPr="00B10763">
        <w:rPr>
          <w:b/>
          <w:color w:val="FF0000"/>
          <w:u w:val="single"/>
        </w:rPr>
        <w:t> fiscales, ya que ello supondría hacer más profundo el agujero en el que ha caído la economía. Y, de hecho, propone que no se retiren los estímulos “al menos” hasta 2021.</w:t>
      </w:r>
    </w:p>
    <w:p w:rsidR="00B10763" w:rsidRDefault="00B10763" w:rsidP="00FA4DA9">
      <w:pPr>
        <w:pStyle w:val="NormalWeb"/>
        <w:spacing w:before="0" w:beforeAutospacing="0" w:after="0" w:afterAutospacing="0"/>
        <w:jc w:val="both"/>
        <w:textAlignment w:val="baseline"/>
        <w:rPr>
          <w:b/>
          <w:color w:val="FF0000"/>
          <w:u w:val="single"/>
        </w:rPr>
      </w:pPr>
    </w:p>
    <w:p w:rsidR="007C5D83" w:rsidRPr="00546456" w:rsidRDefault="007C5D83" w:rsidP="00FA4DA9">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Pr="00546456">
        <w:rPr>
          <w:rFonts w:ascii="Times New Roman" w:hAnsi="Times New Roman" w:cs="Times New Roman"/>
          <w:sz w:val="24"/>
          <w:szCs w:val="24"/>
          <w:u w:val="single"/>
          <w:lang w:val="en-GB"/>
        </w:rPr>
        <w:t>U.S. Budget Gap Tripled to Record $</w:t>
      </w:r>
      <w:r w:rsidR="00B10763">
        <w:rPr>
          <w:rFonts w:ascii="Times New Roman" w:hAnsi="Times New Roman" w:cs="Times New Roman"/>
          <w:sz w:val="24"/>
          <w:szCs w:val="24"/>
          <w:u w:val="single"/>
          <w:lang w:val="en-GB"/>
        </w:rPr>
        <w:t xml:space="preserve"> </w:t>
      </w:r>
      <w:r w:rsidR="001714AE">
        <w:rPr>
          <w:rFonts w:ascii="Times New Roman" w:hAnsi="Times New Roman" w:cs="Times New Roman"/>
          <w:sz w:val="24"/>
          <w:szCs w:val="24"/>
          <w:u w:val="single"/>
          <w:lang w:val="en-GB"/>
        </w:rPr>
        <w:t>3,</w:t>
      </w:r>
      <w:r w:rsidRPr="00546456">
        <w:rPr>
          <w:rFonts w:ascii="Times New Roman" w:hAnsi="Times New Roman" w:cs="Times New Roman"/>
          <w:sz w:val="24"/>
          <w:szCs w:val="24"/>
          <w:u w:val="single"/>
          <w:lang w:val="en-GB"/>
        </w:rPr>
        <w:t>1 Trillion in Fiscal 2020, Treasury Says</w:t>
      </w:r>
      <w:r>
        <w:rPr>
          <w:rFonts w:ascii="Times New Roman" w:hAnsi="Times New Roman" w:cs="Times New Roman"/>
          <w:sz w:val="24"/>
          <w:szCs w:val="24"/>
          <w:lang w:val="en-GB"/>
        </w:rPr>
        <w:t xml:space="preserve"> (WSJ - </w:t>
      </w:r>
      <w:r w:rsidRPr="00546456">
        <w:rPr>
          <w:rFonts w:ascii="Times New Roman" w:hAnsi="Times New Roman" w:cs="Times New Roman"/>
          <w:b/>
          <w:sz w:val="24"/>
          <w:szCs w:val="24"/>
          <w:lang w:val="en-GB"/>
        </w:rPr>
        <w:t>16/10/20</w:t>
      </w:r>
      <w:r>
        <w:rPr>
          <w:rFonts w:ascii="Times New Roman" w:hAnsi="Times New Roman" w:cs="Times New Roman"/>
          <w:sz w:val="24"/>
          <w:szCs w:val="24"/>
          <w:lang w:val="en-GB"/>
        </w:rPr>
        <w:t>)</w:t>
      </w:r>
    </w:p>
    <w:p w:rsidR="007C5D83" w:rsidRDefault="007C5D83" w:rsidP="00FA4DA9">
      <w:pPr>
        <w:spacing w:line="240" w:lineRule="auto"/>
        <w:jc w:val="both"/>
        <w:rPr>
          <w:rFonts w:ascii="Times New Roman" w:hAnsi="Times New Roman" w:cs="Times New Roman"/>
          <w:sz w:val="24"/>
          <w:szCs w:val="24"/>
          <w:lang w:val="en-GB"/>
        </w:rPr>
      </w:pPr>
      <w:r w:rsidRPr="00546456">
        <w:rPr>
          <w:rFonts w:ascii="Times New Roman" w:hAnsi="Times New Roman" w:cs="Times New Roman"/>
          <w:sz w:val="24"/>
          <w:szCs w:val="24"/>
          <w:lang w:val="en-GB"/>
        </w:rPr>
        <w:t>Spending soared 47% in year ended Sept. 30 as government rolled out programs to battle coronavirus and recession</w:t>
      </w:r>
    </w:p>
    <w:p w:rsidR="007C5D83" w:rsidRPr="00B10763" w:rsidRDefault="00B10763" w:rsidP="00FA4DA9">
      <w:pPr>
        <w:spacing w:line="240" w:lineRule="auto"/>
        <w:jc w:val="both"/>
        <w:rPr>
          <w:rFonts w:ascii="Times New Roman" w:hAnsi="Times New Roman" w:cs="Times New Roman"/>
          <w:color w:val="FF0000"/>
          <w:sz w:val="24"/>
          <w:szCs w:val="24"/>
          <w:u w:val="single"/>
          <w:lang w:val="en-GB"/>
        </w:rPr>
      </w:pPr>
      <w:r>
        <w:rPr>
          <w:rFonts w:ascii="Times New Roman" w:hAnsi="Times New Roman" w:cs="Times New Roman"/>
          <w:sz w:val="24"/>
          <w:szCs w:val="24"/>
          <w:lang w:val="en-GB"/>
        </w:rPr>
        <w:t xml:space="preserve">Washington.- </w:t>
      </w:r>
      <w:r w:rsidR="00324F4A">
        <w:rPr>
          <w:rFonts w:ascii="Times New Roman" w:hAnsi="Times New Roman" w:cs="Times New Roman"/>
          <w:color w:val="FF0000"/>
          <w:sz w:val="24"/>
          <w:szCs w:val="24"/>
          <w:u w:val="single"/>
          <w:lang w:val="en-GB"/>
        </w:rPr>
        <w:t xml:space="preserve">The </w:t>
      </w:r>
      <w:r w:rsidR="007C5D83" w:rsidRPr="00B10763">
        <w:rPr>
          <w:rFonts w:ascii="Times New Roman" w:hAnsi="Times New Roman" w:cs="Times New Roman"/>
          <w:color w:val="FF0000"/>
          <w:sz w:val="24"/>
          <w:szCs w:val="24"/>
          <w:u w:val="single"/>
          <w:lang w:val="en-GB"/>
        </w:rPr>
        <w:t>U.S. budget deficit tripled to a record $</w:t>
      </w:r>
      <w:r w:rsidRPr="00B10763">
        <w:rPr>
          <w:rFonts w:ascii="Times New Roman" w:hAnsi="Times New Roman" w:cs="Times New Roman"/>
          <w:color w:val="FF0000"/>
          <w:sz w:val="24"/>
          <w:szCs w:val="24"/>
          <w:u w:val="single"/>
          <w:lang w:val="en-GB"/>
        </w:rPr>
        <w:t xml:space="preserve"> </w:t>
      </w:r>
      <w:r w:rsidR="001714AE">
        <w:rPr>
          <w:rFonts w:ascii="Times New Roman" w:hAnsi="Times New Roman" w:cs="Times New Roman"/>
          <w:color w:val="FF0000"/>
          <w:sz w:val="24"/>
          <w:szCs w:val="24"/>
          <w:u w:val="single"/>
          <w:lang w:val="en-GB"/>
        </w:rPr>
        <w:t>3,</w:t>
      </w:r>
      <w:r w:rsidR="007C5D83" w:rsidRPr="00B10763">
        <w:rPr>
          <w:rFonts w:ascii="Times New Roman" w:hAnsi="Times New Roman" w:cs="Times New Roman"/>
          <w:color w:val="FF0000"/>
          <w:sz w:val="24"/>
          <w:szCs w:val="24"/>
          <w:u w:val="single"/>
          <w:lang w:val="en-GB"/>
        </w:rPr>
        <w:t>1 trillion in the fiscal year that ended Sept. 30 as the government battled the global coronavirus pandemic that plunged the country into a recession, has taken more than 217,000 American lives and thrown millions out of work.</w:t>
      </w:r>
    </w:p>
    <w:p w:rsidR="007C5D83" w:rsidRPr="00B10763" w:rsidRDefault="007C5D83" w:rsidP="00FA4DA9">
      <w:pPr>
        <w:spacing w:line="240" w:lineRule="auto"/>
        <w:jc w:val="both"/>
        <w:rPr>
          <w:rFonts w:ascii="Times New Roman" w:hAnsi="Times New Roman" w:cs="Times New Roman"/>
          <w:color w:val="FF0000"/>
          <w:sz w:val="24"/>
          <w:szCs w:val="24"/>
          <w:u w:val="single"/>
          <w:lang w:val="en-GB"/>
        </w:rPr>
      </w:pPr>
      <w:r w:rsidRPr="00B10763">
        <w:rPr>
          <w:rFonts w:ascii="Times New Roman" w:hAnsi="Times New Roman" w:cs="Times New Roman"/>
          <w:color w:val="FF0000"/>
          <w:sz w:val="24"/>
          <w:szCs w:val="24"/>
          <w:u w:val="single"/>
          <w:lang w:val="en-GB"/>
        </w:rPr>
        <w:t>As a share of economic output, the budget gap in fiscal year 2020 hit roughly 16.1%, the largest since 1945, the Treasury Department said Friday, when the country was financing massive military operations to help end World War II…</w:t>
      </w:r>
    </w:p>
    <w:p w:rsidR="007C5D83" w:rsidRPr="00B10763" w:rsidRDefault="007C5D83" w:rsidP="00FA4DA9">
      <w:pPr>
        <w:spacing w:line="240" w:lineRule="auto"/>
        <w:jc w:val="both"/>
        <w:rPr>
          <w:rFonts w:ascii="Times New Roman" w:hAnsi="Times New Roman" w:cs="Times New Roman"/>
          <w:sz w:val="24"/>
          <w:szCs w:val="24"/>
          <w:lang w:val="en-US"/>
        </w:rPr>
      </w:pPr>
      <w:r w:rsidRPr="00B10763">
        <w:rPr>
          <w:rFonts w:ascii="Times New Roman" w:hAnsi="Times New Roman" w:cs="Times New Roman"/>
          <w:sz w:val="24"/>
          <w:szCs w:val="24"/>
          <w:lang w:val="en-US"/>
        </w:rPr>
        <w:t xml:space="preserve">- </w:t>
      </w:r>
      <w:r w:rsidRPr="00B10763">
        <w:rPr>
          <w:rFonts w:ascii="Times New Roman" w:hAnsi="Times New Roman" w:cs="Times New Roman"/>
          <w:sz w:val="24"/>
          <w:szCs w:val="24"/>
          <w:u w:val="single"/>
          <w:lang w:val="en-US"/>
        </w:rPr>
        <w:t>China Economy Grows 4.9% as Rest of World Struggles With Coronavirus</w:t>
      </w:r>
      <w:r w:rsidRPr="00B10763">
        <w:rPr>
          <w:rFonts w:ascii="Times New Roman" w:hAnsi="Times New Roman" w:cs="Times New Roman"/>
          <w:sz w:val="24"/>
          <w:szCs w:val="24"/>
          <w:lang w:val="en-US"/>
        </w:rPr>
        <w:t xml:space="preserve"> (WSJ - </w:t>
      </w:r>
      <w:r w:rsidRPr="00B10763">
        <w:rPr>
          <w:rFonts w:ascii="Times New Roman" w:hAnsi="Times New Roman" w:cs="Times New Roman"/>
          <w:b/>
          <w:sz w:val="24"/>
          <w:szCs w:val="24"/>
          <w:lang w:val="en-US"/>
        </w:rPr>
        <w:t>18/10/20</w:t>
      </w:r>
      <w:r w:rsidRPr="00B10763">
        <w:rPr>
          <w:rFonts w:ascii="Times New Roman" w:hAnsi="Times New Roman" w:cs="Times New Roman"/>
          <w:sz w:val="24"/>
          <w:szCs w:val="24"/>
          <w:lang w:val="en-US"/>
        </w:rPr>
        <w:t>)</w:t>
      </w:r>
    </w:p>
    <w:p w:rsidR="007C5D83" w:rsidRPr="00B10763" w:rsidRDefault="007C5D83" w:rsidP="00FA4DA9">
      <w:pPr>
        <w:spacing w:line="240" w:lineRule="auto"/>
        <w:jc w:val="both"/>
        <w:rPr>
          <w:rFonts w:ascii="Times New Roman" w:hAnsi="Times New Roman" w:cs="Times New Roman"/>
          <w:sz w:val="24"/>
          <w:szCs w:val="24"/>
          <w:lang w:val="en-US"/>
        </w:rPr>
      </w:pPr>
      <w:r w:rsidRPr="00B10763">
        <w:rPr>
          <w:rFonts w:ascii="Times New Roman" w:hAnsi="Times New Roman" w:cs="Times New Roman"/>
          <w:sz w:val="24"/>
          <w:szCs w:val="24"/>
          <w:lang w:val="en-US"/>
        </w:rPr>
        <w:t>Result was lower than a 5.3% median forecast expected by economists polled by The Wall Street Journal</w:t>
      </w:r>
    </w:p>
    <w:p w:rsidR="007C5D83" w:rsidRPr="001714AE" w:rsidRDefault="00B10763" w:rsidP="00FA4DA9">
      <w:pPr>
        <w:spacing w:line="240" w:lineRule="auto"/>
        <w:jc w:val="both"/>
        <w:rPr>
          <w:rFonts w:ascii="Times New Roman" w:hAnsi="Times New Roman" w:cs="Times New Roman"/>
          <w:color w:val="FF0000"/>
          <w:sz w:val="24"/>
          <w:szCs w:val="24"/>
          <w:u w:val="single"/>
          <w:lang w:val="en-US"/>
        </w:rPr>
      </w:pPr>
      <w:r>
        <w:rPr>
          <w:rFonts w:ascii="Times New Roman" w:hAnsi="Times New Roman" w:cs="Times New Roman"/>
          <w:sz w:val="24"/>
          <w:szCs w:val="24"/>
          <w:lang w:val="en-US"/>
        </w:rPr>
        <w:t xml:space="preserve">Beijing.- </w:t>
      </w:r>
      <w:r w:rsidR="007C5D83" w:rsidRPr="001714AE">
        <w:rPr>
          <w:rFonts w:ascii="Times New Roman" w:hAnsi="Times New Roman" w:cs="Times New Roman"/>
          <w:color w:val="FF0000"/>
          <w:sz w:val="24"/>
          <w:szCs w:val="24"/>
          <w:u w:val="single"/>
          <w:lang w:val="en-US"/>
        </w:rPr>
        <w:t>Chinese officials said Monday that gross domestic product expanded by 4.9% in the third quarter from a year earlier, putting China’s economy back toward its pre-coronavirus trajectory half a year after the pandemic gutted its economy.</w:t>
      </w:r>
    </w:p>
    <w:p w:rsidR="007C5D83" w:rsidRDefault="007C5D83" w:rsidP="00FA4DA9">
      <w:pPr>
        <w:spacing w:line="240" w:lineRule="auto"/>
        <w:jc w:val="both"/>
        <w:rPr>
          <w:rFonts w:ascii="Times New Roman" w:hAnsi="Times New Roman" w:cs="Times New Roman"/>
          <w:sz w:val="24"/>
          <w:szCs w:val="24"/>
          <w:lang w:val="en-US"/>
        </w:rPr>
      </w:pPr>
      <w:r w:rsidRPr="00B10763">
        <w:rPr>
          <w:rFonts w:ascii="Times New Roman" w:hAnsi="Times New Roman" w:cs="Times New Roman"/>
          <w:sz w:val="24"/>
          <w:szCs w:val="24"/>
          <w:lang w:val="en-US"/>
        </w:rPr>
        <w:t>The 4.9% growth figure for the third quarter fell short of expectations but brings China’s trajectory closer in line with forecasts made at the beginning of the year for 202</w:t>
      </w:r>
      <w:r w:rsidR="00B10763">
        <w:rPr>
          <w:rFonts w:ascii="Times New Roman" w:hAnsi="Times New Roman" w:cs="Times New Roman"/>
          <w:sz w:val="24"/>
          <w:szCs w:val="24"/>
          <w:lang w:val="en-US"/>
        </w:rPr>
        <w:t>0 growth of between 5.5% and 6% -</w:t>
      </w:r>
      <w:r w:rsidRPr="00B10763">
        <w:rPr>
          <w:rFonts w:ascii="Times New Roman" w:hAnsi="Times New Roman" w:cs="Times New Roman"/>
          <w:sz w:val="24"/>
          <w:szCs w:val="24"/>
          <w:lang w:val="en-US"/>
        </w:rPr>
        <w:t>forecasts made before the pandemic swept across the globe, killing more than a million...</w:t>
      </w:r>
    </w:p>
    <w:p w:rsidR="001714AE" w:rsidRDefault="001714AE" w:rsidP="00FA4DA9">
      <w:pPr>
        <w:spacing w:line="240" w:lineRule="auto"/>
        <w:jc w:val="both"/>
        <w:rPr>
          <w:rFonts w:ascii="Times New Roman" w:hAnsi="Times New Roman" w:cs="Times New Roman"/>
          <w:sz w:val="24"/>
          <w:szCs w:val="24"/>
          <w:lang w:val="en-US"/>
        </w:rPr>
      </w:pPr>
    </w:p>
    <w:p w:rsidR="00707530" w:rsidRDefault="00707530" w:rsidP="00FA4DA9">
      <w:pPr>
        <w:spacing w:line="240" w:lineRule="auto"/>
        <w:jc w:val="both"/>
        <w:rPr>
          <w:rFonts w:ascii="Times New Roman" w:hAnsi="Times New Roman" w:cs="Times New Roman"/>
          <w:sz w:val="24"/>
          <w:szCs w:val="24"/>
          <w:lang w:val="en-US"/>
        </w:rPr>
      </w:pPr>
    </w:p>
    <w:p w:rsidR="00707530" w:rsidRDefault="00707530" w:rsidP="00FA4DA9">
      <w:pPr>
        <w:spacing w:line="240" w:lineRule="auto"/>
        <w:jc w:val="both"/>
        <w:rPr>
          <w:rFonts w:ascii="Times New Roman" w:hAnsi="Times New Roman" w:cs="Times New Roman"/>
          <w:sz w:val="24"/>
          <w:szCs w:val="24"/>
          <w:lang w:val="en-US"/>
        </w:rPr>
      </w:pPr>
    </w:p>
    <w:p w:rsidR="00707530" w:rsidRDefault="00707530" w:rsidP="00FA4DA9">
      <w:pPr>
        <w:spacing w:line="240" w:lineRule="auto"/>
        <w:jc w:val="both"/>
        <w:rPr>
          <w:rFonts w:ascii="Times New Roman" w:hAnsi="Times New Roman" w:cs="Times New Roman"/>
          <w:sz w:val="24"/>
          <w:szCs w:val="24"/>
          <w:lang w:val="en-US"/>
        </w:rPr>
      </w:pPr>
    </w:p>
    <w:p w:rsidR="00707530" w:rsidRDefault="00707530" w:rsidP="00FA4DA9">
      <w:pPr>
        <w:spacing w:line="240" w:lineRule="auto"/>
        <w:jc w:val="both"/>
        <w:rPr>
          <w:rFonts w:ascii="Times New Roman" w:hAnsi="Times New Roman" w:cs="Times New Roman"/>
          <w:sz w:val="24"/>
          <w:szCs w:val="24"/>
          <w:lang w:val="en-US"/>
        </w:rPr>
      </w:pPr>
    </w:p>
    <w:p w:rsidR="00707530" w:rsidRDefault="00707530" w:rsidP="00FA4DA9">
      <w:pPr>
        <w:spacing w:line="240" w:lineRule="auto"/>
        <w:jc w:val="both"/>
        <w:rPr>
          <w:rFonts w:ascii="Times New Roman" w:hAnsi="Times New Roman" w:cs="Times New Roman"/>
          <w:sz w:val="24"/>
          <w:szCs w:val="24"/>
          <w:lang w:val="en-US"/>
        </w:rPr>
      </w:pPr>
    </w:p>
    <w:p w:rsidR="00707530" w:rsidRDefault="00707530" w:rsidP="00FA4DA9">
      <w:pPr>
        <w:spacing w:line="240" w:lineRule="auto"/>
        <w:jc w:val="both"/>
        <w:rPr>
          <w:rFonts w:ascii="Times New Roman" w:hAnsi="Times New Roman" w:cs="Times New Roman"/>
          <w:sz w:val="24"/>
          <w:szCs w:val="24"/>
          <w:lang w:val="en-US"/>
        </w:rPr>
      </w:pPr>
    </w:p>
    <w:p w:rsidR="00707530" w:rsidRPr="00B10763" w:rsidRDefault="00707530" w:rsidP="00FA4DA9">
      <w:pPr>
        <w:spacing w:line="240" w:lineRule="auto"/>
        <w:jc w:val="both"/>
        <w:rPr>
          <w:rFonts w:ascii="Times New Roman" w:hAnsi="Times New Roman" w:cs="Times New Roman"/>
          <w:sz w:val="24"/>
          <w:szCs w:val="24"/>
          <w:lang w:val="en-US"/>
        </w:rPr>
      </w:pPr>
    </w:p>
    <w:p w:rsidR="007C5D83" w:rsidRDefault="007C5D83" w:rsidP="00FA4DA9">
      <w:pPr>
        <w:spacing w:line="240" w:lineRule="auto"/>
        <w:jc w:val="both"/>
        <w:rPr>
          <w:rFonts w:ascii="Times New Roman" w:hAnsi="Times New Roman" w:cs="Times New Roman"/>
          <w:color w:val="FF0000"/>
          <w:sz w:val="24"/>
          <w:szCs w:val="24"/>
          <w:lang w:val="en-US"/>
        </w:rPr>
      </w:pPr>
      <w:r w:rsidRPr="00E3057F">
        <w:rPr>
          <w:rFonts w:ascii="Times New Roman" w:hAnsi="Times New Roman" w:cs="Times New Roman"/>
          <w:noProof/>
          <w:color w:val="FF0000"/>
          <w:sz w:val="24"/>
          <w:szCs w:val="24"/>
          <w:lang w:eastAsia="es-ES"/>
        </w:rPr>
        <w:drawing>
          <wp:inline distT="0" distB="0" distL="0" distR="0" wp14:anchorId="5AEA1474" wp14:editId="611F7F74">
            <wp:extent cx="5728772" cy="3352800"/>
            <wp:effectExtent l="0" t="0" r="5715" b="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5731510" cy="3354403"/>
                    </a:xfrm>
                    <a:prstGeom prst="rect">
                      <a:avLst/>
                    </a:prstGeom>
                  </pic:spPr>
                </pic:pic>
              </a:graphicData>
            </a:graphic>
          </wp:inline>
        </w:drawing>
      </w:r>
    </w:p>
    <w:p w:rsidR="001714AE" w:rsidRDefault="001714AE" w:rsidP="00FA4DA9">
      <w:pPr>
        <w:spacing w:line="240" w:lineRule="auto"/>
        <w:jc w:val="both"/>
        <w:rPr>
          <w:rFonts w:ascii="Times New Roman" w:hAnsi="Times New Roman" w:cs="Times New Roman"/>
          <w:color w:val="FF0000"/>
          <w:sz w:val="24"/>
          <w:szCs w:val="24"/>
          <w:lang w:val="en-US"/>
        </w:rPr>
      </w:pPr>
    </w:p>
    <w:p w:rsidR="001714AE" w:rsidRDefault="001714AE" w:rsidP="00FA4DA9">
      <w:pPr>
        <w:spacing w:line="240" w:lineRule="auto"/>
        <w:jc w:val="both"/>
        <w:rPr>
          <w:rFonts w:ascii="Times New Roman" w:hAnsi="Times New Roman" w:cs="Times New Roman"/>
          <w:color w:val="FF0000"/>
          <w:sz w:val="24"/>
          <w:szCs w:val="24"/>
          <w:lang w:val="en-US"/>
        </w:rPr>
      </w:pPr>
    </w:p>
    <w:p w:rsidR="007C5D83" w:rsidRDefault="007C5D83" w:rsidP="00FA4DA9">
      <w:pPr>
        <w:spacing w:line="240" w:lineRule="auto"/>
        <w:jc w:val="both"/>
        <w:rPr>
          <w:rFonts w:ascii="Times New Roman" w:hAnsi="Times New Roman" w:cs="Times New Roman"/>
          <w:color w:val="FF0000"/>
          <w:sz w:val="24"/>
          <w:szCs w:val="24"/>
          <w:lang w:val="en-US"/>
        </w:rPr>
      </w:pPr>
      <w:r w:rsidRPr="00D34555">
        <w:rPr>
          <w:rFonts w:ascii="Times New Roman" w:hAnsi="Times New Roman" w:cs="Times New Roman"/>
          <w:noProof/>
          <w:color w:val="FF0000"/>
          <w:sz w:val="24"/>
          <w:szCs w:val="24"/>
          <w:lang w:eastAsia="es-ES"/>
        </w:rPr>
        <w:drawing>
          <wp:inline distT="0" distB="0" distL="0" distR="0" wp14:anchorId="106972C4" wp14:editId="386472B7">
            <wp:extent cx="5731510" cy="3479933"/>
            <wp:effectExtent l="0" t="0" r="2540" b="635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5731510" cy="3479933"/>
                    </a:xfrm>
                    <a:prstGeom prst="rect">
                      <a:avLst/>
                    </a:prstGeom>
                  </pic:spPr>
                </pic:pic>
              </a:graphicData>
            </a:graphic>
          </wp:inline>
        </w:drawing>
      </w:r>
    </w:p>
    <w:p w:rsidR="001714AE" w:rsidRDefault="001714AE" w:rsidP="00FA4DA9">
      <w:pPr>
        <w:spacing w:line="240" w:lineRule="auto"/>
        <w:jc w:val="both"/>
        <w:rPr>
          <w:rFonts w:ascii="Times New Roman" w:hAnsi="Times New Roman" w:cs="Times New Roman"/>
          <w:color w:val="FF0000"/>
          <w:sz w:val="24"/>
          <w:szCs w:val="24"/>
          <w:lang w:val="en-US"/>
        </w:rPr>
      </w:pPr>
    </w:p>
    <w:p w:rsidR="00707530" w:rsidRDefault="00707530" w:rsidP="00FA4DA9">
      <w:pPr>
        <w:spacing w:line="240" w:lineRule="auto"/>
        <w:jc w:val="both"/>
        <w:rPr>
          <w:rFonts w:ascii="Times New Roman" w:hAnsi="Times New Roman" w:cs="Times New Roman"/>
          <w:color w:val="FF0000"/>
          <w:sz w:val="24"/>
          <w:szCs w:val="24"/>
          <w:lang w:val="en-US"/>
        </w:rPr>
      </w:pPr>
    </w:p>
    <w:p w:rsidR="00707530" w:rsidRDefault="00707530" w:rsidP="00FA4DA9">
      <w:pPr>
        <w:spacing w:line="240" w:lineRule="auto"/>
        <w:jc w:val="both"/>
        <w:rPr>
          <w:rFonts w:ascii="Times New Roman" w:hAnsi="Times New Roman" w:cs="Times New Roman"/>
          <w:color w:val="FF0000"/>
          <w:sz w:val="24"/>
          <w:szCs w:val="24"/>
          <w:lang w:val="en-US"/>
        </w:rPr>
      </w:pPr>
    </w:p>
    <w:p w:rsidR="007C5D83" w:rsidRDefault="007C5D83" w:rsidP="00FA4DA9">
      <w:pPr>
        <w:spacing w:line="240" w:lineRule="auto"/>
        <w:jc w:val="both"/>
        <w:rPr>
          <w:rFonts w:ascii="Times New Roman" w:hAnsi="Times New Roman" w:cs="Times New Roman"/>
          <w:color w:val="FF0000"/>
          <w:sz w:val="24"/>
          <w:szCs w:val="24"/>
          <w:lang w:val="en-US"/>
        </w:rPr>
      </w:pPr>
      <w:r w:rsidRPr="00D34555">
        <w:rPr>
          <w:rFonts w:ascii="Times New Roman" w:hAnsi="Times New Roman" w:cs="Times New Roman"/>
          <w:noProof/>
          <w:color w:val="FF0000"/>
          <w:sz w:val="24"/>
          <w:szCs w:val="24"/>
          <w:lang w:eastAsia="es-ES"/>
        </w:rPr>
        <w:drawing>
          <wp:inline distT="0" distB="0" distL="0" distR="0" wp14:anchorId="0091A216" wp14:editId="6E03E408">
            <wp:extent cx="5731510" cy="3473197"/>
            <wp:effectExtent l="0" t="0" r="2540" b="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5731510" cy="3473197"/>
                    </a:xfrm>
                    <a:prstGeom prst="rect">
                      <a:avLst/>
                    </a:prstGeom>
                  </pic:spPr>
                </pic:pic>
              </a:graphicData>
            </a:graphic>
          </wp:inline>
        </w:drawing>
      </w:r>
    </w:p>
    <w:p w:rsidR="001714AE" w:rsidRDefault="001714AE" w:rsidP="00FA4DA9">
      <w:pPr>
        <w:spacing w:line="240" w:lineRule="auto"/>
        <w:jc w:val="both"/>
        <w:rPr>
          <w:rFonts w:ascii="Times New Roman" w:hAnsi="Times New Roman" w:cs="Times New Roman"/>
          <w:color w:val="FF0000"/>
          <w:sz w:val="24"/>
          <w:szCs w:val="24"/>
          <w:lang w:val="en-US"/>
        </w:rPr>
      </w:pPr>
    </w:p>
    <w:p w:rsidR="001714AE" w:rsidRDefault="001714AE" w:rsidP="00FA4DA9">
      <w:pPr>
        <w:spacing w:line="240" w:lineRule="auto"/>
        <w:jc w:val="both"/>
        <w:rPr>
          <w:rFonts w:ascii="Times New Roman" w:hAnsi="Times New Roman" w:cs="Times New Roman"/>
          <w:color w:val="FF0000"/>
          <w:sz w:val="24"/>
          <w:szCs w:val="24"/>
          <w:lang w:val="en-US"/>
        </w:rPr>
      </w:pPr>
    </w:p>
    <w:p w:rsidR="007C5D83" w:rsidRDefault="007C5D83" w:rsidP="00FA4DA9">
      <w:pPr>
        <w:spacing w:line="240" w:lineRule="auto"/>
        <w:jc w:val="both"/>
        <w:rPr>
          <w:rFonts w:ascii="Times New Roman" w:hAnsi="Times New Roman" w:cs="Times New Roman"/>
          <w:color w:val="FF0000"/>
          <w:sz w:val="24"/>
          <w:szCs w:val="24"/>
          <w:lang w:val="en-US"/>
        </w:rPr>
      </w:pPr>
      <w:r w:rsidRPr="008770A2">
        <w:rPr>
          <w:rFonts w:ascii="Times New Roman" w:hAnsi="Times New Roman" w:cs="Times New Roman"/>
          <w:noProof/>
          <w:color w:val="FF0000"/>
          <w:sz w:val="24"/>
          <w:szCs w:val="24"/>
          <w:lang w:eastAsia="es-ES"/>
        </w:rPr>
        <w:drawing>
          <wp:inline distT="0" distB="0" distL="0" distR="0" wp14:anchorId="264FF009" wp14:editId="63B8424A">
            <wp:extent cx="5731510" cy="3441968"/>
            <wp:effectExtent l="0" t="0" r="2540" b="6350"/>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stretch>
                      <a:fillRect/>
                    </a:stretch>
                  </pic:blipFill>
                  <pic:spPr>
                    <a:xfrm>
                      <a:off x="0" y="0"/>
                      <a:ext cx="5731510" cy="3441968"/>
                    </a:xfrm>
                    <a:prstGeom prst="rect">
                      <a:avLst/>
                    </a:prstGeom>
                  </pic:spPr>
                </pic:pic>
              </a:graphicData>
            </a:graphic>
          </wp:inline>
        </w:drawing>
      </w:r>
    </w:p>
    <w:p w:rsidR="001714AE" w:rsidRDefault="001714AE" w:rsidP="00FA4DA9">
      <w:pPr>
        <w:spacing w:line="240" w:lineRule="auto"/>
        <w:jc w:val="both"/>
        <w:rPr>
          <w:rFonts w:ascii="Times New Roman" w:hAnsi="Times New Roman" w:cs="Times New Roman"/>
          <w:color w:val="FF0000"/>
          <w:sz w:val="24"/>
          <w:szCs w:val="24"/>
          <w:lang w:val="en-US"/>
        </w:rPr>
      </w:pPr>
    </w:p>
    <w:p w:rsidR="001714AE" w:rsidRDefault="001714AE" w:rsidP="00FA4DA9">
      <w:pPr>
        <w:spacing w:line="240" w:lineRule="auto"/>
        <w:jc w:val="both"/>
        <w:rPr>
          <w:rFonts w:ascii="Times New Roman" w:hAnsi="Times New Roman" w:cs="Times New Roman"/>
          <w:color w:val="FF0000"/>
          <w:sz w:val="24"/>
          <w:szCs w:val="24"/>
          <w:lang w:val="en-US"/>
        </w:rPr>
      </w:pPr>
    </w:p>
    <w:p w:rsidR="00707530" w:rsidRDefault="00707530" w:rsidP="00FA4DA9">
      <w:pPr>
        <w:spacing w:line="240" w:lineRule="auto"/>
        <w:jc w:val="both"/>
        <w:rPr>
          <w:rFonts w:ascii="Times New Roman" w:hAnsi="Times New Roman" w:cs="Times New Roman"/>
          <w:color w:val="FF0000"/>
          <w:sz w:val="24"/>
          <w:szCs w:val="24"/>
          <w:lang w:val="en-US"/>
        </w:rPr>
      </w:pPr>
    </w:p>
    <w:p w:rsidR="00707530" w:rsidRDefault="00707530" w:rsidP="00FA4DA9">
      <w:pPr>
        <w:spacing w:line="240" w:lineRule="auto"/>
        <w:jc w:val="both"/>
        <w:rPr>
          <w:rFonts w:ascii="Times New Roman" w:hAnsi="Times New Roman" w:cs="Times New Roman"/>
          <w:color w:val="FF0000"/>
          <w:sz w:val="24"/>
          <w:szCs w:val="24"/>
          <w:lang w:val="en-US"/>
        </w:rPr>
      </w:pPr>
    </w:p>
    <w:p w:rsidR="007C5D83" w:rsidRDefault="007C5D83" w:rsidP="00FA4DA9">
      <w:pPr>
        <w:spacing w:line="240" w:lineRule="auto"/>
        <w:jc w:val="both"/>
        <w:rPr>
          <w:rFonts w:ascii="Times New Roman" w:hAnsi="Times New Roman" w:cs="Times New Roman"/>
          <w:color w:val="FF0000"/>
          <w:sz w:val="24"/>
          <w:szCs w:val="24"/>
          <w:lang w:val="en-US"/>
        </w:rPr>
      </w:pPr>
      <w:r w:rsidRPr="008770A2">
        <w:rPr>
          <w:rFonts w:ascii="Times New Roman" w:hAnsi="Times New Roman" w:cs="Times New Roman"/>
          <w:noProof/>
          <w:color w:val="FF0000"/>
          <w:sz w:val="24"/>
          <w:szCs w:val="24"/>
          <w:lang w:eastAsia="es-ES"/>
        </w:rPr>
        <w:drawing>
          <wp:inline distT="0" distB="0" distL="0" distR="0" wp14:anchorId="2ED3F37D" wp14:editId="1430DDC0">
            <wp:extent cx="5731510" cy="3484219"/>
            <wp:effectExtent l="0" t="0" r="2540" b="2540"/>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5731510" cy="3484219"/>
                    </a:xfrm>
                    <a:prstGeom prst="rect">
                      <a:avLst/>
                    </a:prstGeom>
                  </pic:spPr>
                </pic:pic>
              </a:graphicData>
            </a:graphic>
          </wp:inline>
        </w:drawing>
      </w:r>
    </w:p>
    <w:p w:rsidR="001714AE" w:rsidRDefault="001714AE" w:rsidP="00FA4DA9">
      <w:pPr>
        <w:spacing w:line="240" w:lineRule="auto"/>
        <w:jc w:val="both"/>
        <w:rPr>
          <w:rFonts w:ascii="Times New Roman" w:hAnsi="Times New Roman" w:cs="Times New Roman"/>
          <w:color w:val="FF0000"/>
          <w:sz w:val="24"/>
          <w:szCs w:val="24"/>
          <w:lang w:val="en-US"/>
        </w:rPr>
      </w:pPr>
    </w:p>
    <w:p w:rsidR="001714AE" w:rsidRDefault="001714AE" w:rsidP="00FA4DA9">
      <w:pPr>
        <w:spacing w:line="240" w:lineRule="auto"/>
        <w:jc w:val="both"/>
        <w:rPr>
          <w:rFonts w:ascii="Times New Roman" w:hAnsi="Times New Roman" w:cs="Times New Roman"/>
          <w:color w:val="FF0000"/>
          <w:sz w:val="24"/>
          <w:szCs w:val="24"/>
          <w:lang w:val="en-US"/>
        </w:rPr>
      </w:pPr>
    </w:p>
    <w:p w:rsidR="007C5D83" w:rsidRDefault="007C5D83" w:rsidP="00FA4DA9">
      <w:pPr>
        <w:spacing w:line="240" w:lineRule="auto"/>
        <w:jc w:val="both"/>
        <w:rPr>
          <w:rFonts w:ascii="Times New Roman" w:hAnsi="Times New Roman" w:cs="Times New Roman"/>
          <w:color w:val="FF0000"/>
          <w:sz w:val="24"/>
          <w:szCs w:val="24"/>
          <w:lang w:val="en-US"/>
        </w:rPr>
      </w:pPr>
      <w:r w:rsidRPr="008770A2">
        <w:rPr>
          <w:rFonts w:ascii="Times New Roman" w:hAnsi="Times New Roman" w:cs="Times New Roman"/>
          <w:noProof/>
          <w:color w:val="FF0000"/>
          <w:sz w:val="24"/>
          <w:szCs w:val="24"/>
          <w:lang w:eastAsia="es-ES"/>
        </w:rPr>
        <w:drawing>
          <wp:inline distT="0" distB="0" distL="0" distR="0" wp14:anchorId="31B7D256" wp14:editId="740D00EF">
            <wp:extent cx="5731510" cy="3457889"/>
            <wp:effectExtent l="0" t="0" r="2540" b="9525"/>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stretch>
                      <a:fillRect/>
                    </a:stretch>
                  </pic:blipFill>
                  <pic:spPr>
                    <a:xfrm>
                      <a:off x="0" y="0"/>
                      <a:ext cx="5731510" cy="3457889"/>
                    </a:xfrm>
                    <a:prstGeom prst="rect">
                      <a:avLst/>
                    </a:prstGeom>
                  </pic:spPr>
                </pic:pic>
              </a:graphicData>
            </a:graphic>
          </wp:inline>
        </w:drawing>
      </w:r>
    </w:p>
    <w:p w:rsidR="001714AE" w:rsidRDefault="001714AE" w:rsidP="00FA4DA9">
      <w:pPr>
        <w:spacing w:line="240" w:lineRule="auto"/>
        <w:jc w:val="both"/>
        <w:rPr>
          <w:rFonts w:ascii="Times New Roman" w:hAnsi="Times New Roman" w:cs="Times New Roman"/>
          <w:color w:val="FF0000"/>
          <w:sz w:val="24"/>
          <w:szCs w:val="24"/>
          <w:lang w:val="en-US"/>
        </w:rPr>
      </w:pPr>
    </w:p>
    <w:p w:rsidR="001714AE" w:rsidRDefault="001714AE" w:rsidP="00FA4DA9">
      <w:pPr>
        <w:spacing w:line="240" w:lineRule="auto"/>
        <w:jc w:val="both"/>
        <w:rPr>
          <w:rFonts w:ascii="Times New Roman" w:hAnsi="Times New Roman" w:cs="Times New Roman"/>
          <w:color w:val="FF0000"/>
          <w:sz w:val="24"/>
          <w:szCs w:val="24"/>
          <w:lang w:val="en-US"/>
        </w:rPr>
      </w:pPr>
    </w:p>
    <w:p w:rsidR="007C5D83" w:rsidRDefault="007C5D83" w:rsidP="00FA4DA9">
      <w:pPr>
        <w:spacing w:line="240" w:lineRule="auto"/>
        <w:jc w:val="both"/>
        <w:rPr>
          <w:rFonts w:ascii="Times New Roman" w:hAnsi="Times New Roman" w:cs="Times New Roman"/>
          <w:color w:val="FF0000"/>
          <w:sz w:val="24"/>
          <w:szCs w:val="24"/>
          <w:lang w:val="en-US"/>
        </w:rPr>
      </w:pPr>
      <w:r w:rsidRPr="00D34555">
        <w:rPr>
          <w:rFonts w:ascii="Times New Roman" w:hAnsi="Times New Roman" w:cs="Times New Roman"/>
          <w:noProof/>
          <w:color w:val="FF0000"/>
          <w:sz w:val="24"/>
          <w:szCs w:val="24"/>
          <w:lang w:eastAsia="es-ES"/>
        </w:rPr>
        <w:lastRenderedPageBreak/>
        <w:drawing>
          <wp:inline distT="0" distB="0" distL="0" distR="0" wp14:anchorId="31E9CCE8" wp14:editId="7166B253">
            <wp:extent cx="5731510" cy="3445642"/>
            <wp:effectExtent l="0" t="0" r="2540" b="2540"/>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a:stretch>
                      <a:fillRect/>
                    </a:stretch>
                  </pic:blipFill>
                  <pic:spPr>
                    <a:xfrm>
                      <a:off x="0" y="0"/>
                      <a:ext cx="5731510" cy="3445642"/>
                    </a:xfrm>
                    <a:prstGeom prst="rect">
                      <a:avLst/>
                    </a:prstGeom>
                  </pic:spPr>
                </pic:pic>
              </a:graphicData>
            </a:graphic>
          </wp:inline>
        </w:drawing>
      </w:r>
    </w:p>
    <w:p w:rsidR="00707530" w:rsidRDefault="00707530" w:rsidP="00FA4DA9">
      <w:pPr>
        <w:spacing w:line="240" w:lineRule="auto"/>
        <w:jc w:val="both"/>
        <w:rPr>
          <w:rFonts w:ascii="Times New Roman" w:hAnsi="Times New Roman" w:cs="Times New Roman"/>
          <w:color w:val="FF0000"/>
          <w:sz w:val="24"/>
          <w:szCs w:val="24"/>
          <w:lang w:val="en-US"/>
        </w:rPr>
      </w:pPr>
    </w:p>
    <w:p w:rsidR="00707530" w:rsidRDefault="00707530" w:rsidP="00FA4DA9">
      <w:pPr>
        <w:spacing w:line="240" w:lineRule="auto"/>
        <w:jc w:val="both"/>
        <w:rPr>
          <w:rFonts w:ascii="Times New Roman" w:hAnsi="Times New Roman" w:cs="Times New Roman"/>
          <w:color w:val="FF0000"/>
          <w:sz w:val="24"/>
          <w:szCs w:val="24"/>
          <w:lang w:val="en-US"/>
        </w:rPr>
      </w:pPr>
    </w:p>
    <w:p w:rsidR="007C5D83" w:rsidRDefault="007C5D83" w:rsidP="00FA4DA9">
      <w:pPr>
        <w:spacing w:line="240" w:lineRule="auto"/>
        <w:jc w:val="both"/>
        <w:rPr>
          <w:rFonts w:ascii="Times New Roman" w:hAnsi="Times New Roman" w:cs="Times New Roman"/>
          <w:color w:val="FF0000"/>
          <w:sz w:val="24"/>
          <w:szCs w:val="24"/>
          <w:lang w:val="en-US"/>
        </w:rPr>
      </w:pPr>
      <w:r w:rsidRPr="00D34555">
        <w:rPr>
          <w:rFonts w:ascii="Times New Roman" w:hAnsi="Times New Roman" w:cs="Times New Roman"/>
          <w:noProof/>
          <w:color w:val="FF0000"/>
          <w:sz w:val="24"/>
          <w:szCs w:val="24"/>
          <w:lang w:eastAsia="es-ES"/>
        </w:rPr>
        <w:drawing>
          <wp:inline distT="0" distB="0" distL="0" distR="0" wp14:anchorId="0BD41663" wp14:editId="626B8DBC">
            <wp:extent cx="5731510" cy="3456052"/>
            <wp:effectExtent l="0" t="0" r="2540" b="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stretch>
                      <a:fillRect/>
                    </a:stretch>
                  </pic:blipFill>
                  <pic:spPr>
                    <a:xfrm>
                      <a:off x="0" y="0"/>
                      <a:ext cx="5731510" cy="3456052"/>
                    </a:xfrm>
                    <a:prstGeom prst="rect">
                      <a:avLst/>
                    </a:prstGeom>
                  </pic:spPr>
                </pic:pic>
              </a:graphicData>
            </a:graphic>
          </wp:inline>
        </w:drawing>
      </w:r>
    </w:p>
    <w:p w:rsidR="00A74F6C" w:rsidRDefault="00A74F6C" w:rsidP="00FA4DA9">
      <w:pPr>
        <w:spacing w:line="240" w:lineRule="auto"/>
        <w:jc w:val="both"/>
        <w:rPr>
          <w:rFonts w:ascii="Times New Roman" w:hAnsi="Times New Roman" w:cs="Times New Roman"/>
          <w:sz w:val="24"/>
          <w:szCs w:val="24"/>
        </w:rPr>
      </w:pPr>
    </w:p>
    <w:p w:rsidR="007C5D83" w:rsidRDefault="007C5D83" w:rsidP="00FA4DA9">
      <w:pPr>
        <w:spacing w:line="240" w:lineRule="auto"/>
        <w:jc w:val="both"/>
        <w:rPr>
          <w:rFonts w:ascii="Times New Roman" w:hAnsi="Times New Roman" w:cs="Times New Roman"/>
          <w:sz w:val="24"/>
          <w:szCs w:val="24"/>
        </w:rPr>
      </w:pPr>
      <w:r w:rsidRPr="001237DD">
        <w:rPr>
          <w:rFonts w:ascii="Times New Roman" w:hAnsi="Times New Roman" w:cs="Times New Roman"/>
          <w:sz w:val="24"/>
          <w:szCs w:val="24"/>
        </w:rPr>
        <w:t xml:space="preserve">- </w:t>
      </w:r>
      <w:r w:rsidRPr="001237DD">
        <w:rPr>
          <w:rFonts w:ascii="Times New Roman" w:hAnsi="Times New Roman" w:cs="Times New Roman"/>
          <w:sz w:val="24"/>
          <w:szCs w:val="24"/>
          <w:u w:val="single"/>
        </w:rPr>
        <w:t>Los déficits presupuestarios de la eurozona se multiplican casi por diez para combatir la pandemia</w:t>
      </w:r>
      <w:r>
        <w:rPr>
          <w:rFonts w:ascii="Times New Roman" w:hAnsi="Times New Roman" w:cs="Times New Roman"/>
          <w:sz w:val="24"/>
          <w:szCs w:val="24"/>
        </w:rPr>
        <w:t xml:space="preserve"> (Financial Times - Expansión - </w:t>
      </w:r>
      <w:r w:rsidRPr="001237DD">
        <w:rPr>
          <w:rFonts w:ascii="Times New Roman" w:hAnsi="Times New Roman" w:cs="Times New Roman"/>
          <w:b/>
          <w:sz w:val="24"/>
          <w:szCs w:val="24"/>
        </w:rPr>
        <w:t>20/10/20</w:t>
      </w:r>
      <w:r>
        <w:rPr>
          <w:rFonts w:ascii="Times New Roman" w:hAnsi="Times New Roman" w:cs="Times New Roman"/>
          <w:sz w:val="24"/>
          <w:szCs w:val="24"/>
        </w:rPr>
        <w:t>)</w:t>
      </w:r>
    </w:p>
    <w:p w:rsidR="007C5D83" w:rsidRPr="001237DD" w:rsidRDefault="007C5D83" w:rsidP="00FA4DA9">
      <w:pPr>
        <w:spacing w:line="240" w:lineRule="auto"/>
        <w:jc w:val="both"/>
        <w:rPr>
          <w:rFonts w:ascii="Times New Roman" w:hAnsi="Times New Roman" w:cs="Times New Roman"/>
          <w:sz w:val="24"/>
          <w:szCs w:val="24"/>
        </w:rPr>
      </w:pPr>
      <w:r w:rsidRPr="001237DD">
        <w:rPr>
          <w:rFonts w:ascii="Times New Roman" w:hAnsi="Times New Roman" w:cs="Times New Roman"/>
          <w:sz w:val="24"/>
          <w:szCs w:val="24"/>
        </w:rPr>
        <w:t>Los déficits presupuestarios de la eurozona registraron su anterior pico a principios de 2010.</w:t>
      </w:r>
    </w:p>
    <w:p w:rsidR="006C03AB" w:rsidRDefault="007C5D83" w:rsidP="00FA4DA9">
      <w:pPr>
        <w:spacing w:line="240" w:lineRule="auto"/>
        <w:jc w:val="both"/>
        <w:rPr>
          <w:rFonts w:ascii="Times New Roman" w:hAnsi="Times New Roman" w:cs="Times New Roman"/>
          <w:b/>
          <w:color w:val="FF0000"/>
          <w:sz w:val="24"/>
          <w:szCs w:val="24"/>
        </w:rPr>
      </w:pPr>
      <w:r w:rsidRPr="001237DD">
        <w:rPr>
          <w:rFonts w:ascii="Times New Roman" w:hAnsi="Times New Roman" w:cs="Times New Roman"/>
          <w:b/>
          <w:color w:val="FF0000"/>
          <w:sz w:val="24"/>
          <w:szCs w:val="24"/>
          <w:u w:val="single"/>
        </w:rPr>
        <w:lastRenderedPageBreak/>
        <w:t>Los gobiernos de la eurozona planean endeudarse más que nunca antes este año, elevando los déficits presupuestarios hasta cerca de un billón de euros debido a las medidas de emergencia para combatir la crisis del coronavirus</w:t>
      </w:r>
      <w:r w:rsidRPr="001237DD">
        <w:rPr>
          <w:rFonts w:ascii="Times New Roman" w:hAnsi="Times New Roman" w:cs="Times New Roman"/>
          <w:b/>
          <w:color w:val="FF0000"/>
          <w:sz w:val="24"/>
          <w:szCs w:val="24"/>
        </w:rPr>
        <w:t>…</w:t>
      </w:r>
    </w:p>
    <w:p w:rsidR="006C03AB" w:rsidRDefault="006C03AB"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03A5D">
        <w:rPr>
          <w:rFonts w:ascii="Times New Roman" w:hAnsi="Times New Roman" w:cs="Times New Roman"/>
          <w:sz w:val="24"/>
          <w:szCs w:val="24"/>
          <w:u w:val="single"/>
        </w:rPr>
        <w:t>Bruselas empeora la previsión de 2020 para España, pero anticipa el mayor rebote del PIB en 2022</w:t>
      </w:r>
      <w:r>
        <w:rPr>
          <w:rFonts w:ascii="Times New Roman" w:hAnsi="Times New Roman" w:cs="Times New Roman"/>
          <w:sz w:val="24"/>
          <w:szCs w:val="24"/>
        </w:rPr>
        <w:t xml:space="preserve"> (Cinco Días - </w:t>
      </w:r>
      <w:r w:rsidRPr="00703A5D">
        <w:rPr>
          <w:rFonts w:ascii="Times New Roman" w:hAnsi="Times New Roman" w:cs="Times New Roman"/>
          <w:b/>
          <w:sz w:val="24"/>
          <w:szCs w:val="24"/>
        </w:rPr>
        <w:t>5/11/20</w:t>
      </w:r>
      <w:r>
        <w:rPr>
          <w:rFonts w:ascii="Times New Roman" w:hAnsi="Times New Roman" w:cs="Times New Roman"/>
          <w:sz w:val="24"/>
          <w:szCs w:val="24"/>
        </w:rPr>
        <w:t>)</w:t>
      </w:r>
    </w:p>
    <w:p w:rsidR="00707530" w:rsidRPr="00703A5D" w:rsidRDefault="00707530" w:rsidP="00FA4DA9">
      <w:pPr>
        <w:spacing w:line="240" w:lineRule="auto"/>
        <w:jc w:val="both"/>
        <w:rPr>
          <w:rFonts w:ascii="Times New Roman" w:hAnsi="Times New Roman" w:cs="Times New Roman"/>
          <w:sz w:val="24"/>
          <w:szCs w:val="24"/>
        </w:rPr>
      </w:pPr>
      <w:r>
        <w:rPr>
          <w:noProof/>
          <w:lang w:eastAsia="es-ES"/>
        </w:rPr>
        <w:drawing>
          <wp:inline distT="0" distB="0" distL="0" distR="0" wp14:anchorId="5E2DDF6B" wp14:editId="20E1021C">
            <wp:extent cx="5731510" cy="7391400"/>
            <wp:effectExtent l="0" t="0" r="2540" b="0"/>
            <wp:docPr id="66" name="Imagen 66" descr="Bruselas empeora la previsión de 2020 para España, pero anticipa el mayor rebote del PIB en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uselas empeora la previsión de 2020 para España, pero anticipa el mayor rebote del PIB en 2022"/>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731510" cy="7391400"/>
                    </a:xfrm>
                    <a:prstGeom prst="rect">
                      <a:avLst/>
                    </a:prstGeom>
                    <a:noFill/>
                    <a:ln>
                      <a:noFill/>
                    </a:ln>
                  </pic:spPr>
                </pic:pic>
              </a:graphicData>
            </a:graphic>
          </wp:inline>
        </w:drawing>
      </w:r>
    </w:p>
    <w:p w:rsidR="006C03AB" w:rsidRPr="00703A5D" w:rsidRDefault="006C03AB" w:rsidP="00FA4DA9">
      <w:pPr>
        <w:spacing w:line="240" w:lineRule="auto"/>
        <w:jc w:val="both"/>
        <w:rPr>
          <w:rFonts w:ascii="Times New Roman" w:hAnsi="Times New Roman" w:cs="Times New Roman"/>
          <w:sz w:val="24"/>
          <w:szCs w:val="24"/>
        </w:rPr>
      </w:pPr>
      <w:r w:rsidRPr="00703A5D">
        <w:rPr>
          <w:rFonts w:ascii="Times New Roman" w:hAnsi="Times New Roman" w:cs="Times New Roman"/>
          <w:sz w:val="24"/>
          <w:szCs w:val="24"/>
        </w:rPr>
        <w:lastRenderedPageBreak/>
        <w:t>La Comisión Europea ha constatado este jueves los efectos de la segunda ola de la pandemia de coronavirus Covid-1</w:t>
      </w:r>
      <w:r w:rsidR="001714AE">
        <w:rPr>
          <w:rFonts w:ascii="Times New Roman" w:hAnsi="Times New Roman" w:cs="Times New Roman"/>
          <w:sz w:val="24"/>
          <w:szCs w:val="24"/>
        </w:rPr>
        <w:t>9 en la economía española, con “</w:t>
      </w:r>
      <w:r w:rsidRPr="00703A5D">
        <w:rPr>
          <w:rFonts w:ascii="Times New Roman" w:hAnsi="Times New Roman" w:cs="Times New Roman"/>
          <w:sz w:val="24"/>
          <w:szCs w:val="24"/>
        </w:rPr>
        <w:t>una</w:t>
      </w:r>
      <w:r w:rsidR="001714AE">
        <w:rPr>
          <w:rFonts w:ascii="Times New Roman" w:hAnsi="Times New Roman" w:cs="Times New Roman"/>
          <w:sz w:val="24"/>
          <w:szCs w:val="24"/>
        </w:rPr>
        <w:t xml:space="preserve"> desaceleración sin precedentes”</w:t>
      </w:r>
      <w:r w:rsidRPr="00703A5D">
        <w:rPr>
          <w:rFonts w:ascii="Times New Roman" w:hAnsi="Times New Roman" w:cs="Times New Roman"/>
          <w:sz w:val="24"/>
          <w:szCs w:val="24"/>
        </w:rPr>
        <w:t xml:space="preserve"> que llevará a una caída del PIB del -12,4% durante 2020, la mayor de todos los países de la Unión Europea con mucha diferencia. A partir de aquí, eso sí, Bruselas constata un rebote del 5,4% en 2021, en línea con el resto de los socios, y del 4,8% en 2022, en esta ocasión muy por encima de las demás capitales, solo por debajo de Malta.</w:t>
      </w:r>
    </w:p>
    <w:p w:rsidR="006C03AB" w:rsidRDefault="006C03AB" w:rsidP="00FA4DA9">
      <w:pPr>
        <w:spacing w:line="240" w:lineRule="auto"/>
        <w:jc w:val="both"/>
        <w:rPr>
          <w:rFonts w:ascii="Times New Roman" w:hAnsi="Times New Roman" w:cs="Times New Roman"/>
          <w:sz w:val="24"/>
          <w:szCs w:val="24"/>
        </w:rPr>
      </w:pPr>
      <w:r w:rsidRPr="00703A5D">
        <w:rPr>
          <w:rFonts w:ascii="Times New Roman" w:hAnsi="Times New Roman" w:cs="Times New Roman"/>
          <w:sz w:val="24"/>
          <w:szCs w:val="24"/>
        </w:rPr>
        <w:t>Con todo, según recoge el forecast de otoño hecho público hoy, el Ejecutivo comunitario empeora las previsiones presentadas en su último análisis, a comienzos de verano. Entonces, Bruselas hablaba de un retroceso del 10,9% en 2020 en España, para repuntar un 7,1% en 2021. En las previsiones anteriores, en primavera, la caída inicial sería del 9,4%, para rebotar un 7% un ejercicio después</w:t>
      </w:r>
      <w:r>
        <w:rPr>
          <w:rFonts w:ascii="Times New Roman" w:hAnsi="Times New Roman" w:cs="Times New Roman"/>
          <w:sz w:val="24"/>
          <w:szCs w:val="24"/>
        </w:rPr>
        <w:t>…</w:t>
      </w:r>
    </w:p>
    <w:p w:rsidR="006C03AB" w:rsidRPr="00703A5D" w:rsidRDefault="006C03AB" w:rsidP="00FA4DA9">
      <w:pPr>
        <w:spacing w:line="240" w:lineRule="auto"/>
        <w:jc w:val="both"/>
        <w:rPr>
          <w:rFonts w:ascii="Times New Roman" w:hAnsi="Times New Roman" w:cs="Times New Roman"/>
          <w:sz w:val="24"/>
          <w:szCs w:val="24"/>
        </w:rPr>
      </w:pPr>
      <w:r w:rsidRPr="00703A5D">
        <w:rPr>
          <w:rFonts w:ascii="Times New Roman" w:hAnsi="Times New Roman" w:cs="Times New Roman"/>
          <w:sz w:val="24"/>
          <w:szCs w:val="24"/>
        </w:rPr>
        <w:t>Volviendo a España, en el apartado del mercado del trabajo, la Comisión alerta en su informe sobre las consecuenci</w:t>
      </w:r>
      <w:r>
        <w:rPr>
          <w:rFonts w:ascii="Times New Roman" w:hAnsi="Times New Roman" w:cs="Times New Roman"/>
          <w:sz w:val="24"/>
          <w:szCs w:val="24"/>
        </w:rPr>
        <w:t>as a medio y largo plazo de la “eliminación gradual”</w:t>
      </w:r>
      <w:r w:rsidRPr="00703A5D">
        <w:rPr>
          <w:rFonts w:ascii="Times New Roman" w:hAnsi="Times New Roman" w:cs="Times New Roman"/>
          <w:sz w:val="24"/>
          <w:szCs w:val="24"/>
        </w:rPr>
        <w:t xml:space="preserve"> de los expedientes de regulación temporal de empleo (ERTE), un mecanismo aplaudido desde el comienzo de la crisis sanitaria por el organismo que preside Ursula von der Leyen. De esta forma, y lejos de mejorar, la tasa de desempleo (que según las previsiones cerrará 2020 en el 16,7%) se disparará el año que viene hasta el 17,9%, para recuperarse mínimamente un ejercicio después, hasta el 17,3%.</w:t>
      </w:r>
    </w:p>
    <w:p w:rsidR="006C03AB" w:rsidRPr="00703A5D" w:rsidRDefault="006C03AB" w:rsidP="00FA4DA9">
      <w:pPr>
        <w:spacing w:line="240" w:lineRule="auto"/>
        <w:jc w:val="both"/>
        <w:rPr>
          <w:rFonts w:ascii="Times New Roman" w:hAnsi="Times New Roman" w:cs="Times New Roman"/>
          <w:sz w:val="24"/>
          <w:szCs w:val="24"/>
        </w:rPr>
      </w:pPr>
      <w:r w:rsidRPr="00703A5D">
        <w:rPr>
          <w:rFonts w:ascii="Times New Roman" w:hAnsi="Times New Roman" w:cs="Times New Roman"/>
          <w:sz w:val="24"/>
          <w:szCs w:val="24"/>
        </w:rPr>
        <w:t>Con estos números, la tasa de desempleo española volverá a situarse en porcentajes extremos como la más alta de la UE, por delante incluso de socios como Grecia, con un mercado de trabajo endémicamente castigado. El paro en Grecia llegará en 2021 al 17,5% y al 16,7% un ejercicio después. Italia, otro de los países más castigados, superará en ambos ejercicios el 11%.</w:t>
      </w:r>
    </w:p>
    <w:p w:rsidR="006C03AB" w:rsidRPr="00D13561" w:rsidRDefault="006C03AB" w:rsidP="00FA4DA9">
      <w:pPr>
        <w:spacing w:line="240" w:lineRule="auto"/>
        <w:jc w:val="both"/>
        <w:rPr>
          <w:rFonts w:ascii="Times New Roman" w:hAnsi="Times New Roman" w:cs="Times New Roman"/>
          <w:sz w:val="24"/>
          <w:szCs w:val="24"/>
        </w:rPr>
      </w:pPr>
      <w:r w:rsidRPr="00703A5D">
        <w:rPr>
          <w:rFonts w:ascii="Times New Roman" w:hAnsi="Times New Roman" w:cs="Times New Roman"/>
          <w:sz w:val="24"/>
          <w:szCs w:val="24"/>
        </w:rPr>
        <w:t>A su vez, y a pesar los esfuerzos de España por convencer a la Comisión de que hará los deberes, Bruselas prevé que el déficit público ascienda al 12,2% del PIB este año para irse reduciendo hasta el 9,6% y el 8,6% en los siguientes ejercicios. La deuda, por su parte, superará el 120% del PIB en 2020, para crecer hasta el 122% el año que viene y rozar el 124% en 2022.</w:t>
      </w:r>
    </w:p>
    <w:p w:rsidR="006C03AB" w:rsidRDefault="006C03AB" w:rsidP="00FA4DA9">
      <w:pPr>
        <w:spacing w:line="240" w:lineRule="auto"/>
        <w:jc w:val="both"/>
        <w:rPr>
          <w:noProof/>
        </w:rPr>
      </w:pPr>
      <w:r>
        <w:rPr>
          <w:noProof/>
          <w:lang w:eastAsia="es-ES"/>
        </w:rPr>
        <w:drawing>
          <wp:inline distT="0" distB="0" distL="0" distR="0" wp14:anchorId="474479D7" wp14:editId="290303F3">
            <wp:extent cx="5727261" cy="3244850"/>
            <wp:effectExtent l="0" t="0" r="6985" b="0"/>
            <wp:docPr id="284" name="Imagen 284" descr="https://s.libertaddigital.com/2020/11/13/renta-disponib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libertaddigital.com/2020/11/13/renta-disponible.png"/>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731510" cy="3247258"/>
                    </a:xfrm>
                    <a:prstGeom prst="rect">
                      <a:avLst/>
                    </a:prstGeom>
                    <a:noFill/>
                    <a:ln>
                      <a:noFill/>
                    </a:ln>
                  </pic:spPr>
                </pic:pic>
              </a:graphicData>
            </a:graphic>
          </wp:inline>
        </w:drawing>
      </w:r>
    </w:p>
    <w:p w:rsidR="006C03AB" w:rsidRDefault="006C03AB" w:rsidP="00FA4DA9">
      <w:pPr>
        <w:spacing w:line="240" w:lineRule="auto"/>
        <w:jc w:val="both"/>
        <w:rPr>
          <w:noProof/>
        </w:rPr>
      </w:pPr>
      <w:r>
        <w:rPr>
          <w:noProof/>
          <w:lang w:eastAsia="es-ES"/>
        </w:rPr>
        <w:lastRenderedPageBreak/>
        <w:drawing>
          <wp:inline distT="0" distB="0" distL="0" distR="0" wp14:anchorId="73BB48C2" wp14:editId="72E31F41">
            <wp:extent cx="5727700" cy="5340350"/>
            <wp:effectExtent l="0" t="0" r="6350" b="0"/>
            <wp:docPr id="285" name="Imagen 285" descr="https://s.libertaddigital.com/2020/11/06/comision-europe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libertaddigital.com/2020/11/06/comision-europea.jpg"/>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731510" cy="5343902"/>
                    </a:xfrm>
                    <a:prstGeom prst="rect">
                      <a:avLst/>
                    </a:prstGeom>
                    <a:noFill/>
                    <a:ln>
                      <a:noFill/>
                    </a:ln>
                  </pic:spPr>
                </pic:pic>
              </a:graphicData>
            </a:graphic>
          </wp:inline>
        </w:drawing>
      </w:r>
    </w:p>
    <w:p w:rsidR="006C03AB" w:rsidRPr="00162486" w:rsidRDefault="006C03AB"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El “tsunami”</w:t>
      </w:r>
      <w:r w:rsidRPr="00162486">
        <w:rPr>
          <w:rFonts w:ascii="Times New Roman" w:hAnsi="Times New Roman" w:cs="Times New Roman"/>
          <w:sz w:val="24"/>
          <w:szCs w:val="24"/>
          <w:u w:val="single"/>
        </w:rPr>
        <w:t xml:space="preserve"> de gasto y crédito dispara la deuda mundial hasta el 365% del PIB, máximos históricos</w:t>
      </w:r>
      <w:r>
        <w:rPr>
          <w:rFonts w:ascii="Times New Roman" w:hAnsi="Times New Roman" w:cs="Times New Roman"/>
          <w:sz w:val="24"/>
          <w:szCs w:val="24"/>
        </w:rPr>
        <w:t xml:space="preserve"> (El Economista - </w:t>
      </w:r>
      <w:r w:rsidRPr="00162486">
        <w:rPr>
          <w:rFonts w:ascii="Times New Roman" w:hAnsi="Times New Roman" w:cs="Times New Roman"/>
          <w:b/>
          <w:sz w:val="24"/>
          <w:szCs w:val="24"/>
        </w:rPr>
        <w:t>19/11/20</w:t>
      </w:r>
      <w:r>
        <w:rPr>
          <w:rFonts w:ascii="Times New Roman" w:hAnsi="Times New Roman" w:cs="Times New Roman"/>
          <w:sz w:val="24"/>
          <w:szCs w:val="24"/>
        </w:rPr>
        <w:t>)</w:t>
      </w:r>
    </w:p>
    <w:p w:rsidR="006C03AB" w:rsidRPr="00162486" w:rsidRDefault="006C03AB"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(Por Vicente Nieves)</w:t>
      </w:r>
    </w:p>
    <w:p w:rsidR="006C03AB" w:rsidRPr="001C39FB" w:rsidRDefault="006C03AB" w:rsidP="00FA4DA9">
      <w:pPr>
        <w:pStyle w:val="NormalWeb"/>
        <w:shd w:val="clear" w:color="auto" w:fill="FFFFFF"/>
        <w:spacing w:before="0" w:beforeAutospacing="0" w:after="270" w:afterAutospacing="0"/>
        <w:jc w:val="both"/>
        <w:rPr>
          <w:b/>
          <w:color w:val="FF0000"/>
          <w:spacing w:val="-1"/>
          <w:u w:val="single"/>
        </w:rPr>
      </w:pPr>
      <w:r w:rsidRPr="001C39FB">
        <w:rPr>
          <w:b/>
          <w:color w:val="FF0000"/>
          <w:spacing w:val="-1"/>
          <w:u w:val="single"/>
        </w:rPr>
        <w:t>La respuesta de gobiernos y empresas ante la recesión desatada por la pandemia covid-19 ha sido fundamental para amortiguar el golpe económico. Sin embargo, esta acción global tiene también consecuencias negativas:</w:t>
      </w:r>
      <w:hyperlink r:id="rId190" w:history="1">
        <w:r w:rsidRPr="001C39FB">
          <w:rPr>
            <w:rStyle w:val="Hipervnculo"/>
            <w:b/>
            <w:color w:val="FF0000"/>
            <w:spacing w:val="-1"/>
          </w:rPr>
          <w:t> la deuda total mundial</w:t>
        </w:r>
      </w:hyperlink>
      <w:r w:rsidRPr="001C39FB">
        <w:rPr>
          <w:b/>
          <w:color w:val="FF0000"/>
          <w:spacing w:val="-1"/>
          <w:u w:val="single"/>
        </w:rPr>
        <w:t> está a punto de alcanzar un máximo histórico de 277 billones de dólares (233 billones de euros), el 365% del PIB. La combinación no da lugar a dudas, un aumento del gasto junto a una caída de ingresos se traduce en mucha más deuda.</w:t>
      </w:r>
    </w:p>
    <w:p w:rsidR="006C03AB" w:rsidRPr="001C39FB" w:rsidRDefault="006C03AB" w:rsidP="00FA4DA9">
      <w:pPr>
        <w:pStyle w:val="NormalWeb"/>
        <w:shd w:val="clear" w:color="auto" w:fill="FFFFFF"/>
        <w:spacing w:before="0" w:beforeAutospacing="0" w:after="270" w:afterAutospacing="0"/>
        <w:jc w:val="both"/>
        <w:rPr>
          <w:b/>
          <w:color w:val="FF0000"/>
          <w:spacing w:val="-1"/>
          <w:u w:val="single"/>
        </w:rPr>
      </w:pPr>
      <w:r w:rsidRPr="001C39FB">
        <w:rPr>
          <w:b/>
          <w:color w:val="FF0000"/>
          <w:spacing w:val="-1"/>
          <w:u w:val="single"/>
        </w:rPr>
        <w:t>Este nivel de endeudamiento equivale a 198 veces el tamaño de la economía de España.</w:t>
      </w:r>
      <w:r w:rsidRPr="001C39FB">
        <w:rPr>
          <w:b/>
          <w:color w:val="FF0000"/>
          <w:spacing w:val="-1"/>
        </w:rPr>
        <w:t xml:space="preserve"> </w:t>
      </w:r>
      <w:r w:rsidRPr="001C39FB">
        <w:rPr>
          <w:b/>
          <w:color w:val="FF0000"/>
          <w:spacing w:val="-1"/>
          <w:u w:val="single"/>
        </w:rPr>
        <w:t>Mientras que la inflación esté bajo control y los tipos de interés puedan permanecer en los niveles actuales, la sostenibilidad de la deuda no será cuestionada. Si lo anterior cambia, la deuda puede ser un problema mucho mayor. </w:t>
      </w:r>
    </w:p>
    <w:p w:rsidR="006C03AB" w:rsidRPr="00162486" w:rsidRDefault="006C03AB" w:rsidP="00FA4DA9">
      <w:pPr>
        <w:shd w:val="clear" w:color="auto" w:fill="FFFFFF"/>
        <w:spacing w:line="240" w:lineRule="auto"/>
        <w:jc w:val="both"/>
        <w:rPr>
          <w:rFonts w:ascii="Times New Roman" w:hAnsi="Times New Roman" w:cs="Times New Roman"/>
          <w:color w:val="212529"/>
          <w:sz w:val="24"/>
          <w:szCs w:val="24"/>
        </w:rPr>
      </w:pPr>
      <w:r w:rsidRPr="00162486">
        <w:rPr>
          <w:rFonts w:ascii="Times New Roman" w:hAnsi="Times New Roman" w:cs="Times New Roman"/>
          <w:noProof/>
          <w:color w:val="212529"/>
          <w:sz w:val="24"/>
          <w:szCs w:val="24"/>
          <w:lang w:eastAsia="es-ES"/>
        </w:rPr>
        <w:lastRenderedPageBreak/>
        <w:drawing>
          <wp:inline distT="0" distB="0" distL="0" distR="0" wp14:anchorId="0E32E64B" wp14:editId="51B99174">
            <wp:extent cx="5689600" cy="3327400"/>
            <wp:effectExtent l="0" t="0" r="6350" b="6350"/>
            <wp:docPr id="286" name="Imagen 286" descr="https://s03.s3c.es/imag/_v0/770x349/2/8/8/deuda-global-pi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70x349/2/8/8/deuda-global-pib.jpg"/>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689600" cy="3327400"/>
                    </a:xfrm>
                    <a:prstGeom prst="rect">
                      <a:avLst/>
                    </a:prstGeom>
                    <a:noFill/>
                    <a:ln>
                      <a:noFill/>
                    </a:ln>
                  </pic:spPr>
                </pic:pic>
              </a:graphicData>
            </a:graphic>
          </wp:inline>
        </w:drawing>
      </w:r>
      <w:r w:rsidRPr="00162486">
        <w:rPr>
          <w:rFonts w:ascii="Times New Roman" w:hAnsi="Times New Roman" w:cs="Times New Roman"/>
          <w:color w:val="212529"/>
          <w:sz w:val="24"/>
          <w:szCs w:val="24"/>
        </w:rPr>
        <w:t>La deuda total global toca el 365% del PIB</w:t>
      </w:r>
    </w:p>
    <w:p w:rsidR="006C03AB" w:rsidRPr="001C39FB" w:rsidRDefault="006C03AB" w:rsidP="00FA4DA9">
      <w:pPr>
        <w:pStyle w:val="NormalWeb"/>
        <w:shd w:val="clear" w:color="auto" w:fill="FFFFFF"/>
        <w:spacing w:before="0" w:beforeAutospacing="0" w:after="270" w:afterAutospacing="0"/>
        <w:jc w:val="both"/>
        <w:rPr>
          <w:color w:val="FF0000"/>
          <w:spacing w:val="-1"/>
          <w:u w:val="single"/>
        </w:rPr>
      </w:pPr>
      <w:r w:rsidRPr="00ED5460">
        <w:rPr>
          <w:color w:val="212529"/>
          <w:spacing w:val="-1"/>
          <w:u w:val="single"/>
        </w:rPr>
        <w:t>Este indicador (deuda total) es la suma de la deuda de los gobiernos, las empresas (financieras y no financieras) y los hogares.</w:t>
      </w:r>
      <w:r w:rsidRPr="00162486">
        <w:rPr>
          <w:color w:val="212529"/>
          <w:spacing w:val="-1"/>
        </w:rPr>
        <w:t xml:space="preserve"> </w:t>
      </w:r>
      <w:r w:rsidRPr="001C39FB">
        <w:rPr>
          <w:color w:val="FF0000"/>
          <w:spacing w:val="-1"/>
          <w:u w:val="single"/>
        </w:rPr>
        <w:t>El Instituto Internacional de Finanzas (IIF) revela en un nuevo informe que tras el aumento récord de deuda sobre PIB (pasó del 320% hasta el 362% en el primer semestre de 2020), el incremento en el tercer trimestre de 2020 ha sido algo más modesto, menos de 2 puntos porcentuales, ayudado por la fuerte recuperación mundial. Aun así, no duda en catalogar la situación como el </w:t>
      </w:r>
      <w:r w:rsidRPr="001C39FB">
        <w:rPr>
          <w:b/>
          <w:bCs/>
          <w:color w:val="FF0000"/>
          <w:spacing w:val="-1"/>
          <w:u w:val="single"/>
        </w:rPr>
        <w:t>“ataque del tsunami de la deuda”</w:t>
      </w:r>
      <w:r w:rsidRPr="001C39FB">
        <w:rPr>
          <w:color w:val="FF0000"/>
          <w:spacing w:val="-1"/>
          <w:u w:val="single"/>
        </w:rPr>
        <w:t>.</w:t>
      </w:r>
    </w:p>
    <w:p w:rsidR="006C03AB" w:rsidRPr="00A73CCE" w:rsidRDefault="006C03AB" w:rsidP="00FA4DA9">
      <w:pPr>
        <w:pStyle w:val="NormalWeb"/>
        <w:shd w:val="clear" w:color="auto" w:fill="FFFFFF"/>
        <w:spacing w:before="0" w:beforeAutospacing="0" w:after="270" w:afterAutospacing="0"/>
        <w:jc w:val="both"/>
        <w:rPr>
          <w:b/>
          <w:color w:val="FF0000"/>
          <w:spacing w:val="-1"/>
          <w:u w:val="single"/>
        </w:rPr>
      </w:pPr>
      <w:r w:rsidRPr="00A73CCE">
        <w:rPr>
          <w:b/>
          <w:color w:val="FF0000"/>
          <w:spacing w:val="-1"/>
          <w:u w:val="single"/>
        </w:rPr>
        <w:t>No obstante, “esperamos que la relación deuda/PIB mundial alcance</w:t>
      </w:r>
      <w:r w:rsidRPr="00A73CCE">
        <w:rPr>
          <w:b/>
          <w:bCs/>
          <w:color w:val="FF0000"/>
          <w:spacing w:val="-1"/>
          <w:u w:val="single"/>
        </w:rPr>
        <w:t> el 365% del PIB</w:t>
      </w:r>
      <w:r w:rsidRPr="00A73CCE">
        <w:rPr>
          <w:b/>
          <w:color w:val="FF0000"/>
          <w:spacing w:val="-1"/>
          <w:u w:val="single"/>
        </w:rPr>
        <w:t> en 2020. La deuda en los mercados desarrollados (entre los que se encuentra España y Europa) superó el 432% del PIB en el tercer trimestre de 2020, más de 50 puntos porcentuales con respecto a 2019”, reza el informe del IIF.</w:t>
      </w:r>
    </w:p>
    <w:p w:rsidR="006C03AB" w:rsidRPr="00ED5460" w:rsidRDefault="006C03AB" w:rsidP="00FA4DA9">
      <w:pPr>
        <w:pStyle w:val="NormalWeb"/>
        <w:shd w:val="clear" w:color="auto" w:fill="FFFFFF"/>
        <w:spacing w:before="0" w:beforeAutospacing="0" w:after="270" w:afterAutospacing="0"/>
        <w:jc w:val="both"/>
        <w:rPr>
          <w:color w:val="FF0000"/>
          <w:spacing w:val="-1"/>
          <w:u w:val="single"/>
        </w:rPr>
      </w:pPr>
      <w:r w:rsidRPr="00ED5460">
        <w:rPr>
          <w:color w:val="FF0000"/>
          <w:spacing w:val="-1"/>
          <w:u w:val="single"/>
        </w:rPr>
        <w:t>Estados Unidos representó casi la mitad de todo el incremento, con una deuda total en camino de alcanzar los 80 billones de dólares en 2020, frente a los 71 billones de dólares de 2019. Por sectores (gobierno, familias y empresas), la mayor parte del aumento se produjo en el gobierno general (hasta 3,7 billones de dólares) y en las empresas (hasta 1,7 billones de dólares).</w:t>
      </w:r>
    </w:p>
    <w:p w:rsidR="006C03AB" w:rsidRDefault="006C03AB" w:rsidP="00FA4DA9">
      <w:pPr>
        <w:pStyle w:val="NormalWeb"/>
        <w:shd w:val="clear" w:color="auto" w:fill="FFFFFF"/>
        <w:spacing w:before="0" w:beforeAutospacing="0" w:after="270" w:afterAutospacing="0"/>
        <w:jc w:val="both"/>
        <w:rPr>
          <w:color w:val="FF0000"/>
          <w:spacing w:val="-1"/>
          <w:u w:val="single"/>
        </w:rPr>
      </w:pPr>
      <w:r w:rsidRPr="00ED5460">
        <w:rPr>
          <w:color w:val="FF0000"/>
          <w:spacing w:val="-1"/>
          <w:u w:val="single"/>
        </w:rPr>
        <w:t>En la zona del euro, un aumento de 1,5 billones de dólares en la deuda pública ha elevado la deuda total a más de 53 billones de dólares en el tercer trimestre de 2020 (aunque todavía está por debajo del máximo histórico de 55 billones de dólares en el segundo trimestre de 2014). La deuda en otros mercados desarrollados ascendió en más de 3,7 billones de dólares hasta los 65 billones en los primeros tres trimestres de 2020.</w:t>
      </w:r>
    </w:p>
    <w:p w:rsidR="002E1395" w:rsidRDefault="002E1395" w:rsidP="00FA4DA9">
      <w:pPr>
        <w:pStyle w:val="NormalWeb"/>
        <w:shd w:val="clear" w:color="auto" w:fill="FFFFFF"/>
        <w:spacing w:before="0" w:beforeAutospacing="0" w:after="270" w:afterAutospacing="0"/>
        <w:jc w:val="both"/>
        <w:rPr>
          <w:color w:val="FF0000"/>
          <w:spacing w:val="-1"/>
          <w:u w:val="single"/>
        </w:rPr>
      </w:pPr>
    </w:p>
    <w:p w:rsidR="002E1395" w:rsidRDefault="002E1395" w:rsidP="00FA4DA9">
      <w:pPr>
        <w:pStyle w:val="NormalWeb"/>
        <w:shd w:val="clear" w:color="auto" w:fill="FFFFFF"/>
        <w:spacing w:before="0" w:beforeAutospacing="0" w:after="270" w:afterAutospacing="0"/>
        <w:jc w:val="both"/>
        <w:rPr>
          <w:color w:val="FF0000"/>
          <w:spacing w:val="-1"/>
          <w:u w:val="single"/>
        </w:rPr>
      </w:pPr>
    </w:p>
    <w:p w:rsidR="002E1395" w:rsidRPr="00ED5460" w:rsidRDefault="002E1395" w:rsidP="00FA4DA9">
      <w:pPr>
        <w:pStyle w:val="NormalWeb"/>
        <w:shd w:val="clear" w:color="auto" w:fill="FFFFFF"/>
        <w:spacing w:before="0" w:beforeAutospacing="0" w:after="270" w:afterAutospacing="0"/>
        <w:jc w:val="both"/>
        <w:rPr>
          <w:color w:val="FF0000"/>
          <w:spacing w:val="-1"/>
          <w:u w:val="single"/>
        </w:rPr>
      </w:pPr>
    </w:p>
    <w:p w:rsidR="00A74F6C" w:rsidRPr="007A5C27" w:rsidRDefault="006C03AB" w:rsidP="007A5C27">
      <w:pPr>
        <w:shd w:val="clear" w:color="auto" w:fill="FFFFFF"/>
        <w:spacing w:line="240" w:lineRule="auto"/>
        <w:jc w:val="both"/>
        <w:rPr>
          <w:rFonts w:ascii="Times New Roman" w:hAnsi="Times New Roman" w:cs="Times New Roman"/>
          <w:color w:val="212529"/>
          <w:sz w:val="24"/>
          <w:szCs w:val="24"/>
        </w:rPr>
      </w:pPr>
      <w:r w:rsidRPr="00162486">
        <w:rPr>
          <w:rFonts w:ascii="Times New Roman" w:hAnsi="Times New Roman" w:cs="Times New Roman"/>
          <w:noProof/>
          <w:color w:val="212529"/>
          <w:sz w:val="24"/>
          <w:szCs w:val="24"/>
          <w:lang w:eastAsia="es-ES"/>
        </w:rPr>
        <w:lastRenderedPageBreak/>
        <w:drawing>
          <wp:inline distT="0" distB="0" distL="0" distR="0" wp14:anchorId="35B3EE3B" wp14:editId="52C725A0">
            <wp:extent cx="5651500" cy="3346450"/>
            <wp:effectExtent l="0" t="0" r="6350" b="6350"/>
            <wp:docPr id="287" name="Imagen 287" descr="https://s03.s3c.es/imag/_v0/770x375/6/f/a/deuda-canada-japon-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03.s3c.es/imag/_v0/770x375/6/f/a/deuda-canada-japon-us.jpg"/>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651500" cy="3346450"/>
                    </a:xfrm>
                    <a:prstGeom prst="rect">
                      <a:avLst/>
                    </a:prstGeom>
                    <a:noFill/>
                    <a:ln>
                      <a:noFill/>
                    </a:ln>
                  </pic:spPr>
                </pic:pic>
              </a:graphicData>
            </a:graphic>
          </wp:inline>
        </w:drawing>
      </w:r>
      <w:r w:rsidRPr="00162486">
        <w:rPr>
          <w:rFonts w:ascii="Times New Roman" w:hAnsi="Times New Roman" w:cs="Times New Roman"/>
          <w:color w:val="212529"/>
          <w:sz w:val="24"/>
          <w:szCs w:val="24"/>
        </w:rPr>
        <w:t>Los países en lo</w:t>
      </w:r>
      <w:r w:rsidR="007A5C27">
        <w:rPr>
          <w:rFonts w:ascii="Times New Roman" w:hAnsi="Times New Roman" w:cs="Times New Roman"/>
          <w:color w:val="212529"/>
          <w:sz w:val="24"/>
          <w:szCs w:val="24"/>
        </w:rPr>
        <w:t>s que más ha aumentado la deuda</w:t>
      </w:r>
    </w:p>
    <w:p w:rsidR="007A5C27" w:rsidRDefault="007A5C27" w:rsidP="00FA4DA9">
      <w:pPr>
        <w:pStyle w:val="NormalWeb"/>
        <w:shd w:val="clear" w:color="auto" w:fill="FFFFFF"/>
        <w:spacing w:before="0" w:beforeAutospacing="0" w:after="270" w:afterAutospacing="0"/>
        <w:jc w:val="both"/>
        <w:rPr>
          <w:bCs/>
          <w:color w:val="212529"/>
          <w:spacing w:val="-1"/>
          <w:u w:val="single"/>
        </w:rPr>
      </w:pPr>
    </w:p>
    <w:p w:rsidR="006C03AB" w:rsidRPr="00162486" w:rsidRDefault="006C03AB" w:rsidP="00FA4DA9">
      <w:pPr>
        <w:pStyle w:val="NormalWeb"/>
        <w:shd w:val="clear" w:color="auto" w:fill="FFFFFF"/>
        <w:spacing w:before="0" w:beforeAutospacing="0" w:after="270" w:afterAutospacing="0"/>
        <w:jc w:val="both"/>
        <w:rPr>
          <w:color w:val="212529"/>
          <w:spacing w:val="-1"/>
        </w:rPr>
      </w:pPr>
      <w:r w:rsidRPr="00A73CCE">
        <w:rPr>
          <w:bCs/>
          <w:color w:val="212529"/>
          <w:spacing w:val="-1"/>
          <w:u w:val="single"/>
        </w:rPr>
        <w:t>Canadá, Japón y EEUU</w:t>
      </w:r>
      <w:r w:rsidRPr="00ED5460">
        <w:rPr>
          <w:color w:val="212529"/>
          <w:spacing w:val="-1"/>
          <w:u w:val="single"/>
        </w:rPr>
        <w:t xml:space="preserve"> han experimentado los mayores aumentos en la deuda del sector no financiero (se excluye a los bancos) este año, con un aumento de la deuda sobre PIB que va desde los 45 puntos porcentuales de EEUU a los más de 75 </w:t>
      </w:r>
      <w:r>
        <w:rPr>
          <w:color w:val="212529"/>
          <w:spacing w:val="-1"/>
          <w:u w:val="single"/>
        </w:rPr>
        <w:t>puntos porcentuales en Canadá. “</w:t>
      </w:r>
      <w:r w:rsidRPr="00ED5460">
        <w:rPr>
          <w:color w:val="212529"/>
          <w:spacing w:val="-1"/>
          <w:u w:val="single"/>
        </w:rPr>
        <w:t>En los mercados desarrollados, la deuda pública ha vuelto a ser el principal impulsor de este incremento, destacando el auge en Canadá, Japón, EEUU, Reino Unido y España</w:t>
      </w:r>
      <w:r w:rsidRPr="00162486">
        <w:rPr>
          <w:color w:val="212529"/>
          <w:spacing w:val="-1"/>
        </w:rPr>
        <w:t>. Es de destacar que Irlanda es el único país de nuestra muestra que ha experimentado una disminución en el índice de deuda total, ya que las disminuciones de la deuda de las empresas y familias compensaron</w:t>
      </w:r>
      <w:r>
        <w:rPr>
          <w:color w:val="212529"/>
          <w:spacing w:val="-1"/>
        </w:rPr>
        <w:t xml:space="preserve"> el aumento de la deuda pública”</w:t>
      </w:r>
      <w:r w:rsidRPr="00162486">
        <w:rPr>
          <w:color w:val="212529"/>
          <w:spacing w:val="-1"/>
        </w:rPr>
        <w:t>, señala el informe</w:t>
      </w:r>
      <w:r>
        <w:rPr>
          <w:color w:val="212529"/>
          <w:spacing w:val="-1"/>
        </w:rPr>
        <w:t>…</w:t>
      </w:r>
    </w:p>
    <w:p w:rsidR="006C03AB" w:rsidRPr="00A73CCE" w:rsidRDefault="006C03AB" w:rsidP="00FA4DA9">
      <w:pPr>
        <w:pStyle w:val="NormalWeb"/>
        <w:shd w:val="clear" w:color="auto" w:fill="FFFFFF"/>
        <w:spacing w:before="0" w:beforeAutospacing="0" w:after="270" w:afterAutospacing="0"/>
        <w:jc w:val="both"/>
        <w:rPr>
          <w:b/>
          <w:color w:val="FF0000"/>
          <w:spacing w:val="-1"/>
        </w:rPr>
      </w:pPr>
      <w:r w:rsidRPr="00162486">
        <w:rPr>
          <w:color w:val="212529"/>
          <w:spacing w:val="-1"/>
        </w:rPr>
        <w:t xml:space="preserve">Volviendo a la deuda global, </w:t>
      </w:r>
      <w:r w:rsidRPr="00A73CCE">
        <w:rPr>
          <w:b/>
          <w:color w:val="FF0000"/>
          <w:spacing w:val="-1"/>
          <w:u w:val="single"/>
        </w:rPr>
        <w:t>el IIF concluye que el ritmo de acumulación de deuda mundial en estos momentos es muy elevado, con un incremento de 52 billones de dólares. “Como resultado, existe una incertidumbre significativa sobre cómo la economía global puede desapalancarse (reducir estos niveles de deuda) en el futuro sin implicaciones adversas significativas para la actividad económica</w:t>
      </w:r>
      <w:r w:rsidRPr="00A73CCE">
        <w:rPr>
          <w:b/>
          <w:color w:val="FF0000"/>
          <w:spacing w:val="-1"/>
        </w:rPr>
        <w:t xml:space="preserve">. </w:t>
      </w:r>
      <w:r w:rsidRPr="00A73CCE">
        <w:rPr>
          <w:b/>
          <w:color w:val="FF0000"/>
          <w:spacing w:val="-1"/>
          <w:u w:val="single"/>
        </w:rPr>
        <w:t>La próxima década podría traer una </w:t>
      </w:r>
      <w:r w:rsidRPr="00A73CCE">
        <w:rPr>
          <w:b/>
          <w:bCs/>
          <w:color w:val="FF0000"/>
          <w:spacing w:val="-1"/>
          <w:u w:val="single"/>
        </w:rPr>
        <w:t>respuesta fiscal reflacionaria</w:t>
      </w:r>
      <w:r w:rsidRPr="00A73CCE">
        <w:rPr>
          <w:b/>
          <w:color w:val="FF0000"/>
          <w:spacing w:val="-1"/>
          <w:u w:val="single"/>
        </w:rPr>
        <w:t>, algo totalmente opuesto a la austeridad que se aplicó en la década de 2010. Si la montaña de deuda global continúa creciendo al ritmo promedio de los últimos 15 años, nuestras estimaciones iniciales sugieren que la deuda global podría superar los 360 billones de dólares para 2030, más 85 billones más que los niveles actuales”, concluye el informe.</w:t>
      </w:r>
    </w:p>
    <w:p w:rsidR="006C03AB" w:rsidRDefault="006C03AB" w:rsidP="00FA4DA9">
      <w:pPr>
        <w:spacing w:line="240" w:lineRule="auto"/>
        <w:jc w:val="both"/>
        <w:rPr>
          <w:noProof/>
        </w:rPr>
      </w:pPr>
      <w:r w:rsidRPr="002346F4">
        <w:rPr>
          <w:rFonts w:ascii="Times New Roman" w:hAnsi="Times New Roman" w:cs="Times New Roman"/>
          <w:noProof/>
          <w:sz w:val="24"/>
          <w:szCs w:val="24"/>
          <w:lang w:eastAsia="es-ES"/>
        </w:rPr>
        <w:lastRenderedPageBreak/>
        <w:drawing>
          <wp:inline distT="0" distB="0" distL="0" distR="0" wp14:anchorId="30CE8FE8" wp14:editId="7F7384FA">
            <wp:extent cx="5731510" cy="3050541"/>
            <wp:effectExtent l="0" t="0" r="2540" b="0"/>
            <wp:docPr id="288" name="Imagen 288" descr="Volumen de comercio. (Fuente: OM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olumen de comercio. (Fuente: OMC)"/>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731510" cy="3050541"/>
                    </a:xfrm>
                    <a:prstGeom prst="rect">
                      <a:avLst/>
                    </a:prstGeom>
                    <a:noFill/>
                    <a:ln>
                      <a:noFill/>
                    </a:ln>
                  </pic:spPr>
                </pic:pic>
              </a:graphicData>
            </a:graphic>
          </wp:inline>
        </w:drawing>
      </w:r>
    </w:p>
    <w:p w:rsidR="006C03AB" w:rsidRPr="002346F4" w:rsidRDefault="006C03AB" w:rsidP="00FA4DA9">
      <w:pPr>
        <w:shd w:val="clear" w:color="auto" w:fill="FFFFFF"/>
        <w:spacing w:line="240" w:lineRule="auto"/>
        <w:jc w:val="both"/>
        <w:textAlignment w:val="baseline"/>
        <w:rPr>
          <w:rFonts w:ascii="Times New Roman" w:hAnsi="Times New Roman" w:cs="Times New Roman"/>
          <w:sz w:val="24"/>
          <w:szCs w:val="24"/>
        </w:rPr>
      </w:pPr>
      <w:r w:rsidRPr="002346F4">
        <w:rPr>
          <w:rFonts w:ascii="Times New Roman" w:hAnsi="Times New Roman" w:cs="Times New Roman"/>
          <w:sz w:val="24"/>
          <w:szCs w:val="24"/>
        </w:rPr>
        <w:t>Volumen de comercio. (Fuente: OMC)</w:t>
      </w:r>
    </w:p>
    <w:p w:rsidR="006C03AB" w:rsidRPr="00EB38CA" w:rsidRDefault="006C03AB"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B38CA">
        <w:rPr>
          <w:rFonts w:ascii="Times New Roman" w:hAnsi="Times New Roman" w:cs="Times New Roman"/>
          <w:sz w:val="24"/>
          <w:szCs w:val="24"/>
          <w:u w:val="single"/>
        </w:rPr>
        <w:t>Los tipos de interés cero quitan miles de millones a las fa</w:t>
      </w:r>
      <w:r>
        <w:rPr>
          <w:rFonts w:ascii="Times New Roman" w:hAnsi="Times New Roman" w:cs="Times New Roman"/>
          <w:sz w:val="24"/>
          <w:szCs w:val="24"/>
          <w:u w:val="single"/>
        </w:rPr>
        <w:t>milias para “dárselos”</w:t>
      </w:r>
      <w:r w:rsidRPr="00EB38CA">
        <w:rPr>
          <w:rFonts w:ascii="Times New Roman" w:hAnsi="Times New Roman" w:cs="Times New Roman"/>
          <w:sz w:val="24"/>
          <w:szCs w:val="24"/>
          <w:u w:val="single"/>
        </w:rPr>
        <w:t xml:space="preserve"> a gobiernos y empresas</w:t>
      </w:r>
      <w:r>
        <w:rPr>
          <w:rFonts w:ascii="Times New Roman" w:hAnsi="Times New Roman" w:cs="Times New Roman"/>
          <w:sz w:val="24"/>
          <w:szCs w:val="24"/>
        </w:rPr>
        <w:t xml:space="preserve"> (El Economista - </w:t>
      </w:r>
      <w:r>
        <w:rPr>
          <w:rFonts w:ascii="Times New Roman" w:hAnsi="Times New Roman" w:cs="Times New Roman"/>
          <w:b/>
          <w:sz w:val="24"/>
          <w:szCs w:val="24"/>
        </w:rPr>
        <w:t>21</w:t>
      </w:r>
      <w:r w:rsidRPr="00EB38CA">
        <w:rPr>
          <w:rFonts w:ascii="Times New Roman" w:hAnsi="Times New Roman" w:cs="Times New Roman"/>
          <w:b/>
          <w:sz w:val="24"/>
          <w:szCs w:val="24"/>
        </w:rPr>
        <w:t>/11/20</w:t>
      </w:r>
      <w:r>
        <w:rPr>
          <w:rFonts w:ascii="Times New Roman" w:hAnsi="Times New Roman" w:cs="Times New Roman"/>
          <w:sz w:val="24"/>
          <w:szCs w:val="24"/>
        </w:rPr>
        <w:t>)</w:t>
      </w:r>
    </w:p>
    <w:p w:rsidR="006C03AB" w:rsidRPr="00A73CCE" w:rsidRDefault="006C03AB" w:rsidP="00FA4DA9">
      <w:pPr>
        <w:shd w:val="clear" w:color="auto" w:fill="FFFFFF"/>
        <w:spacing w:before="100" w:beforeAutospacing="1" w:after="100" w:afterAutospacing="1" w:line="240" w:lineRule="auto"/>
        <w:jc w:val="both"/>
        <w:rPr>
          <w:rFonts w:ascii="Times New Roman" w:hAnsi="Times New Roman" w:cs="Times New Roman"/>
          <w:bCs/>
          <w:sz w:val="24"/>
          <w:szCs w:val="24"/>
        </w:rPr>
      </w:pPr>
      <w:r w:rsidRPr="00A73CCE">
        <w:rPr>
          <w:rFonts w:ascii="Times New Roman" w:hAnsi="Times New Roman" w:cs="Times New Roman"/>
          <w:sz w:val="24"/>
          <w:szCs w:val="24"/>
        </w:rPr>
        <w:t xml:space="preserve">(Por </w:t>
      </w:r>
      <w:hyperlink r:id="rId194" w:history="1">
        <w:r w:rsidRPr="00A73CCE">
          <w:rPr>
            <w:rStyle w:val="Hipervnculo"/>
            <w:rFonts w:ascii="Times New Roman" w:hAnsi="Times New Roman" w:cs="Times New Roman"/>
            <w:color w:val="auto"/>
            <w:sz w:val="24"/>
            <w:szCs w:val="24"/>
            <w:u w:val="none"/>
          </w:rPr>
          <w:t>Vicente Nieves</w:t>
        </w:r>
      </w:hyperlink>
      <w:r w:rsidRPr="00A73CCE">
        <w:rPr>
          <w:rFonts w:ascii="Times New Roman" w:hAnsi="Times New Roman" w:cs="Times New Roman"/>
          <w:bCs/>
          <w:sz w:val="24"/>
          <w:szCs w:val="24"/>
        </w:rPr>
        <w:t>)</w:t>
      </w:r>
    </w:p>
    <w:p w:rsidR="006C03AB" w:rsidRPr="00A73CCE" w:rsidRDefault="006C03AB" w:rsidP="00FA4DA9">
      <w:pPr>
        <w:pStyle w:val="NormalWeb"/>
        <w:shd w:val="clear" w:color="auto" w:fill="FFFFFF"/>
        <w:spacing w:before="0" w:beforeAutospacing="0" w:after="270" w:afterAutospacing="0"/>
        <w:jc w:val="both"/>
        <w:rPr>
          <w:spacing w:val="-1"/>
          <w:u w:val="single"/>
        </w:rPr>
      </w:pPr>
      <w:r w:rsidRPr="00A73CCE">
        <w:rPr>
          <w:spacing w:val="-1"/>
          <w:u w:val="single"/>
        </w:rPr>
        <w:t>El precio del dinero (tipos de interés) está en mínimos históricos y lo seguirá estando en un intento por estimular la economía (a través del consumo y la inversión) y </w:t>
      </w:r>
      <w:hyperlink r:id="rId195" w:history="1">
        <w:r w:rsidRPr="00A73CCE">
          <w:rPr>
            <w:rStyle w:val="Hipervnculo"/>
            <w:color w:val="auto"/>
            <w:spacing w:val="-1"/>
          </w:rPr>
          <w:t>hacer sostenible la elevada deuda</w:t>
        </w:r>
      </w:hyperlink>
      <w:r w:rsidRPr="00A73CCE">
        <w:rPr>
          <w:spacing w:val="-1"/>
          <w:u w:val="single"/>
        </w:rPr>
        <w:t> de gobiernos y empresas. Sin embargo, pese a las buenas intenciones de los banqueros centrales, este tipo de políticas impactan de diferentes formas en la sociedad. Aunque su resultado global pueda ser positivo, algunos efectos en el corto y largo plazo pueden ser un tanto controvertidos y afectar algunos sectores de la economía en particular.</w:t>
      </w:r>
    </w:p>
    <w:p w:rsidR="006C03AB" w:rsidRPr="008F6D40" w:rsidRDefault="004C6999" w:rsidP="00FA4DA9">
      <w:pPr>
        <w:pStyle w:val="NormalWeb"/>
        <w:shd w:val="clear" w:color="auto" w:fill="FFFFFF"/>
        <w:spacing w:before="0" w:beforeAutospacing="0" w:after="270" w:afterAutospacing="0"/>
        <w:jc w:val="both"/>
        <w:rPr>
          <w:color w:val="212529"/>
          <w:spacing w:val="-1"/>
          <w:u w:val="single"/>
        </w:rPr>
      </w:pPr>
      <w:hyperlink r:id="rId196" w:history="1">
        <w:r w:rsidR="006C03AB" w:rsidRPr="008F6D40">
          <w:rPr>
            <w:rStyle w:val="Hipervnculo"/>
            <w:color w:val="FF0000"/>
            <w:spacing w:val="-1"/>
          </w:rPr>
          <w:t>Unos tipos de interés muy bajos</w:t>
        </w:r>
      </w:hyperlink>
      <w:r w:rsidR="006C03AB" w:rsidRPr="008F6D40">
        <w:rPr>
          <w:color w:val="FF0000"/>
          <w:spacing w:val="-1"/>
          <w:u w:val="single"/>
        </w:rPr>
        <w:t> benefician a los agentes más endeudados en términos netos (estos agentes son los que llevan el peso de la inversión en la economía), que son las empresas y los gobiernos. Por el contrario, las familias (cuyo ahorro se convierte en la deuda/inversión de empresas y gobiernos) suelen ser las perdedoras en términos netos, sobre todo aquellas que tienen una mayor cantidad de activos con rentabilidad ligada a los tipos de interés (depósitos, bonos...).</w:t>
      </w:r>
      <w:r w:rsidR="006C03AB" w:rsidRPr="00EB38CA">
        <w:rPr>
          <w:color w:val="212529"/>
          <w:spacing w:val="-1"/>
        </w:rPr>
        <w:t xml:space="preserve"> </w:t>
      </w:r>
      <w:r w:rsidR="006C03AB" w:rsidRPr="008F6D40">
        <w:rPr>
          <w:color w:val="212529"/>
          <w:spacing w:val="-1"/>
          <w:u w:val="single"/>
        </w:rPr>
        <w:t xml:space="preserve">Tras años de tipos cero se puede observar cómo las familias de la zona euro han visto una fuerte caída de los intereses que reciben a su favor pese a haber incrementado la cantidad relativa de activos (sobre pasivos). Por el contrario, gobiernos y empresas, pese </w:t>
      </w:r>
      <w:r w:rsidR="006C03AB" w:rsidRPr="00A73CCE">
        <w:rPr>
          <w:spacing w:val="-1"/>
          <w:u w:val="single"/>
        </w:rPr>
        <w:t>a </w:t>
      </w:r>
      <w:hyperlink r:id="rId197" w:history="1">
        <w:r w:rsidR="006C03AB" w:rsidRPr="00A73CCE">
          <w:rPr>
            <w:rStyle w:val="Hipervnculo"/>
            <w:color w:val="auto"/>
            <w:spacing w:val="-1"/>
          </w:rPr>
          <w:t>haber elevado su endeudamiento</w:t>
        </w:r>
      </w:hyperlink>
      <w:r w:rsidR="006C03AB" w:rsidRPr="00A73CCE">
        <w:rPr>
          <w:spacing w:val="-1"/>
          <w:u w:val="single"/>
        </w:rPr>
        <w:t xml:space="preserve">, pagan hoy muchos menos intereses que en el pasado. El </w:t>
      </w:r>
      <w:r w:rsidR="006C03AB" w:rsidRPr="008F6D40">
        <w:rPr>
          <w:color w:val="212529"/>
          <w:spacing w:val="-1"/>
          <w:u w:val="single"/>
        </w:rPr>
        <w:t>difícil equilibrio de la sostenibilidad de la deuda.</w:t>
      </w:r>
    </w:p>
    <w:p w:rsidR="006C03AB" w:rsidRPr="00A73CCE" w:rsidRDefault="006C03AB" w:rsidP="00FA4DA9">
      <w:pPr>
        <w:pStyle w:val="NormalWeb"/>
        <w:shd w:val="clear" w:color="auto" w:fill="FFFFFF"/>
        <w:spacing w:before="0" w:beforeAutospacing="0" w:after="270" w:afterAutospacing="0"/>
        <w:jc w:val="both"/>
        <w:rPr>
          <w:b/>
          <w:color w:val="FF0000"/>
          <w:spacing w:val="-1"/>
          <w:u w:val="single"/>
        </w:rPr>
      </w:pPr>
      <w:r w:rsidRPr="00A73CCE">
        <w:rPr>
          <w:b/>
          <w:color w:val="FF0000"/>
          <w:spacing w:val="-1"/>
          <w:u w:val="single"/>
        </w:rPr>
        <w:t>La aseguradora alemana Allianz destaca en un nuevo trabajo que “con la crisis del covid-19, los tipos de interés cero se afianzarán en Europa. Además de los efectos (negativos) a largo plazo (aumento de la desigualdad, mercados financieros distorsionados y mala asignación de recursos), también hay efectos directos sobre los ingresos. Hasta ahora, el resultado ha sido una “transferencia” de miles de millones de euros de los hogares privados al sector público y empresarial”.</w:t>
      </w:r>
    </w:p>
    <w:p w:rsidR="006C03AB" w:rsidRPr="00EB38CA" w:rsidRDefault="006C03AB" w:rsidP="00FA4DA9">
      <w:pPr>
        <w:pStyle w:val="NormalWeb"/>
        <w:shd w:val="clear" w:color="auto" w:fill="FFFFFF"/>
        <w:spacing w:before="0" w:beforeAutospacing="0" w:after="270" w:afterAutospacing="0"/>
        <w:jc w:val="both"/>
        <w:rPr>
          <w:color w:val="212529"/>
          <w:spacing w:val="-1"/>
        </w:rPr>
      </w:pPr>
      <w:r w:rsidRPr="00EB38CA">
        <w:rPr>
          <w:color w:val="212529"/>
          <w:spacing w:val="-1"/>
        </w:rPr>
        <w:lastRenderedPageBreak/>
        <w:t xml:space="preserve">Dentro de las empresas habría que poner en otro lugar a los bancos, que como intermediarios también han sufrido en el </w:t>
      </w:r>
      <w:r w:rsidRPr="00A73CCE">
        <w:rPr>
          <w:spacing w:val="-1"/>
        </w:rPr>
        <w:t>proceso </w:t>
      </w:r>
      <w:hyperlink r:id="rId198" w:history="1">
        <w:r w:rsidRPr="00A73CCE">
          <w:rPr>
            <w:rStyle w:val="Hipervnculo"/>
            <w:color w:val="auto"/>
            <w:spacing w:val="-1"/>
            <w:u w:val="none"/>
          </w:rPr>
          <w:t>un fuerte descenso de su rentabilidad</w:t>
        </w:r>
      </w:hyperlink>
      <w:r w:rsidRPr="00EB38CA">
        <w:rPr>
          <w:color w:val="212529"/>
          <w:spacing w:val="-1"/>
        </w:rPr>
        <w:t> e ingresos por intereses (los bancos son el único sector que tiene un saldo positivo porque vive de ello). Este efecto distributivo se hace visible en los ingresos netos por intereses de los diferentes sectores que conforman la economía. Esto es la diferencia entre los ingresos por intereses (por ejemplo, los intereses recibidos por los hogares a través de los depósitos bancarios y los bonos) y los gastos por intereses (los intereses pagados por los hogares por las hipotecas u otros créditos).</w:t>
      </w:r>
    </w:p>
    <w:p w:rsidR="006C03AB" w:rsidRPr="00A73CCE" w:rsidRDefault="006C03AB" w:rsidP="00FA4DA9">
      <w:pPr>
        <w:pStyle w:val="NormalWeb"/>
        <w:shd w:val="clear" w:color="auto" w:fill="FFFFFF"/>
        <w:spacing w:before="0" w:beforeAutospacing="0" w:after="270" w:afterAutospacing="0"/>
        <w:jc w:val="both"/>
        <w:rPr>
          <w:b/>
          <w:color w:val="FF0000"/>
          <w:spacing w:val="-1"/>
          <w:u w:val="single"/>
        </w:rPr>
      </w:pPr>
      <w:r w:rsidRPr="00A73CCE">
        <w:rPr>
          <w:b/>
          <w:color w:val="FF0000"/>
          <w:spacing w:val="-1"/>
          <w:u w:val="single"/>
        </w:rPr>
        <w:t>Al calcular los ingresos netos por intereses (lo que se recibe por los activos menos lo que se paga por las deudas o pasivos) de los cuatro principales sectores económicos: el gobierno, los hogares, las empresas no financieras y las sociedades financieras (bancos), se puede ver que salvo los bancos, el resto de sectores presenta un </w:t>
      </w:r>
      <w:r w:rsidRPr="00A73CCE">
        <w:rPr>
          <w:b/>
          <w:bCs/>
          <w:color w:val="FF0000"/>
          <w:spacing w:val="-1"/>
          <w:u w:val="single"/>
        </w:rPr>
        <w:t>saldo negativo neto</w:t>
      </w:r>
      <w:r w:rsidRPr="00A73CCE">
        <w:rPr>
          <w:b/>
          <w:color w:val="FF0000"/>
          <w:spacing w:val="-1"/>
          <w:u w:val="single"/>
        </w:rPr>
        <w:t>, es decir, pagan más intereses por sus pasivos de lo que reciben por sus activos. Pero mientras que gobiernos y empresas han reducido ese saldo negativo sobremanera en los últimos años, las familias han sufrido el efecto opuesto.</w:t>
      </w:r>
    </w:p>
    <w:p w:rsidR="006C03AB" w:rsidRDefault="006C03AB" w:rsidP="00FA4DA9">
      <w:pPr>
        <w:pStyle w:val="NormalWeb"/>
        <w:shd w:val="clear" w:color="auto" w:fill="FFFFFF"/>
        <w:spacing w:before="0" w:beforeAutospacing="0" w:after="270" w:afterAutospacing="0"/>
        <w:jc w:val="both"/>
        <w:rPr>
          <w:spacing w:val="-1"/>
        </w:rPr>
      </w:pPr>
      <w:r w:rsidRPr="00A73CCE">
        <w:rPr>
          <w:b/>
          <w:color w:val="FF0000"/>
          <w:spacing w:val="-1"/>
          <w:u w:val="single"/>
        </w:rPr>
        <w:t>A nivel agregado en la zona euro (donde el BCE tiene la soberanía monetaria y el control de los tipos de interés a corto plazo), “el sector gubernamental es uno de los ganadores de la política de tipos de interés cero. A pesar del aumento de los niveles de deuda, los ingresos netos por intereses mejoraron significativamente: si se acumularan los cambios anuales con respecto a 2008, el ahorro total asciende a 195.000 millones de euros (2% del PIB de 2019). Dado el balance de los gobiernos, que contiene solo unos pocos activos que devengan intereses pero casi cinco veces más en pasivos, no es de extrañar que sus ingresos netos por intereses sigan en números rojos. Sin embargo, la mejora es notable”, sostiene el trabajo de Allianz.</w:t>
      </w:r>
    </w:p>
    <w:p w:rsidR="006C03AB" w:rsidRDefault="006C03AB" w:rsidP="00FA4DA9">
      <w:pPr>
        <w:pStyle w:val="NormalWeb"/>
        <w:shd w:val="clear" w:color="auto" w:fill="FFFFFF"/>
        <w:spacing w:before="0" w:beforeAutospacing="0" w:after="270" w:afterAutospacing="0"/>
        <w:jc w:val="both"/>
        <w:rPr>
          <w:spacing w:val="-1"/>
        </w:rPr>
      </w:pPr>
      <w:r>
        <w:rPr>
          <w:spacing w:val="-1"/>
        </w:rPr>
        <w:t>Los gobiernos pagan 90.000 millones menos en intereses que en 2012</w:t>
      </w:r>
    </w:p>
    <w:p w:rsidR="002E1395" w:rsidRPr="00A73CCE" w:rsidRDefault="002E1395" w:rsidP="00FA4DA9">
      <w:pPr>
        <w:pStyle w:val="NormalWeb"/>
        <w:shd w:val="clear" w:color="auto" w:fill="FFFFFF"/>
        <w:spacing w:before="0" w:beforeAutospacing="0" w:after="270" w:afterAutospacing="0"/>
        <w:jc w:val="both"/>
        <w:rPr>
          <w:spacing w:val="-1"/>
        </w:rPr>
      </w:pPr>
      <w:r w:rsidRPr="00EB38CA">
        <w:rPr>
          <w:noProof/>
          <w:color w:val="212529"/>
        </w:rPr>
        <w:drawing>
          <wp:inline distT="0" distB="0" distL="0" distR="0" wp14:anchorId="0DC178E3" wp14:editId="52475EED">
            <wp:extent cx="5683250" cy="2641600"/>
            <wp:effectExtent l="0" t="0" r="0" b="6350"/>
            <wp:docPr id="107" name="Imagen 107" descr="https://s03.s3c.es/imag/_v0/770x427/6/a/3/intereses-netos-gobiern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70x427/6/a/3/intereses-netos-gobiernos.jpg"/>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683250" cy="2641600"/>
                    </a:xfrm>
                    <a:prstGeom prst="rect">
                      <a:avLst/>
                    </a:prstGeom>
                    <a:noFill/>
                    <a:ln>
                      <a:noFill/>
                    </a:ln>
                  </pic:spPr>
                </pic:pic>
              </a:graphicData>
            </a:graphic>
          </wp:inline>
        </w:drawing>
      </w:r>
    </w:p>
    <w:p w:rsidR="006C03AB" w:rsidRPr="008F6D40" w:rsidRDefault="006C03AB" w:rsidP="00FA4DA9">
      <w:pPr>
        <w:pStyle w:val="NormalWeb"/>
        <w:shd w:val="clear" w:color="auto" w:fill="FFFFFF"/>
        <w:spacing w:before="0" w:beforeAutospacing="0" w:after="270" w:afterAutospacing="0"/>
        <w:jc w:val="both"/>
        <w:rPr>
          <w:color w:val="FF0000"/>
          <w:spacing w:val="-1"/>
          <w:u w:val="single"/>
        </w:rPr>
      </w:pPr>
      <w:r w:rsidRPr="008F6D40">
        <w:rPr>
          <w:color w:val="FF0000"/>
          <w:spacing w:val="-1"/>
          <w:u w:val="single"/>
        </w:rPr>
        <w:t>En comparación con 2008, el pago neto por intereses de los gobiernos se han reducido en 70.000 millones de euros (en 2019) en la zona euro; el cambio desde 2012, el pico de la crisis de deuda soberana (cando los gobiernos pagaron más por su deuda), es aún más pronunciado y asciende a 90.000 millones de euros.</w:t>
      </w:r>
    </w:p>
    <w:p w:rsidR="006C03AB" w:rsidRPr="00A73CCE" w:rsidRDefault="006C03AB" w:rsidP="00FA4DA9">
      <w:pPr>
        <w:pStyle w:val="NormalWeb"/>
        <w:shd w:val="clear" w:color="auto" w:fill="FFFFFF"/>
        <w:spacing w:before="0" w:beforeAutospacing="0" w:after="270" w:afterAutospacing="0"/>
        <w:jc w:val="both"/>
        <w:rPr>
          <w:color w:val="FF0000"/>
          <w:spacing w:val="-1"/>
          <w:u w:val="single"/>
        </w:rPr>
      </w:pPr>
      <w:r w:rsidRPr="00A73CCE">
        <w:rPr>
          <w:color w:val="FF0000"/>
          <w:spacing w:val="-1"/>
          <w:u w:val="single"/>
        </w:rPr>
        <w:lastRenderedPageBreak/>
        <w:t>El punto de inflexión, cuando dio comienzo lo que podríamos denominar como</w:t>
      </w:r>
      <w:r w:rsidRPr="00A73CCE">
        <w:rPr>
          <w:b/>
          <w:bCs/>
          <w:color w:val="FF0000"/>
          <w:spacing w:val="-1"/>
          <w:u w:val="single"/>
        </w:rPr>
        <w:t> “la gran transferencia”</w:t>
      </w:r>
      <w:r w:rsidRPr="00A73CCE">
        <w:rPr>
          <w:color w:val="FF0000"/>
          <w:spacing w:val="-1"/>
          <w:u w:val="single"/>
        </w:rPr>
        <w:t> para las finanzas públicas no fue durante la Gran Recesión de 2008, sino el mítico discurso en 2012 de Mario Draghi, presidente del Banco Central Europeo (BCE) de entonces, con el célebre “</w:t>
      </w:r>
      <w:r w:rsidRPr="00A73CCE">
        <w:rPr>
          <w:i/>
          <w:iCs/>
          <w:color w:val="FF0000"/>
          <w:spacing w:val="-1"/>
          <w:u w:val="single"/>
        </w:rPr>
        <w:t>whatever it takes</w:t>
      </w:r>
      <w:r w:rsidRPr="00A73CCE">
        <w:rPr>
          <w:color w:val="FF0000"/>
          <w:spacing w:val="-1"/>
          <w:u w:val="single"/>
        </w:rPr>
        <w:t>” que puso fin a la crisis del euro y paró en seco la tendencia insostenible en los intereses de la deuda pública de los países más débiles de la zona euro.</w:t>
      </w:r>
    </w:p>
    <w:p w:rsidR="006C03AB" w:rsidRPr="00A73CCE" w:rsidRDefault="006C03AB" w:rsidP="00FA4DA9">
      <w:pPr>
        <w:pStyle w:val="NormalWeb"/>
        <w:shd w:val="clear" w:color="auto" w:fill="FFFFFF"/>
        <w:spacing w:before="0" w:beforeAutospacing="0" w:after="270" w:afterAutospacing="0"/>
        <w:jc w:val="both"/>
        <w:rPr>
          <w:b/>
          <w:color w:val="FF0000"/>
          <w:spacing w:val="-1"/>
          <w:u w:val="single"/>
        </w:rPr>
      </w:pPr>
      <w:r w:rsidRPr="00A73CCE">
        <w:rPr>
          <w:b/>
          <w:color w:val="FF0000"/>
          <w:spacing w:val="-1"/>
          <w:u w:val="single"/>
        </w:rPr>
        <w:t>No obstante, en términos absolutos el gran ganador de la bajada de tipos ha sido el sector de las empresas. Los analistas de Allianz explican que desde 2008, su factura anual en intereses se ha reducido en más de 100.000 millones de euros. Pero si se suman las cantidades anuales que se han ahorrado, la cantidad rebasa ligeramente el billón de euros (el 10% del PIB de 2019 de la zona euro).</w:t>
      </w:r>
    </w:p>
    <w:p w:rsidR="006C03AB" w:rsidRPr="00A73CCE" w:rsidRDefault="006C03AB" w:rsidP="00FA4DA9">
      <w:pPr>
        <w:pStyle w:val="NormalWeb"/>
        <w:shd w:val="clear" w:color="auto" w:fill="FFFFFF"/>
        <w:spacing w:before="0" w:beforeAutospacing="0" w:after="270" w:afterAutospacing="0"/>
        <w:jc w:val="both"/>
        <w:rPr>
          <w:b/>
          <w:color w:val="FF0000"/>
          <w:spacing w:val="-1"/>
          <w:u w:val="single"/>
        </w:rPr>
      </w:pPr>
      <w:r w:rsidRPr="00A73CCE">
        <w:rPr>
          <w:b/>
          <w:color w:val="FF0000"/>
          <w:spacing w:val="-1"/>
          <w:u w:val="single"/>
        </w:rPr>
        <w:t>De modo que los hogares son los grandes perdedores en lo que se refiere a los ingresos por intereses: “Son un sector rico en activos, pero los rendimientos de sus productos han caído cerca de cero (0,6%) mientras que todavía tienen que hacer frente a un tipo de interés sobre sus pasivos cuatro veces más alto (2,5%). Como resultado, los ingresos netos por intereses de los hogares se han desplomado en 55.000 millones de euros respecto a 2008 y los cambios acumulados ascienden a 390.000 millones de euros (4% del PIB de 2019)”.</w:t>
      </w:r>
    </w:p>
    <w:p w:rsidR="006C03AB" w:rsidRPr="00EB38CA" w:rsidRDefault="006C03AB" w:rsidP="00FA4DA9">
      <w:pPr>
        <w:shd w:val="clear" w:color="auto" w:fill="FFFFFF"/>
        <w:spacing w:line="240" w:lineRule="auto"/>
        <w:jc w:val="both"/>
        <w:rPr>
          <w:rFonts w:ascii="Times New Roman" w:hAnsi="Times New Roman" w:cs="Times New Roman"/>
          <w:color w:val="212529"/>
          <w:sz w:val="24"/>
          <w:szCs w:val="24"/>
        </w:rPr>
      </w:pPr>
      <w:r w:rsidRPr="00EB38CA">
        <w:rPr>
          <w:rFonts w:ascii="Times New Roman" w:hAnsi="Times New Roman" w:cs="Times New Roman"/>
          <w:noProof/>
          <w:color w:val="212529"/>
          <w:sz w:val="24"/>
          <w:szCs w:val="24"/>
          <w:lang w:eastAsia="es-ES"/>
        </w:rPr>
        <w:drawing>
          <wp:inline distT="0" distB="0" distL="0" distR="0" wp14:anchorId="1711885C" wp14:editId="16A8F83B">
            <wp:extent cx="5702300" cy="2495550"/>
            <wp:effectExtent l="0" t="0" r="0" b="0"/>
            <wp:docPr id="290" name="Imagen 290" descr="https://s03.s3c.es/imag/_v0/770x420/8/b/c/intereses-recibidos-famili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03.s3c.es/imag/_v0/770x420/8/b/c/intereses-recibidos-familias.jpg"/>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702300" cy="2495550"/>
                    </a:xfrm>
                    <a:prstGeom prst="rect">
                      <a:avLst/>
                    </a:prstGeom>
                    <a:noFill/>
                    <a:ln>
                      <a:noFill/>
                    </a:ln>
                  </pic:spPr>
                </pic:pic>
              </a:graphicData>
            </a:graphic>
          </wp:inline>
        </w:drawing>
      </w:r>
      <w:r w:rsidRPr="00EB38CA">
        <w:rPr>
          <w:rFonts w:ascii="Times New Roman" w:hAnsi="Times New Roman" w:cs="Times New Roman"/>
          <w:color w:val="212529"/>
          <w:sz w:val="24"/>
          <w:szCs w:val="24"/>
        </w:rPr>
        <w:t>Los intereses que reciben las familias por sus activos se han desplomado</w:t>
      </w:r>
    </w:p>
    <w:p w:rsidR="006C03AB" w:rsidRPr="00EB38CA" w:rsidRDefault="006C03AB" w:rsidP="00FA4DA9">
      <w:pPr>
        <w:pStyle w:val="NormalWeb"/>
        <w:shd w:val="clear" w:color="auto" w:fill="FFFFFF"/>
        <w:spacing w:before="0" w:beforeAutospacing="0" w:after="270" w:afterAutospacing="0"/>
        <w:jc w:val="both"/>
        <w:rPr>
          <w:color w:val="212529"/>
          <w:spacing w:val="-1"/>
        </w:rPr>
      </w:pPr>
      <w:r w:rsidRPr="0041066E">
        <w:rPr>
          <w:color w:val="FF0000"/>
          <w:spacing w:val="-1"/>
          <w:u w:val="single"/>
        </w:rPr>
        <w:t>Los ingresos por intereses de las familias se han desplomado un 78% desde 2008 hasta apenas 53.000 millones de euros en 2019; por el contrario, los pagos de intereses disminuyeron un 44% hasta los 171 000 millones de euros.</w:t>
      </w:r>
      <w:r w:rsidRPr="00EB38CA">
        <w:rPr>
          <w:color w:val="212529"/>
          <w:spacing w:val="-1"/>
        </w:rPr>
        <w:t xml:space="preserve"> Como resultado, los ingresos netos por intereses se profundizaron aún má</w:t>
      </w:r>
      <w:r>
        <w:rPr>
          <w:color w:val="212529"/>
          <w:spacing w:val="-1"/>
        </w:rPr>
        <w:t>s en los números rojos. “</w:t>
      </w:r>
      <w:r w:rsidRPr="00EB38CA">
        <w:rPr>
          <w:color w:val="212529"/>
          <w:spacing w:val="-1"/>
        </w:rPr>
        <w:t>Al contrario que con las empresas y los gobiernos, el diferencial de tipos de interés (el interés que pagan por sus pasivos respecto al que reciben por los activos) apenas mejoró para los hogares: aún se sitúa en torno a los 200 puntos b</w:t>
      </w:r>
      <w:r>
        <w:rPr>
          <w:color w:val="212529"/>
          <w:spacing w:val="-1"/>
        </w:rPr>
        <w:t>ásicos (a favor de los pasivos)”</w:t>
      </w:r>
      <w:r w:rsidRPr="00EB38CA">
        <w:rPr>
          <w:color w:val="212529"/>
          <w:spacing w:val="-1"/>
        </w:rPr>
        <w:t>.</w:t>
      </w:r>
    </w:p>
    <w:p w:rsidR="006C03AB" w:rsidRPr="00EB38CA" w:rsidRDefault="006C03AB" w:rsidP="00FA4DA9">
      <w:pPr>
        <w:shd w:val="clear" w:color="auto" w:fill="FFFFFF"/>
        <w:spacing w:line="240" w:lineRule="auto"/>
        <w:jc w:val="both"/>
        <w:rPr>
          <w:rFonts w:ascii="Times New Roman" w:hAnsi="Times New Roman" w:cs="Times New Roman"/>
          <w:color w:val="212529"/>
          <w:sz w:val="24"/>
          <w:szCs w:val="24"/>
        </w:rPr>
      </w:pPr>
      <w:r w:rsidRPr="00EB38CA">
        <w:rPr>
          <w:rFonts w:ascii="Times New Roman" w:hAnsi="Times New Roman" w:cs="Times New Roman"/>
          <w:noProof/>
          <w:color w:val="212529"/>
          <w:sz w:val="24"/>
          <w:szCs w:val="24"/>
          <w:lang w:eastAsia="es-ES"/>
        </w:rPr>
        <w:lastRenderedPageBreak/>
        <w:drawing>
          <wp:inline distT="0" distB="0" distL="0" distR="0" wp14:anchorId="6B47BBDC" wp14:editId="39FECB40">
            <wp:extent cx="5708650" cy="2368550"/>
            <wp:effectExtent l="0" t="0" r="6350" b="0"/>
            <wp:docPr id="291" name="Imagen 291" descr="https://s03.s3c.es/imag/_v0/770x439/d/8/4/intereses-netos-hogar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770x439/d/8/4/intereses-netos-hogares.jpg"/>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708650" cy="2368550"/>
                    </a:xfrm>
                    <a:prstGeom prst="rect">
                      <a:avLst/>
                    </a:prstGeom>
                    <a:noFill/>
                    <a:ln>
                      <a:noFill/>
                    </a:ln>
                  </pic:spPr>
                </pic:pic>
              </a:graphicData>
            </a:graphic>
          </wp:inline>
        </w:drawing>
      </w:r>
    </w:p>
    <w:p w:rsidR="006C03AB" w:rsidRPr="00EB38CA" w:rsidRDefault="006C03AB" w:rsidP="00FA4DA9">
      <w:pPr>
        <w:pStyle w:val="NormalWeb"/>
        <w:shd w:val="clear" w:color="auto" w:fill="FFFFFF"/>
        <w:spacing w:before="0" w:beforeAutospacing="0" w:after="270" w:afterAutospacing="0"/>
        <w:jc w:val="both"/>
        <w:rPr>
          <w:color w:val="212529"/>
          <w:spacing w:val="-1"/>
        </w:rPr>
      </w:pPr>
      <w:r w:rsidRPr="00EB38CA">
        <w:rPr>
          <w:color w:val="212529"/>
          <w:spacing w:val="-1"/>
        </w:rPr>
        <w:t>Las empresas, familias y gobiernos pagan más intereses de los que reciben porque hay un sector que tiene un saldo especialmente positivo, aunque los tipos cero lo han exprimido sobremanera en los últimos años: la banca. Este sector vive, principalmente, del margen de intermediación que se genera entre el pago por intereses que realizan por los pasivos (depósitos) y los intereses que reciben por sus activos (créditos, hipotecas, bonos soberanos...). Este margen se ha hundido con los tipos cero o negativos, pero sigue siendo millonario.</w:t>
      </w:r>
    </w:p>
    <w:p w:rsidR="006C03AB" w:rsidRPr="00A73CCE" w:rsidRDefault="006C03AB" w:rsidP="00FA4DA9">
      <w:pPr>
        <w:pStyle w:val="NormalWeb"/>
        <w:shd w:val="clear" w:color="auto" w:fill="FFFFFF"/>
        <w:spacing w:before="0" w:beforeAutospacing="0" w:after="270" w:afterAutospacing="0"/>
        <w:jc w:val="both"/>
        <w:rPr>
          <w:color w:val="FF0000"/>
          <w:spacing w:val="-1"/>
          <w:u w:val="single"/>
        </w:rPr>
      </w:pPr>
      <w:r w:rsidRPr="00A73CCE">
        <w:rPr>
          <w:color w:val="FF0000"/>
          <w:spacing w:val="-1"/>
          <w:u w:val="single"/>
        </w:rPr>
        <w:t>“Las empresas financieras, principalmente los bancos, son el único sector con un margen de intereses positivo, ya que cuentan con un exceso de activos y un diferencial de tipos de interés positivo. Sin embargo, el deterioro de este último provocó que los ingresos netos por intereses hayan caído en 120.000 millones de euros hasta los 450.000 millones en 2019. Los cambios acumulados ascienden a 865.000 millones de euros (8% del PIB de 2019)”, explican los analistas de la aseguradora.</w:t>
      </w:r>
    </w:p>
    <w:p w:rsidR="006C03AB" w:rsidRPr="00EB38CA" w:rsidRDefault="006C03AB" w:rsidP="00FA4DA9">
      <w:pPr>
        <w:pStyle w:val="NormalWeb"/>
        <w:shd w:val="clear" w:color="auto" w:fill="FFFFFF"/>
        <w:spacing w:before="0" w:beforeAutospacing="0" w:after="270" w:afterAutospacing="0"/>
        <w:jc w:val="both"/>
        <w:rPr>
          <w:color w:val="212529"/>
          <w:spacing w:val="-1"/>
        </w:rPr>
      </w:pPr>
      <w:r w:rsidRPr="00EB38CA">
        <w:rPr>
          <w:color w:val="212529"/>
          <w:spacing w:val="-1"/>
        </w:rPr>
        <w:t>Estos economistas argumentan que durante la última década, los activos de las empresas financieras superaron los pasivos, aunque por un margen relativamente pequeño. Al mismo tiempo, sin embargo, el diferencial de tipos de interés se redujo significativamente, ya que las que los tipos de interés recibidos cayeron en 294 puntos básicos, mientras que las tipos de interés pagados han descendido en 270 pb (los bancos tienen problemas para cobrar intereses a los depo</w:t>
      </w:r>
      <w:r>
        <w:rPr>
          <w:color w:val="212529"/>
          <w:spacing w:val="-1"/>
        </w:rPr>
        <w:t>sitantes)... “</w:t>
      </w:r>
      <w:r w:rsidRPr="00EB38CA">
        <w:rPr>
          <w:color w:val="212529"/>
          <w:spacing w:val="-1"/>
        </w:rPr>
        <w:t xml:space="preserve">Aunque tanto los intereses recibidos como los pagados disminuyeron como resultado, la brecha entre ellos, el ingreso neto por intereses, </w:t>
      </w:r>
      <w:r>
        <w:rPr>
          <w:color w:val="212529"/>
          <w:spacing w:val="-1"/>
        </w:rPr>
        <w:t>se redujo en términos absolutos”</w:t>
      </w:r>
      <w:r w:rsidRPr="00EB38CA">
        <w:rPr>
          <w:color w:val="212529"/>
          <w:spacing w:val="-1"/>
        </w:rPr>
        <w:t>, señala el informe.</w:t>
      </w:r>
    </w:p>
    <w:p w:rsidR="006C03AB" w:rsidRPr="00EB38CA" w:rsidRDefault="006C03AB" w:rsidP="00FA4DA9">
      <w:pPr>
        <w:shd w:val="clear" w:color="auto" w:fill="FFFFFF"/>
        <w:spacing w:line="240" w:lineRule="auto"/>
        <w:jc w:val="both"/>
        <w:rPr>
          <w:rFonts w:ascii="Times New Roman" w:hAnsi="Times New Roman" w:cs="Times New Roman"/>
          <w:color w:val="212529"/>
          <w:sz w:val="24"/>
          <w:szCs w:val="24"/>
        </w:rPr>
      </w:pPr>
      <w:r w:rsidRPr="00EB38CA">
        <w:rPr>
          <w:rFonts w:ascii="Times New Roman" w:hAnsi="Times New Roman" w:cs="Times New Roman"/>
          <w:noProof/>
          <w:color w:val="212529"/>
          <w:sz w:val="24"/>
          <w:szCs w:val="24"/>
          <w:lang w:eastAsia="es-ES"/>
        </w:rPr>
        <w:drawing>
          <wp:inline distT="0" distB="0" distL="0" distR="0" wp14:anchorId="7EC8387A" wp14:editId="622BA58B">
            <wp:extent cx="5778500" cy="2343150"/>
            <wp:effectExtent l="0" t="0" r="0" b="0"/>
            <wp:docPr id="292" name="Imagen 292" descr="https://s03.s3c.es/imag/_v0/770x413/5/d/f/banca-intereses-net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03.s3c.es/imag/_v0/770x413/5/d/f/banca-intereses-netos.jpg"/>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778500" cy="2343150"/>
                    </a:xfrm>
                    <a:prstGeom prst="rect">
                      <a:avLst/>
                    </a:prstGeom>
                    <a:noFill/>
                    <a:ln>
                      <a:noFill/>
                    </a:ln>
                  </pic:spPr>
                </pic:pic>
              </a:graphicData>
            </a:graphic>
          </wp:inline>
        </w:drawing>
      </w:r>
    </w:p>
    <w:p w:rsidR="006C03AB" w:rsidRDefault="006C03AB" w:rsidP="00FA4DA9">
      <w:pPr>
        <w:pStyle w:val="NormalWeb"/>
        <w:shd w:val="clear" w:color="auto" w:fill="FFFFFF"/>
        <w:spacing w:before="0" w:beforeAutospacing="0" w:after="270" w:afterAutospacing="0"/>
        <w:jc w:val="both"/>
        <w:rPr>
          <w:color w:val="212529"/>
          <w:spacing w:val="-1"/>
        </w:rPr>
      </w:pPr>
      <w:r w:rsidRPr="00EB38CA">
        <w:rPr>
          <w:color w:val="212529"/>
          <w:spacing w:val="-1"/>
        </w:rPr>
        <w:lastRenderedPageBreak/>
        <w:t xml:space="preserve">Pese a todo, los analistas de Allianz creen que hay esperanza para las familias y, probablemente, acabarán mejorando sus ingresos netos por intereses. Esto se debe a que el interés que pagan los activos (al menos los depósitos) no puede caer mucho por debajo de cero (las familias transformarían su dinero en efectivo </w:t>
      </w:r>
      <w:r w:rsidRPr="00330165">
        <w:rPr>
          <w:spacing w:val="-1"/>
        </w:rPr>
        <w:t>para </w:t>
      </w:r>
      <w:hyperlink r:id="rId203" w:history="1">
        <w:r w:rsidRPr="00330165">
          <w:rPr>
            <w:rStyle w:val="Hipervnculo"/>
            <w:color w:val="auto"/>
            <w:spacing w:val="-1"/>
            <w:u w:val="none"/>
          </w:rPr>
          <w:t>guardarlo debajo del colchón</w:t>
        </w:r>
      </w:hyperlink>
      <w:r w:rsidRPr="00EB38CA">
        <w:rPr>
          <w:color w:val="212529"/>
          <w:spacing w:val="-1"/>
        </w:rPr>
        <w:t>), mientras que los pasivos (créditos, hipotecas...) aún tienen algo más de margen para seguir bajando.</w:t>
      </w:r>
    </w:p>
    <w:p w:rsidR="006C03AB" w:rsidRPr="00EB38CA" w:rsidRDefault="006C03AB" w:rsidP="00FA4DA9">
      <w:pPr>
        <w:pStyle w:val="NormalWeb"/>
        <w:shd w:val="clear" w:color="auto" w:fill="FFFFFF"/>
        <w:spacing w:after="270"/>
        <w:jc w:val="both"/>
        <w:rPr>
          <w:color w:val="212529"/>
          <w:spacing w:val="-1"/>
        </w:rPr>
      </w:pPr>
      <w:r>
        <w:rPr>
          <w:color w:val="212529"/>
          <w:spacing w:val="-1"/>
        </w:rPr>
        <w:t xml:space="preserve">- </w:t>
      </w:r>
      <w:r w:rsidRPr="00EB38CA">
        <w:rPr>
          <w:color w:val="212529"/>
          <w:spacing w:val="-1"/>
          <w:u w:val="single"/>
        </w:rPr>
        <w:t>Ruina económica, éxito financiero: la bolsa global roza los 100 billones el año del covid</w:t>
      </w:r>
      <w:r>
        <w:rPr>
          <w:color w:val="212529"/>
          <w:spacing w:val="-1"/>
        </w:rPr>
        <w:t xml:space="preserve"> (El Confidencial - </w:t>
      </w:r>
      <w:r w:rsidRPr="00EB38CA">
        <w:rPr>
          <w:b/>
          <w:color w:val="212529"/>
          <w:spacing w:val="-1"/>
        </w:rPr>
        <w:t>21/11/20</w:t>
      </w:r>
      <w:r>
        <w:rPr>
          <w:color w:val="212529"/>
          <w:spacing w:val="-1"/>
        </w:rPr>
        <w:t>)</w:t>
      </w:r>
    </w:p>
    <w:p w:rsidR="006C03AB" w:rsidRDefault="006C03AB" w:rsidP="00FA4DA9">
      <w:pPr>
        <w:pStyle w:val="NormalWeb"/>
        <w:shd w:val="clear" w:color="auto" w:fill="FFFFFF"/>
        <w:spacing w:before="0" w:beforeAutospacing="0" w:after="270" w:afterAutospacing="0"/>
        <w:jc w:val="both"/>
        <w:rPr>
          <w:color w:val="212529"/>
          <w:spacing w:val="-1"/>
        </w:rPr>
      </w:pPr>
      <w:r>
        <w:rPr>
          <w:color w:val="212529"/>
          <w:spacing w:val="-1"/>
        </w:rPr>
        <w:t>(Por Agustín Monzón)</w:t>
      </w:r>
    </w:p>
    <w:p w:rsidR="006C03AB" w:rsidRPr="00330165" w:rsidRDefault="006C03AB" w:rsidP="00FA4DA9">
      <w:pPr>
        <w:pStyle w:val="NormalWeb"/>
        <w:shd w:val="clear" w:color="auto" w:fill="FFFFFF"/>
        <w:spacing w:after="270"/>
        <w:jc w:val="both"/>
        <w:rPr>
          <w:b/>
          <w:color w:val="FF0000"/>
          <w:spacing w:val="-1"/>
          <w:u w:val="single"/>
        </w:rPr>
      </w:pPr>
      <w:r w:rsidRPr="00330165">
        <w:rPr>
          <w:b/>
          <w:color w:val="FF0000"/>
          <w:spacing w:val="-1"/>
          <w:u w:val="single"/>
        </w:rPr>
        <w:t>Al término de la sesión de este jueves, las bolsas mundiales alcanzaban una capitalización récord, por encima de los 96 billones de dólares (81 billones de euros), más de 8 billones por encima de sus niveles previos al golpe del coronavirus. El índice global MSCI World también se mueve en torno a máximos históricos, tras remontar casi un 60% en ocho meses. Mercados como el de Estados Unidos, China, Taiwán, Corea del Sur o Dinamarca encaran el tramo final de 2020 con ganancias superiores al 10%.</w:t>
      </w:r>
    </w:p>
    <w:p w:rsidR="006C03AB" w:rsidRPr="00EB38CA" w:rsidRDefault="006C03AB" w:rsidP="00FA4DA9">
      <w:pPr>
        <w:pStyle w:val="NormalWeb"/>
        <w:shd w:val="clear" w:color="auto" w:fill="FFFFFF"/>
        <w:spacing w:after="270"/>
        <w:jc w:val="both"/>
        <w:rPr>
          <w:color w:val="212529"/>
          <w:spacing w:val="-1"/>
        </w:rPr>
      </w:pPr>
      <w:r w:rsidRPr="00EB38CA">
        <w:rPr>
          <w:color w:val="212529"/>
          <w:spacing w:val="-1"/>
        </w:rPr>
        <w:t>Las favorables noticias sobre el desarrollo de vacunas contra el coronavirus han insuflado a los mercados una buena dosis de optimismo, con los inversores viendo crecer las opciones de que el mundo pueda empezar a dejar atrás la pandemia hacia mediados del próximo año. Las bolsas internacionales han firmado en las últimas semanas algunos de sus mejores registros en décadas, a pesar del impacto de la segunda ola del virus, que amenaza con agravar los daños económicos en toda Europa y Estados Unidos.</w:t>
      </w:r>
    </w:p>
    <w:p w:rsidR="006C03AB" w:rsidRPr="0041066E" w:rsidRDefault="006C03AB" w:rsidP="00FA4DA9">
      <w:pPr>
        <w:pStyle w:val="NormalWeb"/>
        <w:shd w:val="clear" w:color="auto" w:fill="FFFFFF"/>
        <w:spacing w:after="270"/>
        <w:jc w:val="both"/>
        <w:rPr>
          <w:color w:val="212529"/>
          <w:spacing w:val="-1"/>
          <w:u w:val="single"/>
        </w:rPr>
      </w:pPr>
      <w:r w:rsidRPr="00EB38CA">
        <w:rPr>
          <w:color w:val="212529"/>
          <w:spacing w:val="-1"/>
        </w:rPr>
        <w:t xml:space="preserve">Esta divergencia reciente, no obstante, no supone ninguna sorpresa a cualquiera que conozca el funcionamiento de los mercados, que suelen tratar de anticipar los cambios en las tendencias económicas. </w:t>
      </w:r>
      <w:r>
        <w:rPr>
          <w:color w:val="212529"/>
          <w:spacing w:val="-1"/>
          <w:u w:val="single"/>
        </w:rPr>
        <w:t>“</w:t>
      </w:r>
      <w:r w:rsidRPr="0041066E">
        <w:rPr>
          <w:color w:val="212529"/>
          <w:spacing w:val="-1"/>
          <w:u w:val="single"/>
        </w:rPr>
        <w:t xml:space="preserve">Claramente se explica por la capacidad anticipadora de los mercados, que prevén una significativa reactivación de la economía con la llegada de las </w:t>
      </w:r>
      <w:r>
        <w:rPr>
          <w:color w:val="212529"/>
          <w:spacing w:val="-1"/>
          <w:u w:val="single"/>
        </w:rPr>
        <w:t>vacunas en la próxima primavera”</w:t>
      </w:r>
      <w:r w:rsidRPr="0041066E">
        <w:rPr>
          <w:color w:val="212529"/>
          <w:spacing w:val="-1"/>
          <w:u w:val="single"/>
        </w:rPr>
        <w:t>, corrobora Antonio Zamora, socio fundador de Macroyield.</w:t>
      </w:r>
    </w:p>
    <w:p w:rsidR="006C03AB" w:rsidRPr="00EB38CA" w:rsidRDefault="006C03AB" w:rsidP="00FA4DA9">
      <w:pPr>
        <w:pStyle w:val="NormalWeb"/>
        <w:shd w:val="clear" w:color="auto" w:fill="FFFFFF"/>
        <w:spacing w:after="270"/>
        <w:jc w:val="both"/>
        <w:rPr>
          <w:color w:val="212529"/>
          <w:spacing w:val="-1"/>
        </w:rPr>
      </w:pPr>
      <w:r>
        <w:rPr>
          <w:noProof/>
        </w:rPr>
        <w:drawing>
          <wp:inline distT="0" distB="0" distL="0" distR="0" wp14:anchorId="3F7A9DD6" wp14:editId="5E05FA80">
            <wp:extent cx="5734050" cy="2343150"/>
            <wp:effectExtent l="0" t="0" r="0" b="0"/>
            <wp:docPr id="293" name="Imagen 293" descr="Capitalización de las bolsas mundiales, en billones de dólares. (Bloombe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apitalización de las bolsas mundiales, en billones de dólares. (Bloomberg)"/>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731510" cy="2342112"/>
                    </a:xfrm>
                    <a:prstGeom prst="rect">
                      <a:avLst/>
                    </a:prstGeom>
                    <a:noFill/>
                    <a:ln>
                      <a:noFill/>
                    </a:ln>
                  </pic:spPr>
                </pic:pic>
              </a:graphicData>
            </a:graphic>
          </wp:inline>
        </w:drawing>
      </w:r>
    </w:p>
    <w:p w:rsidR="006C03AB" w:rsidRPr="00EB38CA" w:rsidRDefault="006C03AB" w:rsidP="00FA4DA9">
      <w:pPr>
        <w:pStyle w:val="NormalWeb"/>
        <w:shd w:val="clear" w:color="auto" w:fill="FFFFFF"/>
        <w:spacing w:after="270"/>
        <w:jc w:val="both"/>
        <w:rPr>
          <w:color w:val="212529"/>
          <w:spacing w:val="-1"/>
        </w:rPr>
      </w:pPr>
      <w:r w:rsidRPr="00EB38CA">
        <w:rPr>
          <w:color w:val="212529"/>
          <w:spacing w:val="-1"/>
        </w:rPr>
        <w:t>Capitalización de las bolsas mundiales, en billones de dólares. (Bloomberg)</w:t>
      </w:r>
    </w:p>
    <w:p w:rsidR="006C03AB" w:rsidRPr="00EB38CA" w:rsidRDefault="006C03AB" w:rsidP="00FA4DA9">
      <w:pPr>
        <w:pStyle w:val="NormalWeb"/>
        <w:shd w:val="clear" w:color="auto" w:fill="FFFFFF"/>
        <w:spacing w:after="270"/>
        <w:jc w:val="both"/>
        <w:rPr>
          <w:color w:val="212529"/>
          <w:spacing w:val="-1"/>
        </w:rPr>
      </w:pPr>
      <w:r w:rsidRPr="00EB38CA">
        <w:rPr>
          <w:color w:val="212529"/>
          <w:spacing w:val="-1"/>
        </w:rPr>
        <w:t xml:space="preserve">Las crisis más recientes dejan claros ejemplos de esta realidad: así, en 2009, un año en que la economía estadounidense se contrajo un 2,2%, el S&amp;P 500 sumó más de un 23%, tras recuperar algo más del 60% desde los mínimos registrados en marzo; en 2012, año en que </w:t>
      </w:r>
      <w:r w:rsidRPr="00EB38CA">
        <w:rPr>
          <w:color w:val="212529"/>
          <w:spacing w:val="-1"/>
        </w:rPr>
        <w:lastRenderedPageBreak/>
        <w:t>España se vio al borde del colapso y tuvo que solicitar un rescate para la banca, la economía nacional se hundió un 1,6%, pero el Ibex salvó el año con pérdidas limitadas, tras remontar más del 40% desde finales de julio, cuando el presidente del BCE, Mario Draghi, prometió hacer lo que fuera necesario para salvar el eur</w:t>
      </w:r>
      <w:r>
        <w:rPr>
          <w:color w:val="212529"/>
          <w:spacing w:val="-1"/>
        </w:rPr>
        <w:t>o.</w:t>
      </w:r>
    </w:p>
    <w:p w:rsidR="006C03AB" w:rsidRPr="0041066E" w:rsidRDefault="006C03AB" w:rsidP="00FA4DA9">
      <w:pPr>
        <w:pStyle w:val="NormalWeb"/>
        <w:shd w:val="clear" w:color="auto" w:fill="FFFFFF"/>
        <w:spacing w:after="270"/>
        <w:jc w:val="both"/>
        <w:rPr>
          <w:color w:val="212529"/>
          <w:spacing w:val="-1"/>
          <w:u w:val="single"/>
        </w:rPr>
      </w:pPr>
      <w:r w:rsidRPr="00EB38CA">
        <w:rPr>
          <w:color w:val="212529"/>
          <w:spacing w:val="-1"/>
        </w:rPr>
        <w:t xml:space="preserve">Lo que separa estos episodios del actual es que en aquellos momentos tanto el S&amp;P 500 como el Ibex arrastraban importantes pérdidas anteriores, que les mantenía muy lejos de sus máximos previos a la crisis. </w:t>
      </w:r>
      <w:r w:rsidRPr="0041066E">
        <w:rPr>
          <w:color w:val="212529"/>
          <w:spacing w:val="-1"/>
          <w:u w:val="single"/>
        </w:rPr>
        <w:t xml:space="preserve">Ahora, en cambio, frente a un colapso de la economía sin precedentes en casi </w:t>
      </w:r>
      <w:r>
        <w:rPr>
          <w:color w:val="212529"/>
          <w:spacing w:val="-1"/>
          <w:u w:val="single"/>
        </w:rPr>
        <w:t>un siglo, las bolsas mundiales -</w:t>
      </w:r>
      <w:r w:rsidRPr="0041066E">
        <w:rPr>
          <w:color w:val="212529"/>
          <w:spacing w:val="-1"/>
          <w:u w:val="single"/>
        </w:rPr>
        <w:t>pese a exce</w:t>
      </w:r>
      <w:r>
        <w:rPr>
          <w:color w:val="212529"/>
          <w:spacing w:val="-1"/>
          <w:u w:val="single"/>
        </w:rPr>
        <w:t>pciones como la española-</w:t>
      </w:r>
      <w:r w:rsidRPr="0041066E">
        <w:rPr>
          <w:color w:val="212529"/>
          <w:spacing w:val="-1"/>
          <w:u w:val="single"/>
        </w:rPr>
        <w:t xml:space="preserve"> han logrado dejar atrás las pérdidas iniciales, en una recuperación históricamente rápida, y alcanzar cotas récord en un momento en que los datos económicos vuelven a empeorar.</w:t>
      </w:r>
    </w:p>
    <w:p w:rsidR="006C03AB" w:rsidRPr="00330165" w:rsidRDefault="006C03AB" w:rsidP="00FA4DA9">
      <w:pPr>
        <w:pStyle w:val="NormalWeb"/>
        <w:shd w:val="clear" w:color="auto" w:fill="FFFFFF"/>
        <w:spacing w:after="270"/>
        <w:jc w:val="both"/>
        <w:rPr>
          <w:b/>
          <w:color w:val="FF0000"/>
          <w:spacing w:val="-1"/>
          <w:u w:val="single"/>
        </w:rPr>
      </w:pPr>
      <w:r w:rsidRPr="00330165">
        <w:rPr>
          <w:b/>
          <w:color w:val="FF0000"/>
          <w:spacing w:val="-1"/>
          <w:u w:val="single"/>
        </w:rPr>
        <w:t>Este marcado contraste ha llevado a algunos analistas a apuntar que los ciclos económicos ya no importan en bolsa, a causa de la actuación de los bancos centrales, que llevan años combatiendo cualquier indicio de debilidad con una serie de estímulos extraordinarios. Alberto Matellán, economista jefe de Mapfre Inversión, no llega a admitir tal extremo, pero sí aprecia “una creciente desconexión entre la realidad económica y la de los mercados”.</w:t>
      </w:r>
    </w:p>
    <w:p w:rsidR="006C03AB" w:rsidRPr="00330165" w:rsidRDefault="006C03AB" w:rsidP="00FA4DA9">
      <w:pPr>
        <w:pStyle w:val="NormalWeb"/>
        <w:shd w:val="clear" w:color="auto" w:fill="FFFFFF"/>
        <w:spacing w:after="270"/>
        <w:jc w:val="both"/>
        <w:rPr>
          <w:b/>
          <w:color w:val="FF0000"/>
          <w:spacing w:val="-1"/>
          <w:u w:val="single"/>
        </w:rPr>
      </w:pPr>
      <w:r w:rsidRPr="00330165">
        <w:rPr>
          <w:b/>
          <w:color w:val="FF0000"/>
          <w:spacing w:val="-1"/>
          <w:u w:val="single"/>
        </w:rPr>
        <w:t>Desde su punto de vista, esta creciente disparidad se explica, en gran medida, por un factor muy significativo: el notable incremento de la masa monetaria a nivel global. “En solo cuatro meses, la Fed y el BCE han elevado su masa monetaria en casi un 50%. Eso, llevado al mercado de un modo simplista, representa que una acción que ayer te valía un euro hoy te puede valer 1,50 solo por el cambio de valor del dinero”, sugiere.</w:t>
      </w:r>
    </w:p>
    <w:p w:rsidR="006C03AB" w:rsidRPr="00330165" w:rsidRDefault="006C03AB" w:rsidP="00FA4DA9">
      <w:pPr>
        <w:pStyle w:val="NormalWeb"/>
        <w:shd w:val="clear" w:color="auto" w:fill="FFFFFF"/>
        <w:spacing w:after="270"/>
        <w:jc w:val="both"/>
        <w:rPr>
          <w:b/>
          <w:color w:val="FF0000"/>
          <w:spacing w:val="-1"/>
          <w:u w:val="single"/>
        </w:rPr>
      </w:pPr>
      <w:r w:rsidRPr="00330165">
        <w:rPr>
          <w:b/>
          <w:color w:val="FF0000"/>
          <w:spacing w:val="-1"/>
          <w:u w:val="single"/>
        </w:rPr>
        <w:t>La masiva inyección de liquidez por parte de los bancos centrales a lo largo de los últimos años ha propiciado, según numerosos expertos, una continua reflación de los activos, que hace que las valoraciones de hoy sean difícilmente equiparables a las del pasado inmediato. El MSCI World cotiza hoy a un PER estimado para el año por encima de las 24 veces, frente a las 15 veces en que se sitúa su promedio en los últimos 15 años.</w:t>
      </w:r>
    </w:p>
    <w:p w:rsidR="006C03AB" w:rsidRPr="00330165" w:rsidRDefault="006C03AB" w:rsidP="00FA4DA9">
      <w:pPr>
        <w:pStyle w:val="NormalWeb"/>
        <w:shd w:val="clear" w:color="auto" w:fill="FFFFFF"/>
        <w:spacing w:after="270"/>
        <w:jc w:val="both"/>
        <w:rPr>
          <w:color w:val="FF0000"/>
          <w:spacing w:val="-1"/>
          <w:u w:val="single"/>
        </w:rPr>
      </w:pPr>
      <w:r w:rsidRPr="00330165">
        <w:rPr>
          <w:color w:val="FF0000"/>
          <w:spacing w:val="-1"/>
          <w:u w:val="single"/>
        </w:rPr>
        <w:t>La ausencia de alternativas, por la caída de las rentabilidades de la deuda a mínimos históricos a causa de la actuación de los bancos centrales, ayuda también a justificar esa disposición de los inversores a asumir valoraciones más altas que en el pasado.</w:t>
      </w:r>
    </w:p>
    <w:p w:rsidR="006C03AB" w:rsidRPr="00EB38CA" w:rsidRDefault="006C03AB" w:rsidP="00FA4DA9">
      <w:pPr>
        <w:pStyle w:val="NormalWeb"/>
        <w:shd w:val="clear" w:color="auto" w:fill="FFFFFF"/>
        <w:spacing w:after="270"/>
        <w:jc w:val="both"/>
        <w:rPr>
          <w:color w:val="212529"/>
          <w:spacing w:val="-1"/>
        </w:rPr>
      </w:pPr>
      <w:r w:rsidRPr="0041066E">
        <w:rPr>
          <w:color w:val="212529"/>
          <w:spacing w:val="-1"/>
          <w:u w:val="single"/>
        </w:rPr>
        <w:t>Nada de esto significa que la realidad del mercado se haya divorciado de la realidad económica</w:t>
      </w:r>
      <w:r w:rsidRPr="00EB38CA">
        <w:rPr>
          <w:color w:val="212529"/>
          <w:spacing w:val="-1"/>
        </w:rPr>
        <w:t>. El propio Matellán reconoce que la imagen actual luciría mucho más razonable si, esta vez sí, los bancos centrales y los gobiernos consiguen que la batería extraordinaria de estímulos aprobados a lo largo de la presente crisis acabe llegando a la economía y propiciando una notable mejora d</w:t>
      </w:r>
      <w:r>
        <w:rPr>
          <w:color w:val="212529"/>
          <w:spacing w:val="-1"/>
        </w:rPr>
        <w:t>e los resultados empresariales.</w:t>
      </w:r>
    </w:p>
    <w:p w:rsidR="006C03AB" w:rsidRPr="0041066E" w:rsidRDefault="006C03AB" w:rsidP="00FA4DA9">
      <w:pPr>
        <w:pStyle w:val="NormalWeb"/>
        <w:shd w:val="clear" w:color="auto" w:fill="FFFFFF"/>
        <w:spacing w:after="270"/>
        <w:jc w:val="both"/>
        <w:rPr>
          <w:color w:val="212529"/>
          <w:spacing w:val="-1"/>
          <w:u w:val="single"/>
        </w:rPr>
      </w:pPr>
      <w:r w:rsidRPr="00EB38CA">
        <w:rPr>
          <w:color w:val="212529"/>
          <w:spacing w:val="-1"/>
        </w:rPr>
        <w:t xml:space="preserve">Esta es la visión que defiende Diego Fernández Elices, director general de inversiones de A&amp;G Banca Privada: </w:t>
      </w:r>
      <w:r w:rsidRPr="008F26D1">
        <w:rPr>
          <w:color w:val="212529"/>
          <w:spacing w:val="-1"/>
        </w:rPr>
        <w:t>“</w:t>
      </w:r>
      <w:r w:rsidRPr="0041066E">
        <w:rPr>
          <w:color w:val="212529"/>
          <w:spacing w:val="-1"/>
          <w:u w:val="single"/>
        </w:rPr>
        <w:t>Pensamos que a nivel global, cuando miremos atrás, nos daremos cuenta de que la desconexión entre las bolsas y la economía real no ha sido tan grande como pueda parecer hoy y como pueda parecer desde España. La característica más excepcional de esta pandemia ha sido la velocidad de los acontecimientos. Las bolsas han rebotado de forma muy explosiva en los últimos ocho meses, pero la economía rebotará de una forma equival</w:t>
      </w:r>
      <w:r>
        <w:rPr>
          <w:color w:val="212529"/>
          <w:spacing w:val="-1"/>
          <w:u w:val="single"/>
        </w:rPr>
        <w:t>ente en los próximos ocho meses</w:t>
      </w:r>
      <w:r w:rsidRPr="008F26D1">
        <w:rPr>
          <w:color w:val="212529"/>
          <w:spacing w:val="-1"/>
        </w:rPr>
        <w:t>”.</w:t>
      </w:r>
    </w:p>
    <w:p w:rsidR="006C03AB" w:rsidRPr="00D74D62" w:rsidRDefault="006C03AB" w:rsidP="00FA4DA9">
      <w:pPr>
        <w:pStyle w:val="NormalWeb"/>
        <w:shd w:val="clear" w:color="auto" w:fill="FFFFFF"/>
        <w:spacing w:after="270"/>
        <w:jc w:val="both"/>
        <w:rPr>
          <w:color w:val="212529"/>
          <w:spacing w:val="-1"/>
          <w:u w:val="single"/>
        </w:rPr>
      </w:pPr>
      <w:r w:rsidRPr="00EB38CA">
        <w:rPr>
          <w:color w:val="212529"/>
          <w:spacing w:val="-1"/>
        </w:rPr>
        <w:lastRenderedPageBreak/>
        <w:t xml:space="preserve">La percepción de estar asistiendo al alumbramiento de un nuevo ciclo alcista en la economía </w:t>
      </w:r>
      <w:r>
        <w:rPr>
          <w:color w:val="212529"/>
          <w:spacing w:val="-1"/>
        </w:rPr>
        <w:t>mundial, una vez atravesado el “shock”</w:t>
      </w:r>
      <w:r w:rsidRPr="00EB38CA">
        <w:rPr>
          <w:color w:val="212529"/>
          <w:spacing w:val="-1"/>
        </w:rPr>
        <w:t xml:space="preserve"> extraordinario del coronavirus, es la base de las visiones más optimistas sobre el futuro de los mercados financieros. </w:t>
      </w:r>
      <w:r w:rsidRPr="00D74D62">
        <w:rPr>
          <w:color w:val="212529"/>
          <w:spacing w:val="-1"/>
          <w:u w:val="single"/>
        </w:rPr>
        <w:t>Adrià Morrón, economista en CaixaBank Research, sostiene que la situación actual presenta algunos rasgos que permiten cierta esperanza sobre las posibilidades de la economía global de dejar atrás esta fase de turbulencias con un crecimiento de fondo más sólido que el de la última década.</w:t>
      </w:r>
    </w:p>
    <w:p w:rsidR="006C03AB" w:rsidRPr="00D74D62" w:rsidRDefault="006C03AB" w:rsidP="00FA4DA9">
      <w:pPr>
        <w:pStyle w:val="NormalWeb"/>
        <w:shd w:val="clear" w:color="auto" w:fill="FFFFFF"/>
        <w:spacing w:after="270"/>
        <w:jc w:val="both"/>
        <w:rPr>
          <w:color w:val="212529"/>
          <w:spacing w:val="-1"/>
          <w:u w:val="single"/>
        </w:rPr>
      </w:pPr>
      <w:r w:rsidRPr="00D74D62">
        <w:rPr>
          <w:color w:val="212529"/>
          <w:spacing w:val="-1"/>
          <w:u w:val="single"/>
        </w:rPr>
        <w:t>Entre otros factores, Morrón se refiere a la mayor coordinación entre estímulos monetarios y fiscales y a la mayor disposición de los gobiernos a liderar la transformación digital y energética, dos factores que han permanecido refrenados durante años por las incertidumbres de los sectores privad</w:t>
      </w:r>
      <w:r>
        <w:rPr>
          <w:color w:val="212529"/>
          <w:spacing w:val="-1"/>
          <w:u w:val="single"/>
        </w:rPr>
        <w:t>os sobre su desarrollo futuro. “</w:t>
      </w:r>
      <w:r w:rsidRPr="00D74D62">
        <w:rPr>
          <w:color w:val="212529"/>
          <w:spacing w:val="-1"/>
          <w:u w:val="single"/>
        </w:rPr>
        <w:t>Esto pedía un papel más activo de las políticas públicas y ahora se está poniendo mucho énfasis en ese papel pú</w:t>
      </w:r>
      <w:r>
        <w:rPr>
          <w:color w:val="212529"/>
          <w:spacing w:val="-1"/>
          <w:u w:val="single"/>
        </w:rPr>
        <w:t>blico para empujar la inversión”</w:t>
      </w:r>
      <w:r w:rsidRPr="00D74D62">
        <w:rPr>
          <w:color w:val="212529"/>
          <w:spacing w:val="-1"/>
          <w:u w:val="single"/>
        </w:rPr>
        <w:t>, indica.</w:t>
      </w:r>
    </w:p>
    <w:p w:rsidR="006C03AB" w:rsidRPr="00EB38CA" w:rsidRDefault="006C03AB" w:rsidP="00FA4DA9">
      <w:pPr>
        <w:pStyle w:val="NormalWeb"/>
        <w:shd w:val="clear" w:color="auto" w:fill="FFFFFF"/>
        <w:spacing w:after="270"/>
        <w:jc w:val="both"/>
        <w:rPr>
          <w:color w:val="212529"/>
          <w:spacing w:val="-1"/>
        </w:rPr>
      </w:pPr>
      <w:r w:rsidRPr="00EB38CA">
        <w:rPr>
          <w:color w:val="212529"/>
          <w:spacing w:val="-1"/>
        </w:rPr>
        <w:t xml:space="preserve">Si se asume que la economía sigue teniendo influencia en los mercados, un escenario de ese tipo no puede dejar de resultar favorable para las bolsas. Sin embargo, Rui da Mota, responsable de estrategia de </w:t>
      </w:r>
      <w:r>
        <w:rPr>
          <w:color w:val="212529"/>
          <w:spacing w:val="-1"/>
        </w:rPr>
        <w:t>Renta Variable de Afi, rechaza “</w:t>
      </w:r>
      <w:r w:rsidRPr="00EB38CA">
        <w:rPr>
          <w:color w:val="212529"/>
          <w:spacing w:val="-1"/>
        </w:rPr>
        <w:t>la idea errónea de que si la economía va bien, la bolsa lo tiene que hacer bien, y si va</w:t>
      </w:r>
      <w:r>
        <w:rPr>
          <w:color w:val="212529"/>
          <w:spacing w:val="-1"/>
        </w:rPr>
        <w:t xml:space="preserve"> mal, las bolsas lo harán mal”.</w:t>
      </w:r>
    </w:p>
    <w:p w:rsidR="006C03AB" w:rsidRPr="00EB38CA" w:rsidRDefault="006C03AB" w:rsidP="00FA4DA9">
      <w:pPr>
        <w:pStyle w:val="NormalWeb"/>
        <w:shd w:val="clear" w:color="auto" w:fill="FFFFFF"/>
        <w:spacing w:after="270"/>
        <w:jc w:val="both"/>
        <w:rPr>
          <w:color w:val="212529"/>
          <w:spacing w:val="-1"/>
        </w:rPr>
      </w:pPr>
      <w:r w:rsidRPr="00EB38CA">
        <w:rPr>
          <w:color w:val="212529"/>
          <w:spacing w:val="-1"/>
        </w:rPr>
        <w:t>En su opinión hay otro factor que es fundamental, el de las valoraciones, que a día de hoy no ofrece demasiado marg</w:t>
      </w:r>
      <w:r>
        <w:rPr>
          <w:color w:val="212529"/>
          <w:spacing w:val="-1"/>
        </w:rPr>
        <w:t>en para ganancias adicionales. “</w:t>
      </w:r>
      <w:r w:rsidRPr="00EB38CA">
        <w:rPr>
          <w:color w:val="212529"/>
          <w:spacing w:val="-1"/>
        </w:rPr>
        <w:t>El escenario de tipos mínimos puede justificar unas valoraciones algo más altas, pero no puede justificar cualquier valoración, porque, entre otras cosas, esos tipos bajos ya te están diciendo que el crecimiento nom</w:t>
      </w:r>
      <w:r>
        <w:rPr>
          <w:color w:val="212529"/>
          <w:spacing w:val="-1"/>
        </w:rPr>
        <w:t>inal a futuro va a ser reducido”</w:t>
      </w:r>
      <w:r w:rsidRPr="00EB38CA">
        <w:rPr>
          <w:color w:val="212529"/>
          <w:spacing w:val="-1"/>
        </w:rPr>
        <w:t>. En cualquier caso, sí considera que el respaldo de los estímulos monetarios evitará que el ajuste de valoraciones se produzca a t</w:t>
      </w:r>
      <w:r>
        <w:rPr>
          <w:color w:val="212529"/>
          <w:spacing w:val="-1"/>
        </w:rPr>
        <w:t>ravés de recortes sustanciales.</w:t>
      </w:r>
    </w:p>
    <w:p w:rsidR="006C03AB" w:rsidRPr="00EB38CA" w:rsidRDefault="006C03AB" w:rsidP="00FA4DA9">
      <w:pPr>
        <w:pStyle w:val="NormalWeb"/>
        <w:shd w:val="clear" w:color="auto" w:fill="FFFFFF"/>
        <w:spacing w:after="270"/>
        <w:jc w:val="both"/>
        <w:rPr>
          <w:color w:val="212529"/>
          <w:spacing w:val="-1"/>
        </w:rPr>
      </w:pPr>
      <w:r w:rsidRPr="00EB38CA">
        <w:rPr>
          <w:color w:val="212529"/>
          <w:spacing w:val="-1"/>
        </w:rPr>
        <w:t>Aunque también comparte la sensación de que las valoraciones actuales del mercado pueden resultar hoy algo excesivas, Fernández Elices se muestra algo más optimista sobre las capacidades de las bolsas para seguir arrojando g</w:t>
      </w:r>
      <w:r>
        <w:rPr>
          <w:color w:val="212529"/>
          <w:spacing w:val="-1"/>
        </w:rPr>
        <w:t>anancias en los próximos años. “</w:t>
      </w:r>
      <w:r w:rsidRPr="00EB38CA">
        <w:rPr>
          <w:color w:val="212529"/>
          <w:spacing w:val="-1"/>
        </w:rPr>
        <w:t>Las bolsas posiblemente coticen con valoraciones que hoy son algo exigentes, pero los beneficios empresariales crecerán a doble dígito alto y hay margen para la contracción de múltiplos con la</w:t>
      </w:r>
      <w:r>
        <w:rPr>
          <w:color w:val="212529"/>
          <w:spacing w:val="-1"/>
        </w:rPr>
        <w:t>s bolsas aun subiendo”, apunta.</w:t>
      </w:r>
    </w:p>
    <w:p w:rsidR="006C03AB" w:rsidRPr="00EB38CA" w:rsidRDefault="006C03AB" w:rsidP="00FA4DA9">
      <w:pPr>
        <w:pStyle w:val="NormalWeb"/>
        <w:shd w:val="clear" w:color="auto" w:fill="FFFFFF"/>
        <w:spacing w:after="270"/>
        <w:jc w:val="both"/>
        <w:rPr>
          <w:color w:val="212529"/>
          <w:spacing w:val="-1"/>
        </w:rPr>
      </w:pPr>
      <w:r w:rsidRPr="00EB38CA">
        <w:rPr>
          <w:color w:val="212529"/>
          <w:spacing w:val="-1"/>
        </w:rPr>
        <w:t>Rotación sectorial</w:t>
      </w:r>
    </w:p>
    <w:p w:rsidR="006C03AB" w:rsidRPr="00EB38CA" w:rsidRDefault="006C03AB" w:rsidP="00FA4DA9">
      <w:pPr>
        <w:pStyle w:val="NormalWeb"/>
        <w:shd w:val="clear" w:color="auto" w:fill="FFFFFF"/>
        <w:spacing w:after="270"/>
        <w:jc w:val="both"/>
        <w:rPr>
          <w:color w:val="212529"/>
          <w:spacing w:val="-1"/>
        </w:rPr>
      </w:pPr>
      <w:r w:rsidRPr="00EB38CA">
        <w:rPr>
          <w:color w:val="212529"/>
          <w:spacing w:val="-1"/>
        </w:rPr>
        <w:t>Obviamente, estas visiones generales del mercado son compatibles con proyecciones de comportamientos más favorables o negativos de unos y otros sectores. Como observa Zamora, otra de las razones principales que explican hoy el buen comportamiento de la bolsa pese al desplome de la economía ha sido la muy positiva evolución de ciertos sectores, como el de las grandes tecnológicas, que se benefician de las condiciones creadas por la crisis del coronavirus, y que cuentan con un peso en la bolsa muy superior al que r</w:t>
      </w:r>
      <w:r>
        <w:rPr>
          <w:color w:val="212529"/>
          <w:spacing w:val="-1"/>
        </w:rPr>
        <w:t>epresentan en la economía real.</w:t>
      </w:r>
    </w:p>
    <w:p w:rsidR="006C03AB" w:rsidRPr="00375442" w:rsidRDefault="006C03AB" w:rsidP="00FA4DA9">
      <w:pPr>
        <w:pStyle w:val="NormalWeb"/>
        <w:shd w:val="clear" w:color="auto" w:fill="FFFFFF"/>
        <w:spacing w:after="270"/>
        <w:jc w:val="both"/>
        <w:rPr>
          <w:color w:val="FF0000"/>
          <w:spacing w:val="-1"/>
          <w:u w:val="single"/>
        </w:rPr>
      </w:pPr>
      <w:r>
        <w:rPr>
          <w:color w:val="FF0000"/>
          <w:spacing w:val="-1"/>
          <w:u w:val="single"/>
        </w:rPr>
        <w:t>“</w:t>
      </w:r>
      <w:r w:rsidRPr="00375442">
        <w:rPr>
          <w:color w:val="FF0000"/>
          <w:spacing w:val="-1"/>
          <w:u w:val="single"/>
        </w:rPr>
        <w:t>E</w:t>
      </w:r>
      <w:r>
        <w:rPr>
          <w:color w:val="FF0000"/>
          <w:spacing w:val="-1"/>
          <w:u w:val="single"/>
        </w:rPr>
        <w:t>l S&amp;P 500 este año, hasta ayer (por el jueves)</w:t>
      </w:r>
      <w:r w:rsidRPr="00375442">
        <w:rPr>
          <w:color w:val="FF0000"/>
          <w:spacing w:val="-1"/>
          <w:u w:val="single"/>
        </w:rPr>
        <w:t xml:space="preserve"> había ganado un 11%. Si de él se extraen las grandes compañías tecnológicas que hemos llamado FAAANM (Facebook, Amazon, Apple, Alphabet, Netflix y Microsoft), que recientemente constituían el 25% de la capitalización del índice, puede observarse que el resto del S&amp;P 500 aún no ha recuperado los niveles de partida con los que acabó 2019 y que ha tendido a seguir una evolución de perfil comparable a la de a</w:t>
      </w:r>
      <w:r>
        <w:rPr>
          <w:color w:val="FF0000"/>
          <w:spacing w:val="-1"/>
          <w:u w:val="single"/>
        </w:rPr>
        <w:t>lgunos indicadores de actividad”</w:t>
      </w:r>
      <w:r w:rsidRPr="00375442">
        <w:rPr>
          <w:color w:val="FF0000"/>
          <w:spacing w:val="-1"/>
          <w:u w:val="single"/>
        </w:rPr>
        <w:t xml:space="preserve">, observa el experto de Macroyield, que no descarta que las </w:t>
      </w:r>
      <w:r w:rsidRPr="00375442">
        <w:rPr>
          <w:color w:val="FF0000"/>
          <w:spacing w:val="-1"/>
          <w:u w:val="single"/>
        </w:rPr>
        <w:lastRenderedPageBreak/>
        <w:t>excesivas valoraciones de estas compañías en relación con el resto del mercado se empiece a corregir en los próximos meses.</w:t>
      </w:r>
    </w:p>
    <w:p w:rsidR="006C03AB" w:rsidRPr="00EB38CA" w:rsidRDefault="006C03AB" w:rsidP="00FA4DA9">
      <w:pPr>
        <w:pStyle w:val="NormalWeb"/>
        <w:shd w:val="clear" w:color="auto" w:fill="FFFFFF"/>
        <w:spacing w:after="270"/>
        <w:jc w:val="both"/>
        <w:rPr>
          <w:color w:val="212529"/>
          <w:spacing w:val="-1"/>
        </w:rPr>
      </w:pPr>
      <w:r w:rsidRPr="00EB38CA">
        <w:rPr>
          <w:color w:val="212529"/>
          <w:spacing w:val="-1"/>
        </w:rPr>
        <w:t>De hecho, cierta corrección ya se ha producido en las últimas semanas, debido a la fuerte rotación que se ha desarrollado en el mercado a causa de las noticias sobre las vacunas. Este movimiento, que ha dado un fuerte impulso a los sectores más ligados al ciclo económico, en detrimento de aquellos más favorecidos por la situación d</w:t>
      </w:r>
      <w:r w:rsidR="00324F4A">
        <w:rPr>
          <w:color w:val="212529"/>
          <w:spacing w:val="-1"/>
        </w:rPr>
        <w:t>e crisis sanitaria, es esgrimido</w:t>
      </w:r>
      <w:r w:rsidRPr="00EB38CA">
        <w:rPr>
          <w:color w:val="212529"/>
          <w:spacing w:val="-1"/>
        </w:rPr>
        <w:t xml:space="preserve"> por muchos expertos a la hora de defender que, en efecto, la evolución de la economía sigue siendo crucia</w:t>
      </w:r>
      <w:r w:rsidR="00324F4A">
        <w:rPr>
          <w:color w:val="212529"/>
          <w:spacing w:val="-1"/>
        </w:rPr>
        <w:t>l en el desempeño de las bolsas.</w:t>
      </w:r>
    </w:p>
    <w:p w:rsidR="006C03AB" w:rsidRPr="00EB38CA" w:rsidRDefault="006C03AB" w:rsidP="00FA4DA9">
      <w:pPr>
        <w:pStyle w:val="NormalWeb"/>
        <w:shd w:val="clear" w:color="auto" w:fill="FFFFFF"/>
        <w:spacing w:after="270"/>
        <w:jc w:val="both"/>
        <w:rPr>
          <w:color w:val="212529"/>
          <w:spacing w:val="-1"/>
        </w:rPr>
      </w:pPr>
      <w:r w:rsidRPr="00EB38CA">
        <w:rPr>
          <w:color w:val="212529"/>
          <w:spacing w:val="-1"/>
        </w:rPr>
        <w:t xml:space="preserve">Pero es evidente que la actuación extraordinaria de los bancos centrales a lo largo de los últimos años y, en especial, desde el estallido de la pandemia, ha supuesto un cambio de las reglas de juego para los mercados financieros, de implicaciones profundas. Javier Niederleytner, profesor del Máster en Bolsa y Mercados Financieros del IEB considera que la red de seguridad tejida por los bancos centrales en los últimos años ha llevado a los inversores a asumir que cualquier crisis tendrá una duración muy limitada, lo que facilita una recuperación más rápida de los mercados, </w:t>
      </w:r>
      <w:r>
        <w:rPr>
          <w:color w:val="212529"/>
          <w:spacing w:val="-1"/>
        </w:rPr>
        <w:t>como la experimentada este año.</w:t>
      </w:r>
    </w:p>
    <w:p w:rsidR="006C03AB" w:rsidRPr="00375442" w:rsidRDefault="006C03AB" w:rsidP="00FA4DA9">
      <w:pPr>
        <w:pStyle w:val="NormalWeb"/>
        <w:shd w:val="clear" w:color="auto" w:fill="FFFFFF"/>
        <w:spacing w:after="270"/>
        <w:jc w:val="both"/>
        <w:rPr>
          <w:b/>
          <w:color w:val="FF0000"/>
          <w:spacing w:val="-1"/>
          <w:u w:val="single"/>
        </w:rPr>
      </w:pPr>
      <w:r w:rsidRPr="00375442">
        <w:rPr>
          <w:color w:val="FF0000"/>
          <w:spacing w:val="-1"/>
          <w:u w:val="single"/>
        </w:rPr>
        <w:t xml:space="preserve">Por supuesto, esta situación genera una notable dependencia en el mercado de los estímulos de los bancos centrales, que en sus momentos más extremos se han manifestado a través de caídas en bolsa cuando los datos económicos eran buenos, por el temor a una reducción del apoyo monetario. </w:t>
      </w:r>
      <w:r w:rsidRPr="00330165">
        <w:rPr>
          <w:b/>
          <w:color w:val="FF0000"/>
          <w:spacing w:val="-1"/>
          <w:u w:val="single"/>
        </w:rPr>
        <w:t>Ahora el temor es que las condiciones -en especial, un repunte de la inflación- lleguen a forzar un repliegue de los bancos centrales que dejen al mercado desguarnecido. “Pero en el mercado se asume que eso no va a ocurrir. Los bancos centrales tienen mecanismos para controlar la inflación y saben que no pueden retirarse porque sería un desastre.</w:t>
      </w:r>
      <w:r w:rsidRPr="00375442">
        <w:rPr>
          <w:color w:val="FF0000"/>
          <w:spacing w:val="-1"/>
          <w:u w:val="single"/>
        </w:rPr>
        <w:t xml:space="preserve"> </w:t>
      </w:r>
      <w:r w:rsidRPr="00375442">
        <w:rPr>
          <w:b/>
          <w:color w:val="FF0000"/>
          <w:spacing w:val="-1"/>
          <w:u w:val="single"/>
        </w:rPr>
        <w:t xml:space="preserve">Por eso los inversores se muestran hoy tan tranquilos, porque confían en que este va a </w:t>
      </w:r>
      <w:r>
        <w:rPr>
          <w:b/>
          <w:color w:val="FF0000"/>
          <w:spacing w:val="-1"/>
          <w:u w:val="single"/>
        </w:rPr>
        <w:t>seguir siendo un mercado dopado”</w:t>
      </w:r>
      <w:r w:rsidRPr="00375442">
        <w:rPr>
          <w:b/>
          <w:color w:val="FF0000"/>
          <w:spacing w:val="-1"/>
          <w:u w:val="single"/>
        </w:rPr>
        <w:t>.</w:t>
      </w:r>
    </w:p>
    <w:p w:rsidR="006C03AB" w:rsidRPr="00EB38CA" w:rsidRDefault="006C03AB" w:rsidP="00FA4DA9">
      <w:pPr>
        <w:pStyle w:val="NormalWeb"/>
        <w:shd w:val="clear" w:color="auto" w:fill="FFFFFF"/>
        <w:spacing w:after="270"/>
        <w:jc w:val="both"/>
        <w:rPr>
          <w:color w:val="212529"/>
          <w:spacing w:val="-1"/>
        </w:rPr>
      </w:pPr>
      <w:r w:rsidRPr="00EB38CA">
        <w:rPr>
          <w:color w:val="212529"/>
          <w:spacing w:val="-1"/>
        </w:rPr>
        <w:t xml:space="preserve">Morrón, en cambio, sí se muestra algo más cauto sobre los riesgos que conlleva el papel protagonista de los bancos centrales </w:t>
      </w:r>
      <w:r>
        <w:rPr>
          <w:color w:val="212529"/>
          <w:spacing w:val="-1"/>
        </w:rPr>
        <w:t>en la economía y los mercados. “</w:t>
      </w:r>
      <w:r w:rsidRPr="00EB38CA">
        <w:rPr>
          <w:color w:val="212529"/>
          <w:spacing w:val="-1"/>
        </w:rPr>
        <w:t>Cuando se lleva la política monetaria a posiciones extremas surgen riesgos a medio plazo de inestabilidad financiera. La única solución es que haya mayor equilibrio de las políticas de estímulo, con una política fiscal con una composición más favorable al crecimient</w:t>
      </w:r>
      <w:r>
        <w:rPr>
          <w:color w:val="212529"/>
          <w:spacing w:val="-1"/>
        </w:rPr>
        <w:t>o”</w:t>
      </w:r>
      <w:r w:rsidRPr="00EB38CA">
        <w:rPr>
          <w:color w:val="212529"/>
          <w:spacing w:val="-1"/>
        </w:rPr>
        <w:t>, indica el</w:t>
      </w:r>
      <w:r>
        <w:rPr>
          <w:color w:val="212529"/>
          <w:spacing w:val="-1"/>
        </w:rPr>
        <w:t xml:space="preserve"> experto de CaixaBank Research.</w:t>
      </w:r>
    </w:p>
    <w:p w:rsidR="006C03AB" w:rsidRDefault="006C03AB" w:rsidP="00FA4DA9">
      <w:pPr>
        <w:pStyle w:val="NormalWeb"/>
        <w:shd w:val="clear" w:color="auto" w:fill="FFFFFF"/>
        <w:spacing w:before="0" w:beforeAutospacing="0" w:after="270" w:afterAutospacing="0"/>
        <w:jc w:val="both"/>
        <w:rPr>
          <w:color w:val="FF0000"/>
          <w:spacing w:val="-1"/>
          <w:u w:val="single"/>
        </w:rPr>
      </w:pPr>
      <w:r w:rsidRPr="00375442">
        <w:rPr>
          <w:color w:val="FF0000"/>
          <w:spacing w:val="-1"/>
          <w:u w:val="single"/>
        </w:rPr>
        <w:t>El impacto de los ciclos económicos en los mercados puede verse a día de hoy adormecido por la acción sedante de los bancos centrales. Pero no puede obviarse el riesgo de que un día ese efecto llegue a diluirse y los inversores tengan que lidiar con la realidad económica con toda su crudeza. Si, como muchos apuestan, la economía se encamina hoy hacia un nuevo ciclo de crecimiento sostenido, las amenazas seguramente estarán contenidas. Si no, el reencuentro entre ambas realidades podría llegar a resultar demasiado doloroso.</w:t>
      </w:r>
    </w:p>
    <w:p w:rsidR="006C03AB" w:rsidRDefault="006C03AB" w:rsidP="00FA4DA9">
      <w:pPr>
        <w:spacing w:line="240" w:lineRule="auto"/>
        <w:jc w:val="both"/>
        <w:rPr>
          <w:noProof/>
        </w:rPr>
      </w:pPr>
      <w:r>
        <w:rPr>
          <w:noProof/>
          <w:lang w:eastAsia="es-ES"/>
        </w:rPr>
        <w:lastRenderedPageBreak/>
        <w:drawing>
          <wp:inline distT="0" distB="0" distL="0" distR="0" wp14:anchorId="2667DF96" wp14:editId="79F94439">
            <wp:extent cx="5731510" cy="2876550"/>
            <wp:effectExtent l="0" t="0" r="2540" b="0"/>
            <wp:docPr id="294" name="Imagen 294" descr="Dow’s Rise Fueled by Lower Rates, Stream of Buy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w’s Rise Fueled by Lower Rates, Stream of Buyers"/>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731510" cy="2876550"/>
                    </a:xfrm>
                    <a:prstGeom prst="rect">
                      <a:avLst/>
                    </a:prstGeom>
                    <a:noFill/>
                    <a:ln>
                      <a:noFill/>
                    </a:ln>
                  </pic:spPr>
                </pic:pic>
              </a:graphicData>
            </a:graphic>
          </wp:inline>
        </w:drawing>
      </w:r>
    </w:p>
    <w:p w:rsidR="006C03AB" w:rsidRPr="00E01AAC" w:rsidRDefault="006C03AB" w:rsidP="00FA4DA9">
      <w:pPr>
        <w:pStyle w:val="yiv6150418779msonormal"/>
        <w:shd w:val="clear" w:color="auto" w:fill="FFFFFF"/>
        <w:jc w:val="both"/>
        <w:rPr>
          <w:lang w:val="en-US"/>
        </w:rPr>
      </w:pPr>
      <w:r>
        <w:rPr>
          <w:lang w:val="en-US"/>
        </w:rPr>
        <w:t xml:space="preserve">- </w:t>
      </w:r>
      <w:r w:rsidRPr="00EC2D1E">
        <w:rPr>
          <w:u w:val="single"/>
          <w:lang w:val="en-US"/>
        </w:rPr>
        <w:t>Dow’s Rise Fueled by Lower Rates, Stream of Buyers</w:t>
      </w:r>
      <w:r>
        <w:rPr>
          <w:lang w:val="en-US"/>
        </w:rPr>
        <w:t xml:space="preserve"> (WSJ - </w:t>
      </w:r>
      <w:r w:rsidRPr="00E01AAC">
        <w:rPr>
          <w:b/>
          <w:lang w:val="en-US"/>
        </w:rPr>
        <w:t>25/11/20</w:t>
      </w:r>
      <w:r>
        <w:rPr>
          <w:lang w:val="en-US"/>
        </w:rPr>
        <w:t>)</w:t>
      </w:r>
    </w:p>
    <w:p w:rsidR="006C03AB" w:rsidRDefault="006C03AB" w:rsidP="00FA4DA9">
      <w:pPr>
        <w:pStyle w:val="yiv6150418779msonormal"/>
        <w:shd w:val="clear" w:color="auto" w:fill="FFFFFF"/>
        <w:jc w:val="both"/>
        <w:rPr>
          <w:lang w:val="en-US"/>
        </w:rPr>
      </w:pPr>
      <w:r w:rsidRPr="00E01AAC">
        <w:rPr>
          <w:lang w:val="en-US"/>
        </w:rPr>
        <w:t>Index closes above 30000 for first time, on track for best month since 1987</w:t>
      </w:r>
    </w:p>
    <w:p w:rsidR="006C03AB" w:rsidRPr="00173916" w:rsidRDefault="006C03AB"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73916">
        <w:rPr>
          <w:rFonts w:ascii="Times New Roman" w:hAnsi="Times New Roman" w:cs="Times New Roman"/>
          <w:sz w:val="24"/>
          <w:szCs w:val="24"/>
          <w:u w:val="single"/>
        </w:rPr>
        <w:t>El Ibex maquilla el descalabro pero cierra 2020 como la Bolsa europea más castigada</w:t>
      </w:r>
      <w:r>
        <w:rPr>
          <w:rFonts w:ascii="Times New Roman" w:hAnsi="Times New Roman" w:cs="Times New Roman"/>
          <w:sz w:val="24"/>
          <w:szCs w:val="24"/>
        </w:rPr>
        <w:t xml:space="preserve"> (Cinco Días - </w:t>
      </w:r>
      <w:r w:rsidRPr="00173916">
        <w:rPr>
          <w:rFonts w:ascii="Times New Roman" w:hAnsi="Times New Roman" w:cs="Times New Roman"/>
          <w:b/>
          <w:sz w:val="24"/>
          <w:szCs w:val="24"/>
        </w:rPr>
        <w:t>1/1/21</w:t>
      </w:r>
      <w:r>
        <w:rPr>
          <w:rFonts w:ascii="Times New Roman" w:hAnsi="Times New Roman" w:cs="Times New Roman"/>
          <w:sz w:val="24"/>
          <w:szCs w:val="24"/>
        </w:rPr>
        <w:t>)</w:t>
      </w:r>
    </w:p>
    <w:p w:rsidR="006C03AB" w:rsidRPr="00173916" w:rsidRDefault="006C03AB" w:rsidP="00FA4DA9">
      <w:pPr>
        <w:spacing w:line="240" w:lineRule="auto"/>
        <w:jc w:val="both"/>
        <w:rPr>
          <w:rFonts w:ascii="Times New Roman" w:hAnsi="Times New Roman" w:cs="Times New Roman"/>
          <w:sz w:val="24"/>
          <w:szCs w:val="24"/>
        </w:rPr>
      </w:pPr>
      <w:r w:rsidRPr="00173916">
        <w:rPr>
          <w:rFonts w:ascii="Times New Roman" w:hAnsi="Times New Roman" w:cs="Times New Roman"/>
          <w:sz w:val="24"/>
          <w:szCs w:val="24"/>
        </w:rPr>
        <w:t>El selectivo se deja un 15,4% en el ejercicio, el peor desde 2011</w:t>
      </w:r>
    </w:p>
    <w:p w:rsidR="006C03AB" w:rsidRPr="00173916" w:rsidRDefault="006C03AB" w:rsidP="00FA4DA9">
      <w:pPr>
        <w:spacing w:line="240" w:lineRule="auto"/>
        <w:jc w:val="both"/>
        <w:rPr>
          <w:rFonts w:ascii="Times New Roman" w:hAnsi="Times New Roman" w:cs="Times New Roman"/>
          <w:sz w:val="24"/>
          <w:szCs w:val="24"/>
        </w:rPr>
      </w:pPr>
      <w:r w:rsidRPr="00173916">
        <w:rPr>
          <w:rFonts w:ascii="Times New Roman" w:hAnsi="Times New Roman" w:cs="Times New Roman"/>
          <w:sz w:val="24"/>
          <w:szCs w:val="24"/>
        </w:rPr>
        <w:t>El MSCI World ha logrado conquistar nuevos máximo</w:t>
      </w:r>
      <w:r>
        <w:rPr>
          <w:rFonts w:ascii="Times New Roman" w:hAnsi="Times New Roman" w:cs="Times New Roman"/>
          <w:sz w:val="24"/>
          <w:szCs w:val="24"/>
        </w:rPr>
        <w:t>s gracias al tirón de Asia y EE</w:t>
      </w:r>
      <w:r w:rsidRPr="00173916">
        <w:rPr>
          <w:rFonts w:ascii="Times New Roman" w:hAnsi="Times New Roman" w:cs="Times New Roman"/>
          <w:sz w:val="24"/>
          <w:szCs w:val="24"/>
        </w:rPr>
        <w:t>UU</w:t>
      </w:r>
    </w:p>
    <w:p w:rsidR="006C03AB" w:rsidRDefault="006C03AB"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173916">
        <w:rPr>
          <w:rFonts w:ascii="Times New Roman" w:hAnsi="Times New Roman" w:cs="Times New Roman"/>
          <w:sz w:val="24"/>
          <w:szCs w:val="24"/>
        </w:rPr>
        <w:t>Laura Salces Acebes</w:t>
      </w:r>
      <w:r>
        <w:rPr>
          <w:rFonts w:ascii="Times New Roman" w:hAnsi="Times New Roman" w:cs="Times New Roman"/>
          <w:sz w:val="24"/>
          <w:szCs w:val="24"/>
        </w:rPr>
        <w:t>)</w:t>
      </w:r>
    </w:p>
    <w:p w:rsidR="006C03AB" w:rsidRPr="00173916" w:rsidRDefault="006C03AB" w:rsidP="00FA4DA9">
      <w:pPr>
        <w:spacing w:line="240" w:lineRule="auto"/>
        <w:jc w:val="both"/>
        <w:rPr>
          <w:rFonts w:ascii="Times New Roman" w:hAnsi="Times New Roman" w:cs="Times New Roman"/>
          <w:sz w:val="24"/>
          <w:szCs w:val="24"/>
        </w:rPr>
      </w:pPr>
      <w:r>
        <w:rPr>
          <w:noProof/>
          <w:lang w:eastAsia="es-ES"/>
        </w:rPr>
        <w:drawing>
          <wp:inline distT="0" distB="0" distL="0" distR="0" wp14:anchorId="6ABB2A87" wp14:editId="295B6592">
            <wp:extent cx="5733282" cy="2667000"/>
            <wp:effectExtent l="0" t="0" r="1270" b="0"/>
            <wp:docPr id="295" name="Imagen 295" descr="El Ibex maquilla el descalabro pero cierra 2020 como la Bolsa europea más castig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l Ibex maquilla el descalabro pero cierra 2020 como la Bolsa europea más castigada"/>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731510" cy="2666176"/>
                    </a:xfrm>
                    <a:prstGeom prst="rect">
                      <a:avLst/>
                    </a:prstGeom>
                    <a:noFill/>
                    <a:ln>
                      <a:noFill/>
                    </a:ln>
                  </pic:spPr>
                </pic:pic>
              </a:graphicData>
            </a:graphic>
          </wp:inline>
        </w:drawing>
      </w:r>
    </w:p>
    <w:p w:rsidR="006C03AB" w:rsidRPr="00EC2D1E" w:rsidRDefault="006C03AB" w:rsidP="00FA4DA9">
      <w:pPr>
        <w:spacing w:line="240" w:lineRule="auto"/>
        <w:jc w:val="both"/>
        <w:rPr>
          <w:rFonts w:ascii="Times New Roman" w:hAnsi="Times New Roman" w:cs="Times New Roman"/>
          <w:color w:val="FF0000"/>
          <w:sz w:val="24"/>
          <w:szCs w:val="24"/>
          <w:u w:val="single"/>
        </w:rPr>
      </w:pPr>
      <w:r w:rsidRPr="00173916">
        <w:rPr>
          <w:rFonts w:ascii="Times New Roman" w:hAnsi="Times New Roman" w:cs="Times New Roman"/>
          <w:sz w:val="24"/>
          <w:szCs w:val="24"/>
        </w:rPr>
        <w:t xml:space="preserve">El año 2020 termina, para respiro de todos, y las Bolsas cierran un ejercicio de fuertes vaivenes que han dejado fuertes caídas pero también recuperaciones e, incluso, niveles máximos no vistos hasta ahora. De poco sirvió que la ciencia ficción nos avisara en un gran número de libros y películas de los efectos de una pandemia global en la sociedad. </w:t>
      </w:r>
      <w:r w:rsidRPr="00EC2D1E">
        <w:rPr>
          <w:rFonts w:ascii="Times New Roman" w:hAnsi="Times New Roman" w:cs="Times New Roman"/>
          <w:color w:val="FF0000"/>
          <w:sz w:val="24"/>
          <w:szCs w:val="24"/>
          <w:u w:val="single"/>
        </w:rPr>
        <w:t xml:space="preserve">El estallido de la crisis sanitaria en Europa y Estados Unidos provocada por el Covid-19 pilló </w:t>
      </w:r>
      <w:r w:rsidRPr="00EC2D1E">
        <w:rPr>
          <w:rFonts w:ascii="Times New Roman" w:hAnsi="Times New Roman" w:cs="Times New Roman"/>
          <w:color w:val="FF0000"/>
          <w:sz w:val="24"/>
          <w:szCs w:val="24"/>
          <w:u w:val="single"/>
        </w:rPr>
        <w:lastRenderedPageBreak/>
        <w:t>por sorpresa a inversores y analistas, provocando un derrumbe al unísono de todos los activos financieros. Ni activos como el oro o el petróleo, considerados tradicionalmente como refugio en época de turbulencias, se libraron de las caídas.</w:t>
      </w:r>
    </w:p>
    <w:p w:rsidR="006C03AB" w:rsidRPr="00EC2D1E" w:rsidRDefault="006C03AB" w:rsidP="00FA4DA9">
      <w:pPr>
        <w:spacing w:line="240" w:lineRule="auto"/>
        <w:jc w:val="both"/>
        <w:rPr>
          <w:rFonts w:ascii="Times New Roman" w:hAnsi="Times New Roman" w:cs="Times New Roman"/>
          <w:color w:val="FF0000"/>
          <w:sz w:val="24"/>
          <w:szCs w:val="24"/>
          <w:u w:val="single"/>
        </w:rPr>
      </w:pPr>
      <w:r w:rsidRPr="00EC2D1E">
        <w:rPr>
          <w:rFonts w:ascii="Times New Roman" w:hAnsi="Times New Roman" w:cs="Times New Roman"/>
          <w:color w:val="FF0000"/>
          <w:sz w:val="24"/>
          <w:szCs w:val="24"/>
          <w:u w:val="single"/>
        </w:rPr>
        <w:t>A medida que el virus de Wuhan, como se le definió en un primer momento, fue incrementado su presencia, la incertidumbre se fue expandiendo en los mercados. El pánico pasó entonces a tomar el control de un mercado que veía cómo los países cerraban su actividad a cal y canto para contener la expansión de la pandemia y las previsiones económicas quedaban saltaban por los aires</w:t>
      </w:r>
      <w:r w:rsidRPr="00EC2D1E">
        <w:rPr>
          <w:rFonts w:ascii="Times New Roman" w:hAnsi="Times New Roman" w:cs="Times New Roman"/>
          <w:color w:val="FF0000"/>
          <w:sz w:val="24"/>
          <w:szCs w:val="24"/>
        </w:rPr>
        <w:t>…</w:t>
      </w:r>
    </w:p>
    <w:p w:rsidR="006C03AB" w:rsidRPr="00173916" w:rsidRDefault="006C03AB" w:rsidP="00FA4DA9">
      <w:pPr>
        <w:spacing w:line="240" w:lineRule="auto"/>
        <w:jc w:val="both"/>
        <w:rPr>
          <w:rFonts w:ascii="Times New Roman" w:hAnsi="Times New Roman" w:cs="Times New Roman"/>
          <w:sz w:val="24"/>
          <w:szCs w:val="24"/>
        </w:rPr>
      </w:pPr>
      <w:r w:rsidRPr="00173916">
        <w:rPr>
          <w:rFonts w:ascii="Times New Roman" w:hAnsi="Times New Roman" w:cs="Times New Roman"/>
          <w:sz w:val="24"/>
          <w:szCs w:val="24"/>
        </w:rPr>
        <w:t>En el caso de España, el Ibex ya marcó su peor enero desde 2017 al caer un 1,9%. Descenso que se fue agudizando conforme se multiplicaba el número de casos y los países optaban por restringir la movilidad y limitar la actividad económica. Entre el 19 de febrero y el 16 de marzo el selectivo español se dejó un 39,4%. Unas semanas en las que el Ibex registró tres de sus 10 peores sesiones de la historia llegando el 12 de marzo a hundirse un 14,06%, desplome no visto hasta entonces pese a la quiebra de Lehman Brothers, el Brexit o la profunda crisis de deuda europea.</w:t>
      </w:r>
    </w:p>
    <w:p w:rsidR="006C03AB" w:rsidRPr="00173916" w:rsidRDefault="006C03AB" w:rsidP="00FA4DA9">
      <w:pPr>
        <w:spacing w:line="240" w:lineRule="auto"/>
        <w:jc w:val="both"/>
        <w:rPr>
          <w:rFonts w:ascii="Times New Roman" w:hAnsi="Times New Roman" w:cs="Times New Roman"/>
          <w:sz w:val="24"/>
          <w:szCs w:val="24"/>
        </w:rPr>
      </w:pPr>
      <w:r w:rsidRPr="00173916">
        <w:rPr>
          <w:rFonts w:ascii="Times New Roman" w:hAnsi="Times New Roman" w:cs="Times New Roman"/>
          <w:sz w:val="24"/>
          <w:szCs w:val="24"/>
        </w:rPr>
        <w:t>La CNMV, el regulador del mercado español, optó por entonces por prohibir las posiciones cortas sobre las cotizadas hasta mayo, medida que adoptaron también Italia, Bélgica, Francia y Grecia, sin que lograran con ello atajar la sangría.</w:t>
      </w:r>
    </w:p>
    <w:p w:rsidR="006C03AB" w:rsidRPr="00EC2D1E" w:rsidRDefault="006C03AB" w:rsidP="00FA4DA9">
      <w:pPr>
        <w:spacing w:line="240" w:lineRule="auto"/>
        <w:jc w:val="both"/>
        <w:rPr>
          <w:rFonts w:ascii="Times New Roman" w:hAnsi="Times New Roman" w:cs="Times New Roman"/>
          <w:b/>
          <w:color w:val="FF0000"/>
          <w:sz w:val="24"/>
          <w:szCs w:val="24"/>
          <w:u w:val="single"/>
        </w:rPr>
      </w:pPr>
      <w:r w:rsidRPr="00EC2D1E">
        <w:rPr>
          <w:rFonts w:ascii="Times New Roman" w:hAnsi="Times New Roman" w:cs="Times New Roman"/>
          <w:b/>
          <w:color w:val="FF0000"/>
          <w:sz w:val="24"/>
          <w:szCs w:val="24"/>
          <w:u w:val="single"/>
        </w:rPr>
        <w:t>La debacle bursátil desatada en marzo por la pandemia fue tal que forzó a los bancos centrales a intervenir con un nivel de estímulos sin precedentes. La Reserva Federal de EEUU, el BCE el Banco de Inglaterra y el Banco de Japón sacaron su artillería pesada e inundaron de liquidez al mercado. Los índices tocaron fondo en marzo y fue entonces, de la mano de los bancos centrales, cuando iniciaron su recuperación. En total, entre los cuatro grandes bancos centrales han inyectado más de ocho billones de dólares en la economía para reactivar el crédito y evitar el colapso. En EEUU, los tipos han vuelto al 0%, niveles no vistos desde la crisis de 2008.</w:t>
      </w:r>
    </w:p>
    <w:p w:rsidR="006C03AB" w:rsidRPr="00EC2D1E" w:rsidRDefault="006C03AB" w:rsidP="00FA4DA9">
      <w:pPr>
        <w:spacing w:line="240" w:lineRule="auto"/>
        <w:jc w:val="both"/>
        <w:rPr>
          <w:rFonts w:ascii="Times New Roman" w:hAnsi="Times New Roman" w:cs="Times New Roman"/>
          <w:b/>
          <w:color w:val="FF0000"/>
          <w:sz w:val="24"/>
          <w:szCs w:val="24"/>
        </w:rPr>
      </w:pPr>
      <w:r w:rsidRPr="00EC2D1E">
        <w:rPr>
          <w:rFonts w:ascii="Times New Roman" w:hAnsi="Times New Roman" w:cs="Times New Roman"/>
          <w:b/>
          <w:color w:val="FF0000"/>
          <w:sz w:val="24"/>
          <w:szCs w:val="24"/>
          <w:u w:val="single"/>
        </w:rPr>
        <w:t>“2020 ha estado marcado por una situación inédita pero se recordará por ser un año marcado por la reacción coordinada y potente de las autoridades monetarias, económicas y sanitarias. Nunca antes se había dado una respuesta de tal magnitud y eso ha hecho que el problema sea menos de lo que pudiera haber sido”, asegura Gonzalo Sánchez, gestor de renta variable España y Portugal de Gesconsult</w:t>
      </w:r>
      <w:r>
        <w:rPr>
          <w:rFonts w:ascii="Times New Roman" w:hAnsi="Times New Roman" w:cs="Times New Roman"/>
          <w:b/>
          <w:color w:val="FF0000"/>
          <w:sz w:val="24"/>
          <w:szCs w:val="24"/>
        </w:rPr>
        <w:t>.</w:t>
      </w:r>
    </w:p>
    <w:p w:rsidR="006C03AB" w:rsidRPr="00173916" w:rsidRDefault="006C03AB" w:rsidP="00FA4DA9">
      <w:pPr>
        <w:spacing w:line="240" w:lineRule="auto"/>
        <w:jc w:val="both"/>
        <w:rPr>
          <w:rFonts w:ascii="Times New Roman" w:hAnsi="Times New Roman" w:cs="Times New Roman"/>
          <w:sz w:val="24"/>
          <w:szCs w:val="24"/>
        </w:rPr>
      </w:pPr>
      <w:r w:rsidRPr="00173916">
        <w:rPr>
          <w:rFonts w:ascii="Times New Roman" w:hAnsi="Times New Roman" w:cs="Times New Roman"/>
          <w:sz w:val="24"/>
          <w:szCs w:val="24"/>
        </w:rPr>
        <w:t>Empresas de corte cíclico y sectores como el bancario y el turismo se vieron afectadas por el cerrojazo de las economías y llegaron las hordas de rebajas de estimaciones de beneficio, ampliaciones para reforzar el capital, despidos y algún que otro preconcurso de acreedores</w:t>
      </w:r>
      <w:r>
        <w:rPr>
          <w:rFonts w:ascii="Times New Roman" w:hAnsi="Times New Roman" w:cs="Times New Roman"/>
          <w:sz w:val="24"/>
          <w:szCs w:val="24"/>
        </w:rPr>
        <w:t>…</w:t>
      </w:r>
    </w:p>
    <w:p w:rsidR="006C03AB" w:rsidRPr="00EC2D1E" w:rsidRDefault="006C03AB" w:rsidP="00FA4DA9">
      <w:pPr>
        <w:spacing w:line="240" w:lineRule="auto"/>
        <w:jc w:val="both"/>
        <w:rPr>
          <w:rFonts w:ascii="Times New Roman" w:hAnsi="Times New Roman" w:cs="Times New Roman"/>
          <w:color w:val="FF0000"/>
          <w:sz w:val="24"/>
          <w:szCs w:val="24"/>
          <w:u w:val="single"/>
        </w:rPr>
      </w:pPr>
      <w:r w:rsidRPr="00EC2D1E">
        <w:rPr>
          <w:rFonts w:ascii="Times New Roman" w:hAnsi="Times New Roman" w:cs="Times New Roman"/>
          <w:color w:val="FF0000"/>
          <w:sz w:val="24"/>
          <w:szCs w:val="24"/>
          <w:u w:val="single"/>
        </w:rPr>
        <w:t>Al final, el año 2020 ha pintado un mapa bursátil desigual. El índice MSCI World cotiza en máximos históricos al subir un 13,7% en el año.</w:t>
      </w:r>
    </w:p>
    <w:p w:rsidR="006C03AB" w:rsidRPr="00232146" w:rsidRDefault="006C03AB" w:rsidP="00FA4DA9">
      <w:pPr>
        <w:spacing w:line="240" w:lineRule="auto"/>
        <w:jc w:val="both"/>
        <w:rPr>
          <w:rFonts w:ascii="Times New Roman" w:hAnsi="Times New Roman" w:cs="Times New Roman"/>
          <w:color w:val="FF0000"/>
          <w:sz w:val="24"/>
          <w:szCs w:val="24"/>
          <w:u w:val="single"/>
        </w:rPr>
      </w:pPr>
      <w:r w:rsidRPr="00232146">
        <w:rPr>
          <w:rFonts w:ascii="Times New Roman" w:hAnsi="Times New Roman" w:cs="Times New Roman"/>
          <w:color w:val="FF0000"/>
          <w:sz w:val="24"/>
          <w:szCs w:val="24"/>
          <w:u w:val="single"/>
        </w:rPr>
        <w:t>Wall Street ha dado por superada la pandemia, al menos en cuanto al balance de año. En Asia, el Nikkei japonés se sitúan en máximos de tres décadas y el Kospi coreano cotiza en máximos históricos. Algo que no ocurre en las Bolsas europeas, donde el Dax alemán se ha convertido en el único selectivo europeo en superar los niveles previos a la pandemia y que logra cerrar el año en positivo, con un alza del 3,55%, conquista a la que no ha logrado sumarse el resto de selectivos.</w:t>
      </w:r>
    </w:p>
    <w:p w:rsidR="006C03AB" w:rsidRPr="00232146" w:rsidRDefault="006C03AB" w:rsidP="00FA4DA9">
      <w:pPr>
        <w:spacing w:line="240" w:lineRule="auto"/>
        <w:jc w:val="both"/>
        <w:rPr>
          <w:rFonts w:ascii="Times New Roman" w:hAnsi="Times New Roman" w:cs="Times New Roman"/>
          <w:sz w:val="24"/>
          <w:szCs w:val="24"/>
          <w:u w:val="single"/>
        </w:rPr>
      </w:pPr>
      <w:r w:rsidRPr="00232146">
        <w:rPr>
          <w:rFonts w:ascii="Times New Roman" w:hAnsi="Times New Roman" w:cs="Times New Roman"/>
          <w:sz w:val="24"/>
          <w:szCs w:val="24"/>
          <w:u w:val="single"/>
        </w:rPr>
        <w:t xml:space="preserve">En el caso del Ibex, el selectivo cierra el ejercicio con una caída del 15,4% que le lleva a situarse al borde los 8.000 puntos, lejos aún de los niveles previos al estallido de la pandemia, </w:t>
      </w:r>
      <w:r w:rsidRPr="00232146">
        <w:rPr>
          <w:rFonts w:ascii="Times New Roman" w:hAnsi="Times New Roman" w:cs="Times New Roman"/>
          <w:sz w:val="24"/>
          <w:szCs w:val="24"/>
          <w:u w:val="single"/>
        </w:rPr>
        <w:lastRenderedPageBreak/>
        <w:t>pero por encima del mínimo anual marcado en los 6.107 puntos. El español ha tenido su peor año desde 2011 y ha sido el índice europeo más castigado durante el ejercicio, acompañado por el FTSE británico, que ha caído un 14,34%, penalizado por las interminables negociaciones para pactar un acuerdo entre Reino Unido y la Unión Europea ante una posible salida a las bravas de Londres del club comunitario.</w:t>
      </w:r>
    </w:p>
    <w:p w:rsidR="006C03AB" w:rsidRPr="00173916" w:rsidRDefault="006C03AB" w:rsidP="00FA4DA9">
      <w:pPr>
        <w:spacing w:line="240" w:lineRule="auto"/>
        <w:jc w:val="both"/>
        <w:rPr>
          <w:rFonts w:ascii="Times New Roman" w:hAnsi="Times New Roman" w:cs="Times New Roman"/>
          <w:sz w:val="24"/>
          <w:szCs w:val="24"/>
        </w:rPr>
      </w:pPr>
      <w:r w:rsidRPr="00173916">
        <w:rPr>
          <w:rFonts w:ascii="Times New Roman" w:hAnsi="Times New Roman" w:cs="Times New Roman"/>
          <w:sz w:val="24"/>
          <w:szCs w:val="24"/>
        </w:rPr>
        <w:t>Para Patricia García, de Macroyield, 2021 es un año que amanece repleto de confianza en el retorno hacia una realidad lo más parecida a la anterior (gracias a las vacunas), en el mantenimiento del apoyo de bancos centrales y gobiernos y en el impulso que continuarán recibiendo las energías verdes y los valores que favorezcan la sostenibilidad. “Tenemos que ser conscientes de que la recuperación será muy desigual entre países y sectores y todo ello tendrá que tenerse en cuenta a la hora de invertir. Además, 2021 tendrá que lidiar con riesgos, y los inversores serán muy sensibles a cualquier problema que puedan causar las vacunas, ya que hasta ahora se están mejorando todas las previsiones anteriores”, explica.</w:t>
      </w:r>
    </w:p>
    <w:p w:rsidR="006C03AB" w:rsidRDefault="006C03AB" w:rsidP="00FA4DA9">
      <w:pPr>
        <w:spacing w:line="240" w:lineRule="auto"/>
        <w:jc w:val="both"/>
        <w:rPr>
          <w:rFonts w:ascii="Times New Roman" w:hAnsi="Times New Roman" w:cs="Times New Roman"/>
          <w:sz w:val="24"/>
          <w:szCs w:val="24"/>
        </w:rPr>
      </w:pPr>
      <w:r w:rsidRPr="00173916">
        <w:rPr>
          <w:rFonts w:ascii="Times New Roman" w:hAnsi="Times New Roman" w:cs="Times New Roman"/>
          <w:sz w:val="24"/>
          <w:szCs w:val="24"/>
        </w:rPr>
        <w:t>Para el analista de Gesconsult, el próximo año será también “de transición” en el que las compañías y la macro tienen que ejecutar todo lo que ha sido puesto en precio en los últimos meses con la vacuna”.</w:t>
      </w:r>
    </w:p>
    <w:p w:rsidR="002E1395" w:rsidRDefault="002E1395" w:rsidP="00FA4DA9">
      <w:pPr>
        <w:spacing w:line="240" w:lineRule="auto"/>
        <w:jc w:val="both"/>
        <w:rPr>
          <w:rFonts w:ascii="Times New Roman" w:hAnsi="Times New Roman" w:cs="Times New Roman"/>
          <w:sz w:val="24"/>
          <w:szCs w:val="24"/>
        </w:rPr>
      </w:pPr>
    </w:p>
    <w:p w:rsidR="006C03AB" w:rsidRDefault="006C03AB" w:rsidP="00FA4DA9">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3254546D" wp14:editId="6837B0E3">
            <wp:extent cx="5728677" cy="4146550"/>
            <wp:effectExtent l="0" t="0" r="5715" b="6350"/>
            <wp:docPr id="296" name="Imagen 296" descr="b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bc"/>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731510" cy="4148601"/>
                    </a:xfrm>
                    <a:prstGeom prst="rect">
                      <a:avLst/>
                    </a:prstGeom>
                    <a:noFill/>
                    <a:ln>
                      <a:noFill/>
                    </a:ln>
                  </pic:spPr>
                </pic:pic>
              </a:graphicData>
            </a:graphic>
          </wp:inline>
        </w:drawing>
      </w:r>
    </w:p>
    <w:p w:rsidR="002E1395" w:rsidRDefault="002E1395" w:rsidP="00FA4DA9">
      <w:pPr>
        <w:spacing w:line="240" w:lineRule="auto"/>
        <w:jc w:val="both"/>
        <w:rPr>
          <w:rFonts w:ascii="Times New Roman" w:hAnsi="Times New Roman" w:cs="Times New Roman"/>
          <w:b/>
          <w:color w:val="FF0000"/>
          <w:sz w:val="24"/>
          <w:szCs w:val="24"/>
        </w:rPr>
      </w:pPr>
    </w:p>
    <w:p w:rsidR="002E1395" w:rsidRDefault="002E1395" w:rsidP="00FA4DA9">
      <w:pPr>
        <w:spacing w:line="240" w:lineRule="auto"/>
        <w:jc w:val="both"/>
        <w:rPr>
          <w:rFonts w:ascii="Times New Roman" w:hAnsi="Times New Roman" w:cs="Times New Roman"/>
          <w:b/>
          <w:color w:val="FF0000"/>
          <w:sz w:val="24"/>
          <w:szCs w:val="24"/>
        </w:rPr>
      </w:pPr>
    </w:p>
    <w:p w:rsidR="002E1395" w:rsidRDefault="002E1395" w:rsidP="00FA4DA9">
      <w:pPr>
        <w:spacing w:line="240" w:lineRule="auto"/>
        <w:jc w:val="both"/>
        <w:rPr>
          <w:rFonts w:ascii="Times New Roman" w:hAnsi="Times New Roman" w:cs="Times New Roman"/>
          <w:b/>
          <w:color w:val="FF0000"/>
          <w:sz w:val="24"/>
          <w:szCs w:val="24"/>
        </w:rPr>
      </w:pPr>
    </w:p>
    <w:p w:rsidR="002E1395" w:rsidRDefault="002E1395" w:rsidP="00FA4DA9">
      <w:pPr>
        <w:spacing w:line="240" w:lineRule="auto"/>
        <w:jc w:val="both"/>
        <w:rPr>
          <w:rFonts w:ascii="Times New Roman" w:hAnsi="Times New Roman" w:cs="Times New Roman"/>
          <w:b/>
          <w:color w:val="FF0000"/>
          <w:sz w:val="24"/>
          <w:szCs w:val="24"/>
        </w:rPr>
      </w:pPr>
    </w:p>
    <w:p w:rsidR="002E1395" w:rsidRDefault="002E1395" w:rsidP="00FA4DA9">
      <w:pPr>
        <w:spacing w:line="240" w:lineRule="auto"/>
        <w:jc w:val="both"/>
        <w:rPr>
          <w:rFonts w:ascii="Times New Roman" w:hAnsi="Times New Roman" w:cs="Times New Roman"/>
          <w:b/>
          <w:color w:val="FF0000"/>
          <w:sz w:val="24"/>
          <w:szCs w:val="24"/>
        </w:rPr>
      </w:pPr>
    </w:p>
    <w:p w:rsidR="006C03AB" w:rsidRDefault="006C03AB" w:rsidP="00FA4DA9">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3B89E5C2" wp14:editId="34400F88">
            <wp:extent cx="5727700" cy="4375150"/>
            <wp:effectExtent l="0" t="0" r="6350" b="6350"/>
            <wp:docPr id="297" name="Imagen 297" descr="b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bc"/>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731510" cy="4378060"/>
                    </a:xfrm>
                    <a:prstGeom prst="rect">
                      <a:avLst/>
                    </a:prstGeom>
                    <a:noFill/>
                    <a:ln>
                      <a:noFill/>
                    </a:ln>
                  </pic:spPr>
                </pic:pic>
              </a:graphicData>
            </a:graphic>
          </wp:inline>
        </w:drawing>
      </w:r>
    </w:p>
    <w:p w:rsidR="00E813A2" w:rsidRDefault="00E813A2" w:rsidP="00FA4DA9">
      <w:pPr>
        <w:spacing w:line="240" w:lineRule="auto"/>
        <w:jc w:val="both"/>
        <w:rPr>
          <w:rFonts w:ascii="Times New Roman" w:eastAsia="Times New Roman" w:hAnsi="Times New Roman" w:cs="Times New Roman"/>
          <w:color w:val="000000"/>
          <w:sz w:val="24"/>
          <w:szCs w:val="24"/>
        </w:rPr>
      </w:pPr>
    </w:p>
    <w:p w:rsidR="002E1395" w:rsidRPr="00E813A2" w:rsidRDefault="00E813A2" w:rsidP="00FA4DA9">
      <w:pPr>
        <w:spacing w:line="240" w:lineRule="auto"/>
        <w:jc w:val="both"/>
        <w:rPr>
          <w:rFonts w:ascii="Times New Roman" w:eastAsia="Times New Roman" w:hAnsi="Times New Roman" w:cs="Times New Roman"/>
          <w:color w:val="000000"/>
          <w:sz w:val="24"/>
          <w:szCs w:val="24"/>
        </w:rPr>
      </w:pPr>
      <w:r w:rsidRPr="002E1395">
        <w:rPr>
          <w:rFonts w:ascii="Times New Roman" w:eastAsia="Times New Roman" w:hAnsi="Times New Roman" w:cs="Times New Roman"/>
          <w:color w:val="000000"/>
          <w:sz w:val="24"/>
          <w:szCs w:val="24"/>
        </w:rPr>
        <w:t>GDP Now Euro Area. Luis Riestra Delgado -www-macromatters-es</w:t>
      </w:r>
    </w:p>
    <w:p w:rsidR="002E1395" w:rsidRDefault="007C5D83" w:rsidP="00FA4DA9">
      <w:pPr>
        <w:shd w:val="clear" w:color="auto" w:fill="EEF0EF"/>
        <w:spacing w:after="0" w:line="240" w:lineRule="auto"/>
        <w:jc w:val="both"/>
        <w:rPr>
          <w:rFonts w:ascii="Times New Roman" w:eastAsia="Times New Roman" w:hAnsi="Times New Roman" w:cs="Times New Roman"/>
          <w:color w:val="000000"/>
          <w:sz w:val="24"/>
          <w:szCs w:val="24"/>
        </w:rPr>
      </w:pPr>
      <w:r w:rsidRPr="00CC765A">
        <w:rPr>
          <w:rFonts w:ascii="Times New Roman" w:eastAsia="Times New Roman" w:hAnsi="Times New Roman" w:cs="Times New Roman"/>
          <w:noProof/>
          <w:color w:val="000000"/>
          <w:sz w:val="24"/>
          <w:szCs w:val="24"/>
          <w:lang w:eastAsia="es-ES"/>
        </w:rPr>
        <w:drawing>
          <wp:inline distT="0" distB="0" distL="0" distR="0" wp14:anchorId="18A095E5" wp14:editId="63A34296">
            <wp:extent cx="5759450" cy="2959100"/>
            <wp:effectExtent l="0" t="0" r="0" b="0"/>
            <wp:docPr id="14" name="Imagen 14" descr="GDP Now Euro Ar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DP Now Euro Area."/>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759450" cy="2959100"/>
                    </a:xfrm>
                    <a:prstGeom prst="rect">
                      <a:avLst/>
                    </a:prstGeom>
                    <a:noFill/>
                    <a:ln>
                      <a:noFill/>
                    </a:ln>
                  </pic:spPr>
                </pic:pic>
              </a:graphicData>
            </a:graphic>
          </wp:inline>
        </w:drawing>
      </w:r>
    </w:p>
    <w:p w:rsidR="00E813A2" w:rsidRDefault="00E813A2" w:rsidP="00FA4DA9">
      <w:pPr>
        <w:spacing w:line="240" w:lineRule="auto"/>
        <w:jc w:val="both"/>
        <w:rPr>
          <w:rFonts w:ascii="Times New Roman" w:eastAsia="Times New Roman" w:hAnsi="Times New Roman" w:cs="Times New Roman"/>
          <w:color w:val="000000"/>
          <w:sz w:val="24"/>
          <w:szCs w:val="24"/>
          <w:lang w:val="en-US"/>
        </w:rPr>
      </w:pPr>
    </w:p>
    <w:p w:rsidR="00E813A2" w:rsidRDefault="00E813A2" w:rsidP="00FA4DA9">
      <w:pPr>
        <w:spacing w:line="240" w:lineRule="auto"/>
        <w:jc w:val="both"/>
        <w:rPr>
          <w:rFonts w:ascii="Times New Roman" w:eastAsia="Times New Roman" w:hAnsi="Times New Roman" w:cs="Times New Roman"/>
          <w:color w:val="000000"/>
          <w:sz w:val="24"/>
          <w:szCs w:val="24"/>
          <w:lang w:val="en-US"/>
        </w:rPr>
      </w:pPr>
    </w:p>
    <w:p w:rsidR="00E813A2" w:rsidRDefault="00E813A2" w:rsidP="00FA4DA9">
      <w:pPr>
        <w:spacing w:line="240" w:lineRule="auto"/>
        <w:jc w:val="both"/>
        <w:rPr>
          <w:rFonts w:ascii="Times New Roman" w:eastAsia="Times New Roman" w:hAnsi="Times New Roman" w:cs="Times New Roman"/>
          <w:color w:val="000000"/>
          <w:sz w:val="24"/>
          <w:szCs w:val="24"/>
        </w:rPr>
      </w:pPr>
      <w:r w:rsidRPr="00E813A2">
        <w:rPr>
          <w:rFonts w:ascii="Times New Roman" w:eastAsia="Times New Roman" w:hAnsi="Times New Roman" w:cs="Times New Roman"/>
          <w:color w:val="000000"/>
          <w:sz w:val="24"/>
          <w:szCs w:val="24"/>
          <w:lang w:val="en-US"/>
        </w:rPr>
        <w:lastRenderedPageBreak/>
        <w:t xml:space="preserve">Composite Leading Indicator Ec Areas. </w:t>
      </w:r>
      <w:r w:rsidRPr="00E813A2">
        <w:rPr>
          <w:rFonts w:ascii="Times New Roman" w:eastAsia="Times New Roman" w:hAnsi="Times New Roman" w:cs="Times New Roman"/>
          <w:color w:val="000000"/>
          <w:sz w:val="24"/>
          <w:szCs w:val="24"/>
        </w:rPr>
        <w:t>Luis Riestra Delgado -www-macromatters-es</w:t>
      </w:r>
    </w:p>
    <w:p w:rsidR="00E813A2" w:rsidRDefault="007C5D83" w:rsidP="00FA4DA9">
      <w:pPr>
        <w:shd w:val="clear" w:color="auto" w:fill="EEF0EF"/>
        <w:spacing w:after="0" w:line="240" w:lineRule="auto"/>
        <w:jc w:val="both"/>
        <w:rPr>
          <w:rFonts w:ascii="Times New Roman" w:eastAsia="Times New Roman" w:hAnsi="Times New Roman" w:cs="Times New Roman"/>
          <w:color w:val="000000"/>
          <w:sz w:val="24"/>
          <w:szCs w:val="24"/>
        </w:rPr>
      </w:pPr>
      <w:r w:rsidRPr="00CC765A">
        <w:rPr>
          <w:rFonts w:ascii="Times New Roman" w:eastAsia="Times New Roman" w:hAnsi="Times New Roman" w:cs="Times New Roman"/>
          <w:noProof/>
          <w:color w:val="000000"/>
          <w:sz w:val="24"/>
          <w:szCs w:val="24"/>
          <w:lang w:eastAsia="es-ES"/>
        </w:rPr>
        <w:drawing>
          <wp:inline distT="0" distB="0" distL="0" distR="0" wp14:anchorId="093E70E0" wp14:editId="3B7D08EF">
            <wp:extent cx="5753100" cy="2889250"/>
            <wp:effectExtent l="0" t="0" r="0" b="6350"/>
            <wp:docPr id="75" name="Imagen 75" descr="Composite Leading Indicator Ec Are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mposite Leading Indicator Ec Areas."/>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753100" cy="2889250"/>
                    </a:xfrm>
                    <a:prstGeom prst="rect">
                      <a:avLst/>
                    </a:prstGeom>
                    <a:noFill/>
                    <a:ln>
                      <a:noFill/>
                    </a:ln>
                  </pic:spPr>
                </pic:pic>
              </a:graphicData>
            </a:graphic>
          </wp:inline>
        </w:drawing>
      </w:r>
    </w:p>
    <w:p w:rsidR="007C5D83" w:rsidRPr="00CC765A" w:rsidRDefault="007C5D83" w:rsidP="00FA4DA9">
      <w:pPr>
        <w:shd w:val="clear" w:color="auto" w:fill="EEF0EF"/>
        <w:spacing w:after="0" w:line="240" w:lineRule="auto"/>
        <w:jc w:val="both"/>
        <w:rPr>
          <w:rFonts w:ascii="Times New Roman" w:eastAsia="Times New Roman" w:hAnsi="Times New Roman" w:cs="Times New Roman"/>
          <w:color w:val="000000"/>
          <w:sz w:val="24"/>
          <w:szCs w:val="24"/>
        </w:rPr>
      </w:pPr>
      <w:r w:rsidRPr="00CC765A">
        <w:rPr>
          <w:rFonts w:ascii="Times New Roman" w:eastAsia="Times New Roman" w:hAnsi="Times New Roman" w:cs="Times New Roman"/>
          <w:noProof/>
          <w:color w:val="000000"/>
          <w:sz w:val="24"/>
          <w:szCs w:val="24"/>
          <w:lang w:eastAsia="es-ES"/>
        </w:rPr>
        <w:drawing>
          <wp:inline distT="0" distB="0" distL="0" distR="0" wp14:anchorId="46CC7E35" wp14:editId="2E1298BD">
            <wp:extent cx="5734050" cy="3517900"/>
            <wp:effectExtent l="0" t="0" r="0" b="6350"/>
            <wp:docPr id="76" name="Imagen 76" descr="Composite Leading Indicator Main Euro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mposite Leading Indicator Main Europe."/>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734050" cy="3517900"/>
                    </a:xfrm>
                    <a:prstGeom prst="rect">
                      <a:avLst/>
                    </a:prstGeom>
                    <a:noFill/>
                    <a:ln>
                      <a:noFill/>
                    </a:ln>
                  </pic:spPr>
                </pic:pic>
              </a:graphicData>
            </a:graphic>
          </wp:inline>
        </w:drawing>
      </w:r>
    </w:p>
    <w:p w:rsidR="00E813A2" w:rsidRPr="00E813A2" w:rsidRDefault="007C5D83" w:rsidP="00FA4DA9">
      <w:pPr>
        <w:shd w:val="clear" w:color="auto" w:fill="EEF0EF"/>
        <w:spacing w:line="240" w:lineRule="auto"/>
        <w:jc w:val="both"/>
        <w:rPr>
          <w:rFonts w:ascii="Times New Roman" w:eastAsia="Times New Roman" w:hAnsi="Times New Roman" w:cs="Times New Roman"/>
          <w:sz w:val="24"/>
          <w:szCs w:val="24"/>
        </w:rPr>
      </w:pPr>
      <w:r w:rsidRPr="00CC765A">
        <w:rPr>
          <w:rFonts w:ascii="Times New Roman" w:eastAsia="Times New Roman" w:hAnsi="Times New Roman" w:cs="Times New Roman"/>
          <w:color w:val="000000"/>
          <w:sz w:val="24"/>
          <w:szCs w:val="24"/>
          <w:lang w:val="en-US"/>
        </w:rPr>
        <w:t>Composite Leading Indicator Main Europe. </w:t>
      </w:r>
      <w:r w:rsidRPr="00990766">
        <w:rPr>
          <w:rFonts w:ascii="Times New Roman" w:eastAsia="Times New Roman" w:hAnsi="Times New Roman" w:cs="Times New Roman"/>
          <w:sz w:val="24"/>
          <w:szCs w:val="24"/>
        </w:rPr>
        <w:t>Luis Riest</w:t>
      </w:r>
      <w:r w:rsidR="00E813A2">
        <w:rPr>
          <w:rFonts w:ascii="Times New Roman" w:eastAsia="Times New Roman" w:hAnsi="Times New Roman" w:cs="Times New Roman"/>
          <w:sz w:val="24"/>
          <w:szCs w:val="24"/>
        </w:rPr>
        <w:t>ra Delgado -www-macromatters-es</w:t>
      </w:r>
    </w:p>
    <w:p w:rsidR="007C5D83" w:rsidRPr="007740C3" w:rsidRDefault="00E813A2" w:rsidP="00FA4DA9">
      <w:pPr>
        <w:spacing w:line="240" w:lineRule="auto"/>
        <w:jc w:val="both"/>
        <w:rPr>
          <w:rFonts w:ascii="Times New Roman" w:hAnsi="Times New Roman" w:cs="Times New Roman"/>
          <w:sz w:val="24"/>
          <w:szCs w:val="24"/>
        </w:rPr>
      </w:pPr>
      <w:r w:rsidRPr="007A5C27">
        <w:rPr>
          <w:rFonts w:ascii="Times New Roman" w:hAnsi="Times New Roman" w:cs="Times New Roman"/>
          <w:b/>
          <w:sz w:val="24"/>
          <w:szCs w:val="24"/>
        </w:rPr>
        <w:t>Nota</w:t>
      </w:r>
      <w:r>
        <w:rPr>
          <w:rFonts w:ascii="Times New Roman" w:hAnsi="Times New Roman" w:cs="Times New Roman"/>
          <w:sz w:val="24"/>
          <w:szCs w:val="24"/>
        </w:rPr>
        <w:t xml:space="preserve">: </w:t>
      </w:r>
      <w:r w:rsidR="007C5D83" w:rsidRPr="007740C3">
        <w:rPr>
          <w:rFonts w:ascii="Times New Roman" w:hAnsi="Times New Roman" w:cs="Times New Roman"/>
          <w:sz w:val="24"/>
          <w:szCs w:val="24"/>
        </w:rPr>
        <w:t>Esta crisis también ha sido diferente desde el punto de vista del despliegue de la protección social para evitar una caída aún mayor de las rentas de los hogares. El sector público de España y del resto de los países europeos ha jugado un papel fundamental para contrarrestar el desplome de ingresos de mercado gracias a la protección extraordinaria a desempleados y a trabajadores en ERTE.</w:t>
      </w:r>
    </w:p>
    <w:p w:rsidR="007C5D83" w:rsidRPr="007740C3" w:rsidRDefault="007C5D83" w:rsidP="00FA4DA9">
      <w:pPr>
        <w:spacing w:line="240" w:lineRule="auto"/>
        <w:jc w:val="both"/>
        <w:rPr>
          <w:rFonts w:ascii="Times New Roman" w:hAnsi="Times New Roman" w:cs="Times New Roman"/>
          <w:sz w:val="24"/>
          <w:szCs w:val="24"/>
        </w:rPr>
      </w:pPr>
      <w:r w:rsidRPr="007740C3">
        <w:rPr>
          <w:rFonts w:ascii="Times New Roman" w:hAnsi="Times New Roman" w:cs="Times New Roman"/>
          <w:sz w:val="24"/>
          <w:szCs w:val="24"/>
        </w:rPr>
        <w:t xml:space="preserve">Según los datos de Eurostat, en España la protección pública redujo de forma significativa la caída de las rentas salariales de los hogares. En el caso de los tres primeros deciles, la caída de rentas se moderó en tres puntos gracias a la protección social, pasando así del -10% al -7%. La moderación también fue importante en el tramo de las rentas medias, que pasaron de </w:t>
      </w:r>
      <w:r w:rsidRPr="007740C3">
        <w:rPr>
          <w:rFonts w:ascii="Times New Roman" w:hAnsi="Times New Roman" w:cs="Times New Roman"/>
          <w:sz w:val="24"/>
          <w:szCs w:val="24"/>
        </w:rPr>
        <w:lastRenderedPageBreak/>
        <w:t>sufrir una caída de los ingresos salariales de mercado del 6,5% al 4,5% gracias a las políticas de protección de rentas. En el tramo de mayores ingresos la moderación de la caída fue inferior a los 0,5 puntos precisamente porque los ERTE garantizan una parte mínima de los</w:t>
      </w:r>
      <w:r>
        <w:rPr>
          <w:rFonts w:ascii="Times New Roman" w:hAnsi="Times New Roman" w:cs="Times New Roman"/>
          <w:sz w:val="24"/>
          <w:szCs w:val="24"/>
        </w:rPr>
        <w:t xml:space="preserve"> ingresos de este grupo social.</w:t>
      </w:r>
    </w:p>
    <w:p w:rsidR="007C5D83" w:rsidRPr="007C55AE" w:rsidRDefault="007C5D83" w:rsidP="00FA4DA9">
      <w:pPr>
        <w:spacing w:line="240" w:lineRule="auto"/>
        <w:jc w:val="both"/>
        <w:rPr>
          <w:rFonts w:ascii="Times New Roman" w:hAnsi="Times New Roman" w:cs="Times New Roman"/>
          <w:color w:val="FF0000"/>
          <w:sz w:val="24"/>
          <w:szCs w:val="24"/>
          <w:u w:val="single"/>
        </w:rPr>
      </w:pPr>
      <w:r w:rsidRPr="00CD3C25">
        <w:rPr>
          <w:rFonts w:ascii="Times New Roman" w:hAnsi="Times New Roman" w:cs="Times New Roman"/>
          <w:sz w:val="24"/>
          <w:szCs w:val="24"/>
          <w:u w:val="single"/>
        </w:rPr>
        <w:t>En conjunto, gracias a la protección social, la caída de las rentas de los hogares en España pasó del 4% al 2%. Aunque estos esquemas no consiguieron evitar el aumento de la desigualdad, sí que aportaron un avance importante respecto a crisis anteriores</w:t>
      </w:r>
      <w:r w:rsidRPr="007740C3">
        <w:rPr>
          <w:rFonts w:ascii="Times New Roman" w:hAnsi="Times New Roman" w:cs="Times New Roman"/>
          <w:sz w:val="24"/>
          <w:szCs w:val="24"/>
        </w:rPr>
        <w:t>. Sin embargo, España todavía tiene mucho camino por delante antes de compararse con los países líderes del c</w:t>
      </w:r>
      <w:r w:rsidR="00990766">
        <w:rPr>
          <w:rFonts w:ascii="Times New Roman" w:hAnsi="Times New Roman" w:cs="Times New Roman"/>
          <w:sz w:val="24"/>
          <w:szCs w:val="24"/>
        </w:rPr>
        <w:t>ontinente. De hecho, el efecto “amortiguador”</w:t>
      </w:r>
      <w:r w:rsidRPr="007740C3">
        <w:rPr>
          <w:rFonts w:ascii="Times New Roman" w:hAnsi="Times New Roman" w:cs="Times New Roman"/>
          <w:sz w:val="24"/>
          <w:szCs w:val="24"/>
        </w:rPr>
        <w:t xml:space="preserve"> del sector público está entre los más bajos de la Unión Europea. Otros países, como Francia, Grecia o Eslovaquia, han conseguido minimizar la caída de rentas en más de tres puntos porcentuales. </w:t>
      </w:r>
      <w:r w:rsidRPr="00CD3C25">
        <w:rPr>
          <w:rFonts w:ascii="Times New Roman" w:hAnsi="Times New Roman" w:cs="Times New Roman"/>
          <w:color w:val="FF0000"/>
          <w:sz w:val="24"/>
          <w:szCs w:val="24"/>
          <w:u w:val="single"/>
        </w:rPr>
        <w:t xml:space="preserve">Pero el caso más sorprendente es el de los Países Bajos, ya que la protección social ha conseguido proteger íntegramente las rentas salariales de los hogares, y eso a pesar de que la caída de los ingresos de mercado fue del 3,5%. El sector público pudo compensar toda esta caída. La protección de rentas ha permitido que el país mantuviera niveles de consumo elevados a pesar de las dificultades. Esto explica, por ejemplo, por qué en el tercer trimestre el país se situó ya a solo un 2,5% de los niveles de PIB previos a la crisis. </w:t>
      </w:r>
      <w:r w:rsidRPr="007C55AE">
        <w:rPr>
          <w:rFonts w:ascii="Times New Roman" w:hAnsi="Times New Roman" w:cs="Times New Roman"/>
          <w:color w:val="FF0000"/>
          <w:sz w:val="24"/>
          <w:szCs w:val="24"/>
          <w:u w:val="single"/>
        </w:rPr>
        <w:t xml:space="preserve">Por el contrario, España está casi un 9% por debajo.  </w:t>
      </w:r>
    </w:p>
    <w:p w:rsidR="007C5D83" w:rsidRDefault="007C5D83" w:rsidP="00FA4DA9">
      <w:pPr>
        <w:spacing w:line="240" w:lineRule="auto"/>
        <w:jc w:val="both"/>
        <w:rPr>
          <w:noProof/>
        </w:rPr>
      </w:pPr>
      <w:r w:rsidRPr="007740C3">
        <w:rPr>
          <w:rFonts w:ascii="Times New Roman" w:hAnsi="Times New Roman" w:cs="Times New Roman"/>
          <w:noProof/>
          <w:sz w:val="24"/>
          <w:szCs w:val="24"/>
          <w:lang w:eastAsia="es-ES"/>
        </w:rPr>
        <w:drawing>
          <wp:inline distT="0" distB="0" distL="0" distR="0" wp14:anchorId="1A7A4A34" wp14:editId="607D6190">
            <wp:extent cx="2813050" cy="5162550"/>
            <wp:effectExtent l="0" t="0" r="6350"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2813050" cy="5162550"/>
                    </a:xfrm>
                    <a:prstGeom prst="rect">
                      <a:avLst/>
                    </a:prstGeom>
                  </pic:spPr>
                </pic:pic>
              </a:graphicData>
            </a:graphic>
          </wp:inline>
        </w:drawing>
      </w:r>
      <w:r w:rsidRPr="007740C3">
        <w:rPr>
          <w:noProof/>
        </w:rPr>
        <w:t xml:space="preserve"> </w:t>
      </w:r>
      <w:r w:rsidRPr="007740C3">
        <w:rPr>
          <w:rFonts w:ascii="Times New Roman" w:hAnsi="Times New Roman" w:cs="Times New Roman"/>
          <w:noProof/>
          <w:sz w:val="24"/>
          <w:szCs w:val="24"/>
          <w:lang w:eastAsia="es-ES"/>
        </w:rPr>
        <w:drawing>
          <wp:inline distT="0" distB="0" distL="0" distR="0" wp14:anchorId="4514C5C0" wp14:editId="48F33AEE">
            <wp:extent cx="2844800" cy="5118100"/>
            <wp:effectExtent l="0" t="0" r="0" b="635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a:stretch>
                      <a:fillRect/>
                    </a:stretch>
                  </pic:blipFill>
                  <pic:spPr>
                    <a:xfrm>
                      <a:off x="0" y="0"/>
                      <a:ext cx="2847552" cy="5123052"/>
                    </a:xfrm>
                    <a:prstGeom prst="rect">
                      <a:avLst/>
                    </a:prstGeom>
                  </pic:spPr>
                </pic:pic>
              </a:graphicData>
            </a:graphic>
          </wp:inline>
        </w:drawing>
      </w:r>
    </w:p>
    <w:p w:rsidR="007C5D83" w:rsidRDefault="007C5D83" w:rsidP="00FA4DA9">
      <w:pPr>
        <w:spacing w:line="240" w:lineRule="auto"/>
        <w:jc w:val="both"/>
        <w:rPr>
          <w:noProof/>
        </w:rPr>
      </w:pPr>
      <w:r>
        <w:rPr>
          <w:noProof/>
          <w:lang w:eastAsia="es-ES"/>
        </w:rPr>
        <w:lastRenderedPageBreak/>
        <w:drawing>
          <wp:inline distT="0" distB="0" distL="0" distR="0" wp14:anchorId="362890AE" wp14:editId="4D434358">
            <wp:extent cx="5724945" cy="3079750"/>
            <wp:effectExtent l="0" t="0" r="9525" b="6350"/>
            <wp:docPr id="83" name="Imagen 83" descr="Tru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ump"/>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731510" cy="3083282"/>
                    </a:xfrm>
                    <a:prstGeom prst="rect">
                      <a:avLst/>
                    </a:prstGeom>
                    <a:noFill/>
                    <a:ln>
                      <a:noFill/>
                    </a:ln>
                  </pic:spPr>
                </pic:pic>
              </a:graphicData>
            </a:graphic>
          </wp:inline>
        </w:drawing>
      </w:r>
    </w:p>
    <w:p w:rsidR="007C5D83" w:rsidRPr="008A66D6" w:rsidRDefault="007C5D83" w:rsidP="00FA4DA9">
      <w:pPr>
        <w:spacing w:line="240" w:lineRule="auto"/>
        <w:jc w:val="both"/>
        <w:rPr>
          <w:rFonts w:ascii="Times New Roman" w:hAnsi="Times New Roman" w:cs="Times New Roman"/>
          <w:sz w:val="24"/>
          <w:szCs w:val="24"/>
        </w:rPr>
      </w:pPr>
      <w:r w:rsidRPr="008A66D6">
        <w:rPr>
          <w:rFonts w:ascii="Times New Roman" w:hAnsi="Times New Roman" w:cs="Times New Roman"/>
          <w:sz w:val="24"/>
          <w:szCs w:val="24"/>
        </w:rPr>
        <w:t xml:space="preserve">- </w:t>
      </w:r>
      <w:r w:rsidRPr="008A66D6">
        <w:rPr>
          <w:rFonts w:ascii="Times New Roman" w:hAnsi="Times New Roman" w:cs="Times New Roman"/>
          <w:sz w:val="24"/>
          <w:szCs w:val="24"/>
          <w:u w:val="single"/>
        </w:rPr>
        <w:t>Trump dejará tras de sí cuatro años de máximos en Wall Street</w:t>
      </w:r>
      <w:r w:rsidRPr="008A66D6">
        <w:rPr>
          <w:rFonts w:ascii="Times New Roman" w:hAnsi="Times New Roman" w:cs="Times New Roman"/>
          <w:sz w:val="24"/>
          <w:szCs w:val="24"/>
        </w:rPr>
        <w:t xml:space="preserve"> (Cinco Días - </w:t>
      </w:r>
      <w:r w:rsidRPr="008A66D6">
        <w:rPr>
          <w:rFonts w:ascii="Times New Roman" w:hAnsi="Times New Roman" w:cs="Times New Roman"/>
          <w:b/>
          <w:sz w:val="24"/>
          <w:szCs w:val="24"/>
        </w:rPr>
        <w:t>14/12/20</w:t>
      </w:r>
      <w:r w:rsidRPr="008A66D6">
        <w:rPr>
          <w:rFonts w:ascii="Times New Roman" w:hAnsi="Times New Roman" w:cs="Times New Roman"/>
          <w:sz w:val="24"/>
          <w:szCs w:val="24"/>
        </w:rPr>
        <w:t>)</w:t>
      </w:r>
    </w:p>
    <w:p w:rsidR="007C5D83" w:rsidRDefault="007C5D83" w:rsidP="00FA4DA9">
      <w:pPr>
        <w:spacing w:line="240" w:lineRule="auto"/>
        <w:jc w:val="both"/>
        <w:rPr>
          <w:rFonts w:ascii="Times New Roman" w:hAnsi="Times New Roman" w:cs="Times New Roman"/>
          <w:sz w:val="24"/>
          <w:szCs w:val="24"/>
        </w:rPr>
      </w:pPr>
      <w:r w:rsidRPr="008A66D6">
        <w:rPr>
          <w:rFonts w:ascii="Times New Roman" w:hAnsi="Times New Roman" w:cs="Times New Roman"/>
          <w:sz w:val="24"/>
          <w:szCs w:val="24"/>
        </w:rPr>
        <w:t>El S&amp;P 500 se anota un alza del 70% desde 2016</w:t>
      </w:r>
    </w:p>
    <w:p w:rsidR="007C5D83" w:rsidRPr="00133B90" w:rsidRDefault="007C5D83"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990766">
        <w:rPr>
          <w:rFonts w:ascii="Times New Roman" w:hAnsi="Times New Roman" w:cs="Times New Roman"/>
          <w:sz w:val="24"/>
          <w:szCs w:val="24"/>
          <w:u w:val="single"/>
        </w:rPr>
        <w:t>De la crisis de los “dos días”</w:t>
      </w:r>
      <w:r w:rsidRPr="00133B90">
        <w:rPr>
          <w:rFonts w:ascii="Times New Roman" w:hAnsi="Times New Roman" w:cs="Times New Roman"/>
          <w:sz w:val="24"/>
          <w:szCs w:val="24"/>
          <w:u w:val="single"/>
        </w:rPr>
        <w:t xml:space="preserve"> a las heridas que dañarán la economía y el trabajo durante años</w:t>
      </w:r>
      <w:r>
        <w:rPr>
          <w:rFonts w:ascii="Times New Roman" w:hAnsi="Times New Roman" w:cs="Times New Roman"/>
          <w:sz w:val="24"/>
          <w:szCs w:val="24"/>
        </w:rPr>
        <w:t xml:space="preserve"> (El Economista - </w:t>
      </w:r>
      <w:r w:rsidRPr="00133B90">
        <w:rPr>
          <w:rFonts w:ascii="Times New Roman" w:hAnsi="Times New Roman" w:cs="Times New Roman"/>
          <w:b/>
          <w:sz w:val="24"/>
          <w:szCs w:val="24"/>
        </w:rPr>
        <w:t>16/12/20</w:t>
      </w:r>
      <w:r>
        <w:rPr>
          <w:rFonts w:ascii="Times New Roman" w:hAnsi="Times New Roman" w:cs="Times New Roman"/>
          <w:sz w:val="24"/>
          <w:szCs w:val="24"/>
        </w:rPr>
        <w:t>)</w:t>
      </w:r>
    </w:p>
    <w:p w:rsidR="007C5D83" w:rsidRPr="00133B90" w:rsidRDefault="007C5D83" w:rsidP="00FA4DA9">
      <w:pPr>
        <w:spacing w:line="240" w:lineRule="auto"/>
        <w:jc w:val="both"/>
        <w:rPr>
          <w:rFonts w:ascii="Times New Roman" w:hAnsi="Times New Roman" w:cs="Times New Roman"/>
          <w:sz w:val="24"/>
          <w:szCs w:val="24"/>
        </w:rPr>
      </w:pPr>
      <w:r w:rsidRPr="00133B90">
        <w:rPr>
          <w:rFonts w:ascii="Times New Roman" w:hAnsi="Times New Roman" w:cs="Times New Roman"/>
          <w:sz w:val="24"/>
          <w:szCs w:val="24"/>
        </w:rPr>
        <w:t>(Por Vicente Nieves)</w:t>
      </w:r>
    </w:p>
    <w:p w:rsidR="007C5D83" w:rsidRPr="00990766" w:rsidRDefault="007C5D83" w:rsidP="00FA4DA9">
      <w:pPr>
        <w:pStyle w:val="NormalWeb"/>
        <w:shd w:val="clear" w:color="auto" w:fill="FFFFFF"/>
        <w:spacing w:before="0" w:beforeAutospacing="0" w:after="270" w:afterAutospacing="0"/>
        <w:jc w:val="both"/>
        <w:rPr>
          <w:spacing w:val="-1"/>
          <w:u w:val="single"/>
        </w:rPr>
      </w:pPr>
      <w:r w:rsidRPr="008A5B50">
        <w:rPr>
          <w:color w:val="212529"/>
          <w:spacing w:val="-1"/>
          <w:u w:val="single"/>
        </w:rPr>
        <w:t>Hace unos diez meses que el PIB comenzó a contraerse en buena parte de los países de la zona euro. El covid-19 atacó primero a Italia y se fue expandiendo por Europa sin piedad. Las medidas de contención y el miedo paralizaron la economía en seco. Sin embargo, la narrativa predominante en ese primer momento era que nos enfrentábamos a una crisis muy profunda pero corta</w:t>
      </w:r>
      <w:r w:rsidRPr="00990766">
        <w:rPr>
          <w:spacing w:val="-1"/>
        </w:rPr>
        <w:t>. </w:t>
      </w:r>
      <w:hyperlink r:id="rId215" w:history="1">
        <w:r w:rsidR="00990766" w:rsidRPr="00990766">
          <w:rPr>
            <w:rStyle w:val="Hipervnculo"/>
            <w:color w:val="auto"/>
            <w:spacing w:val="-1"/>
          </w:rPr>
          <w:t>La recuperación en “V”</w:t>
        </w:r>
        <w:r w:rsidRPr="00990766">
          <w:rPr>
            <w:rStyle w:val="Hipervnculo"/>
            <w:color w:val="auto"/>
            <w:spacing w:val="-1"/>
          </w:rPr>
          <w:t xml:space="preserve"> se preveía incluso para final de año</w:t>
        </w:r>
      </w:hyperlink>
      <w:r w:rsidRPr="00990766">
        <w:rPr>
          <w:spacing w:val="-1"/>
          <w:u w:val="single"/>
        </w:rPr>
        <w:t>, de modo que el PIB acabase el 2020 casi en el mismo sitio donde empezó. Hoy, diez meses después ya se habla sin tapujos de heridas sin cerrar, cicatrices o </w:t>
      </w:r>
      <w:hyperlink r:id="rId216" w:history="1">
        <w:r w:rsidRPr="00990766">
          <w:rPr>
            <w:rStyle w:val="Hipervnculo"/>
            <w:color w:val="auto"/>
            <w:spacing w:val="-1"/>
          </w:rPr>
          <w:t>pérdidas irreparables en el tejido productivo y el empleo</w:t>
        </w:r>
      </w:hyperlink>
      <w:r w:rsidR="00990766">
        <w:rPr>
          <w:spacing w:val="-1"/>
          <w:u w:val="single"/>
        </w:rPr>
        <w:t>. La crisis que iba para “dos días”</w:t>
      </w:r>
      <w:r w:rsidRPr="00990766">
        <w:rPr>
          <w:spacing w:val="-1"/>
          <w:u w:val="single"/>
        </w:rPr>
        <w:t xml:space="preserve"> podría terminar dejando heridas casi incurables.</w:t>
      </w:r>
    </w:p>
    <w:p w:rsidR="007C5D83" w:rsidRPr="00990766" w:rsidRDefault="007C5D83" w:rsidP="00FA4DA9">
      <w:pPr>
        <w:pStyle w:val="NormalWeb"/>
        <w:shd w:val="clear" w:color="auto" w:fill="FFFFFF"/>
        <w:spacing w:before="0" w:beforeAutospacing="0" w:after="0" w:afterAutospacing="0"/>
        <w:jc w:val="both"/>
        <w:rPr>
          <w:b/>
          <w:iCs/>
          <w:color w:val="FF0000"/>
          <w:spacing w:val="-1"/>
          <w:u w:val="single"/>
        </w:rPr>
      </w:pPr>
      <w:r w:rsidRPr="00990766">
        <w:rPr>
          <w:b/>
          <w:iCs/>
          <w:color w:val="FF0000"/>
          <w:spacing w:val="-1"/>
          <w:u w:val="single"/>
        </w:rPr>
        <w:t>FMI: Trabajos perdidos, una brecha de habilidades cada vez mayor, una desigualdad mayor y un coste para la salud mental. Las mujeres, los jóvenes, las minorías y los menos capacitados se ven afectados de manera desproporcionada y podrían estar ante el comienzo de muchos años perdidos.</w:t>
      </w:r>
    </w:p>
    <w:p w:rsidR="007C5D83" w:rsidRDefault="007C5D83" w:rsidP="00FA4DA9">
      <w:pPr>
        <w:pStyle w:val="NormalWeb"/>
        <w:shd w:val="clear" w:color="auto" w:fill="FFFFFF"/>
        <w:spacing w:before="0" w:beforeAutospacing="0" w:after="0" w:afterAutospacing="0"/>
        <w:jc w:val="both"/>
        <w:rPr>
          <w:iCs/>
          <w:color w:val="212529"/>
          <w:spacing w:val="-1"/>
        </w:rPr>
      </w:pPr>
    </w:p>
    <w:p w:rsidR="007A5C27" w:rsidRPr="00990766" w:rsidRDefault="007A5C27" w:rsidP="007A5C27">
      <w:pPr>
        <w:pStyle w:val="NormalWeb"/>
        <w:shd w:val="clear" w:color="auto" w:fill="FFFFFF"/>
        <w:spacing w:before="0" w:beforeAutospacing="0" w:after="270" w:afterAutospacing="0"/>
        <w:jc w:val="both"/>
        <w:rPr>
          <w:spacing w:val="-1"/>
          <w:u w:val="single"/>
        </w:rPr>
      </w:pPr>
      <w:r w:rsidRPr="00133B90">
        <w:rPr>
          <w:color w:val="212529"/>
          <w:spacing w:val="-1"/>
        </w:rPr>
        <w:t xml:space="preserve">Estas heridas afectarán además de forma desigual a personas, sectores y países. </w:t>
      </w:r>
      <w:r w:rsidRPr="008A5B50">
        <w:rPr>
          <w:color w:val="212529"/>
          <w:spacing w:val="-1"/>
          <w:u w:val="single"/>
        </w:rPr>
        <w:t>España está entre las economías más vulnerables a sufrir estas pérdidas irreparables, al menos, en el corto y medio plazo</w:t>
      </w:r>
      <w:r w:rsidRPr="00133B90">
        <w:rPr>
          <w:color w:val="212529"/>
          <w:spacing w:val="-1"/>
        </w:rPr>
        <w:t>. </w:t>
      </w:r>
      <w:r w:rsidRPr="00990766">
        <w:rPr>
          <w:bCs/>
          <w:spacing w:val="-1"/>
          <w:u w:val="single"/>
        </w:rPr>
        <w:t>Empleos que no volverán</w:t>
      </w:r>
      <w:r w:rsidRPr="00990766">
        <w:rPr>
          <w:spacing w:val="-1"/>
          <w:u w:val="single"/>
        </w:rPr>
        <w:t>,</w:t>
      </w:r>
      <w:hyperlink r:id="rId217" w:history="1">
        <w:r w:rsidRPr="00990766">
          <w:rPr>
            <w:rStyle w:val="Hipervnculo"/>
            <w:color w:val="auto"/>
            <w:spacing w:val="-1"/>
          </w:rPr>
          <w:t> negocios que cerrarán</w:t>
        </w:r>
      </w:hyperlink>
      <w:r w:rsidRPr="00990766">
        <w:rPr>
          <w:spacing w:val="-1"/>
          <w:u w:val="single"/>
        </w:rPr>
        <w:t> sus puertas para siempre o un descenso de la renta en sectores de la población más vulnerable.</w:t>
      </w:r>
    </w:p>
    <w:p w:rsidR="007A5C27" w:rsidRPr="007A5C27" w:rsidRDefault="007A5C27" w:rsidP="007A5C27">
      <w:pPr>
        <w:pStyle w:val="NormalWeb"/>
        <w:shd w:val="clear" w:color="auto" w:fill="FFFFFF"/>
        <w:spacing w:before="0" w:beforeAutospacing="0" w:after="270" w:afterAutospacing="0"/>
        <w:jc w:val="both"/>
        <w:rPr>
          <w:color w:val="212529"/>
          <w:spacing w:val="-1"/>
          <w:u w:val="single"/>
        </w:rPr>
      </w:pPr>
      <w:r w:rsidRPr="008A5B50">
        <w:rPr>
          <w:color w:val="FF0000"/>
          <w:spacing w:val="-1"/>
          <w:u w:val="single"/>
        </w:rPr>
        <w:t>La crisis ha sido más profunda en España por la composición del sector productiva a todos los niveles (sectorial, demografía empresarial...) y las heridas podrían perdurar más que en el resto de países desarrollados, impidiendo que el PIB recupere los niveles previos al covid-19 en varios años y dejando algunos sectores con daños irreparables</w:t>
      </w:r>
      <w:r w:rsidRPr="00133B90">
        <w:rPr>
          <w:color w:val="212529"/>
          <w:spacing w:val="-1"/>
        </w:rPr>
        <w:t xml:space="preserve">. </w:t>
      </w:r>
      <w:r w:rsidRPr="008A5B50">
        <w:rPr>
          <w:color w:val="212529"/>
          <w:spacing w:val="-1"/>
          <w:u w:val="single"/>
        </w:rPr>
        <w:t xml:space="preserve">A ello hay que sumar el menor </w:t>
      </w:r>
      <w:r w:rsidRPr="008A5B50">
        <w:rPr>
          <w:color w:val="212529"/>
          <w:spacing w:val="-1"/>
          <w:u w:val="single"/>
        </w:rPr>
        <w:lastRenderedPageBreak/>
        <w:t xml:space="preserve">margen fiscal del gobierno, que impide una actuación similar a la de países con unas cuentas más </w:t>
      </w:r>
      <w:r>
        <w:rPr>
          <w:color w:val="212529"/>
          <w:spacing w:val="-1"/>
          <w:u w:val="single"/>
        </w:rPr>
        <w:t>saneadas.</w:t>
      </w:r>
    </w:p>
    <w:p w:rsidR="007C5D83" w:rsidRPr="00133B90" w:rsidRDefault="007C5D83" w:rsidP="00FA4DA9">
      <w:pPr>
        <w:shd w:val="clear" w:color="auto" w:fill="FFFFFF"/>
        <w:spacing w:line="240" w:lineRule="auto"/>
        <w:jc w:val="both"/>
        <w:rPr>
          <w:rFonts w:ascii="Times New Roman" w:hAnsi="Times New Roman" w:cs="Times New Roman"/>
          <w:color w:val="212529"/>
          <w:sz w:val="24"/>
          <w:szCs w:val="24"/>
        </w:rPr>
      </w:pPr>
      <w:r w:rsidRPr="00133B90">
        <w:rPr>
          <w:rFonts w:ascii="Times New Roman" w:hAnsi="Times New Roman" w:cs="Times New Roman"/>
          <w:noProof/>
          <w:color w:val="212529"/>
          <w:sz w:val="24"/>
          <w:szCs w:val="24"/>
          <w:lang w:eastAsia="es-ES"/>
        </w:rPr>
        <w:drawing>
          <wp:inline distT="0" distB="0" distL="0" distR="0" wp14:anchorId="287B6288" wp14:editId="207FD3E6">
            <wp:extent cx="5715000" cy="2374900"/>
            <wp:effectExtent l="0" t="0" r="0" b="6350"/>
            <wp:docPr id="85" name="Imagen 85" descr="https://s03.s3c.es/imag/_v0/770x420/e/8/8/pib-mundial-abr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70x420/e/8/8/pib-mundial-abril.jpg"/>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715000" cy="2374900"/>
                    </a:xfrm>
                    <a:prstGeom prst="rect">
                      <a:avLst/>
                    </a:prstGeom>
                    <a:noFill/>
                    <a:ln>
                      <a:noFill/>
                    </a:ln>
                  </pic:spPr>
                </pic:pic>
              </a:graphicData>
            </a:graphic>
          </wp:inline>
        </w:drawing>
      </w:r>
      <w:r w:rsidRPr="00133B90">
        <w:rPr>
          <w:rFonts w:ascii="Times New Roman" w:hAnsi="Times New Roman" w:cs="Times New Roman"/>
          <w:color w:val="212529"/>
          <w:sz w:val="24"/>
          <w:szCs w:val="24"/>
        </w:rPr>
        <w:t>Al principio de la crisis los expertos apostaban por una crisis profunda con una salida fuerte y limpia</w:t>
      </w:r>
    </w:p>
    <w:p w:rsidR="007C5D83" w:rsidRPr="00133B90" w:rsidRDefault="00990766" w:rsidP="00FA4DA9">
      <w:pPr>
        <w:pStyle w:val="NormalWeb"/>
        <w:shd w:val="clear" w:color="auto" w:fill="FFFFFF"/>
        <w:spacing w:before="0" w:beforeAutospacing="0" w:after="270" w:afterAutospacing="0"/>
        <w:jc w:val="both"/>
        <w:rPr>
          <w:color w:val="212529"/>
          <w:spacing w:val="-1"/>
        </w:rPr>
      </w:pPr>
      <w:r w:rsidRPr="00990766">
        <w:rPr>
          <w:b/>
          <w:color w:val="FF0000"/>
          <w:spacing w:val="-1"/>
          <w:u w:val="single"/>
        </w:rPr>
        <w:t>“</w:t>
      </w:r>
      <w:r w:rsidR="007C5D83" w:rsidRPr="00990766">
        <w:rPr>
          <w:b/>
          <w:color w:val="FF0000"/>
          <w:spacing w:val="-1"/>
          <w:u w:val="single"/>
        </w:rPr>
        <w:t>La evidencia de 82 epidemias graves anteriores al covid-19 sugiere que el crecimiento de la tendencia a medio plazo del PIB se reduce en 3 puntos en comparación con la</w:t>
      </w:r>
      <w:r w:rsidRPr="00990766">
        <w:rPr>
          <w:b/>
          <w:color w:val="FF0000"/>
          <w:spacing w:val="-1"/>
          <w:u w:val="single"/>
        </w:rPr>
        <w:t xml:space="preserve"> tendencia anterior a la crisis”</w:t>
      </w:r>
      <w:r w:rsidR="007C5D83" w:rsidRPr="00990766">
        <w:rPr>
          <w:b/>
          <w:color w:val="FF0000"/>
          <w:spacing w:val="-1"/>
          <w:u w:val="single"/>
        </w:rPr>
        <w:t>, aseguran Gabriel Sterne y Tianchen Peng, economistas de Oxford Economics en un documento que analiza las cicatrices que dejará esta crisis económica en </w:t>
      </w:r>
      <w:r w:rsidR="007C5D83" w:rsidRPr="00990766">
        <w:rPr>
          <w:b/>
          <w:bCs/>
          <w:color w:val="FF0000"/>
          <w:spacing w:val="-1"/>
          <w:u w:val="single"/>
        </w:rPr>
        <w:t>162 economías diferentes</w:t>
      </w:r>
      <w:r w:rsidR="007C5D83" w:rsidRPr="00133B90">
        <w:rPr>
          <w:color w:val="212529"/>
          <w:spacing w:val="-1"/>
        </w:rPr>
        <w:t>. Para ello utilizan 31 indicadores que tocan todas las variables económicas y ponderan vulnerabilidades y experiencias en anteriores recesiones.</w:t>
      </w:r>
    </w:p>
    <w:p w:rsidR="007C5D83" w:rsidRPr="00BA7F8F" w:rsidRDefault="003E5338" w:rsidP="00FA4DA9">
      <w:pPr>
        <w:pStyle w:val="NormalWeb"/>
        <w:shd w:val="clear" w:color="auto" w:fill="FFFFFF"/>
        <w:spacing w:before="0" w:beforeAutospacing="0" w:after="270" w:afterAutospacing="0"/>
        <w:jc w:val="both"/>
        <w:rPr>
          <w:color w:val="FF0000"/>
          <w:spacing w:val="-1"/>
          <w:u w:val="single"/>
        </w:rPr>
      </w:pPr>
      <w:r>
        <w:rPr>
          <w:color w:val="FF0000"/>
          <w:spacing w:val="-1"/>
          <w:u w:val="single"/>
        </w:rPr>
        <w:t>“</w:t>
      </w:r>
      <w:r w:rsidR="007C5D83" w:rsidRPr="00BA7F8F">
        <w:rPr>
          <w:color w:val="FF0000"/>
          <w:spacing w:val="-1"/>
          <w:u w:val="single"/>
        </w:rPr>
        <w:t>Nuestro cuadro se basa en 31 métricas diferentes y revela que las cicatrices de largo plazo del covid-19 variarán ampliamente entre las economías... </w:t>
      </w:r>
      <w:r w:rsidR="007C5D83" w:rsidRPr="00990766">
        <w:rPr>
          <w:bCs/>
          <w:color w:val="FF0000"/>
          <w:spacing w:val="-1"/>
          <w:u w:val="single"/>
        </w:rPr>
        <w:t>Filipinas, Perú, Colombia y España</w:t>
      </w:r>
      <w:r w:rsidR="007C5D83" w:rsidRPr="00BA7F8F">
        <w:rPr>
          <w:color w:val="FF0000"/>
          <w:spacing w:val="-1"/>
          <w:u w:val="single"/>
        </w:rPr>
        <w:t> parecen ser los más vulnerables, mientras que Australia, Japón, Noruega, Alemania y Suiza parecen estar en mejores condiciones para limit</w:t>
      </w:r>
      <w:r>
        <w:rPr>
          <w:color w:val="FF0000"/>
          <w:spacing w:val="-1"/>
          <w:u w:val="single"/>
        </w:rPr>
        <w:t>ar las cicatrices a largo plazo”</w:t>
      </w:r>
      <w:r w:rsidR="007C5D83" w:rsidRPr="00BA7F8F">
        <w:rPr>
          <w:color w:val="FF0000"/>
          <w:spacing w:val="-1"/>
          <w:u w:val="single"/>
        </w:rPr>
        <w:t>, de esta crisis.</w:t>
      </w:r>
    </w:p>
    <w:p w:rsidR="007C5D83" w:rsidRPr="00133B90" w:rsidRDefault="007C5D83" w:rsidP="00FA4DA9">
      <w:pPr>
        <w:pStyle w:val="NormalWeb"/>
        <w:shd w:val="clear" w:color="auto" w:fill="FFFFFF"/>
        <w:spacing w:before="0" w:beforeAutospacing="0" w:after="270" w:afterAutospacing="0"/>
        <w:jc w:val="both"/>
        <w:rPr>
          <w:color w:val="212529"/>
          <w:spacing w:val="-1"/>
        </w:rPr>
      </w:pPr>
      <w:r w:rsidRPr="00133B90">
        <w:rPr>
          <w:color w:val="212529"/>
          <w:spacing w:val="-1"/>
        </w:rPr>
        <w:t>Los</w:t>
      </w:r>
      <w:hyperlink r:id="rId219" w:history="1">
        <w:r w:rsidRPr="00990766">
          <w:rPr>
            <w:rStyle w:val="Hipervnculo"/>
            <w:color w:val="auto"/>
            <w:spacing w:val="-1"/>
            <w:u w:val="none"/>
          </w:rPr>
          <w:t> canales y las fuerzas</w:t>
        </w:r>
      </w:hyperlink>
      <w:r w:rsidRPr="00133B90">
        <w:rPr>
          <w:color w:val="212529"/>
          <w:spacing w:val="-1"/>
        </w:rPr>
        <w:t> que afectan en el largo plazo también tienen relación con los que están impactando en la actualidad. Estos expertos señalan que las cicatrices se pueden ver en los patrones de comportamiento de la población: la confianza a largo plazo se ve afectada, lo que aumenta la propensión a ahorrar y reduce la inversión en capital físico y humano.</w:t>
      </w:r>
    </w:p>
    <w:p w:rsidR="007C5D83" w:rsidRPr="00133B90" w:rsidRDefault="007C5D83" w:rsidP="00FA4DA9">
      <w:pPr>
        <w:shd w:val="clear" w:color="auto" w:fill="FFFFFF"/>
        <w:spacing w:line="240" w:lineRule="auto"/>
        <w:jc w:val="both"/>
        <w:rPr>
          <w:rFonts w:ascii="Times New Roman" w:hAnsi="Times New Roman" w:cs="Times New Roman"/>
          <w:color w:val="212529"/>
          <w:sz w:val="24"/>
          <w:szCs w:val="24"/>
        </w:rPr>
      </w:pPr>
      <w:r w:rsidRPr="00133B90">
        <w:rPr>
          <w:rFonts w:ascii="Times New Roman" w:hAnsi="Times New Roman" w:cs="Times New Roman"/>
          <w:noProof/>
          <w:color w:val="212529"/>
          <w:sz w:val="24"/>
          <w:szCs w:val="24"/>
          <w:lang w:eastAsia="es-ES"/>
        </w:rPr>
        <w:drawing>
          <wp:inline distT="0" distB="0" distL="0" distR="0" wp14:anchorId="62F0E5E2" wp14:editId="4EB00C4E">
            <wp:extent cx="5683250" cy="2120900"/>
            <wp:effectExtent l="0" t="0" r="0" b="0"/>
            <wp:docPr id="93" name="Imagen 93" descr="https://s03.s3c.es/imag/_v0/770x523/3/d/0/vulnerabilidades-espa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03.s3c.es/imag/_v0/770x523/3/d/0/vulnerabilidades-espana.jpg"/>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5683250" cy="2120900"/>
                    </a:xfrm>
                    <a:prstGeom prst="rect">
                      <a:avLst/>
                    </a:prstGeom>
                    <a:noFill/>
                    <a:ln>
                      <a:noFill/>
                    </a:ln>
                  </pic:spPr>
                </pic:pic>
              </a:graphicData>
            </a:graphic>
          </wp:inline>
        </w:drawing>
      </w:r>
      <w:r w:rsidRPr="00133B90">
        <w:rPr>
          <w:rFonts w:ascii="Times New Roman" w:hAnsi="Times New Roman" w:cs="Times New Roman"/>
          <w:color w:val="212529"/>
          <w:sz w:val="24"/>
          <w:szCs w:val="24"/>
        </w:rPr>
        <w:t>España es el país desarrollado más vulnerable a sufrir efectos de largo plazo</w:t>
      </w:r>
    </w:p>
    <w:p w:rsidR="007C5D83" w:rsidRPr="00133B90" w:rsidRDefault="007C5D83" w:rsidP="00FA4DA9">
      <w:pPr>
        <w:pStyle w:val="NormalWeb"/>
        <w:shd w:val="clear" w:color="auto" w:fill="FFFFFF"/>
        <w:spacing w:before="0" w:beforeAutospacing="0" w:after="270" w:afterAutospacing="0"/>
        <w:jc w:val="both"/>
        <w:rPr>
          <w:color w:val="212529"/>
          <w:spacing w:val="-1"/>
        </w:rPr>
      </w:pPr>
      <w:r w:rsidRPr="00BA7F8F">
        <w:rPr>
          <w:color w:val="212529"/>
          <w:spacing w:val="-1"/>
          <w:u w:val="single"/>
        </w:rPr>
        <w:lastRenderedPageBreak/>
        <w:t>También en los mercados laborales: </w:t>
      </w:r>
      <w:hyperlink r:id="rId221" w:history="1">
        <w:r w:rsidRPr="00990766">
          <w:rPr>
            <w:rStyle w:val="Hipervnculo"/>
            <w:color w:val="auto"/>
            <w:spacing w:val="-1"/>
          </w:rPr>
          <w:t>la histéresis y los desajustes de habilidades</w:t>
        </w:r>
        <w:r w:rsidRPr="00BA7F8F">
          <w:rPr>
            <w:rStyle w:val="Hipervnculo"/>
            <w:color w:val="FF6600"/>
            <w:spacing w:val="-1"/>
          </w:rPr>
          <w:t> </w:t>
        </w:r>
      </w:hyperlink>
      <w:r w:rsidRPr="00BA7F8F">
        <w:rPr>
          <w:color w:val="212529"/>
          <w:spacing w:val="-1"/>
          <w:u w:val="single"/>
        </w:rPr>
        <w:t>pueden prolongar las dificultades para encontrar empleo de ciertos colectivos o incluso incrementar la tasa de paro estructural y de larga duración, lo que debilita la capacidad de crecimiento de las economías</w:t>
      </w:r>
      <w:r w:rsidRPr="00133B90">
        <w:rPr>
          <w:color w:val="212529"/>
          <w:spacing w:val="-1"/>
        </w:rPr>
        <w:t>. España cuenta con un mercado laboral que se comporta relativamente peor durante las crisis económicas y que presenta una tasa de paro estructural mucho más alta que otros países comparables</w:t>
      </w:r>
      <w:r w:rsidR="001C39FB">
        <w:rPr>
          <w:color w:val="212529"/>
          <w:spacing w:val="-1"/>
        </w:rPr>
        <w:t>…</w:t>
      </w:r>
      <w:r w:rsidRPr="00133B90">
        <w:rPr>
          <w:color w:val="212529"/>
          <w:spacing w:val="-1"/>
        </w:rPr>
        <w:t> </w:t>
      </w:r>
    </w:p>
    <w:p w:rsidR="00E813A2" w:rsidRDefault="007C5D83" w:rsidP="00FA4DA9">
      <w:pPr>
        <w:shd w:val="clear" w:color="auto" w:fill="FFFFFF"/>
        <w:spacing w:line="240" w:lineRule="auto"/>
        <w:jc w:val="both"/>
        <w:rPr>
          <w:rFonts w:ascii="Times New Roman" w:hAnsi="Times New Roman" w:cs="Times New Roman"/>
          <w:color w:val="212529"/>
          <w:sz w:val="24"/>
          <w:szCs w:val="24"/>
        </w:rPr>
      </w:pPr>
      <w:r w:rsidRPr="00133B90">
        <w:rPr>
          <w:rFonts w:ascii="Times New Roman" w:hAnsi="Times New Roman" w:cs="Times New Roman"/>
          <w:noProof/>
          <w:color w:val="212529"/>
          <w:sz w:val="24"/>
          <w:szCs w:val="24"/>
          <w:lang w:eastAsia="es-ES"/>
        </w:rPr>
        <w:drawing>
          <wp:inline distT="0" distB="0" distL="0" distR="0" wp14:anchorId="52D4FA2E" wp14:editId="4F8E9B7D">
            <wp:extent cx="5708650" cy="3054350"/>
            <wp:effectExtent l="0" t="0" r="6350" b="0"/>
            <wp:docPr id="94" name="Imagen 94" descr="https://s03.s3c.es/imag/_v0/887x564/6/a/5/precovid-tr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887x564/6/a/5/precovid-trend.jpg"/>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708650" cy="3054350"/>
                    </a:xfrm>
                    <a:prstGeom prst="rect">
                      <a:avLst/>
                    </a:prstGeom>
                    <a:noFill/>
                    <a:ln>
                      <a:noFill/>
                    </a:ln>
                  </pic:spPr>
                </pic:pic>
              </a:graphicData>
            </a:graphic>
          </wp:inline>
        </w:drawing>
      </w:r>
    </w:p>
    <w:p w:rsidR="007C5D83" w:rsidRPr="00133B90" w:rsidRDefault="007C5D83" w:rsidP="00FA4DA9">
      <w:pPr>
        <w:shd w:val="clear" w:color="auto" w:fill="FFFFFF"/>
        <w:spacing w:line="240" w:lineRule="auto"/>
        <w:jc w:val="both"/>
        <w:rPr>
          <w:rFonts w:ascii="Times New Roman" w:hAnsi="Times New Roman" w:cs="Times New Roman"/>
          <w:color w:val="212529"/>
          <w:sz w:val="24"/>
          <w:szCs w:val="24"/>
        </w:rPr>
      </w:pPr>
      <w:r w:rsidRPr="00133B90">
        <w:rPr>
          <w:rFonts w:ascii="Times New Roman" w:hAnsi="Times New Roman" w:cs="Times New Roman"/>
          <w:color w:val="212529"/>
          <w:sz w:val="24"/>
          <w:szCs w:val="24"/>
        </w:rPr>
        <w:t>El PIB tardará años en recuperar la tendencia previa al covid</w:t>
      </w:r>
    </w:p>
    <w:p w:rsidR="007C5D83" w:rsidRPr="00BA7F8F" w:rsidRDefault="007C5D83" w:rsidP="00FA4DA9">
      <w:pPr>
        <w:pStyle w:val="NormalWeb"/>
        <w:shd w:val="clear" w:color="auto" w:fill="FFFFFF"/>
        <w:spacing w:before="0" w:beforeAutospacing="0" w:after="270" w:afterAutospacing="0"/>
        <w:jc w:val="both"/>
        <w:rPr>
          <w:color w:val="FF0000"/>
          <w:spacing w:val="-1"/>
          <w:u w:val="single"/>
        </w:rPr>
      </w:pPr>
      <w:r w:rsidRPr="00BA7F8F">
        <w:rPr>
          <w:color w:val="FF0000"/>
          <w:spacing w:val="-1"/>
          <w:u w:val="single"/>
        </w:rPr>
        <w:t>La histéresis es un concepto que empleado en economía suele hacer referencia sobre todo al mercado laboral. Que la tasa de paro aumente en medio de una recesión es algo normal dentro un ciclo recesivo. Pero si años después de haber finalizado la recesión, el mercado laboral sigue mostrando grandes debilidades, es porque la histéresis ha hecho su aparición.</w:t>
      </w:r>
    </w:p>
    <w:p w:rsidR="007C5D83" w:rsidRPr="00133B90" w:rsidRDefault="007C5D83" w:rsidP="00FA4DA9">
      <w:pPr>
        <w:pStyle w:val="NormalWeb"/>
        <w:shd w:val="clear" w:color="auto" w:fill="FFFFFF"/>
        <w:spacing w:before="0" w:beforeAutospacing="0" w:after="270" w:afterAutospacing="0"/>
        <w:jc w:val="both"/>
        <w:rPr>
          <w:color w:val="212529"/>
          <w:spacing w:val="-1"/>
        </w:rPr>
      </w:pPr>
      <w:r w:rsidRPr="00133B90">
        <w:rPr>
          <w:color w:val="212529"/>
          <w:spacing w:val="-1"/>
        </w:rPr>
        <w:t>Durante una recesión se suele producir un incremento de número de parados, si estos desempleados pasan un largo periodo (desempleo de larga duración) sin trabajar puede perder parte de su valía. La formación de una persona desempleada podría quedar desfasada si este individuo no puede o no tiene la voluntad de reciclar sus conocimientos para adaptarlos a los requisitos de un mercado laboral cambiante. Por ello, el gasto eficiente en políticas activas de empleo es vital para mantener la capacidad productiva de un país.</w:t>
      </w:r>
    </w:p>
    <w:p w:rsidR="007C5D83" w:rsidRPr="00BA7F8F" w:rsidRDefault="007C5D83" w:rsidP="00FA4DA9">
      <w:pPr>
        <w:pStyle w:val="NormalWeb"/>
        <w:shd w:val="clear" w:color="auto" w:fill="FFFFFF"/>
        <w:spacing w:before="0" w:beforeAutospacing="0" w:after="270" w:afterAutospacing="0"/>
        <w:jc w:val="both"/>
        <w:rPr>
          <w:color w:val="212529"/>
          <w:spacing w:val="-1"/>
          <w:u w:val="single"/>
        </w:rPr>
      </w:pPr>
      <w:r w:rsidRPr="00BA7F8F">
        <w:rPr>
          <w:color w:val="FF0000"/>
          <w:spacing w:val="-1"/>
          <w:u w:val="single"/>
        </w:rPr>
        <w:t>Por otro lado, en los países que cuentan con mercados laborales poco funcionales como es el caso de España, las crisis afectan de forma más intensa a los jóvenes y sus efectos suelen perdurar más tiempo también. Desde la aseguradora Allianz creen que esta puede ser una de las cicatrices que deje esta crisis: los salarios de los trabajadores que están accediendo ahora al mercado laboral estarán lastrados durante años</w:t>
      </w:r>
      <w:r w:rsidRPr="00133B90">
        <w:rPr>
          <w:color w:val="212529"/>
          <w:spacing w:val="-1"/>
        </w:rPr>
        <w:t xml:space="preserve">. </w:t>
      </w:r>
      <w:r w:rsidR="001C39FB" w:rsidRPr="00E813A2">
        <w:rPr>
          <w:spacing w:val="-1"/>
        </w:rPr>
        <w:t>“</w:t>
      </w:r>
      <w:hyperlink r:id="rId223" w:history="1">
        <w:r w:rsidRPr="00E813A2">
          <w:rPr>
            <w:rStyle w:val="Hipervnculo"/>
            <w:color w:val="auto"/>
            <w:spacing w:val="-1"/>
          </w:rPr>
          <w:t>El mercado laboral juvenil</w:t>
        </w:r>
      </w:hyperlink>
      <w:r w:rsidRPr="00BA7F8F">
        <w:rPr>
          <w:color w:val="212529"/>
          <w:spacing w:val="-1"/>
          <w:u w:val="single"/>
        </w:rPr>
        <w:t> es muy sensible a los ciclos económicos, y los jóvenes tienen más probabilidades de tener un empleo precario que cualquier otro grupo de edad. Después de la Gran Crisis Financiera de 2008, llevó años recuperarse en toda Europa, aun así, los ingresos de los jóvenes nunca volvieron a los niveles anteriore</w:t>
      </w:r>
      <w:r w:rsidR="001C39FB">
        <w:rPr>
          <w:color w:val="212529"/>
          <w:spacing w:val="-1"/>
          <w:u w:val="single"/>
        </w:rPr>
        <w:t>s previos a la crisis en España”</w:t>
      </w:r>
      <w:r w:rsidRPr="00BA7F8F">
        <w:rPr>
          <w:color w:val="212529"/>
          <w:spacing w:val="-1"/>
          <w:u w:val="single"/>
        </w:rPr>
        <w:t>, aseguran desde Allianz.</w:t>
      </w:r>
    </w:p>
    <w:p w:rsidR="007C5D83" w:rsidRPr="006C03AB" w:rsidRDefault="007C5D83" w:rsidP="00FA4DA9">
      <w:pPr>
        <w:pStyle w:val="Ttulo2"/>
        <w:shd w:val="clear" w:color="auto" w:fill="FFFFFF"/>
        <w:spacing w:before="300" w:after="225" w:line="240" w:lineRule="auto"/>
        <w:jc w:val="both"/>
        <w:rPr>
          <w:rFonts w:ascii="Times New Roman" w:hAnsi="Times New Roman" w:cs="Times New Roman"/>
          <w:b w:val="0"/>
          <w:bCs w:val="0"/>
          <w:color w:val="212529"/>
          <w:sz w:val="24"/>
          <w:szCs w:val="24"/>
        </w:rPr>
      </w:pPr>
      <w:r w:rsidRPr="006C03AB">
        <w:rPr>
          <w:rFonts w:ascii="Times New Roman" w:hAnsi="Times New Roman" w:cs="Times New Roman"/>
          <w:b w:val="0"/>
          <w:bCs w:val="0"/>
          <w:color w:val="212529"/>
          <w:sz w:val="24"/>
          <w:szCs w:val="24"/>
        </w:rPr>
        <w:lastRenderedPageBreak/>
        <w:t>Menor inversión</w:t>
      </w:r>
    </w:p>
    <w:p w:rsidR="007C5D83" w:rsidRPr="00133B90" w:rsidRDefault="007C5D83" w:rsidP="00FA4DA9">
      <w:pPr>
        <w:pStyle w:val="NormalWeb"/>
        <w:shd w:val="clear" w:color="auto" w:fill="FFFFFF"/>
        <w:spacing w:before="0" w:beforeAutospacing="0" w:after="270" w:afterAutospacing="0"/>
        <w:jc w:val="both"/>
        <w:rPr>
          <w:color w:val="212529"/>
          <w:spacing w:val="-1"/>
        </w:rPr>
      </w:pPr>
      <w:r w:rsidRPr="00133B90">
        <w:rPr>
          <w:color w:val="212529"/>
          <w:spacing w:val="-1"/>
        </w:rPr>
        <w:t>El Banco Central Europeo advertía también de que el crecimiento potencial podía disminuir en varias economías ante un auge de las insolvencias empresariales. En el estudio publicado por el BCE se analizaban las cuatro grandes economías del euro y España salía mal parada.</w:t>
      </w:r>
    </w:p>
    <w:p w:rsidR="007C5D83" w:rsidRPr="00BA7F8F" w:rsidRDefault="001C39FB" w:rsidP="00FA4DA9">
      <w:pPr>
        <w:pStyle w:val="NormalWeb"/>
        <w:shd w:val="clear" w:color="auto" w:fill="FFFFFF"/>
        <w:spacing w:before="0" w:beforeAutospacing="0" w:after="270" w:afterAutospacing="0"/>
        <w:jc w:val="both"/>
        <w:rPr>
          <w:color w:val="FF0000"/>
          <w:spacing w:val="-1"/>
          <w:u w:val="single"/>
        </w:rPr>
      </w:pPr>
      <w:r>
        <w:rPr>
          <w:color w:val="FF0000"/>
          <w:spacing w:val="-1"/>
          <w:u w:val="single"/>
        </w:rPr>
        <w:t>El análisis del banco central “</w:t>
      </w:r>
      <w:r w:rsidR="007C5D83" w:rsidRPr="00BA7F8F">
        <w:rPr>
          <w:color w:val="FF0000"/>
          <w:spacing w:val="-1"/>
          <w:u w:val="single"/>
        </w:rPr>
        <w:t xml:space="preserve">muestra que España es el país más afectado, con alrededor del 25% de la demografía empresarial en riesgo </w:t>
      </w:r>
      <w:r>
        <w:rPr>
          <w:color w:val="FF0000"/>
          <w:spacing w:val="-1"/>
          <w:u w:val="single"/>
        </w:rPr>
        <w:t>de sufrir problemas de liquidez”</w:t>
      </w:r>
      <w:r w:rsidR="007C5D83" w:rsidRPr="00BA7F8F">
        <w:rPr>
          <w:color w:val="FF0000"/>
          <w:spacing w:val="-1"/>
          <w:u w:val="single"/>
        </w:rPr>
        <w:t>. Según el informe, las empresas españolas son las más vulnerables a la pandemia dentro de la Eurozona, lo que supone que afrontan un mayor riesgo de quiebra por problemas de solvencia y liquidez.</w:t>
      </w:r>
    </w:p>
    <w:p w:rsidR="007C5D83" w:rsidRPr="00133B90" w:rsidRDefault="007C5D83" w:rsidP="00FA4DA9">
      <w:pPr>
        <w:shd w:val="clear" w:color="auto" w:fill="FFFFFF"/>
        <w:spacing w:line="240" w:lineRule="auto"/>
        <w:jc w:val="both"/>
        <w:rPr>
          <w:rFonts w:ascii="Times New Roman" w:hAnsi="Times New Roman" w:cs="Times New Roman"/>
          <w:color w:val="212529"/>
          <w:sz w:val="24"/>
          <w:szCs w:val="24"/>
        </w:rPr>
      </w:pPr>
      <w:r w:rsidRPr="00133B90">
        <w:rPr>
          <w:rFonts w:ascii="Times New Roman" w:hAnsi="Times New Roman" w:cs="Times New Roman"/>
          <w:noProof/>
          <w:color w:val="212529"/>
          <w:sz w:val="24"/>
          <w:szCs w:val="24"/>
          <w:lang w:eastAsia="es-ES"/>
        </w:rPr>
        <w:drawing>
          <wp:inline distT="0" distB="0" distL="0" distR="0" wp14:anchorId="2CEFF004" wp14:editId="0BD7889F">
            <wp:extent cx="5721350" cy="2489200"/>
            <wp:effectExtent l="0" t="0" r="0" b="6350"/>
            <wp:docPr id="97" name="Imagen 97" descr="https://s03.s3c.es/imag/_v0/770x437/5/f/c/espana-potencial-men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03.s3c.es/imag/_v0/770x437/5/f/c/espana-potencial-menor.jpg"/>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5721350" cy="2489200"/>
                    </a:xfrm>
                    <a:prstGeom prst="rect">
                      <a:avLst/>
                    </a:prstGeom>
                    <a:noFill/>
                    <a:ln>
                      <a:noFill/>
                    </a:ln>
                  </pic:spPr>
                </pic:pic>
              </a:graphicData>
            </a:graphic>
          </wp:inline>
        </w:drawing>
      </w:r>
      <w:r w:rsidRPr="00133B90">
        <w:rPr>
          <w:rFonts w:ascii="Times New Roman" w:hAnsi="Times New Roman" w:cs="Times New Roman"/>
          <w:color w:val="212529"/>
          <w:sz w:val="24"/>
          <w:szCs w:val="24"/>
        </w:rPr>
        <w:t>España tardará más que el resto de la zona euro en recuperar los niveles de PIB. Societe Generale</w:t>
      </w:r>
    </w:p>
    <w:p w:rsidR="007C5D83" w:rsidRPr="00BA7F8F" w:rsidRDefault="007C5D83" w:rsidP="00FA4DA9">
      <w:pPr>
        <w:pStyle w:val="NormalWeb"/>
        <w:shd w:val="clear" w:color="auto" w:fill="FFFFFF"/>
        <w:spacing w:before="0" w:beforeAutospacing="0" w:after="270" w:afterAutospacing="0"/>
        <w:jc w:val="both"/>
        <w:rPr>
          <w:color w:val="212529"/>
          <w:spacing w:val="-1"/>
          <w:u w:val="single"/>
        </w:rPr>
      </w:pPr>
      <w:r w:rsidRPr="00133B90">
        <w:rPr>
          <w:color w:val="212529"/>
          <w:spacing w:val="-1"/>
        </w:rPr>
        <w:t>Durante el periodo de transición, el crecimiento potencial se verá dañado. Se requerirán nuevas empresas y que los trabajadores adquieran nuevas habilidades, un proceso que puede llevar tiempo. Por ello, desde el BdE o la OCDE se insiste con vehemencia en la necesidad de crear programas de formación para los parados y los </w:t>
      </w:r>
      <w:hyperlink r:id="rId225" w:history="1">
        <w:r w:rsidRPr="001C39FB">
          <w:rPr>
            <w:rStyle w:val="Hipervnculo"/>
            <w:color w:val="auto"/>
            <w:spacing w:val="-1"/>
          </w:rPr>
          <w:t>trabajadores en proceso de Erte</w:t>
        </w:r>
      </w:hyperlink>
      <w:r w:rsidRPr="00133B90">
        <w:rPr>
          <w:color w:val="212529"/>
          <w:spacing w:val="-1"/>
        </w:rPr>
        <w:t xml:space="preserve">. Ese reciclaje será fundamental para que la economía pueda superar los niveles de PIB previos a la crisis y seguir creciendo después. </w:t>
      </w:r>
      <w:r w:rsidRPr="00BA7F8F">
        <w:rPr>
          <w:color w:val="212529"/>
          <w:spacing w:val="-1"/>
          <w:u w:val="single"/>
        </w:rPr>
        <w:t>Si una parte de la población no vuelve a encontrar trabajo, España estará desperdiciando parte de su factor trabajo y, por ende, topando el crecimiento de la economía.</w:t>
      </w:r>
    </w:p>
    <w:p w:rsidR="007C5D83" w:rsidRPr="00BA7F8F" w:rsidRDefault="007C5D83" w:rsidP="00FA4DA9">
      <w:pPr>
        <w:pStyle w:val="NormalWeb"/>
        <w:shd w:val="clear" w:color="auto" w:fill="FFFFFF"/>
        <w:spacing w:before="0" w:beforeAutospacing="0" w:after="270" w:afterAutospacing="0"/>
        <w:jc w:val="both"/>
        <w:rPr>
          <w:color w:val="FF0000"/>
          <w:spacing w:val="-1"/>
          <w:u w:val="single"/>
        </w:rPr>
      </w:pPr>
      <w:r w:rsidRPr="00BA7F8F">
        <w:rPr>
          <w:color w:val="FF0000"/>
          <w:spacing w:val="-1"/>
          <w:u w:val="single"/>
        </w:rPr>
        <w:t>Gita Bhatt, economista del Fondo Monetario Internacional (FMI), escribe en la</w:t>
      </w:r>
      <w:r w:rsidR="001C39FB">
        <w:rPr>
          <w:color w:val="FF0000"/>
          <w:spacing w:val="-1"/>
          <w:u w:val="single"/>
        </w:rPr>
        <w:t xml:space="preserve"> revista de la institución que “</w:t>
      </w:r>
      <w:r w:rsidRPr="00BA7F8F">
        <w:rPr>
          <w:color w:val="FF0000"/>
          <w:spacing w:val="-1"/>
          <w:u w:val="single"/>
        </w:rPr>
        <w:t>para muchos profesionales, trabajar desde casa es algo fácil. Sin embargo, para muchos otros, especialmente los trabajadores de</w:t>
      </w:r>
      <w:hyperlink r:id="rId226" w:history="1">
        <w:r w:rsidRPr="00BA7F8F">
          <w:rPr>
            <w:rStyle w:val="Hipervnculo"/>
            <w:color w:val="FF0000"/>
            <w:spacing w:val="-1"/>
          </w:rPr>
          <w:t> la hostelería y el turismo</w:t>
        </w:r>
      </w:hyperlink>
      <w:r w:rsidRPr="00BA7F8F">
        <w:rPr>
          <w:color w:val="FF0000"/>
          <w:spacing w:val="-1"/>
          <w:u w:val="single"/>
        </w:rPr>
        <w:t>, el transporte, el comercio minorista y la atención al público, ya se están formando profundas cicatrices: trabajos perdidos, una brecha de habilidades cada vez mayor, </w:t>
      </w:r>
      <w:hyperlink r:id="rId227" w:history="1">
        <w:r w:rsidRPr="00BA7F8F">
          <w:rPr>
            <w:rStyle w:val="Hipervnculo"/>
            <w:color w:val="FF0000"/>
            <w:spacing w:val="-1"/>
          </w:rPr>
          <w:t>una desigualdad creciente</w:t>
        </w:r>
      </w:hyperlink>
      <w:r w:rsidRPr="00BA7F8F">
        <w:rPr>
          <w:color w:val="FF0000"/>
          <w:spacing w:val="-1"/>
          <w:u w:val="single"/>
        </w:rPr>
        <w:t> y un coste para la salud mental</w:t>
      </w:r>
      <w:r w:rsidRPr="00133B90">
        <w:rPr>
          <w:color w:val="212529"/>
          <w:spacing w:val="-1"/>
        </w:rPr>
        <w:t xml:space="preserve">. Las mujeres, los jóvenes, las minorías y los menos capacitados se ven afectados de manera desproporcionada y podrían estar ante el comienzo de muchos años perdidos. </w:t>
      </w:r>
      <w:r w:rsidRPr="00BA7F8F">
        <w:rPr>
          <w:color w:val="FF0000"/>
          <w:spacing w:val="-1"/>
          <w:u w:val="single"/>
        </w:rPr>
        <w:t xml:space="preserve">Aquellos que tienen la mala suerte de comenzar una carrera en una recesión pueden experimentar ingresos más bajos durante 10 a 15 años </w:t>
      </w:r>
      <w:r w:rsidR="001C39FB">
        <w:rPr>
          <w:color w:val="FF0000"/>
          <w:spacing w:val="-1"/>
          <w:u w:val="single"/>
        </w:rPr>
        <w:t>después de la graduación, o más”</w:t>
      </w:r>
      <w:r w:rsidRPr="00BA7F8F">
        <w:rPr>
          <w:color w:val="FF0000"/>
          <w:spacing w:val="-1"/>
          <w:u w:val="single"/>
        </w:rPr>
        <w:t>.</w:t>
      </w:r>
    </w:p>
    <w:p w:rsidR="007C5D83" w:rsidRPr="00E72F20" w:rsidRDefault="007C5D83"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72F20">
        <w:rPr>
          <w:rFonts w:ascii="Times New Roman" w:hAnsi="Times New Roman" w:cs="Times New Roman"/>
          <w:sz w:val="24"/>
          <w:szCs w:val="24"/>
          <w:u w:val="single"/>
        </w:rPr>
        <w:t>Las 50 empresas más grandes del mundo por valor en Bolsa</w:t>
      </w:r>
      <w:r>
        <w:rPr>
          <w:rFonts w:ascii="Times New Roman" w:hAnsi="Times New Roman" w:cs="Times New Roman"/>
          <w:sz w:val="24"/>
          <w:szCs w:val="24"/>
        </w:rPr>
        <w:t xml:space="preserve"> (Cinco Días - </w:t>
      </w:r>
      <w:r w:rsidRPr="00E72F20">
        <w:rPr>
          <w:rFonts w:ascii="Times New Roman" w:hAnsi="Times New Roman" w:cs="Times New Roman"/>
          <w:b/>
          <w:sz w:val="24"/>
          <w:szCs w:val="24"/>
        </w:rPr>
        <w:t>30/12/20</w:t>
      </w:r>
      <w:r>
        <w:rPr>
          <w:rFonts w:ascii="Times New Roman" w:hAnsi="Times New Roman" w:cs="Times New Roman"/>
          <w:sz w:val="24"/>
          <w:szCs w:val="24"/>
        </w:rPr>
        <w:t>)</w:t>
      </w:r>
    </w:p>
    <w:p w:rsidR="007C5D83" w:rsidRDefault="007C5D83"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72F20">
        <w:rPr>
          <w:rFonts w:ascii="Times New Roman" w:hAnsi="Times New Roman" w:cs="Times New Roman"/>
          <w:sz w:val="24"/>
          <w:szCs w:val="24"/>
        </w:rPr>
        <w:t>Cecilia Castelló Llantada</w:t>
      </w:r>
      <w:r>
        <w:rPr>
          <w:rFonts w:ascii="Times New Roman" w:hAnsi="Times New Roman" w:cs="Times New Roman"/>
          <w:sz w:val="24"/>
          <w:szCs w:val="24"/>
        </w:rPr>
        <w:t>)</w:t>
      </w:r>
    </w:p>
    <w:p w:rsidR="00E813A2" w:rsidRPr="00E72F20" w:rsidRDefault="00E813A2" w:rsidP="00FA4DA9">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lastRenderedPageBreak/>
        <w:t>El embate de la pandemia ha afectado a los mercados, pero no a todos los sectores ni empresas por igual. El año del Covid se cierra con las tecnológicas, especialmente las estadounidenses, reforzadas tras el golpe del virus. Y con un nuevo líder en la clasificación de compañías de mayor valor del mundo: Apple. El fabricante de iPhone recupera el trono tras el paréntesis de 2019, cuando la petrolera saudí Aramco finalizó como la empresa de mayor capitalización tras la mayor salida a Bolsa de la historia. Es precisamente el negocio del petróleo y gas uno de los más golpeados por las incertidumbres creadas por la pandemia.</w:t>
      </w:r>
    </w:p>
    <w:p w:rsidR="00E813A2" w:rsidRPr="00E72F20" w:rsidRDefault="00E813A2" w:rsidP="00FA4DA9">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Apple ha recibido el espaldarazo de los inversores con una subida de la acción del 85% de enero a diciembre y un valor de 1,87 billones de euros. El lanzamiento de su primer dispositivo 5G y el tirón de servicios como Apple Music y App Store han apuntalado sus perspectivas.</w:t>
      </w:r>
    </w:p>
    <w:p w:rsidR="00E813A2" w:rsidRPr="00E72F20" w:rsidRDefault="00E813A2" w:rsidP="00FA4DA9">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El tercer puesto es de Microsoft, con 1,38 billones de euros, seguido de Amazon, que avanza una posición y supera a Alphabet, matriz de Google, que ocupa el quinto lugar. La plataforma de comercio online vale 1,36 billones de euros, frente a 970.000 millones del buscador.</w:t>
      </w:r>
    </w:p>
    <w:p w:rsidR="00E813A2" w:rsidRPr="00E72F20" w:rsidRDefault="00E813A2" w:rsidP="00FA4DA9">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Presencia de China</w:t>
      </w:r>
    </w:p>
    <w:p w:rsidR="00E813A2" w:rsidRPr="00E72F20" w:rsidRDefault="00E813A2" w:rsidP="00FA4DA9">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Debajo del billón de dólares se sitúan Facebook, que con un valor de 643.000 millones de euros, se mantiene respecto a 2019, y el gigante chino Tencent, dueña de aplicaciones y videojuegos. En octavo puesto está la china Alibaba, que se estrenó en Bolsa en 2019, y vale 521.000 millones.</w:t>
      </w:r>
    </w:p>
    <w:p w:rsidR="00E813A2" w:rsidRPr="00E72F20" w:rsidRDefault="00E813A2" w:rsidP="00FA4DA9">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El rodillo de las tecnológicas es arrollador en la clasificación: siete de las diez mayores empresas están relacionadas con tecnología. Únicamente Aramco (del sector energía), Tesla (coches eléctricos) y Berkshire Hathaway, el conglomerado del empresario Warren Buffet, se mantienen entre las diez primeras más allá de las tecnológicas. En 2019 la zona de cabeza mostraba aún equilibrio: cinco eran tecnológicas y la otra mitad sectores diferentes.</w:t>
      </w:r>
    </w:p>
    <w:p w:rsidR="00E813A2" w:rsidRPr="00E72F20" w:rsidRDefault="00E813A2" w:rsidP="00FA4DA9">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Hay algunos casos especialmente llamativos y el de Tesla es abrumador. Con un alza de casi el 700% en Bolsa, el fabricante de coches eléctricos ha subido doscientos puestos en la clasificación y se ha colado entre las diez primeras. Una carrera meteórica basada en sus expectativas de ganancias y mejoras tecnológicas para la movilidad, no exenta de dudas sobre su solidez.</w:t>
      </w:r>
    </w:p>
    <w:p w:rsidR="00E813A2" w:rsidRPr="00E72F20" w:rsidRDefault="00E813A2" w:rsidP="00FA4DA9">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También vertical ha sido el alza de Paypal, que cierra 2020 con un avance de 64 puestos en la clasificación y con sus acciones que han más que duplicado su valor, beneficiada del acelerón en pagos digitales durante la pandemia.</w:t>
      </w:r>
    </w:p>
    <w:p w:rsidR="00E813A2" w:rsidRPr="00E72F20" w:rsidRDefault="00E813A2" w:rsidP="00FA4DA9">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El teletrabajo y los confinamientos han disparado la demanda de chips en todo el mundo y las empresas de semiconductores han sabido sacar provecho en Bolsa. Entre ellas, Nvidia ha pasado al puesto 23 desde el 76, con una subida de la acción del 120%, y la europea ASML Holding, ha avanzado 53 puestos, con un valor en Bolsa de más de 166.000 millones.</w:t>
      </w:r>
    </w:p>
    <w:p w:rsidR="00E813A2" w:rsidRPr="00E72F20" w:rsidRDefault="00E813A2" w:rsidP="00FA4DA9">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El entretenimiento online ha sido otro de los negocios con fuerte tirón derivado de los confinamientos. Netflix se ha aupado hasta el puesto 34 de la clasificación, con una ganancia en la acción del 64%. El crecimiento en el volumen de suscriptores, sobre todo en la primera mitad de año, ha respaldado la apuesta por la compañía de streaming.</w:t>
      </w:r>
    </w:p>
    <w:p w:rsidR="00E813A2" w:rsidRDefault="00E813A2" w:rsidP="00FA4DA9">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 xml:space="preserve">Las grandes perjudicadas han sido las petroleras, que prácticamente han desaparecido del ranking. Aparte de Aramco, que se mantiene en segundo lugar, otras empresas que ocupaban puestos altos por su tamaño han caído de las lista. Es el caso de Exxon, que ha bajado al </w:t>
      </w:r>
      <w:r w:rsidRPr="00E72F20">
        <w:rPr>
          <w:rFonts w:ascii="Times New Roman" w:hAnsi="Times New Roman" w:cs="Times New Roman"/>
          <w:sz w:val="24"/>
          <w:szCs w:val="24"/>
        </w:rPr>
        <w:lastRenderedPageBreak/>
        <w:t>puesto 57 desde el 19 del año pasado, Royal Dutch Shell, que ha caído al 88 desde el 36, y Chevron, que baja al 68 desde el 40 de 2019.</w:t>
      </w:r>
    </w:p>
    <w:p w:rsidR="007A5C27" w:rsidRDefault="007A5C27" w:rsidP="00FA4DA9">
      <w:pPr>
        <w:spacing w:line="240" w:lineRule="auto"/>
        <w:jc w:val="both"/>
        <w:rPr>
          <w:rFonts w:ascii="Times New Roman" w:hAnsi="Times New Roman" w:cs="Times New Roman"/>
          <w:sz w:val="24"/>
          <w:szCs w:val="24"/>
        </w:rPr>
      </w:pPr>
      <w:r>
        <w:rPr>
          <w:noProof/>
          <w:lang w:eastAsia="es-ES"/>
        </w:rPr>
        <w:drawing>
          <wp:inline distT="0" distB="0" distL="0" distR="0" wp14:anchorId="6CA14327" wp14:editId="019A18E5">
            <wp:extent cx="5726487" cy="7588250"/>
            <wp:effectExtent l="0" t="0" r="7620" b="0"/>
            <wp:docPr id="67" name="Imagen 67" descr="https://d500.epimg.net/descargables/2020/12/30/73f3c9d5c4d59061f0fd7c7e2c8e99e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d500.epimg.net/descargables/2020/12/30/73f3c9d5c4d59061f0fd7c7e2c8e99e0.png"/>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5731510" cy="7594906"/>
                    </a:xfrm>
                    <a:prstGeom prst="rect">
                      <a:avLst/>
                    </a:prstGeom>
                    <a:noFill/>
                    <a:ln>
                      <a:noFill/>
                    </a:ln>
                  </pic:spPr>
                </pic:pic>
              </a:graphicData>
            </a:graphic>
          </wp:inline>
        </w:drawing>
      </w:r>
    </w:p>
    <w:p w:rsidR="00E813A2" w:rsidRPr="00E72F20" w:rsidRDefault="00E813A2" w:rsidP="00FA4DA9">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Bajan las españolas</w:t>
      </w:r>
    </w:p>
    <w:p w:rsidR="00E813A2" w:rsidRPr="00E72F20" w:rsidRDefault="00E813A2" w:rsidP="00FA4DA9">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 xml:space="preserve">No hay ninguna empresa española entre las 100 compañías más valiosas. Inditex, que el año pasado ocupó el puesto 96, sale este año de esa lista y se sitúa en el número 129. La </w:t>
      </w:r>
      <w:r w:rsidRPr="00E72F20">
        <w:rPr>
          <w:rFonts w:ascii="Times New Roman" w:hAnsi="Times New Roman" w:cs="Times New Roman"/>
          <w:sz w:val="24"/>
          <w:szCs w:val="24"/>
        </w:rPr>
        <w:lastRenderedPageBreak/>
        <w:t>pandemia ha golpeado al sector textil y el grupo de Zara ha acusado con sus primeras pérdidas trimestrales. A pesar del tirón de la venta online, la compañía no ha podido compensar el cierre de tiendas y su acción ha caído un 14% desde enero.</w:t>
      </w:r>
    </w:p>
    <w:p w:rsidR="00E813A2" w:rsidRPr="00E72F20" w:rsidRDefault="00E813A2" w:rsidP="00FA4DA9">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Iberdrola es la siguiente española en el ranking, y ha mejorado su posición hasta el puesto 151 frente al 185 del año pasado. Su acción sube un 33% en el año.</w:t>
      </w:r>
    </w:p>
    <w:p w:rsidR="00E813A2" w:rsidRPr="00E72F20" w:rsidRDefault="00E813A2" w:rsidP="00FA4DA9">
      <w:pPr>
        <w:spacing w:line="240" w:lineRule="auto"/>
        <w:jc w:val="both"/>
        <w:rPr>
          <w:rFonts w:ascii="Times New Roman" w:hAnsi="Times New Roman" w:cs="Times New Roman"/>
          <w:sz w:val="24"/>
          <w:szCs w:val="24"/>
        </w:rPr>
      </w:pPr>
      <w:r w:rsidRPr="00E72F20">
        <w:rPr>
          <w:rFonts w:ascii="Times New Roman" w:hAnsi="Times New Roman" w:cs="Times New Roman"/>
          <w:sz w:val="24"/>
          <w:szCs w:val="24"/>
        </w:rPr>
        <w:t>Santander ha bajado al puesto 297 desde el 170 de 2019. La entidad dotó 12.600 millones en el primer semestre por la crisis del Covid, factura que le hizo entrar por primera vez en números rojos con pérdidas históricas.</w:t>
      </w:r>
    </w:p>
    <w:p w:rsidR="007C5D83" w:rsidRPr="00DA1048" w:rsidRDefault="007C5D83"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A1048">
        <w:rPr>
          <w:rFonts w:ascii="Times New Roman" w:hAnsi="Times New Roman" w:cs="Times New Roman"/>
          <w:sz w:val="24"/>
          <w:szCs w:val="24"/>
          <w:u w:val="single"/>
        </w:rPr>
        <w:t>España cierra 2020 con el peor balance de la Unión Europea frente a la covid-19</w:t>
      </w:r>
      <w:r>
        <w:rPr>
          <w:rFonts w:ascii="Times New Roman" w:hAnsi="Times New Roman" w:cs="Times New Roman"/>
          <w:sz w:val="24"/>
          <w:szCs w:val="24"/>
        </w:rPr>
        <w:t xml:space="preserve"> (Vozpópuli - </w:t>
      </w:r>
      <w:r w:rsidRPr="00DA1048">
        <w:rPr>
          <w:rFonts w:ascii="Times New Roman" w:hAnsi="Times New Roman" w:cs="Times New Roman"/>
          <w:b/>
          <w:sz w:val="24"/>
          <w:szCs w:val="24"/>
        </w:rPr>
        <w:t>31/12/20</w:t>
      </w:r>
      <w:r>
        <w:rPr>
          <w:rFonts w:ascii="Times New Roman" w:hAnsi="Times New Roman" w:cs="Times New Roman"/>
          <w:sz w:val="24"/>
          <w:szCs w:val="24"/>
        </w:rPr>
        <w:t>)</w:t>
      </w:r>
    </w:p>
    <w:p w:rsidR="007C5D83" w:rsidRDefault="007C5D83" w:rsidP="00FA4DA9">
      <w:pPr>
        <w:spacing w:line="240" w:lineRule="auto"/>
        <w:jc w:val="both"/>
        <w:rPr>
          <w:rFonts w:ascii="Times New Roman" w:hAnsi="Times New Roman" w:cs="Times New Roman"/>
          <w:sz w:val="24"/>
          <w:szCs w:val="24"/>
        </w:rPr>
      </w:pPr>
      <w:r w:rsidRPr="00DA1048">
        <w:rPr>
          <w:rFonts w:ascii="Times New Roman" w:hAnsi="Times New Roman" w:cs="Times New Roman"/>
          <w:sz w:val="24"/>
          <w:szCs w:val="24"/>
        </w:rPr>
        <w:t>Ha sido uno de los países más afectados por la pandemia del coronavirus y el que ha sufrido un impacto más severo en el plano económico</w:t>
      </w:r>
    </w:p>
    <w:p w:rsidR="001C39FB" w:rsidRPr="00DA1048" w:rsidRDefault="001C39FB"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(Por Borja Negrete y Alejandra Olcese)</w:t>
      </w:r>
    </w:p>
    <w:p w:rsidR="007C5D83" w:rsidRDefault="007C5D83" w:rsidP="00FA4DA9">
      <w:pPr>
        <w:spacing w:line="240" w:lineRule="auto"/>
        <w:jc w:val="both"/>
        <w:rPr>
          <w:rFonts w:ascii="Times New Roman" w:hAnsi="Times New Roman" w:cs="Times New Roman"/>
          <w:sz w:val="24"/>
          <w:szCs w:val="24"/>
        </w:rPr>
      </w:pPr>
      <w:r w:rsidRPr="00DA1048">
        <w:rPr>
          <w:rFonts w:ascii="Times New Roman" w:hAnsi="Times New Roman" w:cs="Times New Roman"/>
          <w:sz w:val="24"/>
          <w:szCs w:val="24"/>
        </w:rPr>
        <w:t>No es oro todo lo que reluce, o al menos no todo lo que brilla en el Power Point que el Gobierno ha expuesto para presumir de su gestión un año que la mayoría de españoles está deseando olvidar. El presidente del Gobierno, Pedro Sánchez, ha cerrado el año con un discurso de evaluación posterior al último cónclave con sus ministros en el que ha destacado el buen hacer del Ejecutivo y el cumplimiento de sus compromisos, pero ha olvidado en su balance que España ha sido el país que más ha sufrido el impacto de la pandemia tanto en lo sanitario, como en lo económico.</w:t>
      </w:r>
    </w:p>
    <w:p w:rsidR="007C5D83" w:rsidRPr="00DA1048" w:rsidRDefault="007C5D83" w:rsidP="00FA4DA9">
      <w:pPr>
        <w:spacing w:line="240" w:lineRule="auto"/>
        <w:jc w:val="both"/>
        <w:rPr>
          <w:rFonts w:ascii="Times New Roman" w:hAnsi="Times New Roman" w:cs="Times New Roman"/>
          <w:sz w:val="24"/>
          <w:szCs w:val="24"/>
        </w:rPr>
      </w:pPr>
      <w:r w:rsidRPr="00DA1048">
        <w:rPr>
          <w:rFonts w:ascii="Times New Roman" w:hAnsi="Times New Roman" w:cs="Times New Roman"/>
          <w:noProof/>
          <w:sz w:val="24"/>
          <w:szCs w:val="24"/>
          <w:lang w:eastAsia="es-ES"/>
        </w:rPr>
        <w:drawing>
          <wp:inline distT="0" distB="0" distL="0" distR="0" wp14:anchorId="0DA77BE2" wp14:editId="6D484C90">
            <wp:extent cx="5731397" cy="3060700"/>
            <wp:effectExtent l="0" t="0" r="3175" b="635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9"/>
                    <a:stretch>
                      <a:fillRect/>
                    </a:stretch>
                  </pic:blipFill>
                  <pic:spPr>
                    <a:xfrm>
                      <a:off x="0" y="0"/>
                      <a:ext cx="5731510" cy="3060761"/>
                    </a:xfrm>
                    <a:prstGeom prst="rect">
                      <a:avLst/>
                    </a:prstGeom>
                  </pic:spPr>
                </pic:pic>
              </a:graphicData>
            </a:graphic>
          </wp:inline>
        </w:drawing>
      </w:r>
    </w:p>
    <w:p w:rsidR="007C5D83" w:rsidRPr="00DA1048" w:rsidRDefault="007C5D83" w:rsidP="00FA4DA9">
      <w:pPr>
        <w:spacing w:line="240" w:lineRule="auto"/>
        <w:jc w:val="both"/>
        <w:rPr>
          <w:rFonts w:ascii="Times New Roman" w:hAnsi="Times New Roman" w:cs="Times New Roman"/>
          <w:sz w:val="24"/>
          <w:szCs w:val="24"/>
        </w:rPr>
      </w:pPr>
      <w:r w:rsidRPr="00DA1048">
        <w:rPr>
          <w:rFonts w:ascii="Times New Roman" w:hAnsi="Times New Roman" w:cs="Times New Roman"/>
          <w:sz w:val="24"/>
          <w:szCs w:val="24"/>
        </w:rPr>
        <w:t>Si comenzamos la disección de lo que ha sido 2020 para España por el ámbito sanitario, tenemos que lamentar el fallecimiento de 50.122 personas a causa del coronavirus. Esta cifra sitúa a España como el tercer país en el que más personas han muerto por la covid-19 de toda la Unión Europea. Solo la superan Italia, con 71.925 fallecidos, y Francia, c</w:t>
      </w:r>
      <w:r>
        <w:rPr>
          <w:rFonts w:ascii="Times New Roman" w:hAnsi="Times New Roman" w:cs="Times New Roman"/>
          <w:sz w:val="24"/>
          <w:szCs w:val="24"/>
        </w:rPr>
        <w:t xml:space="preserve">on 63.109. </w:t>
      </w:r>
    </w:p>
    <w:p w:rsidR="007C5D83" w:rsidRPr="00DA1048" w:rsidRDefault="007C5D83" w:rsidP="00FA4DA9">
      <w:pPr>
        <w:spacing w:line="240" w:lineRule="auto"/>
        <w:jc w:val="both"/>
        <w:rPr>
          <w:rFonts w:ascii="Times New Roman" w:hAnsi="Times New Roman" w:cs="Times New Roman"/>
          <w:sz w:val="24"/>
          <w:szCs w:val="24"/>
        </w:rPr>
      </w:pPr>
      <w:r w:rsidRPr="00DA1048">
        <w:rPr>
          <w:rFonts w:ascii="Times New Roman" w:hAnsi="Times New Roman" w:cs="Times New Roman"/>
          <w:sz w:val="24"/>
          <w:szCs w:val="24"/>
        </w:rPr>
        <w:t>A pesar de esta cifra de muertos, el Ministerio de Sanidad emitía este miércoles una nota</w:t>
      </w:r>
      <w:r w:rsidR="001C39FB">
        <w:rPr>
          <w:rFonts w:ascii="Times New Roman" w:hAnsi="Times New Roman" w:cs="Times New Roman"/>
          <w:sz w:val="24"/>
          <w:szCs w:val="24"/>
        </w:rPr>
        <w:t xml:space="preserve"> donde se felicitaba por haber “</w:t>
      </w:r>
      <w:r w:rsidRPr="00DA1048">
        <w:rPr>
          <w:rFonts w:ascii="Times New Roman" w:hAnsi="Times New Roman" w:cs="Times New Roman"/>
          <w:sz w:val="24"/>
          <w:szCs w:val="24"/>
        </w:rPr>
        <w:t>cumplido</w:t>
      </w:r>
      <w:r w:rsidR="001C39FB">
        <w:rPr>
          <w:rFonts w:ascii="Times New Roman" w:hAnsi="Times New Roman" w:cs="Times New Roman"/>
          <w:sz w:val="24"/>
          <w:szCs w:val="24"/>
        </w:rPr>
        <w:t xml:space="preserve"> con los compromisos adquiridos”</w:t>
      </w:r>
      <w:r w:rsidRPr="00DA1048">
        <w:rPr>
          <w:rFonts w:ascii="Times New Roman" w:hAnsi="Times New Roman" w:cs="Times New Roman"/>
          <w:sz w:val="24"/>
          <w:szCs w:val="24"/>
        </w:rPr>
        <w:t xml:space="preserve">. Si observando las </w:t>
      </w:r>
      <w:r w:rsidRPr="00DA1048">
        <w:rPr>
          <w:rFonts w:ascii="Times New Roman" w:hAnsi="Times New Roman" w:cs="Times New Roman"/>
          <w:sz w:val="24"/>
          <w:szCs w:val="24"/>
        </w:rPr>
        <w:lastRenderedPageBreak/>
        <w:t>cifras totales de fallecimientos por covid-19, España sale mal parada, atendiendo a las muertes por cada 100.000 habitantes</w:t>
      </w:r>
      <w:r>
        <w:rPr>
          <w:rFonts w:ascii="Times New Roman" w:hAnsi="Times New Roman" w:cs="Times New Roman"/>
          <w:sz w:val="24"/>
          <w:szCs w:val="24"/>
        </w:rPr>
        <w:t xml:space="preserve"> sigue sin ofrecer mejor cara. </w:t>
      </w:r>
    </w:p>
    <w:p w:rsidR="007C5D83" w:rsidRPr="00DA1048" w:rsidRDefault="007C5D83" w:rsidP="00FA4DA9">
      <w:pPr>
        <w:spacing w:line="240" w:lineRule="auto"/>
        <w:jc w:val="both"/>
        <w:rPr>
          <w:rFonts w:ascii="Times New Roman" w:hAnsi="Times New Roman" w:cs="Times New Roman"/>
          <w:sz w:val="24"/>
          <w:szCs w:val="24"/>
        </w:rPr>
      </w:pPr>
      <w:r w:rsidRPr="00DA1048">
        <w:rPr>
          <w:rFonts w:ascii="Times New Roman" w:hAnsi="Times New Roman" w:cs="Times New Roman"/>
          <w:sz w:val="24"/>
          <w:szCs w:val="24"/>
        </w:rPr>
        <w:t>En este sentido, en España han muerto 107 personas de cada 100.000 por coronavirus. Esto la sitúa en el quinto lugar, entre los países de la Unión Europea, del ranking de fallecimientos en relación a la población total. Por tanto, queda desechado el argumento de que el mayor número de muertes de españoles se deba a un mayor tamaño de la población. La media europea de muertes covid p</w:t>
      </w:r>
      <w:r>
        <w:rPr>
          <w:rFonts w:ascii="Times New Roman" w:hAnsi="Times New Roman" w:cs="Times New Roman"/>
          <w:sz w:val="24"/>
          <w:szCs w:val="24"/>
        </w:rPr>
        <w:t>or 100.000 habitantes es de 70.</w:t>
      </w:r>
    </w:p>
    <w:p w:rsidR="007C5D83" w:rsidRDefault="007C5D83" w:rsidP="00FA4DA9">
      <w:pPr>
        <w:spacing w:line="240" w:lineRule="auto"/>
        <w:jc w:val="both"/>
        <w:rPr>
          <w:rFonts w:ascii="Times New Roman" w:hAnsi="Times New Roman" w:cs="Times New Roman"/>
          <w:sz w:val="24"/>
          <w:szCs w:val="24"/>
        </w:rPr>
      </w:pPr>
      <w:r w:rsidRPr="00DA1048">
        <w:rPr>
          <w:rFonts w:ascii="Times New Roman" w:hAnsi="Times New Roman" w:cs="Times New Roman"/>
          <w:sz w:val="24"/>
          <w:szCs w:val="24"/>
        </w:rPr>
        <w:t>Solo superan a España cuatro países: Bélgica, con 167 fallecidos por 100.000 habitantes, Eslovenia, con 124, Italia, con 120 e Irlanda, con 118. A pesar del confinamiento y las múltiples restricciones que ha impuesto el Gobierno central y los gobiernos autonómicos estos meses, el resultado objetivo y cuantificable, que es el de</w:t>
      </w:r>
      <w:r>
        <w:rPr>
          <w:rFonts w:ascii="Times New Roman" w:hAnsi="Times New Roman" w:cs="Times New Roman"/>
          <w:sz w:val="24"/>
          <w:szCs w:val="24"/>
        </w:rPr>
        <w:t xml:space="preserve"> los muertos, es de los peores.</w:t>
      </w:r>
    </w:p>
    <w:p w:rsidR="007C5D83" w:rsidRPr="00DA1048" w:rsidRDefault="007C5D83" w:rsidP="00FA4DA9">
      <w:pPr>
        <w:spacing w:line="240" w:lineRule="auto"/>
        <w:jc w:val="both"/>
        <w:rPr>
          <w:rFonts w:ascii="Times New Roman" w:hAnsi="Times New Roman" w:cs="Times New Roman"/>
          <w:sz w:val="24"/>
          <w:szCs w:val="24"/>
        </w:rPr>
      </w:pPr>
      <w:r w:rsidRPr="00DA1048">
        <w:rPr>
          <w:rFonts w:ascii="Times New Roman" w:hAnsi="Times New Roman" w:cs="Times New Roman"/>
          <w:noProof/>
          <w:sz w:val="24"/>
          <w:szCs w:val="24"/>
          <w:lang w:eastAsia="es-ES"/>
        </w:rPr>
        <w:drawing>
          <wp:inline distT="0" distB="0" distL="0" distR="0" wp14:anchorId="09AE2AC0" wp14:editId="79AAB3BB">
            <wp:extent cx="5734050" cy="2622550"/>
            <wp:effectExtent l="0" t="0" r="0" b="635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0"/>
                    <a:stretch>
                      <a:fillRect/>
                    </a:stretch>
                  </pic:blipFill>
                  <pic:spPr>
                    <a:xfrm>
                      <a:off x="0" y="0"/>
                      <a:ext cx="5731510" cy="2621388"/>
                    </a:xfrm>
                    <a:prstGeom prst="rect">
                      <a:avLst/>
                    </a:prstGeom>
                  </pic:spPr>
                </pic:pic>
              </a:graphicData>
            </a:graphic>
          </wp:inline>
        </w:drawing>
      </w:r>
    </w:p>
    <w:p w:rsidR="007C5D83" w:rsidRPr="00DA1048" w:rsidRDefault="007C5D83" w:rsidP="00FA4DA9">
      <w:pPr>
        <w:spacing w:line="240" w:lineRule="auto"/>
        <w:jc w:val="both"/>
        <w:rPr>
          <w:rFonts w:ascii="Times New Roman" w:hAnsi="Times New Roman" w:cs="Times New Roman"/>
          <w:sz w:val="24"/>
          <w:szCs w:val="24"/>
        </w:rPr>
      </w:pPr>
      <w:r w:rsidRPr="00DA1048">
        <w:rPr>
          <w:rFonts w:ascii="Times New Roman" w:hAnsi="Times New Roman" w:cs="Times New Roman"/>
          <w:sz w:val="24"/>
          <w:szCs w:val="24"/>
        </w:rPr>
        <w:t>La sanidad se ha llevado el peor golpe de la pandemia, pero la economía no se queda atrás. Los confinamientos y las medidas de distancia social han supuesto un duro impacto en la economía del país. De acuerdo con los datos recopilados por el Centro Europeo para la Prevención y Control de Enfermedades (ECDC) sobre las medidas llevadas a cabo por los países de la Unión Europea en esta pandemia, España es uno de los países que más ha confinado a su</w:t>
      </w:r>
      <w:r>
        <w:rPr>
          <w:rFonts w:ascii="Times New Roman" w:hAnsi="Times New Roman" w:cs="Times New Roman"/>
          <w:sz w:val="24"/>
          <w:szCs w:val="24"/>
        </w:rPr>
        <w:t>s ciudadanos de toda la región.</w:t>
      </w:r>
    </w:p>
    <w:p w:rsidR="007C5D83" w:rsidRPr="00DA1048" w:rsidRDefault="007C5D83" w:rsidP="00FA4DA9">
      <w:pPr>
        <w:spacing w:line="240" w:lineRule="auto"/>
        <w:jc w:val="both"/>
        <w:rPr>
          <w:rFonts w:ascii="Times New Roman" w:hAnsi="Times New Roman" w:cs="Times New Roman"/>
          <w:sz w:val="24"/>
          <w:szCs w:val="24"/>
        </w:rPr>
      </w:pPr>
      <w:r w:rsidRPr="00DA1048">
        <w:rPr>
          <w:rFonts w:ascii="Times New Roman" w:hAnsi="Times New Roman" w:cs="Times New Roman"/>
          <w:sz w:val="24"/>
          <w:szCs w:val="24"/>
        </w:rPr>
        <w:t>El ECDC ha recogido los días de confinamiento total o parcial de los 27 Estados miembros de la Unión Europea y España es el cuarto país que más días ha confinado a su población. Entre confinamientos totales y parciales, nuestro país acumula 125 días en los que la actividad eco</w:t>
      </w:r>
      <w:r>
        <w:rPr>
          <w:rFonts w:ascii="Times New Roman" w:hAnsi="Times New Roman" w:cs="Times New Roman"/>
          <w:sz w:val="24"/>
          <w:szCs w:val="24"/>
        </w:rPr>
        <w:t xml:space="preserve">nómica no ha podido funcionar. </w:t>
      </w:r>
    </w:p>
    <w:p w:rsidR="007C5D83" w:rsidRDefault="007C5D83" w:rsidP="00FA4DA9">
      <w:pPr>
        <w:spacing w:line="240" w:lineRule="auto"/>
        <w:jc w:val="both"/>
        <w:rPr>
          <w:rFonts w:ascii="Times New Roman" w:hAnsi="Times New Roman" w:cs="Times New Roman"/>
          <w:sz w:val="24"/>
          <w:szCs w:val="24"/>
        </w:rPr>
      </w:pPr>
      <w:r w:rsidRPr="00DA1048">
        <w:rPr>
          <w:rFonts w:ascii="Times New Roman" w:hAnsi="Times New Roman" w:cs="Times New Roman"/>
          <w:sz w:val="24"/>
          <w:szCs w:val="24"/>
        </w:rPr>
        <w:t xml:space="preserve">La imposición de medidas tan restrictivas no es, ni mucho menos, la tónica habitual en Europa. Así, solo tres países han pasado más días confinados que España: Francia (139), Rumanía (134) y Bélgica (130). Algunos países no han decretado ni un solo día de confinamiento, como es el caso de Finlandia, Suecia o Países Bajos. Las cifras de fallecimientos en relación a la población de estos Estados son, además, muy inferiores a las de España </w:t>
      </w:r>
      <w:r>
        <w:rPr>
          <w:rFonts w:ascii="Times New Roman" w:hAnsi="Times New Roman" w:cs="Times New Roman"/>
          <w:sz w:val="24"/>
          <w:szCs w:val="24"/>
        </w:rPr>
        <w:t xml:space="preserve">(9, 80 y 63, respectivamente). </w:t>
      </w:r>
    </w:p>
    <w:p w:rsidR="007A5C27" w:rsidRDefault="007A5C27" w:rsidP="00FA4DA9">
      <w:pPr>
        <w:spacing w:line="240" w:lineRule="auto"/>
        <w:jc w:val="both"/>
        <w:rPr>
          <w:rFonts w:ascii="Times New Roman" w:hAnsi="Times New Roman" w:cs="Times New Roman"/>
          <w:sz w:val="24"/>
          <w:szCs w:val="24"/>
        </w:rPr>
      </w:pPr>
    </w:p>
    <w:p w:rsidR="007A5C27" w:rsidRPr="00DA1048" w:rsidRDefault="007A5C27" w:rsidP="00FA4DA9">
      <w:pPr>
        <w:spacing w:line="240" w:lineRule="auto"/>
        <w:jc w:val="both"/>
        <w:rPr>
          <w:rFonts w:ascii="Times New Roman" w:hAnsi="Times New Roman" w:cs="Times New Roman"/>
          <w:sz w:val="24"/>
          <w:szCs w:val="24"/>
        </w:rPr>
      </w:pPr>
    </w:p>
    <w:p w:rsidR="007C5D83" w:rsidRPr="00DA1048" w:rsidRDefault="007C5D83" w:rsidP="00FA4DA9">
      <w:pPr>
        <w:spacing w:line="240" w:lineRule="auto"/>
        <w:jc w:val="both"/>
        <w:rPr>
          <w:rFonts w:ascii="Times New Roman" w:hAnsi="Times New Roman" w:cs="Times New Roman"/>
          <w:sz w:val="24"/>
          <w:szCs w:val="24"/>
        </w:rPr>
      </w:pPr>
      <w:r w:rsidRPr="00DA1048">
        <w:rPr>
          <w:rFonts w:ascii="Times New Roman" w:hAnsi="Times New Roman" w:cs="Times New Roman"/>
          <w:sz w:val="24"/>
          <w:szCs w:val="24"/>
        </w:rPr>
        <w:lastRenderedPageBreak/>
        <w:t>Debacle económica</w:t>
      </w:r>
    </w:p>
    <w:p w:rsidR="007C5D83" w:rsidRPr="00DA1048" w:rsidRDefault="007C5D83" w:rsidP="00FA4DA9">
      <w:pPr>
        <w:spacing w:line="240" w:lineRule="auto"/>
        <w:jc w:val="both"/>
        <w:rPr>
          <w:rFonts w:ascii="Times New Roman" w:hAnsi="Times New Roman" w:cs="Times New Roman"/>
          <w:sz w:val="24"/>
          <w:szCs w:val="24"/>
        </w:rPr>
      </w:pPr>
      <w:r w:rsidRPr="00DA1048">
        <w:rPr>
          <w:rFonts w:ascii="Times New Roman" w:hAnsi="Times New Roman" w:cs="Times New Roman"/>
          <w:sz w:val="24"/>
          <w:szCs w:val="24"/>
        </w:rPr>
        <w:t>Precisamente el confinamiento tan prolongado en España, unido a otros factores como la predominancia de pymes en el tejido productivo, la elevada temporalidad del mercado de trabajo, la dependencia del sector turístico y el escaso margen fiscal de las cuentas públicas, han provocado que España haya sido la economía con la mayor caída del Producto Interior Bruto (</w:t>
      </w:r>
      <w:r>
        <w:rPr>
          <w:rFonts w:ascii="Times New Roman" w:hAnsi="Times New Roman" w:cs="Times New Roman"/>
          <w:sz w:val="24"/>
          <w:szCs w:val="24"/>
        </w:rPr>
        <w:t xml:space="preserve">PIB) de toda la Unión Europea. </w:t>
      </w:r>
    </w:p>
    <w:p w:rsidR="007C5D83" w:rsidRDefault="007C5D83" w:rsidP="00FA4DA9">
      <w:pPr>
        <w:spacing w:line="240" w:lineRule="auto"/>
        <w:jc w:val="both"/>
        <w:rPr>
          <w:rFonts w:ascii="Times New Roman" w:hAnsi="Times New Roman" w:cs="Times New Roman"/>
          <w:sz w:val="24"/>
          <w:szCs w:val="24"/>
        </w:rPr>
      </w:pPr>
      <w:r w:rsidRPr="00DA1048">
        <w:rPr>
          <w:rFonts w:ascii="Times New Roman" w:hAnsi="Times New Roman" w:cs="Times New Roman"/>
          <w:sz w:val="24"/>
          <w:szCs w:val="24"/>
        </w:rPr>
        <w:t>Según las últimas proyecciones económicas publicadas por la Comisión Europea, no sólo la economía española sufrirá en 2020 el mayor descalabro de las veintisiete potencias que componen la UE, sino que será la que más tardará en salir de la crisis: a cierre de 2022, el PIB seguirá siendo un 3,3% inferior al nivel pre-pandemia, mientras que la mayoría de los países de nuestro entorno y</w:t>
      </w:r>
      <w:r>
        <w:rPr>
          <w:rFonts w:ascii="Times New Roman" w:hAnsi="Times New Roman" w:cs="Times New Roman"/>
          <w:sz w:val="24"/>
          <w:szCs w:val="24"/>
        </w:rPr>
        <w:t>a habrán recuperado lo perdido.</w:t>
      </w:r>
    </w:p>
    <w:p w:rsidR="007C5D83" w:rsidRPr="00DA1048" w:rsidRDefault="007C5D83" w:rsidP="00FA4DA9">
      <w:pPr>
        <w:spacing w:line="240" w:lineRule="auto"/>
        <w:jc w:val="both"/>
        <w:rPr>
          <w:rFonts w:ascii="Times New Roman" w:hAnsi="Times New Roman" w:cs="Times New Roman"/>
          <w:sz w:val="24"/>
          <w:szCs w:val="24"/>
        </w:rPr>
      </w:pPr>
      <w:r w:rsidRPr="00DA1048">
        <w:rPr>
          <w:rFonts w:ascii="Times New Roman" w:hAnsi="Times New Roman" w:cs="Times New Roman"/>
          <w:noProof/>
          <w:sz w:val="24"/>
          <w:szCs w:val="24"/>
          <w:lang w:eastAsia="es-ES"/>
        </w:rPr>
        <w:drawing>
          <wp:inline distT="0" distB="0" distL="0" distR="0" wp14:anchorId="24BDFEAD" wp14:editId="27E00280">
            <wp:extent cx="5727699" cy="2355850"/>
            <wp:effectExtent l="0" t="0" r="6985" b="635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1"/>
                    <a:stretch>
                      <a:fillRect/>
                    </a:stretch>
                  </pic:blipFill>
                  <pic:spPr>
                    <a:xfrm>
                      <a:off x="0" y="0"/>
                      <a:ext cx="5731510" cy="2357417"/>
                    </a:xfrm>
                    <a:prstGeom prst="rect">
                      <a:avLst/>
                    </a:prstGeom>
                  </pic:spPr>
                </pic:pic>
              </a:graphicData>
            </a:graphic>
          </wp:inline>
        </w:drawing>
      </w:r>
    </w:p>
    <w:p w:rsidR="007C5D83" w:rsidRPr="00DA1048" w:rsidRDefault="007C5D83" w:rsidP="00FA4DA9">
      <w:pPr>
        <w:spacing w:line="240" w:lineRule="auto"/>
        <w:jc w:val="both"/>
        <w:rPr>
          <w:rFonts w:ascii="Times New Roman" w:hAnsi="Times New Roman" w:cs="Times New Roman"/>
          <w:sz w:val="24"/>
          <w:szCs w:val="24"/>
        </w:rPr>
      </w:pPr>
      <w:r w:rsidRPr="00DA1048">
        <w:rPr>
          <w:rFonts w:ascii="Times New Roman" w:hAnsi="Times New Roman" w:cs="Times New Roman"/>
          <w:sz w:val="24"/>
          <w:szCs w:val="24"/>
        </w:rPr>
        <w:t>El PIB español caerá un 12,4% este año, prevé Bruselas, liderando las caídas por delante de Italia (-9,9%), Croacia (-9,6%), Francia (-9,4%), Portugal (-9,3%) y Grecia (-9%). De media, la UE caerá un 7,4%, siendo Suecia, Irlanda y Lituania, los países con menos caídas (-3,4%, -</w:t>
      </w:r>
      <w:r>
        <w:rPr>
          <w:rFonts w:ascii="Times New Roman" w:hAnsi="Times New Roman" w:cs="Times New Roman"/>
          <w:sz w:val="24"/>
          <w:szCs w:val="24"/>
        </w:rPr>
        <w:t>2,3% y -2,2%, respectivamente).</w:t>
      </w:r>
    </w:p>
    <w:p w:rsidR="007C5D83" w:rsidRPr="00DA1048" w:rsidRDefault="007C5D83" w:rsidP="00FA4DA9">
      <w:pPr>
        <w:spacing w:line="240" w:lineRule="auto"/>
        <w:jc w:val="both"/>
        <w:rPr>
          <w:rFonts w:ascii="Times New Roman" w:hAnsi="Times New Roman" w:cs="Times New Roman"/>
          <w:sz w:val="24"/>
          <w:szCs w:val="24"/>
        </w:rPr>
      </w:pPr>
      <w:r w:rsidRPr="00DA1048">
        <w:rPr>
          <w:rFonts w:ascii="Times New Roman" w:hAnsi="Times New Roman" w:cs="Times New Roman"/>
          <w:sz w:val="24"/>
          <w:szCs w:val="24"/>
        </w:rPr>
        <w:t>Esta contracción económica, más grave que la del resto de países europeos, ha provocado en España una mayor destrucción de empleos, incluso a pesar de que España ha intentado mantener el mercado laboral mediante los Expedientes de Regulación Temporal de Empleo (ERTE), un paraguas en el que todaví</w:t>
      </w:r>
      <w:r>
        <w:rPr>
          <w:rFonts w:ascii="Times New Roman" w:hAnsi="Times New Roman" w:cs="Times New Roman"/>
          <w:sz w:val="24"/>
          <w:szCs w:val="24"/>
        </w:rPr>
        <w:t xml:space="preserve">a se cobijan 750.000 personas. </w:t>
      </w:r>
    </w:p>
    <w:p w:rsidR="007C5D83" w:rsidRPr="00DA1048" w:rsidRDefault="007C5D83" w:rsidP="00FA4DA9">
      <w:pPr>
        <w:spacing w:line="240" w:lineRule="auto"/>
        <w:jc w:val="both"/>
        <w:rPr>
          <w:rFonts w:ascii="Times New Roman" w:hAnsi="Times New Roman" w:cs="Times New Roman"/>
          <w:sz w:val="24"/>
          <w:szCs w:val="24"/>
        </w:rPr>
      </w:pPr>
      <w:r w:rsidRPr="00DA1048">
        <w:rPr>
          <w:rFonts w:ascii="Times New Roman" w:hAnsi="Times New Roman" w:cs="Times New Roman"/>
          <w:sz w:val="24"/>
          <w:szCs w:val="24"/>
        </w:rPr>
        <w:t>Un millón de empleos perdidos</w:t>
      </w:r>
    </w:p>
    <w:p w:rsidR="007C5D83" w:rsidRPr="00DA1048" w:rsidRDefault="007C5D83" w:rsidP="00FA4DA9">
      <w:pPr>
        <w:spacing w:line="240" w:lineRule="auto"/>
        <w:jc w:val="both"/>
        <w:rPr>
          <w:rFonts w:ascii="Times New Roman" w:hAnsi="Times New Roman" w:cs="Times New Roman"/>
          <w:sz w:val="24"/>
          <w:szCs w:val="24"/>
        </w:rPr>
      </w:pPr>
      <w:r w:rsidRPr="00DA1048">
        <w:rPr>
          <w:rFonts w:ascii="Times New Roman" w:hAnsi="Times New Roman" w:cs="Times New Roman"/>
          <w:sz w:val="24"/>
          <w:szCs w:val="24"/>
        </w:rPr>
        <w:t>El parón económico unido a la idiosincrasia del mercado laboral han provocado que en el país hayan dejado de trabajar un millón de personas desde mediados de marzo, entre los 370.000 que han perdido su puesto de trabajo -la mayoría del sector servicios- y los que se encuentran en ERTE cobran</w:t>
      </w:r>
      <w:r>
        <w:rPr>
          <w:rFonts w:ascii="Times New Roman" w:hAnsi="Times New Roman" w:cs="Times New Roman"/>
          <w:sz w:val="24"/>
          <w:szCs w:val="24"/>
        </w:rPr>
        <w:t>do la prestación por desempleo.</w:t>
      </w:r>
    </w:p>
    <w:p w:rsidR="007C5D83" w:rsidRDefault="001C39FB"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7C5D83" w:rsidRPr="00DA1048">
        <w:rPr>
          <w:rFonts w:ascii="Times New Roman" w:hAnsi="Times New Roman" w:cs="Times New Roman"/>
          <w:sz w:val="24"/>
          <w:szCs w:val="24"/>
        </w:rPr>
        <w:t>No ha sido una sorpresa que las pérdidas de empleo hayan sido superiores en países como España, donde la proporción de c</w:t>
      </w:r>
      <w:r>
        <w:rPr>
          <w:rFonts w:ascii="Times New Roman" w:hAnsi="Times New Roman" w:cs="Times New Roman"/>
          <w:sz w:val="24"/>
          <w:szCs w:val="24"/>
        </w:rPr>
        <w:t>ontratos temporales es más alta”</w:t>
      </w:r>
      <w:r w:rsidR="007C5D83" w:rsidRPr="00DA1048">
        <w:rPr>
          <w:rFonts w:ascii="Times New Roman" w:hAnsi="Times New Roman" w:cs="Times New Roman"/>
          <w:sz w:val="24"/>
          <w:szCs w:val="24"/>
        </w:rPr>
        <w:t>, admitía Bruselas en su Informe de otoño, en el que proyecta una tasa de paro del 16,7% a cierre de 2020 -sin contar los empleados en ERTE-, que segu</w:t>
      </w:r>
      <w:r w:rsidR="007C5D83">
        <w:rPr>
          <w:rFonts w:ascii="Times New Roman" w:hAnsi="Times New Roman" w:cs="Times New Roman"/>
          <w:sz w:val="24"/>
          <w:szCs w:val="24"/>
        </w:rPr>
        <w:t xml:space="preserve">irá aumentando en 2021 y 2022. </w:t>
      </w:r>
    </w:p>
    <w:p w:rsidR="007C5D83" w:rsidRPr="00DA1048" w:rsidRDefault="007C5D83" w:rsidP="00FA4DA9">
      <w:pPr>
        <w:spacing w:line="240" w:lineRule="auto"/>
        <w:jc w:val="both"/>
        <w:rPr>
          <w:rFonts w:ascii="Times New Roman" w:hAnsi="Times New Roman" w:cs="Times New Roman"/>
          <w:sz w:val="24"/>
          <w:szCs w:val="24"/>
        </w:rPr>
      </w:pPr>
      <w:r w:rsidRPr="00DA1048">
        <w:rPr>
          <w:rFonts w:ascii="Times New Roman" w:hAnsi="Times New Roman" w:cs="Times New Roman"/>
          <w:noProof/>
          <w:sz w:val="24"/>
          <w:szCs w:val="24"/>
          <w:lang w:eastAsia="es-ES"/>
        </w:rPr>
        <w:lastRenderedPageBreak/>
        <w:drawing>
          <wp:inline distT="0" distB="0" distL="0" distR="0" wp14:anchorId="57CC9F32" wp14:editId="600431EE">
            <wp:extent cx="5727699" cy="2667000"/>
            <wp:effectExtent l="0" t="0" r="6985" b="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2"/>
                    <a:stretch>
                      <a:fillRect/>
                    </a:stretch>
                  </pic:blipFill>
                  <pic:spPr>
                    <a:xfrm>
                      <a:off x="0" y="0"/>
                      <a:ext cx="5731510" cy="2668774"/>
                    </a:xfrm>
                    <a:prstGeom prst="rect">
                      <a:avLst/>
                    </a:prstGeom>
                  </pic:spPr>
                </pic:pic>
              </a:graphicData>
            </a:graphic>
          </wp:inline>
        </w:drawing>
      </w:r>
    </w:p>
    <w:p w:rsidR="007C5D83" w:rsidRDefault="007C5D83" w:rsidP="00FA4DA9">
      <w:pPr>
        <w:spacing w:line="240" w:lineRule="auto"/>
        <w:jc w:val="both"/>
        <w:rPr>
          <w:rFonts w:ascii="Times New Roman" w:hAnsi="Times New Roman" w:cs="Times New Roman"/>
          <w:sz w:val="24"/>
          <w:szCs w:val="24"/>
        </w:rPr>
      </w:pPr>
      <w:r w:rsidRPr="00DA1048">
        <w:rPr>
          <w:rFonts w:ascii="Times New Roman" w:hAnsi="Times New Roman" w:cs="Times New Roman"/>
          <w:sz w:val="24"/>
          <w:szCs w:val="24"/>
        </w:rPr>
        <w:t>Sólo Grecia superará este año a España en tasa de paro, pero en los próximos dos ejercicios será nuestro país el que l</w:t>
      </w:r>
      <w:r>
        <w:rPr>
          <w:rFonts w:ascii="Times New Roman" w:hAnsi="Times New Roman" w:cs="Times New Roman"/>
          <w:sz w:val="24"/>
          <w:szCs w:val="24"/>
        </w:rPr>
        <w:t>idere el desempleo en la Unión.</w:t>
      </w:r>
    </w:p>
    <w:p w:rsidR="007C5D83" w:rsidRPr="00DA1048" w:rsidRDefault="007C5D83" w:rsidP="00FA4DA9">
      <w:pPr>
        <w:spacing w:line="240" w:lineRule="auto"/>
        <w:jc w:val="both"/>
        <w:rPr>
          <w:rFonts w:ascii="Times New Roman" w:hAnsi="Times New Roman" w:cs="Times New Roman"/>
          <w:sz w:val="24"/>
          <w:szCs w:val="24"/>
        </w:rPr>
      </w:pPr>
      <w:r w:rsidRPr="00DA1048">
        <w:rPr>
          <w:rFonts w:ascii="Times New Roman" w:hAnsi="Times New Roman" w:cs="Times New Roman"/>
          <w:noProof/>
          <w:sz w:val="24"/>
          <w:szCs w:val="24"/>
          <w:lang w:eastAsia="es-ES"/>
        </w:rPr>
        <w:drawing>
          <wp:inline distT="0" distB="0" distL="0" distR="0" wp14:anchorId="1BFC5F77" wp14:editId="3BE71034">
            <wp:extent cx="5732967" cy="2705100"/>
            <wp:effectExtent l="0" t="0" r="1270"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3"/>
                    <a:stretch>
                      <a:fillRect/>
                    </a:stretch>
                  </pic:blipFill>
                  <pic:spPr>
                    <a:xfrm>
                      <a:off x="0" y="0"/>
                      <a:ext cx="5731510" cy="2704413"/>
                    </a:xfrm>
                    <a:prstGeom prst="rect">
                      <a:avLst/>
                    </a:prstGeom>
                  </pic:spPr>
                </pic:pic>
              </a:graphicData>
            </a:graphic>
          </wp:inline>
        </w:drawing>
      </w:r>
    </w:p>
    <w:p w:rsidR="007C5D83" w:rsidRPr="00DA1048" w:rsidRDefault="007C5D83" w:rsidP="00FA4DA9">
      <w:pPr>
        <w:spacing w:line="240" w:lineRule="auto"/>
        <w:jc w:val="both"/>
        <w:rPr>
          <w:rFonts w:ascii="Times New Roman" w:hAnsi="Times New Roman" w:cs="Times New Roman"/>
          <w:sz w:val="24"/>
          <w:szCs w:val="24"/>
        </w:rPr>
      </w:pPr>
      <w:r w:rsidRPr="00DA1048">
        <w:rPr>
          <w:rFonts w:ascii="Times New Roman" w:hAnsi="Times New Roman" w:cs="Times New Roman"/>
          <w:sz w:val="24"/>
          <w:szCs w:val="24"/>
        </w:rPr>
        <w:t>A diferencia de lo que ocurrió en la crisis de 2008, en la que Grecia ostentó el liderazgo en paro, España será esta ocasión el país con más personas desempleadas, un drama especialmente palpable entre los jóvenes. Según los últimos datos de la OCDE, de cierre de octubre, un 40,5% de la población joven de entre 15 y 24 años está en paro en España, lo que nos convierte en el país con una tasa de pa</w:t>
      </w:r>
      <w:r>
        <w:rPr>
          <w:rFonts w:ascii="Times New Roman" w:hAnsi="Times New Roman" w:cs="Times New Roman"/>
          <w:sz w:val="24"/>
          <w:szCs w:val="24"/>
        </w:rPr>
        <w:t xml:space="preserve">ro juvenil más elevada. </w:t>
      </w:r>
    </w:p>
    <w:p w:rsidR="007C5D83" w:rsidRPr="00DA1048" w:rsidRDefault="007C5D83" w:rsidP="00FA4DA9">
      <w:pPr>
        <w:spacing w:line="240" w:lineRule="auto"/>
        <w:jc w:val="both"/>
        <w:rPr>
          <w:rFonts w:ascii="Times New Roman" w:hAnsi="Times New Roman" w:cs="Times New Roman"/>
          <w:sz w:val="24"/>
          <w:szCs w:val="24"/>
        </w:rPr>
      </w:pPr>
      <w:r w:rsidRPr="00DA1048">
        <w:rPr>
          <w:rFonts w:ascii="Times New Roman" w:hAnsi="Times New Roman" w:cs="Times New Roman"/>
          <w:sz w:val="24"/>
          <w:szCs w:val="24"/>
        </w:rPr>
        <w:t>A esta destrucción de empleo hay que añadir que la pandemia ha provocado la desaparición de 85.950 compañías sólo hasta octubre, una cifra que todavía no se puede comparar con el impacto en el tejido productivo de otros países po</w:t>
      </w:r>
      <w:r>
        <w:rPr>
          <w:rFonts w:ascii="Times New Roman" w:hAnsi="Times New Roman" w:cs="Times New Roman"/>
          <w:sz w:val="24"/>
          <w:szCs w:val="24"/>
        </w:rPr>
        <w:t>r ausencia de datos.</w:t>
      </w:r>
    </w:p>
    <w:p w:rsidR="007C5D83" w:rsidRPr="00DA1048" w:rsidRDefault="007C5D83" w:rsidP="00FA4DA9">
      <w:pPr>
        <w:spacing w:line="240" w:lineRule="auto"/>
        <w:jc w:val="both"/>
        <w:rPr>
          <w:rFonts w:ascii="Times New Roman" w:hAnsi="Times New Roman" w:cs="Times New Roman"/>
          <w:sz w:val="24"/>
          <w:szCs w:val="24"/>
        </w:rPr>
      </w:pPr>
      <w:r w:rsidRPr="00DA1048">
        <w:rPr>
          <w:rFonts w:ascii="Times New Roman" w:hAnsi="Times New Roman" w:cs="Times New Roman"/>
          <w:sz w:val="24"/>
          <w:szCs w:val="24"/>
        </w:rPr>
        <w:t>El mayor agujero presupuestario de la UE</w:t>
      </w:r>
    </w:p>
    <w:p w:rsidR="007C5D83" w:rsidRPr="00DA1048" w:rsidRDefault="007C5D83" w:rsidP="00FA4DA9">
      <w:pPr>
        <w:spacing w:line="240" w:lineRule="auto"/>
        <w:jc w:val="both"/>
        <w:rPr>
          <w:rFonts w:ascii="Times New Roman" w:hAnsi="Times New Roman" w:cs="Times New Roman"/>
          <w:sz w:val="24"/>
          <w:szCs w:val="24"/>
        </w:rPr>
      </w:pPr>
      <w:r w:rsidRPr="00DA1048">
        <w:rPr>
          <w:rFonts w:ascii="Times New Roman" w:hAnsi="Times New Roman" w:cs="Times New Roman"/>
          <w:sz w:val="24"/>
          <w:szCs w:val="24"/>
        </w:rPr>
        <w:t xml:space="preserve">Fruto de la crisis, el Estado ha sufrido este ejercicio la mayor caída de la recaudación tributaria en once años, lo que unido al fuerte aumento del gasto público que ha realizado el Ejecutivo (tanto en gasto sanitario como en medidas de protección de rentas, como los ERTE, </w:t>
      </w:r>
      <w:r w:rsidRPr="00DA1048">
        <w:rPr>
          <w:rFonts w:ascii="Times New Roman" w:hAnsi="Times New Roman" w:cs="Times New Roman"/>
          <w:sz w:val="24"/>
          <w:szCs w:val="24"/>
        </w:rPr>
        <w:lastRenderedPageBreak/>
        <w:t>el Ingreso Mínimo Vital y otras ayudas) ha engordado la brecha en</w:t>
      </w:r>
      <w:r>
        <w:rPr>
          <w:rFonts w:ascii="Times New Roman" w:hAnsi="Times New Roman" w:cs="Times New Roman"/>
          <w:sz w:val="24"/>
          <w:szCs w:val="24"/>
        </w:rPr>
        <w:t xml:space="preserve">tre los ingresos y los gastos. </w:t>
      </w:r>
    </w:p>
    <w:p w:rsidR="007C5D83" w:rsidRPr="00DA1048" w:rsidRDefault="007C5D83" w:rsidP="00FA4DA9">
      <w:pPr>
        <w:spacing w:line="240" w:lineRule="auto"/>
        <w:jc w:val="both"/>
        <w:rPr>
          <w:rFonts w:ascii="Times New Roman" w:hAnsi="Times New Roman" w:cs="Times New Roman"/>
          <w:sz w:val="24"/>
          <w:szCs w:val="24"/>
        </w:rPr>
      </w:pPr>
      <w:r w:rsidRPr="00DA1048">
        <w:rPr>
          <w:rFonts w:ascii="Times New Roman" w:hAnsi="Times New Roman" w:cs="Times New Roman"/>
          <w:sz w:val="24"/>
          <w:szCs w:val="24"/>
        </w:rPr>
        <w:t xml:space="preserve">España ya cerró 2019 con un déficit público del 2,5% del PIB, es decir, sin margen fiscal para poder hacer frente a medidas de apoyo o estímulo como las que ha podido desplegar </w:t>
      </w:r>
      <w:r>
        <w:rPr>
          <w:rFonts w:ascii="Times New Roman" w:hAnsi="Times New Roman" w:cs="Times New Roman"/>
          <w:sz w:val="24"/>
          <w:szCs w:val="24"/>
        </w:rPr>
        <w:t xml:space="preserve">Alemania, que tenía superávit. </w:t>
      </w:r>
    </w:p>
    <w:p w:rsidR="007C5D83" w:rsidRDefault="007C5D83" w:rsidP="00FA4DA9">
      <w:pPr>
        <w:spacing w:line="240" w:lineRule="auto"/>
        <w:jc w:val="both"/>
        <w:rPr>
          <w:rFonts w:ascii="Times New Roman" w:hAnsi="Times New Roman" w:cs="Times New Roman"/>
          <w:sz w:val="24"/>
          <w:szCs w:val="24"/>
        </w:rPr>
      </w:pPr>
      <w:r w:rsidRPr="00DA1048">
        <w:rPr>
          <w:rFonts w:ascii="Times New Roman" w:hAnsi="Times New Roman" w:cs="Times New Roman"/>
          <w:sz w:val="24"/>
          <w:szCs w:val="24"/>
        </w:rPr>
        <w:t>Sin embargo, ese desfase presupuestario se disparará este año hasta el 12,2% del PIB, más de 140.000 millones de euros, el mayor de toda la Unión Europea, seguida de Bélgica, Francia e Italia, que también tendr</w:t>
      </w:r>
      <w:r>
        <w:rPr>
          <w:rFonts w:ascii="Times New Roman" w:hAnsi="Times New Roman" w:cs="Times New Roman"/>
          <w:sz w:val="24"/>
          <w:szCs w:val="24"/>
        </w:rPr>
        <w:t>án desfases por encima del 10%.</w:t>
      </w:r>
    </w:p>
    <w:p w:rsidR="007C5D83" w:rsidRPr="00DA1048" w:rsidRDefault="007C5D83" w:rsidP="00FA4DA9">
      <w:pPr>
        <w:spacing w:line="240" w:lineRule="auto"/>
        <w:jc w:val="both"/>
        <w:rPr>
          <w:rFonts w:ascii="Times New Roman" w:hAnsi="Times New Roman" w:cs="Times New Roman"/>
          <w:sz w:val="24"/>
          <w:szCs w:val="24"/>
        </w:rPr>
      </w:pPr>
      <w:r w:rsidRPr="00DA1048">
        <w:rPr>
          <w:rFonts w:ascii="Times New Roman" w:hAnsi="Times New Roman" w:cs="Times New Roman"/>
          <w:noProof/>
          <w:sz w:val="24"/>
          <w:szCs w:val="24"/>
          <w:lang w:eastAsia="es-ES"/>
        </w:rPr>
        <w:drawing>
          <wp:inline distT="0" distB="0" distL="0" distR="0" wp14:anchorId="2A6568AB" wp14:editId="0F6D306E">
            <wp:extent cx="5727700" cy="2711450"/>
            <wp:effectExtent l="0" t="0" r="6350" b="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4"/>
                    <a:stretch>
                      <a:fillRect/>
                    </a:stretch>
                  </pic:blipFill>
                  <pic:spPr>
                    <a:xfrm>
                      <a:off x="0" y="0"/>
                      <a:ext cx="5731510" cy="2713254"/>
                    </a:xfrm>
                    <a:prstGeom prst="rect">
                      <a:avLst/>
                    </a:prstGeom>
                  </pic:spPr>
                </pic:pic>
              </a:graphicData>
            </a:graphic>
          </wp:inline>
        </w:drawing>
      </w:r>
    </w:p>
    <w:p w:rsidR="007C5D83" w:rsidRPr="00DA1048" w:rsidRDefault="007C5D83" w:rsidP="00FA4DA9">
      <w:pPr>
        <w:spacing w:line="240" w:lineRule="auto"/>
        <w:jc w:val="both"/>
        <w:rPr>
          <w:rFonts w:ascii="Times New Roman" w:hAnsi="Times New Roman" w:cs="Times New Roman"/>
          <w:sz w:val="24"/>
          <w:szCs w:val="24"/>
        </w:rPr>
      </w:pPr>
      <w:r w:rsidRPr="00DA1048">
        <w:rPr>
          <w:rFonts w:ascii="Times New Roman" w:hAnsi="Times New Roman" w:cs="Times New Roman"/>
          <w:sz w:val="24"/>
          <w:szCs w:val="24"/>
        </w:rPr>
        <w:t xml:space="preserve">Para 2021 y 2022, la Comisión pronostica desfases del 9,6% y 8,6% del PIB, respectivamente, lo que situará a España con el segundo peor país de la </w:t>
      </w:r>
      <w:r>
        <w:rPr>
          <w:rFonts w:ascii="Times New Roman" w:hAnsi="Times New Roman" w:cs="Times New Roman"/>
          <w:sz w:val="24"/>
          <w:szCs w:val="24"/>
        </w:rPr>
        <w:t>UE, por detrás solo de Rumanía.</w:t>
      </w:r>
    </w:p>
    <w:p w:rsidR="007C5D83" w:rsidRPr="00DA1048" w:rsidRDefault="007C5D83" w:rsidP="00FA4DA9">
      <w:pPr>
        <w:spacing w:line="240" w:lineRule="auto"/>
        <w:jc w:val="both"/>
        <w:rPr>
          <w:rFonts w:ascii="Times New Roman" w:hAnsi="Times New Roman" w:cs="Times New Roman"/>
          <w:sz w:val="24"/>
          <w:szCs w:val="24"/>
        </w:rPr>
      </w:pPr>
      <w:r w:rsidRPr="00DA1048">
        <w:rPr>
          <w:rFonts w:ascii="Times New Roman" w:hAnsi="Times New Roman" w:cs="Times New Roman"/>
          <w:sz w:val="24"/>
          <w:szCs w:val="24"/>
        </w:rPr>
        <w:t>Este nivel tan abultado de déficit redunda en un incremento de la deuda pública sin precedentes, que se mantendrá dos décadas en niveles del 120% del PIB, y que pondrá en jaque la sostenibilidad a corto p</w:t>
      </w:r>
      <w:r>
        <w:rPr>
          <w:rFonts w:ascii="Times New Roman" w:hAnsi="Times New Roman" w:cs="Times New Roman"/>
          <w:sz w:val="24"/>
          <w:szCs w:val="24"/>
        </w:rPr>
        <w:t xml:space="preserve">lazo de las finanzas públicas. </w:t>
      </w:r>
    </w:p>
    <w:p w:rsidR="007C5D83" w:rsidRDefault="007C5D83" w:rsidP="00FA4DA9">
      <w:pPr>
        <w:spacing w:line="240" w:lineRule="auto"/>
        <w:jc w:val="both"/>
        <w:rPr>
          <w:rFonts w:ascii="Times New Roman" w:hAnsi="Times New Roman" w:cs="Times New Roman"/>
          <w:sz w:val="24"/>
          <w:szCs w:val="24"/>
        </w:rPr>
      </w:pPr>
      <w:r w:rsidRPr="00DA1048">
        <w:rPr>
          <w:rFonts w:ascii="Times New Roman" w:hAnsi="Times New Roman" w:cs="Times New Roman"/>
          <w:sz w:val="24"/>
          <w:szCs w:val="24"/>
        </w:rPr>
        <w:t>La Comisión Europea ha activado temporalmente la cláusula de escape del Pacto de Estabilidad y Crecimiento, pero cuando se inicie la recuperación económica volverá a desactivarla y entonces España tendrá que tomarse en serio reducir su déficit de nuevo por debajo del 3% -el nivel que separa el procedimiento correctivo del preventivo- y encaminar su deuda hacia el 60% del PIB.</w:t>
      </w:r>
    </w:p>
    <w:p w:rsidR="007C5D83" w:rsidRPr="00173916" w:rsidRDefault="007C5D83"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73916">
        <w:rPr>
          <w:rFonts w:ascii="Times New Roman" w:hAnsi="Times New Roman" w:cs="Times New Roman"/>
          <w:sz w:val="24"/>
          <w:szCs w:val="24"/>
          <w:u w:val="single"/>
        </w:rPr>
        <w:t>El Ibex maquilla el descalabro pero cierra 2020 como la Bolsa europea más castigada</w:t>
      </w:r>
      <w:r>
        <w:rPr>
          <w:rFonts w:ascii="Times New Roman" w:hAnsi="Times New Roman" w:cs="Times New Roman"/>
          <w:sz w:val="24"/>
          <w:szCs w:val="24"/>
        </w:rPr>
        <w:t xml:space="preserve"> (Cinco Días - </w:t>
      </w:r>
      <w:r w:rsidRPr="00173916">
        <w:rPr>
          <w:rFonts w:ascii="Times New Roman" w:hAnsi="Times New Roman" w:cs="Times New Roman"/>
          <w:b/>
          <w:sz w:val="24"/>
          <w:szCs w:val="24"/>
        </w:rPr>
        <w:t>1/1/21</w:t>
      </w:r>
      <w:r>
        <w:rPr>
          <w:rFonts w:ascii="Times New Roman" w:hAnsi="Times New Roman" w:cs="Times New Roman"/>
          <w:sz w:val="24"/>
          <w:szCs w:val="24"/>
        </w:rPr>
        <w:t>)</w:t>
      </w:r>
    </w:p>
    <w:p w:rsidR="007C5D83" w:rsidRDefault="007C5D83"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173916">
        <w:rPr>
          <w:rFonts w:ascii="Times New Roman" w:hAnsi="Times New Roman" w:cs="Times New Roman"/>
          <w:sz w:val="24"/>
          <w:szCs w:val="24"/>
        </w:rPr>
        <w:t>Laura Salces Acebes</w:t>
      </w:r>
      <w:r>
        <w:rPr>
          <w:rFonts w:ascii="Times New Roman" w:hAnsi="Times New Roman" w:cs="Times New Roman"/>
          <w:sz w:val="24"/>
          <w:szCs w:val="24"/>
        </w:rPr>
        <w:t>)</w:t>
      </w:r>
    </w:p>
    <w:p w:rsidR="007A5C27" w:rsidRPr="007A5C27" w:rsidRDefault="007A5C27" w:rsidP="00FA4DA9">
      <w:pPr>
        <w:spacing w:line="240" w:lineRule="auto"/>
        <w:jc w:val="both"/>
        <w:rPr>
          <w:rFonts w:ascii="Times New Roman" w:hAnsi="Times New Roman" w:cs="Times New Roman"/>
          <w:color w:val="FF0000"/>
          <w:sz w:val="24"/>
          <w:szCs w:val="24"/>
          <w:u w:val="single"/>
        </w:rPr>
      </w:pPr>
      <w:r w:rsidRPr="00173916">
        <w:rPr>
          <w:rFonts w:ascii="Times New Roman" w:hAnsi="Times New Roman" w:cs="Times New Roman"/>
          <w:sz w:val="24"/>
          <w:szCs w:val="24"/>
        </w:rPr>
        <w:t xml:space="preserve">El año 2020 termina, para respiro de todos, y las Bolsas cierran un ejercicio de fuertes vaivenes que han dejado fuertes caídas pero también recuperaciones e, incluso, niveles máximos no vistos hasta ahora. De poco sirvió que la ciencia ficción nos avisara en un gran número de libros y películas de los efectos de una pandemia global en la sociedad. </w:t>
      </w:r>
      <w:r w:rsidRPr="00EC2D1E">
        <w:rPr>
          <w:rFonts w:ascii="Times New Roman" w:hAnsi="Times New Roman" w:cs="Times New Roman"/>
          <w:color w:val="FF0000"/>
          <w:sz w:val="24"/>
          <w:szCs w:val="24"/>
          <w:u w:val="single"/>
        </w:rPr>
        <w:t xml:space="preserve">El estallido de la crisis sanitaria en Europa y Estados Unidos provocada por el Covid-19 pilló por sorpresa a inversores y analistas, provocando un derrumbe al unísono de todos los activos </w:t>
      </w:r>
      <w:r w:rsidRPr="00EC2D1E">
        <w:rPr>
          <w:rFonts w:ascii="Times New Roman" w:hAnsi="Times New Roman" w:cs="Times New Roman"/>
          <w:color w:val="FF0000"/>
          <w:sz w:val="24"/>
          <w:szCs w:val="24"/>
          <w:u w:val="single"/>
        </w:rPr>
        <w:lastRenderedPageBreak/>
        <w:t>financieros. Ni activos como el oro o el petróleo, considerados tradicionalmente como refugio en época de turbulenc</w:t>
      </w:r>
      <w:r>
        <w:rPr>
          <w:rFonts w:ascii="Times New Roman" w:hAnsi="Times New Roman" w:cs="Times New Roman"/>
          <w:color w:val="FF0000"/>
          <w:sz w:val="24"/>
          <w:szCs w:val="24"/>
          <w:u w:val="single"/>
        </w:rPr>
        <w:t>ias, se libraron de las caídas.</w:t>
      </w:r>
    </w:p>
    <w:p w:rsidR="007C5D83" w:rsidRPr="00173916" w:rsidRDefault="007C5D83" w:rsidP="00FA4DA9">
      <w:pPr>
        <w:spacing w:line="240" w:lineRule="auto"/>
        <w:jc w:val="both"/>
        <w:rPr>
          <w:rFonts w:ascii="Times New Roman" w:hAnsi="Times New Roman" w:cs="Times New Roman"/>
          <w:sz w:val="24"/>
          <w:szCs w:val="24"/>
        </w:rPr>
      </w:pPr>
      <w:r>
        <w:rPr>
          <w:noProof/>
          <w:lang w:eastAsia="es-ES"/>
        </w:rPr>
        <w:drawing>
          <wp:inline distT="0" distB="0" distL="0" distR="0" wp14:anchorId="6AE7AA4D" wp14:editId="547D2A9B">
            <wp:extent cx="5733281" cy="2762250"/>
            <wp:effectExtent l="0" t="0" r="1270" b="0"/>
            <wp:docPr id="31" name="Imagen 31" descr="El Ibex maquilla el descalabro pero cierra 2020 como la Bolsa europea más castig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l Ibex maquilla el descalabro pero cierra 2020 como la Bolsa europea más castigada"/>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731510" cy="2761397"/>
                    </a:xfrm>
                    <a:prstGeom prst="rect">
                      <a:avLst/>
                    </a:prstGeom>
                    <a:noFill/>
                    <a:ln>
                      <a:noFill/>
                    </a:ln>
                  </pic:spPr>
                </pic:pic>
              </a:graphicData>
            </a:graphic>
          </wp:inline>
        </w:drawing>
      </w:r>
    </w:p>
    <w:p w:rsidR="007C5D83" w:rsidRPr="00EC2D1E" w:rsidRDefault="007C5D83" w:rsidP="00FA4DA9">
      <w:pPr>
        <w:spacing w:line="240" w:lineRule="auto"/>
        <w:jc w:val="both"/>
        <w:rPr>
          <w:rFonts w:ascii="Times New Roman" w:hAnsi="Times New Roman" w:cs="Times New Roman"/>
          <w:color w:val="FF0000"/>
          <w:sz w:val="24"/>
          <w:szCs w:val="24"/>
          <w:u w:val="single"/>
        </w:rPr>
      </w:pPr>
      <w:r w:rsidRPr="00EC2D1E">
        <w:rPr>
          <w:rFonts w:ascii="Times New Roman" w:hAnsi="Times New Roman" w:cs="Times New Roman"/>
          <w:color w:val="FF0000"/>
          <w:sz w:val="24"/>
          <w:szCs w:val="24"/>
          <w:u w:val="single"/>
        </w:rPr>
        <w:t>A medida que el virus de Wuhan, como se le definió en un primer momento, fue incrementado su presencia, la incertidumbre se fue expandiendo en los mercados. El pánico pasó entonces a tomar el control de un mercado que veía cómo los países cerraban su actividad a cal y canto para contener la expansión de la pandemia y las previsiones económicas quedaban saltaban por los aires</w:t>
      </w:r>
      <w:r w:rsidR="00EC2D1E" w:rsidRPr="00EC2D1E">
        <w:rPr>
          <w:rFonts w:ascii="Times New Roman" w:hAnsi="Times New Roman" w:cs="Times New Roman"/>
          <w:color w:val="FF0000"/>
          <w:sz w:val="24"/>
          <w:szCs w:val="24"/>
        </w:rPr>
        <w:t>…</w:t>
      </w:r>
    </w:p>
    <w:p w:rsidR="007C5D83" w:rsidRPr="00173916" w:rsidRDefault="007C5D83" w:rsidP="00FA4DA9">
      <w:pPr>
        <w:spacing w:line="240" w:lineRule="auto"/>
        <w:jc w:val="both"/>
        <w:rPr>
          <w:rFonts w:ascii="Times New Roman" w:hAnsi="Times New Roman" w:cs="Times New Roman"/>
          <w:sz w:val="24"/>
          <w:szCs w:val="24"/>
        </w:rPr>
      </w:pPr>
      <w:r w:rsidRPr="00173916">
        <w:rPr>
          <w:rFonts w:ascii="Times New Roman" w:hAnsi="Times New Roman" w:cs="Times New Roman"/>
          <w:sz w:val="24"/>
          <w:szCs w:val="24"/>
        </w:rPr>
        <w:t>En el caso de España, el Ibex ya marcó su peor enero desde 2017 al caer un 1,9%. Descenso que se fue agudizando conforme se multiplicaba el número de casos y los países optaban por restringir la movilidad y limitar la actividad económica. Entre el 19 de febrero y el 16 de marzo el selectivo español se dejó un 39,4%. Unas semanas en las que el Ibex registró tres de sus 10 peores sesiones de la historia llegando el 12 de marzo a hundirse un 14,06%, desplome no visto hasta entonces pese a la quiebra de Lehman Brothers, el Brexit o la profunda crisis de deuda europea.</w:t>
      </w:r>
    </w:p>
    <w:p w:rsidR="007C5D83" w:rsidRPr="00173916" w:rsidRDefault="007C5D83" w:rsidP="00FA4DA9">
      <w:pPr>
        <w:spacing w:line="240" w:lineRule="auto"/>
        <w:jc w:val="both"/>
        <w:rPr>
          <w:rFonts w:ascii="Times New Roman" w:hAnsi="Times New Roman" w:cs="Times New Roman"/>
          <w:sz w:val="24"/>
          <w:szCs w:val="24"/>
        </w:rPr>
      </w:pPr>
      <w:r w:rsidRPr="00173916">
        <w:rPr>
          <w:rFonts w:ascii="Times New Roman" w:hAnsi="Times New Roman" w:cs="Times New Roman"/>
          <w:sz w:val="24"/>
          <w:szCs w:val="24"/>
        </w:rPr>
        <w:t>La CNMV, el regulador del mercado español, optó por entonces por prohibir las posiciones cortas sobre las cotizadas hasta mayo, medida que adoptaron también Italia, Bélgica, Francia y Grecia, sin que lograran con ello atajar la sangría.</w:t>
      </w:r>
    </w:p>
    <w:p w:rsidR="007C5D83" w:rsidRPr="00EC2D1E" w:rsidRDefault="007C5D83" w:rsidP="00FA4DA9">
      <w:pPr>
        <w:spacing w:line="240" w:lineRule="auto"/>
        <w:jc w:val="both"/>
        <w:rPr>
          <w:rFonts w:ascii="Times New Roman" w:hAnsi="Times New Roman" w:cs="Times New Roman"/>
          <w:b/>
          <w:color w:val="FF0000"/>
          <w:sz w:val="24"/>
          <w:szCs w:val="24"/>
          <w:u w:val="single"/>
        </w:rPr>
      </w:pPr>
      <w:r w:rsidRPr="00EC2D1E">
        <w:rPr>
          <w:rFonts w:ascii="Times New Roman" w:hAnsi="Times New Roman" w:cs="Times New Roman"/>
          <w:b/>
          <w:color w:val="FF0000"/>
          <w:sz w:val="24"/>
          <w:szCs w:val="24"/>
          <w:u w:val="single"/>
        </w:rPr>
        <w:t>La debacle bursátil desatada en marzo por la pandemia fue tal que forzó a los bancos centrales a intervenir con un nivel de estímulos sin preced</w:t>
      </w:r>
      <w:r w:rsidR="00EC2D1E" w:rsidRPr="00EC2D1E">
        <w:rPr>
          <w:rFonts w:ascii="Times New Roman" w:hAnsi="Times New Roman" w:cs="Times New Roman"/>
          <w:b/>
          <w:color w:val="FF0000"/>
          <w:sz w:val="24"/>
          <w:szCs w:val="24"/>
          <w:u w:val="single"/>
        </w:rPr>
        <w:t>entes. La Reserva Federal de EE</w:t>
      </w:r>
      <w:r w:rsidRPr="00EC2D1E">
        <w:rPr>
          <w:rFonts w:ascii="Times New Roman" w:hAnsi="Times New Roman" w:cs="Times New Roman"/>
          <w:b/>
          <w:color w:val="FF0000"/>
          <w:sz w:val="24"/>
          <w:szCs w:val="24"/>
          <w:u w:val="single"/>
        </w:rPr>
        <w:t>UU, el BCE el Banco de Inglaterra y el Banco de Japón sacaron su artillería pesada e inundaron de liquidez al mercado. Los índices tocaron fondo en marzo y fue entonces, de la mano de los bancos centrales, cuando iniciaron su recuperación. En total, entre los cuatro grandes bancos centrales han inyectado más de ocho billones de dólares en la economía para reactivar el cré</w:t>
      </w:r>
      <w:r w:rsidR="00EC2D1E" w:rsidRPr="00EC2D1E">
        <w:rPr>
          <w:rFonts w:ascii="Times New Roman" w:hAnsi="Times New Roman" w:cs="Times New Roman"/>
          <w:b/>
          <w:color w:val="FF0000"/>
          <w:sz w:val="24"/>
          <w:szCs w:val="24"/>
          <w:u w:val="single"/>
        </w:rPr>
        <w:t>dito y evitar el colapso. En EE</w:t>
      </w:r>
      <w:r w:rsidRPr="00EC2D1E">
        <w:rPr>
          <w:rFonts w:ascii="Times New Roman" w:hAnsi="Times New Roman" w:cs="Times New Roman"/>
          <w:b/>
          <w:color w:val="FF0000"/>
          <w:sz w:val="24"/>
          <w:szCs w:val="24"/>
          <w:u w:val="single"/>
        </w:rPr>
        <w:t>UU, los tipos han vuelto al 0%, niveles no vistos desde la crisis de 2008.</w:t>
      </w:r>
    </w:p>
    <w:p w:rsidR="007C5D83" w:rsidRPr="00EC2D1E" w:rsidRDefault="007C5D83" w:rsidP="00FA4DA9">
      <w:pPr>
        <w:spacing w:line="240" w:lineRule="auto"/>
        <w:jc w:val="both"/>
        <w:rPr>
          <w:rFonts w:ascii="Times New Roman" w:hAnsi="Times New Roman" w:cs="Times New Roman"/>
          <w:b/>
          <w:color w:val="FF0000"/>
          <w:sz w:val="24"/>
          <w:szCs w:val="24"/>
        </w:rPr>
      </w:pPr>
      <w:r w:rsidRPr="00EC2D1E">
        <w:rPr>
          <w:rFonts w:ascii="Times New Roman" w:hAnsi="Times New Roman" w:cs="Times New Roman"/>
          <w:b/>
          <w:color w:val="FF0000"/>
          <w:sz w:val="24"/>
          <w:szCs w:val="24"/>
          <w:u w:val="single"/>
        </w:rPr>
        <w:t>“2020 ha estado marcado por una situación inédita pero se recordará por ser un año marcado por la reacción coordinada y potente de las autoridades monetarias, económicas y sanitarias. Nunca antes se había dado una respuesta de tal magnitud y eso ha hecho que el problema sea menos de lo que pudiera haber sido”, asegura Gonzalo Sánchez, gestor de renta variable España y Portugal de Gesconsult</w:t>
      </w:r>
      <w:r w:rsidR="00EC2D1E">
        <w:rPr>
          <w:rFonts w:ascii="Times New Roman" w:hAnsi="Times New Roman" w:cs="Times New Roman"/>
          <w:b/>
          <w:color w:val="FF0000"/>
          <w:sz w:val="24"/>
          <w:szCs w:val="24"/>
        </w:rPr>
        <w:t>.</w:t>
      </w:r>
    </w:p>
    <w:p w:rsidR="007C5D83" w:rsidRPr="00173916" w:rsidRDefault="007C5D83" w:rsidP="00FA4DA9">
      <w:pPr>
        <w:spacing w:line="240" w:lineRule="auto"/>
        <w:jc w:val="both"/>
        <w:rPr>
          <w:rFonts w:ascii="Times New Roman" w:hAnsi="Times New Roman" w:cs="Times New Roman"/>
          <w:sz w:val="24"/>
          <w:szCs w:val="24"/>
        </w:rPr>
      </w:pPr>
      <w:r w:rsidRPr="00173916">
        <w:rPr>
          <w:rFonts w:ascii="Times New Roman" w:hAnsi="Times New Roman" w:cs="Times New Roman"/>
          <w:sz w:val="24"/>
          <w:szCs w:val="24"/>
        </w:rPr>
        <w:lastRenderedPageBreak/>
        <w:t>Empresas de corte cíclico y sectores como el bancario y el turismo se vieron afectadas por el cerrojazo de las economías y llegaron las hordas de rebajas de estimaciones de beneficio, ampliaciones para reforzar el capital, despidos y algún que otro preconcurso de acreedores</w:t>
      </w:r>
      <w:r w:rsidR="00EC2D1E">
        <w:rPr>
          <w:rFonts w:ascii="Times New Roman" w:hAnsi="Times New Roman" w:cs="Times New Roman"/>
          <w:sz w:val="24"/>
          <w:szCs w:val="24"/>
        </w:rPr>
        <w:t>…</w:t>
      </w:r>
    </w:p>
    <w:p w:rsidR="007C5D83" w:rsidRPr="00EC2D1E" w:rsidRDefault="007C5D83" w:rsidP="00FA4DA9">
      <w:pPr>
        <w:spacing w:line="240" w:lineRule="auto"/>
        <w:jc w:val="both"/>
        <w:rPr>
          <w:rFonts w:ascii="Times New Roman" w:hAnsi="Times New Roman" w:cs="Times New Roman"/>
          <w:color w:val="FF0000"/>
          <w:sz w:val="24"/>
          <w:szCs w:val="24"/>
          <w:u w:val="single"/>
        </w:rPr>
      </w:pPr>
      <w:r w:rsidRPr="00EC2D1E">
        <w:rPr>
          <w:rFonts w:ascii="Times New Roman" w:hAnsi="Times New Roman" w:cs="Times New Roman"/>
          <w:color w:val="FF0000"/>
          <w:sz w:val="24"/>
          <w:szCs w:val="24"/>
          <w:u w:val="single"/>
        </w:rPr>
        <w:t>Al final, el año 2020 ha pintado un mapa bursátil desigual. El índice MSCI World cotiza en máximos históricos al subir un 13,7% en el año.</w:t>
      </w:r>
    </w:p>
    <w:p w:rsidR="007C5D83" w:rsidRPr="00232146" w:rsidRDefault="007C5D83" w:rsidP="00FA4DA9">
      <w:pPr>
        <w:spacing w:line="240" w:lineRule="auto"/>
        <w:jc w:val="both"/>
        <w:rPr>
          <w:rFonts w:ascii="Times New Roman" w:hAnsi="Times New Roman" w:cs="Times New Roman"/>
          <w:color w:val="FF0000"/>
          <w:sz w:val="24"/>
          <w:szCs w:val="24"/>
          <w:u w:val="single"/>
        </w:rPr>
      </w:pPr>
      <w:r w:rsidRPr="00232146">
        <w:rPr>
          <w:rFonts w:ascii="Times New Roman" w:hAnsi="Times New Roman" w:cs="Times New Roman"/>
          <w:color w:val="FF0000"/>
          <w:sz w:val="24"/>
          <w:szCs w:val="24"/>
          <w:u w:val="single"/>
        </w:rPr>
        <w:t>Wall Street ha dado por superada la pandemia, al menos en cuanto al balance de año. En Asia, el Nikkei japonés se sitúan en máximos de tres décadas y el Kospi coreano cotiza en máximos históricos. Algo que no ocurre en las Bolsas europeas, donde el Dax alemán se ha convertido en el único selectivo europeo en superar los niveles previos a la pandemia y que logra cerrar el año en positivo, con un alza del 3,55%, conquista a la que no ha logrado sumarse el resto de selectivos.</w:t>
      </w:r>
    </w:p>
    <w:p w:rsidR="007C5D83" w:rsidRPr="00232146" w:rsidRDefault="007C5D83" w:rsidP="00FA4DA9">
      <w:pPr>
        <w:spacing w:line="240" w:lineRule="auto"/>
        <w:jc w:val="both"/>
        <w:rPr>
          <w:rFonts w:ascii="Times New Roman" w:hAnsi="Times New Roman" w:cs="Times New Roman"/>
          <w:sz w:val="24"/>
          <w:szCs w:val="24"/>
          <w:u w:val="single"/>
        </w:rPr>
      </w:pPr>
      <w:r w:rsidRPr="00232146">
        <w:rPr>
          <w:rFonts w:ascii="Times New Roman" w:hAnsi="Times New Roman" w:cs="Times New Roman"/>
          <w:sz w:val="24"/>
          <w:szCs w:val="24"/>
          <w:u w:val="single"/>
        </w:rPr>
        <w:t>En el caso del Ibex, el selectivo cierra el ejercicio con una caída del 15,4% que le lleva a situarse al borde los 8.000 puntos, lejos aún de los niveles previos al estallido de la pandemia, pero por encima del mínimo anual marcado en los 6.107 puntos. El español ha tenido su peor año desde 2011 y ha sido el índice europeo más castigado durante el ejercicio, acompañado por el FTSE británico, que ha caído un 14,34%, penalizado por las interminables negociaciones para pactar un acuerdo entre Reino Unido y la Unión Europea ante una posible salida a las bravas de Londres del club comunitario.</w:t>
      </w:r>
    </w:p>
    <w:p w:rsidR="007C5D83" w:rsidRPr="00173916" w:rsidRDefault="007C5D83" w:rsidP="00FA4DA9">
      <w:pPr>
        <w:spacing w:line="240" w:lineRule="auto"/>
        <w:jc w:val="both"/>
        <w:rPr>
          <w:rFonts w:ascii="Times New Roman" w:hAnsi="Times New Roman" w:cs="Times New Roman"/>
          <w:sz w:val="24"/>
          <w:szCs w:val="24"/>
        </w:rPr>
      </w:pPr>
      <w:r w:rsidRPr="00173916">
        <w:rPr>
          <w:rFonts w:ascii="Times New Roman" w:hAnsi="Times New Roman" w:cs="Times New Roman"/>
          <w:sz w:val="24"/>
          <w:szCs w:val="24"/>
        </w:rPr>
        <w:t>Para Patricia García, de Macroyield, 2021 es un año que amanece repleto de confianza en el retorno hacia una realidad lo más parecida a la anterior (gracias a las vacunas), en el mantenimiento del apoyo de bancos centrales y gobiernos y en el impulso que continuarán recibiendo las energías verdes y los valores que favorezcan la sostenibilidad. “Tenemos que ser conscientes de que la recuperación será muy desigual entre países y sectores y todo ello tendrá que tenerse en cuenta a la hora de invertir. Además, 2021 tendrá que lidiar con riesgos, y los inversores serán muy sensibles a cualquier problema que puedan causar las vacunas, ya que hasta ahora se están mejorando todas las previsiones anteriores”, explica.</w:t>
      </w:r>
    </w:p>
    <w:p w:rsidR="007C5D83" w:rsidRDefault="007C5D83" w:rsidP="00FA4DA9">
      <w:pPr>
        <w:spacing w:line="240" w:lineRule="auto"/>
        <w:jc w:val="both"/>
        <w:rPr>
          <w:rFonts w:ascii="Times New Roman" w:hAnsi="Times New Roman" w:cs="Times New Roman"/>
          <w:sz w:val="24"/>
          <w:szCs w:val="24"/>
        </w:rPr>
      </w:pPr>
      <w:r w:rsidRPr="00173916">
        <w:rPr>
          <w:rFonts w:ascii="Times New Roman" w:hAnsi="Times New Roman" w:cs="Times New Roman"/>
          <w:sz w:val="24"/>
          <w:szCs w:val="24"/>
        </w:rPr>
        <w:t>Para el analista de Gesconsult, el próximo año será también “de transición” en el que las compañías y la macro tienen que ejecutar todo lo que ha sido puesto en precio en los últimos meses con la vacuna”.</w:t>
      </w:r>
    </w:p>
    <w:p w:rsidR="00335F76" w:rsidRPr="00183D1F" w:rsidRDefault="00183D1F"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335F76" w:rsidRPr="00183D1F">
        <w:rPr>
          <w:rFonts w:ascii="Times New Roman" w:hAnsi="Times New Roman" w:cs="Times New Roman"/>
          <w:sz w:val="24"/>
          <w:szCs w:val="24"/>
          <w:u w:val="single"/>
        </w:rPr>
        <w:t>El índice del “miedo” y la “codicia</w:t>
      </w:r>
      <w:r w:rsidR="00335F76" w:rsidRPr="00183D1F">
        <w:rPr>
          <w:rFonts w:ascii="Times New Roman" w:hAnsi="Times New Roman" w:cs="Times New Roman"/>
          <w:sz w:val="24"/>
          <w:szCs w:val="24"/>
        </w:rPr>
        <w:t>”</w:t>
      </w:r>
      <w:r w:rsidRPr="00183D1F">
        <w:rPr>
          <w:rFonts w:ascii="Times New Roman" w:hAnsi="Times New Roman" w:cs="Times New Roman"/>
          <w:sz w:val="24"/>
          <w:szCs w:val="24"/>
        </w:rPr>
        <w:t xml:space="preserve"> </w:t>
      </w:r>
      <w:r>
        <w:rPr>
          <w:rFonts w:ascii="Times New Roman" w:hAnsi="Times New Roman" w:cs="Times New Roman"/>
          <w:sz w:val="24"/>
          <w:szCs w:val="24"/>
        </w:rPr>
        <w:t xml:space="preserve">(BBCMundo - </w:t>
      </w:r>
      <w:r w:rsidRPr="00DE3AC0">
        <w:rPr>
          <w:rFonts w:ascii="Times New Roman" w:hAnsi="Times New Roman" w:cs="Times New Roman"/>
          <w:b/>
          <w:sz w:val="24"/>
          <w:szCs w:val="24"/>
        </w:rPr>
        <w:t>5/1/20</w:t>
      </w:r>
      <w:r>
        <w:rPr>
          <w:rFonts w:ascii="Times New Roman" w:hAnsi="Times New Roman" w:cs="Times New Roman"/>
          <w:sz w:val="24"/>
          <w:szCs w:val="24"/>
        </w:rPr>
        <w:t xml:space="preserve">) </w:t>
      </w:r>
    </w:p>
    <w:p w:rsidR="007C5D83" w:rsidRDefault="007C5D83" w:rsidP="00FA4DA9">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60D86608" wp14:editId="68CF260F">
            <wp:extent cx="5727700" cy="2419350"/>
            <wp:effectExtent l="0" t="0" r="6350" b="0"/>
            <wp:docPr id="39" name="Imagen 39" descr="b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bc"/>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731510" cy="2420959"/>
                    </a:xfrm>
                    <a:prstGeom prst="rect">
                      <a:avLst/>
                    </a:prstGeom>
                    <a:noFill/>
                    <a:ln>
                      <a:noFill/>
                    </a:ln>
                  </pic:spPr>
                </pic:pic>
              </a:graphicData>
            </a:graphic>
          </wp:inline>
        </w:drawing>
      </w:r>
    </w:p>
    <w:p w:rsidR="007C5D83" w:rsidRDefault="007C5D83" w:rsidP="00FA4DA9">
      <w:pPr>
        <w:spacing w:line="240" w:lineRule="auto"/>
        <w:jc w:val="both"/>
        <w:rPr>
          <w:rFonts w:ascii="Times New Roman" w:hAnsi="Times New Roman" w:cs="Times New Roman"/>
          <w:b/>
          <w:color w:val="FF0000"/>
          <w:sz w:val="24"/>
          <w:szCs w:val="24"/>
        </w:rPr>
      </w:pPr>
      <w:r>
        <w:rPr>
          <w:noProof/>
          <w:lang w:eastAsia="es-ES"/>
        </w:rPr>
        <w:lastRenderedPageBreak/>
        <w:drawing>
          <wp:inline distT="0" distB="0" distL="0" distR="0" wp14:anchorId="6DF3EF87" wp14:editId="42390554">
            <wp:extent cx="5727700" cy="3276600"/>
            <wp:effectExtent l="0" t="0" r="6350" b="0"/>
            <wp:docPr id="33" name="Imagen 33" descr="b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bc"/>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731510" cy="3278780"/>
                    </a:xfrm>
                    <a:prstGeom prst="rect">
                      <a:avLst/>
                    </a:prstGeom>
                    <a:noFill/>
                    <a:ln>
                      <a:noFill/>
                    </a:ln>
                  </pic:spPr>
                </pic:pic>
              </a:graphicData>
            </a:graphic>
          </wp:inline>
        </w:drawing>
      </w:r>
    </w:p>
    <w:p w:rsidR="007C5D83" w:rsidRPr="00B63CAE" w:rsidRDefault="007C5D83"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63CAE">
        <w:rPr>
          <w:rFonts w:ascii="Times New Roman" w:hAnsi="Times New Roman" w:cs="Times New Roman"/>
          <w:sz w:val="24"/>
          <w:szCs w:val="24"/>
          <w:u w:val="single"/>
        </w:rPr>
        <w:t>España sufrirá el mayor aumento de la deuda pública de toda Europa hasta 2022, según los cálculos del BCE</w:t>
      </w:r>
      <w:r>
        <w:rPr>
          <w:rFonts w:ascii="Times New Roman" w:hAnsi="Times New Roman" w:cs="Times New Roman"/>
          <w:sz w:val="24"/>
          <w:szCs w:val="24"/>
        </w:rPr>
        <w:t xml:space="preserve"> (El Economista - </w:t>
      </w:r>
      <w:r w:rsidRPr="00B63CAE">
        <w:rPr>
          <w:rFonts w:ascii="Times New Roman" w:hAnsi="Times New Roman" w:cs="Times New Roman"/>
          <w:b/>
          <w:sz w:val="24"/>
          <w:szCs w:val="24"/>
        </w:rPr>
        <w:t>8/1/21</w:t>
      </w:r>
      <w:r>
        <w:rPr>
          <w:rFonts w:ascii="Times New Roman" w:hAnsi="Times New Roman" w:cs="Times New Roman"/>
          <w:sz w:val="24"/>
          <w:szCs w:val="24"/>
        </w:rPr>
        <w:t>)</w:t>
      </w:r>
    </w:p>
    <w:p w:rsidR="007C5D83" w:rsidRPr="00B63CAE" w:rsidRDefault="007C5D83"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B63CAE">
        <w:rPr>
          <w:rFonts w:ascii="Times New Roman" w:hAnsi="Times New Roman" w:cs="Times New Roman"/>
          <w:sz w:val="24"/>
          <w:szCs w:val="24"/>
        </w:rPr>
        <w:t>Vicente Nieves</w:t>
      </w:r>
      <w:r>
        <w:rPr>
          <w:rFonts w:ascii="Times New Roman" w:hAnsi="Times New Roman" w:cs="Times New Roman"/>
          <w:sz w:val="24"/>
          <w:szCs w:val="24"/>
        </w:rPr>
        <w:t>)</w:t>
      </w:r>
    </w:p>
    <w:p w:rsidR="007C5D83" w:rsidRPr="008C381B" w:rsidRDefault="007C5D83" w:rsidP="00FA4DA9">
      <w:pPr>
        <w:spacing w:line="240" w:lineRule="auto"/>
        <w:jc w:val="both"/>
        <w:rPr>
          <w:rFonts w:ascii="Times New Roman" w:hAnsi="Times New Roman" w:cs="Times New Roman"/>
          <w:sz w:val="24"/>
          <w:szCs w:val="24"/>
        </w:rPr>
      </w:pPr>
      <w:r w:rsidRPr="00334EAA">
        <w:rPr>
          <w:rFonts w:ascii="Times New Roman" w:hAnsi="Times New Roman" w:cs="Times New Roman"/>
          <w:color w:val="FF0000"/>
          <w:sz w:val="24"/>
          <w:szCs w:val="24"/>
          <w:u w:val="single"/>
        </w:rPr>
        <w:t>La crisis económica del covid-19 está siendo muy intensa. Se espera que provoque la mayor caída del PIB en España desde la Guerra Civil</w:t>
      </w:r>
      <w:r w:rsidRPr="00B63CAE">
        <w:rPr>
          <w:rFonts w:ascii="Times New Roman" w:hAnsi="Times New Roman" w:cs="Times New Roman"/>
          <w:sz w:val="24"/>
          <w:szCs w:val="24"/>
        </w:rPr>
        <w:t xml:space="preserve">. </w:t>
      </w:r>
      <w:r w:rsidRPr="008C381B">
        <w:rPr>
          <w:rFonts w:ascii="Times New Roman" w:hAnsi="Times New Roman" w:cs="Times New Roman"/>
          <w:sz w:val="24"/>
          <w:szCs w:val="24"/>
        </w:rPr>
        <w:t>Además, las nuevas olas del virus están impidiendo que la recuperación sea tan vigorosa como se esperaba. Todo ello tendrá efectos que perdurarán en la economía más de lo esperado en un principio. Por ejemplo, unos niveles muy elevados de deuda pública que seguirán al alza en los próximos años aunque la crisis sanitaria haya remitido.</w:t>
      </w:r>
    </w:p>
    <w:p w:rsidR="007C5D83" w:rsidRPr="00334EAA" w:rsidRDefault="007C5D83" w:rsidP="00FA4DA9">
      <w:pPr>
        <w:spacing w:line="240" w:lineRule="auto"/>
        <w:jc w:val="both"/>
        <w:rPr>
          <w:rFonts w:ascii="Times New Roman" w:hAnsi="Times New Roman" w:cs="Times New Roman"/>
          <w:color w:val="FF0000"/>
          <w:sz w:val="24"/>
          <w:szCs w:val="24"/>
          <w:u w:val="single"/>
        </w:rPr>
      </w:pPr>
      <w:r w:rsidRPr="00334EAA">
        <w:rPr>
          <w:rFonts w:ascii="Times New Roman" w:hAnsi="Times New Roman" w:cs="Times New Roman"/>
          <w:color w:val="FF0000"/>
          <w:sz w:val="24"/>
          <w:szCs w:val="24"/>
          <w:u w:val="single"/>
        </w:rPr>
        <w:t>Según cálculos del Banco Central Europeo (BCE) y la Comisión Europea (CE), España sufrirá el mayor aumento de deuda pública de toda Europa, con un incremento de 28,4 puntos sobre PIB entre 2019 y 2022, que es el periodo que cubre el estudio el BCE.</w:t>
      </w:r>
    </w:p>
    <w:p w:rsidR="007C5D83" w:rsidRPr="00B63CAE" w:rsidRDefault="007C5D83" w:rsidP="00FA4DA9">
      <w:pPr>
        <w:spacing w:line="240" w:lineRule="auto"/>
        <w:jc w:val="both"/>
        <w:rPr>
          <w:rFonts w:ascii="Times New Roman" w:hAnsi="Times New Roman" w:cs="Times New Roman"/>
          <w:sz w:val="24"/>
          <w:szCs w:val="24"/>
        </w:rPr>
      </w:pPr>
      <w:r w:rsidRPr="00B63CAE">
        <w:rPr>
          <w:rFonts w:ascii="Times New Roman" w:hAnsi="Times New Roman" w:cs="Times New Roman"/>
          <w:sz w:val="24"/>
          <w:szCs w:val="24"/>
        </w:rPr>
        <w:t>Aunque el mayor impacto económico ha sucedido durante el primer semestre de 2020, los efectos perdurarán durante algún tiempo más, lo que llevará al Gobierno a incurrir en importantes déficits fiscales en los próximos años p</w:t>
      </w:r>
      <w:r>
        <w:rPr>
          <w:rFonts w:ascii="Times New Roman" w:hAnsi="Times New Roman" w:cs="Times New Roman"/>
          <w:sz w:val="24"/>
          <w:szCs w:val="24"/>
        </w:rPr>
        <w:t>ara intentar suavizar el golpe.</w:t>
      </w:r>
    </w:p>
    <w:p w:rsidR="007C5D83" w:rsidRPr="00EC2D1E" w:rsidRDefault="007C5D83" w:rsidP="00FA4DA9">
      <w:pPr>
        <w:spacing w:line="240" w:lineRule="auto"/>
        <w:jc w:val="both"/>
        <w:rPr>
          <w:rFonts w:ascii="Times New Roman" w:hAnsi="Times New Roman" w:cs="Times New Roman"/>
          <w:b/>
          <w:color w:val="FF0000"/>
          <w:sz w:val="24"/>
          <w:szCs w:val="24"/>
          <w:u w:val="single"/>
        </w:rPr>
      </w:pPr>
      <w:r w:rsidRPr="00EC2D1E">
        <w:rPr>
          <w:rFonts w:ascii="Times New Roman" w:hAnsi="Times New Roman" w:cs="Times New Roman"/>
          <w:b/>
          <w:color w:val="FF0000"/>
          <w:sz w:val="24"/>
          <w:szCs w:val="24"/>
          <w:u w:val="single"/>
        </w:rPr>
        <w:t>Durante esta recesión se ha producido un giro importante respecto a otras crisis: la narrativa para potenciar la recuperación económica parece haber cambiado res</w:t>
      </w:r>
      <w:r w:rsidR="00EC2D1E" w:rsidRPr="00EC2D1E">
        <w:rPr>
          <w:rFonts w:ascii="Times New Roman" w:hAnsi="Times New Roman" w:cs="Times New Roman"/>
          <w:b/>
          <w:color w:val="FF0000"/>
          <w:sz w:val="24"/>
          <w:szCs w:val="24"/>
          <w:u w:val="single"/>
        </w:rPr>
        <w:t>pecto a 2011-2013. Frente a la “austeridad expansiva”</w:t>
      </w:r>
      <w:r w:rsidRPr="00EC2D1E">
        <w:rPr>
          <w:rFonts w:ascii="Times New Roman" w:hAnsi="Times New Roman" w:cs="Times New Roman"/>
          <w:b/>
          <w:color w:val="FF0000"/>
          <w:sz w:val="24"/>
          <w:szCs w:val="24"/>
          <w:u w:val="single"/>
        </w:rPr>
        <w:t xml:space="preserve"> del pasado (hacer ajustes cuanto antes), ahora parece que predomina un nuevo paradigma que apuesta por estimular la recuperación con un mayor gasto público, lo que puede estimular el crecimiento, pero también generará una deuda pública mayor, sobre todo si el impacto de este mayor gasto en la economía no genera un crecimiento fuerte.</w:t>
      </w:r>
    </w:p>
    <w:p w:rsidR="007C5D83" w:rsidRPr="00EC2D1E" w:rsidRDefault="007C5D83" w:rsidP="00FA4DA9">
      <w:pPr>
        <w:spacing w:line="240" w:lineRule="auto"/>
        <w:jc w:val="both"/>
        <w:rPr>
          <w:rFonts w:ascii="Times New Roman" w:hAnsi="Times New Roman" w:cs="Times New Roman"/>
          <w:b/>
          <w:color w:val="FF0000"/>
          <w:sz w:val="24"/>
          <w:szCs w:val="24"/>
          <w:u w:val="single"/>
        </w:rPr>
      </w:pPr>
      <w:r w:rsidRPr="00EC2D1E">
        <w:rPr>
          <w:rFonts w:ascii="Times New Roman" w:hAnsi="Times New Roman" w:cs="Times New Roman"/>
          <w:b/>
          <w:color w:val="FF0000"/>
          <w:sz w:val="24"/>
          <w:szCs w:val="24"/>
          <w:u w:val="single"/>
        </w:rPr>
        <w:t xml:space="preserve">Además, el origen exógeno de esta crisis (no hay culpables ni desequilibrios previos) está dando alas a los gobiernos para prolongar las políticas de emergencia que buscan sostener la renta de los hogares y mantener con vida a las empresas. </w:t>
      </w:r>
    </w:p>
    <w:p w:rsidR="007C5D83" w:rsidRPr="00B63CAE" w:rsidRDefault="007C5D83" w:rsidP="00FA4DA9">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208E47F3" wp14:editId="0D6B065A">
            <wp:extent cx="5731136" cy="2419350"/>
            <wp:effectExtent l="0" t="0" r="3175" b="0"/>
            <wp:docPr id="81" name="Imagen 81" descr="https://s03.s3c.es/imag/_v0/770x366/6/e/a/deficit-espa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770x366/6/e/a/deficit-espana.jpg"/>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5731510" cy="2419508"/>
                    </a:xfrm>
                    <a:prstGeom prst="rect">
                      <a:avLst/>
                    </a:prstGeom>
                    <a:noFill/>
                    <a:ln>
                      <a:noFill/>
                    </a:ln>
                  </pic:spPr>
                </pic:pic>
              </a:graphicData>
            </a:graphic>
          </wp:inline>
        </w:drawing>
      </w:r>
      <w:r w:rsidRPr="00B63CAE">
        <w:rPr>
          <w:rFonts w:ascii="Times New Roman" w:hAnsi="Times New Roman" w:cs="Times New Roman"/>
          <w:sz w:val="24"/>
          <w:szCs w:val="24"/>
        </w:rPr>
        <w:t>España liderará los déficit</w:t>
      </w:r>
      <w:r w:rsidR="00EC2D1E">
        <w:rPr>
          <w:rFonts w:ascii="Times New Roman" w:hAnsi="Times New Roman" w:cs="Times New Roman"/>
          <w:sz w:val="24"/>
          <w:szCs w:val="24"/>
        </w:rPr>
        <w:t>s</w:t>
      </w:r>
      <w:r w:rsidRPr="00B63CAE">
        <w:rPr>
          <w:rFonts w:ascii="Times New Roman" w:hAnsi="Times New Roman" w:cs="Times New Roman"/>
          <w:sz w:val="24"/>
          <w:szCs w:val="24"/>
        </w:rPr>
        <w:t xml:space="preserve"> fiscales de Europa en los próximos años</w:t>
      </w:r>
    </w:p>
    <w:p w:rsidR="007C5D83" w:rsidRDefault="007C5D83" w:rsidP="00FA4DA9">
      <w:pPr>
        <w:spacing w:line="240" w:lineRule="auto"/>
        <w:jc w:val="both"/>
        <w:rPr>
          <w:rFonts w:ascii="Times New Roman" w:hAnsi="Times New Roman" w:cs="Times New Roman"/>
          <w:sz w:val="24"/>
          <w:szCs w:val="24"/>
        </w:rPr>
      </w:pPr>
      <w:r w:rsidRPr="00334EAA">
        <w:rPr>
          <w:rFonts w:ascii="Times New Roman" w:hAnsi="Times New Roman" w:cs="Times New Roman"/>
          <w:sz w:val="24"/>
          <w:szCs w:val="24"/>
          <w:u w:val="single"/>
        </w:rPr>
        <w:t>De este modo, desde el BCE y la CE calculan que el déficit público será del 12,2% sobre el PIB en 2020, del 9,6% en 2021 y todavía del 8,6% en 2022</w:t>
      </w:r>
      <w:r w:rsidRPr="00B63CAE">
        <w:rPr>
          <w:rFonts w:ascii="Times New Roman" w:hAnsi="Times New Roman" w:cs="Times New Roman"/>
          <w:sz w:val="24"/>
          <w:szCs w:val="24"/>
        </w:rPr>
        <w:t xml:space="preserve">. </w:t>
      </w:r>
      <w:r w:rsidRPr="00334EAA">
        <w:rPr>
          <w:rFonts w:ascii="Times New Roman" w:hAnsi="Times New Roman" w:cs="Times New Roman"/>
          <w:sz w:val="24"/>
          <w:szCs w:val="24"/>
          <w:u w:val="single"/>
        </w:rPr>
        <w:t>Estos déficits dispararán la deuda desde el 95% sobre PIB de 2019 hasta el 124% en 2022.</w:t>
      </w:r>
      <w:r w:rsidRPr="00B63CAE">
        <w:rPr>
          <w:rFonts w:ascii="Times New Roman" w:hAnsi="Times New Roman" w:cs="Times New Roman"/>
          <w:sz w:val="24"/>
          <w:szCs w:val="24"/>
        </w:rPr>
        <w:t xml:space="preserve"> No obstante, el ratio de deuda puede variar drásticamente en función del crecimiento de la economía y de la inflación. Si los precios permanecen estancados y el PIB real no avanza el 5,8% que prevé la CE en 2021, la deuda pública alcanzará más pronto que tarde el 130% del PIB, unos niveles que serían temporalmente sostenibles en un entorno de muy bajos tipos de interés como el actual y con un apoyo constante del BCE en el mercado de deuda (comprando bonos para evitar que suba el coste del endeudamiento). No obstante, todas estas políticas que hoy sostienen de</w:t>
      </w:r>
      <w:r>
        <w:rPr>
          <w:rFonts w:ascii="Times New Roman" w:hAnsi="Times New Roman" w:cs="Times New Roman"/>
          <w:sz w:val="24"/>
          <w:szCs w:val="24"/>
        </w:rPr>
        <w:t>udas inmensas tienen su límite.</w:t>
      </w:r>
    </w:p>
    <w:p w:rsidR="00335F76" w:rsidRPr="00B63CAE" w:rsidRDefault="00335F76" w:rsidP="00FA4DA9">
      <w:pPr>
        <w:spacing w:line="240" w:lineRule="auto"/>
        <w:jc w:val="both"/>
        <w:rPr>
          <w:rFonts w:ascii="Times New Roman" w:hAnsi="Times New Roman" w:cs="Times New Roman"/>
          <w:sz w:val="24"/>
          <w:szCs w:val="24"/>
        </w:rPr>
      </w:pPr>
      <w:r>
        <w:rPr>
          <w:noProof/>
          <w:lang w:eastAsia="es-ES"/>
        </w:rPr>
        <w:drawing>
          <wp:inline distT="0" distB="0" distL="0" distR="0" wp14:anchorId="5DDF72B3" wp14:editId="60402C38">
            <wp:extent cx="5726363" cy="2933700"/>
            <wp:effectExtent l="0" t="0" r="8255" b="0"/>
            <wp:docPr id="108" name="Imagen 108" descr="https://s03.s3c.es/imag/_v0/770x380/8/6/d/deuda-publica-espana-pi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03.s3c.es/imag/_v0/770x380/8/6/d/deuda-publica-espana-pib.jpg"/>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731510" cy="2936337"/>
                    </a:xfrm>
                    <a:prstGeom prst="rect">
                      <a:avLst/>
                    </a:prstGeom>
                    <a:noFill/>
                    <a:ln>
                      <a:noFill/>
                    </a:ln>
                  </pic:spPr>
                </pic:pic>
              </a:graphicData>
            </a:graphic>
          </wp:inline>
        </w:drawing>
      </w:r>
      <w:r w:rsidRPr="00B63CAE">
        <w:rPr>
          <w:rFonts w:ascii="Times New Roman" w:hAnsi="Times New Roman" w:cs="Times New Roman"/>
          <w:sz w:val="24"/>
          <w:szCs w:val="24"/>
        </w:rPr>
        <w:t>La deuda pública crecerá más en España que en otros países</w:t>
      </w:r>
    </w:p>
    <w:p w:rsidR="00335F76" w:rsidRPr="00B63CAE" w:rsidRDefault="00335F76" w:rsidP="00FA4DA9">
      <w:pPr>
        <w:spacing w:line="240" w:lineRule="auto"/>
        <w:jc w:val="both"/>
        <w:rPr>
          <w:rFonts w:ascii="Times New Roman" w:hAnsi="Times New Roman" w:cs="Times New Roman"/>
          <w:sz w:val="24"/>
          <w:szCs w:val="24"/>
        </w:rPr>
      </w:pPr>
    </w:p>
    <w:p w:rsidR="007C5D83" w:rsidRDefault="007C5D83" w:rsidP="00FA4DA9">
      <w:pPr>
        <w:spacing w:line="240" w:lineRule="auto"/>
        <w:jc w:val="both"/>
        <w:rPr>
          <w:rFonts w:ascii="Times New Roman" w:hAnsi="Times New Roman" w:cs="Times New Roman"/>
          <w:sz w:val="24"/>
          <w:szCs w:val="24"/>
        </w:rPr>
      </w:pPr>
      <w:r w:rsidRPr="00B63CAE">
        <w:rPr>
          <w:rFonts w:ascii="Times New Roman" w:hAnsi="Times New Roman" w:cs="Times New Roman"/>
          <w:sz w:val="24"/>
          <w:szCs w:val="24"/>
        </w:rPr>
        <w:t>El estudio del Banco Central Europeo destaca que la Comisión Europea hizo una mención especial para Bélgica, Grecia, Espa</w:t>
      </w:r>
      <w:r w:rsidR="00EC2D1E">
        <w:rPr>
          <w:rFonts w:ascii="Times New Roman" w:hAnsi="Times New Roman" w:cs="Times New Roman"/>
          <w:sz w:val="24"/>
          <w:szCs w:val="24"/>
        </w:rPr>
        <w:t>ña, Francia, Italia y Portugal “</w:t>
      </w:r>
      <w:r w:rsidRPr="00B63CAE">
        <w:rPr>
          <w:rFonts w:ascii="Times New Roman" w:hAnsi="Times New Roman" w:cs="Times New Roman"/>
          <w:sz w:val="24"/>
          <w:szCs w:val="24"/>
        </w:rPr>
        <w:t xml:space="preserve">dado el nivel de su deuda pública y los altos desafíos de sostenibilidad a medio plazo... es importante asegurarse de </w:t>
      </w:r>
      <w:r w:rsidRPr="00B63CAE">
        <w:rPr>
          <w:rFonts w:ascii="Times New Roman" w:hAnsi="Times New Roman" w:cs="Times New Roman"/>
          <w:sz w:val="24"/>
          <w:szCs w:val="24"/>
        </w:rPr>
        <w:lastRenderedPageBreak/>
        <w:t>que, al tomar medidas presupuestarias de apoyo, la sostenibilidad fiscal a medio plazo se cons</w:t>
      </w:r>
      <w:r w:rsidR="00EC2D1E">
        <w:rPr>
          <w:rFonts w:ascii="Times New Roman" w:hAnsi="Times New Roman" w:cs="Times New Roman"/>
          <w:sz w:val="24"/>
          <w:szCs w:val="24"/>
        </w:rPr>
        <w:t>erva”</w:t>
      </w:r>
      <w:r w:rsidRPr="00B63CAE">
        <w:rPr>
          <w:rFonts w:ascii="Times New Roman" w:hAnsi="Times New Roman" w:cs="Times New Roman"/>
          <w:sz w:val="24"/>
          <w:szCs w:val="24"/>
        </w:rPr>
        <w:t>.</w:t>
      </w:r>
    </w:p>
    <w:p w:rsidR="007C5D83" w:rsidRPr="00EC2D1E" w:rsidRDefault="007C5D83" w:rsidP="00FA4DA9">
      <w:pPr>
        <w:spacing w:line="240" w:lineRule="auto"/>
        <w:jc w:val="both"/>
        <w:rPr>
          <w:rFonts w:ascii="Times New Roman" w:hAnsi="Times New Roman" w:cs="Times New Roman"/>
          <w:color w:val="FF0000"/>
          <w:sz w:val="24"/>
          <w:szCs w:val="24"/>
          <w:u w:val="single"/>
        </w:rPr>
      </w:pPr>
      <w:r w:rsidRPr="00EC2D1E">
        <w:rPr>
          <w:rFonts w:ascii="Times New Roman" w:hAnsi="Times New Roman" w:cs="Times New Roman"/>
          <w:color w:val="FF0000"/>
          <w:sz w:val="24"/>
          <w:szCs w:val="24"/>
          <w:u w:val="single"/>
        </w:rPr>
        <w:t>No obstan</w:t>
      </w:r>
      <w:r w:rsidR="00EC2D1E" w:rsidRPr="00EC2D1E">
        <w:rPr>
          <w:rFonts w:ascii="Times New Roman" w:hAnsi="Times New Roman" w:cs="Times New Roman"/>
          <w:color w:val="FF0000"/>
          <w:sz w:val="24"/>
          <w:szCs w:val="24"/>
          <w:u w:val="single"/>
        </w:rPr>
        <w:t>te, desde el BCE reconocen que “</w:t>
      </w:r>
      <w:r w:rsidRPr="00EC2D1E">
        <w:rPr>
          <w:rFonts w:ascii="Times New Roman" w:hAnsi="Times New Roman" w:cs="Times New Roman"/>
          <w:color w:val="FF0000"/>
          <w:sz w:val="24"/>
          <w:szCs w:val="24"/>
          <w:u w:val="single"/>
        </w:rPr>
        <w:t>la gran incertidumbre imperante dificulta la evaluación de las medidas, tanto más cuanto que no siempre se pueden distinguirse medidas temporales y más estructurales, dado que los países están adoptando medidas en tiempo real como respuesta a la ev</w:t>
      </w:r>
      <w:r w:rsidR="00EC2D1E" w:rsidRPr="00EC2D1E">
        <w:rPr>
          <w:rFonts w:ascii="Times New Roman" w:hAnsi="Times New Roman" w:cs="Times New Roman"/>
          <w:color w:val="FF0000"/>
          <w:sz w:val="24"/>
          <w:szCs w:val="24"/>
          <w:u w:val="single"/>
        </w:rPr>
        <w:t>olución de las olas de crisis”</w:t>
      </w:r>
      <w:r w:rsidRPr="00EC2D1E">
        <w:rPr>
          <w:rFonts w:ascii="Times New Roman" w:hAnsi="Times New Roman" w:cs="Times New Roman"/>
          <w:color w:val="FF0000"/>
          <w:sz w:val="24"/>
          <w:szCs w:val="24"/>
          <w:u w:val="single"/>
        </w:rPr>
        <w:t>.</w:t>
      </w:r>
    </w:p>
    <w:p w:rsidR="007C5D83" w:rsidRPr="00EC2D1E" w:rsidRDefault="007C5D83" w:rsidP="00FA4DA9">
      <w:pPr>
        <w:spacing w:line="240" w:lineRule="auto"/>
        <w:jc w:val="both"/>
        <w:rPr>
          <w:rFonts w:ascii="Times New Roman" w:hAnsi="Times New Roman" w:cs="Times New Roman"/>
          <w:b/>
          <w:color w:val="FF0000"/>
          <w:sz w:val="24"/>
          <w:szCs w:val="24"/>
          <w:u w:val="single"/>
        </w:rPr>
      </w:pPr>
      <w:r w:rsidRPr="00EC2D1E">
        <w:rPr>
          <w:rFonts w:ascii="Times New Roman" w:hAnsi="Times New Roman" w:cs="Times New Roman"/>
          <w:b/>
          <w:color w:val="FF0000"/>
          <w:sz w:val="24"/>
          <w:szCs w:val="24"/>
          <w:u w:val="single"/>
        </w:rPr>
        <w:t xml:space="preserve">Muchas de las medidas que se pusieron en marcha en la primera mitad del año (Ertes, avales, moratorias...) estaban destinadas a tener una duración muy limitada en el tiempo. Sin embargo, a medida que se sabía más sobre el covid-19 y su impacto en la economía, estas </w:t>
      </w:r>
      <w:r w:rsidR="00EC2D1E" w:rsidRPr="00EC2D1E">
        <w:rPr>
          <w:rFonts w:ascii="Times New Roman" w:hAnsi="Times New Roman" w:cs="Times New Roman"/>
          <w:b/>
          <w:color w:val="FF0000"/>
          <w:sz w:val="24"/>
          <w:szCs w:val="24"/>
          <w:u w:val="single"/>
        </w:rPr>
        <w:t>medidas han pasado de tener un “contrato temporal” a otro casi de “obra y servicio”</w:t>
      </w:r>
      <w:r w:rsidRPr="00EC2D1E">
        <w:rPr>
          <w:rFonts w:ascii="Times New Roman" w:hAnsi="Times New Roman" w:cs="Times New Roman"/>
          <w:b/>
          <w:color w:val="FF0000"/>
          <w:sz w:val="24"/>
          <w:szCs w:val="24"/>
          <w:u w:val="single"/>
        </w:rPr>
        <w:t>. Resulta complejo retirar la respiración asistida a la economía cuando el tejido productivo aún no puede respirar por sí solo. Sin embargo, volviendo a lo anterior, esto tiene una consecuencias: déficits públicos muy altos y más deuda</w:t>
      </w:r>
      <w:r w:rsidR="00822E48" w:rsidRPr="00822E48">
        <w:rPr>
          <w:rFonts w:ascii="Times New Roman" w:hAnsi="Times New Roman" w:cs="Times New Roman"/>
          <w:b/>
          <w:color w:val="FF0000"/>
          <w:sz w:val="24"/>
          <w:szCs w:val="24"/>
        </w:rPr>
        <w:t>…</w:t>
      </w:r>
    </w:p>
    <w:p w:rsidR="007C5D83" w:rsidRPr="00B63CAE" w:rsidRDefault="007C5D83" w:rsidP="00FA4DA9">
      <w:pPr>
        <w:spacing w:line="240" w:lineRule="auto"/>
        <w:jc w:val="both"/>
        <w:rPr>
          <w:rFonts w:ascii="Times New Roman" w:hAnsi="Times New Roman" w:cs="Times New Roman"/>
          <w:sz w:val="24"/>
          <w:szCs w:val="24"/>
        </w:rPr>
      </w:pPr>
      <w:r w:rsidRPr="00EC2D1E">
        <w:rPr>
          <w:rFonts w:ascii="Times New Roman" w:hAnsi="Times New Roman" w:cs="Times New Roman"/>
          <w:sz w:val="24"/>
          <w:szCs w:val="24"/>
        </w:rPr>
        <w:t>Los cálculos del BCE muestran que España incurrirá en los mayores déficits fiscales de toda la zona euro en 2020, 2021 y 2022</w:t>
      </w:r>
      <w:r w:rsidRPr="00334EAA">
        <w:rPr>
          <w:rFonts w:ascii="Times New Roman" w:hAnsi="Times New Roman" w:cs="Times New Roman"/>
          <w:color w:val="FF0000"/>
          <w:sz w:val="24"/>
          <w:szCs w:val="24"/>
          <w:u w:val="single"/>
        </w:rPr>
        <w:t>.</w:t>
      </w:r>
      <w:r w:rsidRPr="00B63CAE">
        <w:rPr>
          <w:rFonts w:ascii="Times New Roman" w:hAnsi="Times New Roman" w:cs="Times New Roman"/>
          <w:sz w:val="24"/>
          <w:szCs w:val="24"/>
        </w:rPr>
        <w:t xml:space="preserve"> Por detrás están países como Bélgica, Italia y Francia. Los países con unos desequilibrios menores son Lituania, Estonia y Alemania, que podrían volver a presentar déficits por debajo </w:t>
      </w:r>
      <w:r>
        <w:rPr>
          <w:rFonts w:ascii="Times New Roman" w:hAnsi="Times New Roman" w:cs="Times New Roman"/>
          <w:sz w:val="24"/>
          <w:szCs w:val="24"/>
        </w:rPr>
        <w:t>del 3% del PIB incluso en 2021.</w:t>
      </w:r>
    </w:p>
    <w:p w:rsidR="007C5D83" w:rsidRPr="00B63CAE" w:rsidRDefault="007C5D83" w:rsidP="00FA4DA9">
      <w:pPr>
        <w:spacing w:line="240" w:lineRule="auto"/>
        <w:jc w:val="both"/>
        <w:rPr>
          <w:rFonts w:ascii="Times New Roman" w:hAnsi="Times New Roman" w:cs="Times New Roman"/>
          <w:sz w:val="24"/>
          <w:szCs w:val="24"/>
        </w:rPr>
      </w:pPr>
      <w:r w:rsidRPr="00B63CAE">
        <w:rPr>
          <w:rFonts w:ascii="Times New Roman" w:hAnsi="Times New Roman" w:cs="Times New Roman"/>
          <w:sz w:val="24"/>
          <w:szCs w:val="24"/>
        </w:rPr>
        <w:t>En lo que a deuda pública se refiere, el BCE muestra un gráfico en el que vaticina un incremento del endeudamiento español que supera los 25 puntos porcentuales entre 2019 y 2022. Estos cálculos superan a los últimos publicados por la Comisión Europea, que preveían un incremento de 24,4 puntos. Lo que deja a España como el país en el que crecerá con mayor intensida</w:t>
      </w:r>
      <w:r>
        <w:rPr>
          <w:rFonts w:ascii="Times New Roman" w:hAnsi="Times New Roman" w:cs="Times New Roman"/>
          <w:sz w:val="24"/>
          <w:szCs w:val="24"/>
        </w:rPr>
        <w:t>d la deuda durante esta crisis.</w:t>
      </w:r>
    </w:p>
    <w:p w:rsidR="007C5D83" w:rsidRPr="00822E48" w:rsidRDefault="007C5D83" w:rsidP="00FA4DA9">
      <w:pPr>
        <w:spacing w:line="240" w:lineRule="auto"/>
        <w:jc w:val="both"/>
        <w:rPr>
          <w:rFonts w:ascii="Times New Roman" w:hAnsi="Times New Roman" w:cs="Times New Roman"/>
          <w:color w:val="FF0000"/>
          <w:sz w:val="24"/>
          <w:szCs w:val="24"/>
          <w:u w:val="single"/>
        </w:rPr>
      </w:pPr>
      <w:r w:rsidRPr="00822E48">
        <w:rPr>
          <w:rFonts w:ascii="Times New Roman" w:hAnsi="Times New Roman" w:cs="Times New Roman"/>
          <w:color w:val="FF0000"/>
          <w:sz w:val="24"/>
          <w:szCs w:val="24"/>
          <w:u w:val="single"/>
        </w:rPr>
        <w:t>Pese a todo, el BC</w:t>
      </w:r>
      <w:r w:rsidR="00822E48" w:rsidRPr="00822E48">
        <w:rPr>
          <w:rFonts w:ascii="Times New Roman" w:hAnsi="Times New Roman" w:cs="Times New Roman"/>
          <w:color w:val="FF0000"/>
          <w:sz w:val="24"/>
          <w:szCs w:val="24"/>
          <w:u w:val="single"/>
        </w:rPr>
        <w:t>E reconoce en el documento que “</w:t>
      </w:r>
      <w:r w:rsidRPr="00822E48">
        <w:rPr>
          <w:rFonts w:ascii="Times New Roman" w:hAnsi="Times New Roman" w:cs="Times New Roman"/>
          <w:color w:val="FF0000"/>
          <w:sz w:val="24"/>
          <w:szCs w:val="24"/>
          <w:u w:val="single"/>
        </w:rPr>
        <w:t>tras implementar una política fiscal ampliamente expansiva en 2020, las previsiones de otoño de 2020 de la Comisión Europea apuntan a una eliminación gradual de las medidas de emergencia; sin embargo, se prevé que el apoyo fiscal seguirá siendo sustancial con la adopción de nuevas medidas destinadas a apoyar la recuperación. Mientras persista la emergencia sanitaria y la recuperación no se sostenga por sí sola, será importante que se amplíen las medidas</w:t>
      </w:r>
      <w:r w:rsidR="00822E48" w:rsidRPr="00822E48">
        <w:rPr>
          <w:rFonts w:ascii="Times New Roman" w:hAnsi="Times New Roman" w:cs="Times New Roman"/>
          <w:color w:val="FF0000"/>
          <w:sz w:val="24"/>
          <w:szCs w:val="24"/>
          <w:u w:val="single"/>
        </w:rPr>
        <w:t xml:space="preserve"> temporales”</w:t>
      </w:r>
      <w:r w:rsidRPr="00822E48">
        <w:rPr>
          <w:rFonts w:ascii="Times New Roman" w:hAnsi="Times New Roman" w:cs="Times New Roman"/>
          <w:color w:val="FF0000"/>
          <w:sz w:val="24"/>
          <w:szCs w:val="24"/>
          <w:u w:val="single"/>
        </w:rPr>
        <w:t>, sentencia el BCE.</w:t>
      </w:r>
    </w:p>
    <w:p w:rsidR="007C5D83" w:rsidRPr="00822E48" w:rsidRDefault="007C5D83" w:rsidP="00FA4DA9">
      <w:pPr>
        <w:spacing w:line="240" w:lineRule="auto"/>
        <w:jc w:val="both"/>
        <w:rPr>
          <w:rFonts w:ascii="Times New Roman" w:hAnsi="Times New Roman" w:cs="Times New Roman"/>
          <w:color w:val="FF0000"/>
          <w:sz w:val="24"/>
          <w:szCs w:val="24"/>
          <w:u w:val="single"/>
        </w:rPr>
      </w:pPr>
      <w:r w:rsidRPr="00822E48">
        <w:rPr>
          <w:rFonts w:ascii="Times New Roman" w:hAnsi="Times New Roman" w:cs="Times New Roman"/>
          <w:color w:val="FF0000"/>
          <w:sz w:val="24"/>
          <w:szCs w:val="24"/>
          <w:u w:val="single"/>
        </w:rPr>
        <w:t>Todo ello tendrá consecuencias a nivel general e</w:t>
      </w:r>
      <w:r w:rsidR="00822E48" w:rsidRPr="00822E48">
        <w:rPr>
          <w:rFonts w:ascii="Times New Roman" w:hAnsi="Times New Roman" w:cs="Times New Roman"/>
          <w:color w:val="FF0000"/>
          <w:sz w:val="24"/>
          <w:szCs w:val="24"/>
          <w:u w:val="single"/>
        </w:rPr>
        <w:t>n la zona euro: “</w:t>
      </w:r>
      <w:r w:rsidRPr="00822E48">
        <w:rPr>
          <w:rFonts w:ascii="Times New Roman" w:hAnsi="Times New Roman" w:cs="Times New Roman"/>
          <w:color w:val="FF0000"/>
          <w:sz w:val="24"/>
          <w:szCs w:val="24"/>
          <w:u w:val="single"/>
        </w:rPr>
        <w:t>Sin un cambio de política, los déficits se mantendrían todavía por encima del umbral del 3% en trece Estados miembros de la zona del euro en 2022. Además, se prevé que muchos países que entraron en la crisis con ratios de deuda elevados de alrededor del 100% o más son los que están sufriendo el golpe más fuerte en términos de endeudamiento. Se espera que solo cinco países de la zona del euro mantengan ratios de deuda por debajo del valor de referencia de Maastricht del 60% del PIB en 2022: Estonia, Letoni</w:t>
      </w:r>
      <w:r w:rsidR="00822E48" w:rsidRPr="00822E48">
        <w:rPr>
          <w:rFonts w:ascii="Times New Roman" w:hAnsi="Times New Roman" w:cs="Times New Roman"/>
          <w:color w:val="FF0000"/>
          <w:sz w:val="24"/>
          <w:szCs w:val="24"/>
          <w:u w:val="single"/>
        </w:rPr>
        <w:t>a, Lituania, Luxemburgo y Malta”</w:t>
      </w:r>
      <w:r w:rsidRPr="00822E48">
        <w:rPr>
          <w:rFonts w:ascii="Times New Roman" w:hAnsi="Times New Roman" w:cs="Times New Roman"/>
          <w:color w:val="FF0000"/>
          <w:sz w:val="24"/>
          <w:szCs w:val="24"/>
          <w:u w:val="single"/>
        </w:rPr>
        <w:t>, culmina el informe.</w:t>
      </w:r>
    </w:p>
    <w:p w:rsidR="007C5D83" w:rsidRPr="002C2D4F" w:rsidRDefault="007C5D83"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C2D4F">
        <w:rPr>
          <w:rFonts w:ascii="Times New Roman" w:hAnsi="Times New Roman" w:cs="Times New Roman"/>
          <w:sz w:val="24"/>
          <w:szCs w:val="24"/>
          <w:u w:val="single"/>
        </w:rPr>
        <w:t>La riqueza de holandeses y alemanes crece con fuerza desde 2008, mientras que la de españoles e italianos se estanca</w:t>
      </w:r>
      <w:r>
        <w:rPr>
          <w:rFonts w:ascii="Times New Roman" w:hAnsi="Times New Roman" w:cs="Times New Roman"/>
          <w:sz w:val="24"/>
          <w:szCs w:val="24"/>
        </w:rPr>
        <w:t xml:space="preserve"> (El Economista - </w:t>
      </w:r>
      <w:r w:rsidRPr="002C2D4F">
        <w:rPr>
          <w:rFonts w:ascii="Times New Roman" w:hAnsi="Times New Roman" w:cs="Times New Roman"/>
          <w:b/>
          <w:sz w:val="24"/>
          <w:szCs w:val="24"/>
        </w:rPr>
        <w:t>14/1/21</w:t>
      </w:r>
      <w:r>
        <w:rPr>
          <w:rFonts w:ascii="Times New Roman" w:hAnsi="Times New Roman" w:cs="Times New Roman"/>
          <w:sz w:val="24"/>
          <w:szCs w:val="24"/>
        </w:rPr>
        <w:t>)</w:t>
      </w:r>
    </w:p>
    <w:p w:rsidR="007C5D83" w:rsidRPr="002C2D4F" w:rsidRDefault="007C5D83"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2C2D4F">
        <w:rPr>
          <w:rFonts w:ascii="Times New Roman" w:hAnsi="Times New Roman" w:cs="Times New Roman"/>
          <w:sz w:val="24"/>
          <w:szCs w:val="24"/>
        </w:rPr>
        <w:t>Vicente Nieves</w:t>
      </w:r>
      <w:r>
        <w:rPr>
          <w:rFonts w:ascii="Times New Roman" w:hAnsi="Times New Roman" w:cs="Times New Roman"/>
          <w:sz w:val="24"/>
          <w:szCs w:val="24"/>
        </w:rPr>
        <w:t>)</w:t>
      </w:r>
    </w:p>
    <w:p w:rsidR="007C5D83" w:rsidRPr="00576E4B" w:rsidRDefault="007C5D83" w:rsidP="00FA4DA9">
      <w:pPr>
        <w:spacing w:line="240" w:lineRule="auto"/>
        <w:jc w:val="both"/>
        <w:rPr>
          <w:rFonts w:ascii="Times New Roman" w:hAnsi="Times New Roman" w:cs="Times New Roman"/>
          <w:color w:val="FF0000"/>
          <w:sz w:val="24"/>
          <w:szCs w:val="24"/>
          <w:u w:val="single"/>
        </w:rPr>
      </w:pPr>
      <w:r w:rsidRPr="00576E4B">
        <w:rPr>
          <w:rFonts w:ascii="Times New Roman" w:hAnsi="Times New Roman" w:cs="Times New Roman"/>
          <w:color w:val="FF0000"/>
          <w:sz w:val="24"/>
          <w:szCs w:val="24"/>
          <w:u w:val="single"/>
        </w:rPr>
        <w:t>La riqueza financiera es la suma de todos los activos financieros que poseen los hogares (depósitos, acciones, bonos, efectivo...). Casi todos los países del norte de Europa (salvo Finlandia) ya acumulaban un valor superior en activos respecto al sur antes de la Gran Recesión. Sin embargo, tras la crisis las diferencias se han ensanchado considerablemente.</w:t>
      </w:r>
    </w:p>
    <w:p w:rsidR="007C5D83" w:rsidRPr="00576E4B" w:rsidRDefault="007C5D83" w:rsidP="00FA4DA9">
      <w:pPr>
        <w:spacing w:line="240" w:lineRule="auto"/>
        <w:jc w:val="both"/>
        <w:rPr>
          <w:rFonts w:ascii="Times New Roman" w:hAnsi="Times New Roman" w:cs="Times New Roman"/>
          <w:color w:val="FF0000"/>
          <w:sz w:val="24"/>
          <w:szCs w:val="24"/>
          <w:u w:val="single"/>
        </w:rPr>
      </w:pPr>
      <w:r w:rsidRPr="00576E4B">
        <w:rPr>
          <w:rFonts w:ascii="Times New Roman" w:hAnsi="Times New Roman" w:cs="Times New Roman"/>
          <w:sz w:val="24"/>
          <w:szCs w:val="24"/>
          <w:u w:val="single"/>
        </w:rPr>
        <w:lastRenderedPageBreak/>
        <w:t>Normalmente, unos niveles de renta (variable de flujo o las gotas del grifo) más altos suelen permitir unos niveles de riqueza también más elevados (variable de stock o el agua que se acumula en la bañera) a través de una mayor capacidad de ahorro</w:t>
      </w:r>
      <w:r w:rsidRPr="002C2D4F">
        <w:rPr>
          <w:rFonts w:ascii="Times New Roman" w:hAnsi="Times New Roman" w:cs="Times New Roman"/>
          <w:sz w:val="24"/>
          <w:szCs w:val="24"/>
        </w:rPr>
        <w:t xml:space="preserve">. </w:t>
      </w:r>
      <w:r w:rsidRPr="00576E4B">
        <w:rPr>
          <w:rFonts w:ascii="Times New Roman" w:hAnsi="Times New Roman" w:cs="Times New Roman"/>
          <w:color w:val="FF0000"/>
          <w:sz w:val="24"/>
          <w:szCs w:val="24"/>
          <w:u w:val="single"/>
        </w:rPr>
        <w:t>No obstante, resulta llamativo cómo esta brecha se ha disparado en los últimos diez años, generando una división más grande entre el norte y el sur de Europa y dejando a los ciudadanos de los Países Bajos como los grandes vencedores.</w:t>
      </w:r>
    </w:p>
    <w:p w:rsidR="007C5D83" w:rsidRPr="002C2D4F" w:rsidRDefault="007C5D83" w:rsidP="00FA4DA9">
      <w:pPr>
        <w:spacing w:line="240" w:lineRule="auto"/>
        <w:jc w:val="both"/>
        <w:rPr>
          <w:rFonts w:ascii="Times New Roman" w:hAnsi="Times New Roman" w:cs="Times New Roman"/>
          <w:sz w:val="24"/>
          <w:szCs w:val="24"/>
        </w:rPr>
      </w:pPr>
      <w:r>
        <w:rPr>
          <w:noProof/>
          <w:lang w:eastAsia="es-ES"/>
        </w:rPr>
        <w:drawing>
          <wp:inline distT="0" distB="0" distL="0" distR="0" wp14:anchorId="18ED4F77" wp14:editId="630E4A04">
            <wp:extent cx="5729883" cy="3625850"/>
            <wp:effectExtent l="0" t="0" r="4445" b="0"/>
            <wp:docPr id="41" name="Imagen 41" descr="https://s03.s3c.es/imag/_v0/770x597/7/2/a/riqueza-alemanes-holandes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770x597/7/2/a/riqueza-alemanes-holandeses.jpg"/>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5731510" cy="3626879"/>
                    </a:xfrm>
                    <a:prstGeom prst="rect">
                      <a:avLst/>
                    </a:prstGeom>
                    <a:noFill/>
                    <a:ln>
                      <a:noFill/>
                    </a:ln>
                  </pic:spPr>
                </pic:pic>
              </a:graphicData>
            </a:graphic>
          </wp:inline>
        </w:drawing>
      </w:r>
    </w:p>
    <w:p w:rsidR="007C5D83" w:rsidRPr="002C2D4F" w:rsidRDefault="007C5D83" w:rsidP="00FA4DA9">
      <w:pPr>
        <w:spacing w:line="240" w:lineRule="auto"/>
        <w:jc w:val="both"/>
        <w:rPr>
          <w:rFonts w:ascii="Times New Roman" w:hAnsi="Times New Roman" w:cs="Times New Roman"/>
          <w:sz w:val="24"/>
          <w:szCs w:val="24"/>
        </w:rPr>
      </w:pPr>
      <w:r w:rsidRPr="002C2D4F">
        <w:rPr>
          <w:rFonts w:ascii="Times New Roman" w:hAnsi="Times New Roman" w:cs="Times New Roman"/>
          <w:sz w:val="24"/>
          <w:szCs w:val="24"/>
        </w:rPr>
        <w:t>Los ciudadanos de Países Bajos disparan su riqueza financiera desde 2008</w:t>
      </w:r>
    </w:p>
    <w:p w:rsidR="007C5D83" w:rsidRPr="00576E4B" w:rsidRDefault="007C5D83" w:rsidP="00FA4DA9">
      <w:pPr>
        <w:spacing w:line="240" w:lineRule="auto"/>
        <w:jc w:val="both"/>
        <w:rPr>
          <w:rFonts w:ascii="Times New Roman" w:hAnsi="Times New Roman" w:cs="Times New Roman"/>
          <w:color w:val="FF0000"/>
          <w:sz w:val="24"/>
          <w:szCs w:val="24"/>
          <w:u w:val="single"/>
        </w:rPr>
      </w:pPr>
      <w:r w:rsidRPr="00576E4B">
        <w:rPr>
          <w:rFonts w:ascii="Times New Roman" w:hAnsi="Times New Roman" w:cs="Times New Roman"/>
          <w:color w:val="FF0000"/>
          <w:sz w:val="24"/>
          <w:szCs w:val="24"/>
          <w:u w:val="single"/>
        </w:rPr>
        <w:t>Así lo muestra un estudio publicado por la aseguradora alemana Allianz, en el que se puede ver cómo la riqueza financiera de los holandeses se ha disparado hasta superar</w:t>
      </w:r>
      <w:r w:rsidR="00822E48">
        <w:rPr>
          <w:rFonts w:ascii="Times New Roman" w:hAnsi="Times New Roman" w:cs="Times New Roman"/>
          <w:color w:val="FF0000"/>
          <w:sz w:val="24"/>
          <w:szCs w:val="24"/>
          <w:u w:val="single"/>
        </w:rPr>
        <w:t xml:space="preserve"> los 160.000 euros per cápita. “</w:t>
      </w:r>
      <w:r w:rsidRPr="00576E4B">
        <w:rPr>
          <w:rFonts w:ascii="Times New Roman" w:hAnsi="Times New Roman" w:cs="Times New Roman"/>
          <w:color w:val="FF0000"/>
          <w:sz w:val="24"/>
          <w:szCs w:val="24"/>
          <w:u w:val="single"/>
        </w:rPr>
        <w:t xml:space="preserve">La brecha de riqueza en Europa se ha ampliado en la última década. Los activos de los hogares han crecido más rápido en los países más ricos, sobre todo en los Países Bajos, mientras que los países del sur de Europa están rezagados, tanto de niveles de riqueza </w:t>
      </w:r>
      <w:r w:rsidR="00822E48">
        <w:rPr>
          <w:rFonts w:ascii="Times New Roman" w:hAnsi="Times New Roman" w:cs="Times New Roman"/>
          <w:color w:val="FF0000"/>
          <w:sz w:val="24"/>
          <w:szCs w:val="24"/>
          <w:u w:val="single"/>
        </w:rPr>
        <w:t>como de crecimiento de la misma”</w:t>
      </w:r>
      <w:r w:rsidRPr="00576E4B">
        <w:rPr>
          <w:rFonts w:ascii="Times New Roman" w:hAnsi="Times New Roman" w:cs="Times New Roman"/>
          <w:color w:val="FF0000"/>
          <w:sz w:val="24"/>
          <w:szCs w:val="24"/>
          <w:u w:val="single"/>
        </w:rPr>
        <w:t>.</w:t>
      </w:r>
    </w:p>
    <w:p w:rsidR="007C5D83" w:rsidRPr="002C2D4F" w:rsidRDefault="007C5D83" w:rsidP="00FA4DA9">
      <w:pPr>
        <w:spacing w:line="240" w:lineRule="auto"/>
        <w:jc w:val="both"/>
        <w:rPr>
          <w:rFonts w:ascii="Times New Roman" w:hAnsi="Times New Roman" w:cs="Times New Roman"/>
          <w:sz w:val="24"/>
          <w:szCs w:val="24"/>
        </w:rPr>
      </w:pPr>
      <w:r w:rsidRPr="002C2D4F">
        <w:rPr>
          <w:rFonts w:ascii="Times New Roman" w:hAnsi="Times New Roman" w:cs="Times New Roman"/>
          <w:sz w:val="24"/>
          <w:szCs w:val="24"/>
        </w:rPr>
        <w:t>La cara...</w:t>
      </w:r>
    </w:p>
    <w:p w:rsidR="007C5D83" w:rsidRPr="002C2D4F" w:rsidRDefault="007C5D83" w:rsidP="00FA4DA9">
      <w:pPr>
        <w:spacing w:line="240" w:lineRule="auto"/>
        <w:jc w:val="both"/>
        <w:rPr>
          <w:rFonts w:ascii="Times New Roman" w:hAnsi="Times New Roman" w:cs="Times New Roman"/>
          <w:sz w:val="24"/>
          <w:szCs w:val="24"/>
        </w:rPr>
      </w:pPr>
      <w:r w:rsidRPr="002C2D4F">
        <w:rPr>
          <w:rFonts w:ascii="Times New Roman" w:hAnsi="Times New Roman" w:cs="Times New Roman"/>
          <w:sz w:val="24"/>
          <w:szCs w:val="24"/>
        </w:rPr>
        <w:t>En 2019, los activos financieros per cápita en Francia fueron de unos 86.000 euros, justo por encima de los 80.000 euros de los alemanes. Las tasas de crecimiento compuesto de la riqueza desde la Gran Crisis Financiera también han sido muy similares en ambos países: 4,3% anual compuesto en Alemania en compa</w:t>
      </w:r>
      <w:r w:rsidR="00822E48">
        <w:rPr>
          <w:rFonts w:ascii="Times New Roman" w:hAnsi="Times New Roman" w:cs="Times New Roman"/>
          <w:sz w:val="24"/>
          <w:szCs w:val="24"/>
        </w:rPr>
        <w:t>ración con el 4,2% en Francia. “</w:t>
      </w:r>
      <w:r w:rsidRPr="002C2D4F">
        <w:rPr>
          <w:rFonts w:ascii="Times New Roman" w:hAnsi="Times New Roman" w:cs="Times New Roman"/>
          <w:sz w:val="24"/>
          <w:szCs w:val="24"/>
        </w:rPr>
        <w:t>Esto coloca a ambos países en el mediocampo de Europa, pero muy por delante de Portugal y España, pero también muy por detrás de País</w:t>
      </w:r>
      <w:r w:rsidR="00822E48">
        <w:rPr>
          <w:rFonts w:ascii="Times New Roman" w:hAnsi="Times New Roman" w:cs="Times New Roman"/>
          <w:sz w:val="24"/>
          <w:szCs w:val="24"/>
        </w:rPr>
        <w:t>es Bajos y Bélgica”</w:t>
      </w:r>
      <w:r>
        <w:rPr>
          <w:rFonts w:ascii="Times New Roman" w:hAnsi="Times New Roman" w:cs="Times New Roman"/>
          <w:sz w:val="24"/>
          <w:szCs w:val="24"/>
        </w:rPr>
        <w:t>, sentencia.</w:t>
      </w:r>
    </w:p>
    <w:p w:rsidR="007C5D83" w:rsidRPr="00576E4B" w:rsidRDefault="00822E48" w:rsidP="00FA4DA9">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w:t>
      </w:r>
      <w:r w:rsidR="007C5D83" w:rsidRPr="002C2D4F">
        <w:rPr>
          <w:rFonts w:ascii="Times New Roman" w:hAnsi="Times New Roman" w:cs="Times New Roman"/>
          <w:sz w:val="24"/>
          <w:szCs w:val="24"/>
        </w:rPr>
        <w:t>Finlandia es la excepción a la creciente divergencia: en 2019 se acercó mucho a Italia, lo que refleja un ritmo de crecimiento impresionante. Hay que tener en cuenta que en 2008, los activos financieros per cápita de los hogares finlandeses estaban muy por</w:t>
      </w:r>
      <w:r>
        <w:rPr>
          <w:rFonts w:ascii="Times New Roman" w:hAnsi="Times New Roman" w:cs="Times New Roman"/>
          <w:sz w:val="24"/>
          <w:szCs w:val="24"/>
        </w:rPr>
        <w:t xml:space="preserve"> debajo de los de los italianos”</w:t>
      </w:r>
      <w:r w:rsidR="007C5D83" w:rsidRPr="002C2D4F">
        <w:rPr>
          <w:rFonts w:ascii="Times New Roman" w:hAnsi="Times New Roman" w:cs="Times New Roman"/>
          <w:sz w:val="24"/>
          <w:szCs w:val="24"/>
        </w:rPr>
        <w:t xml:space="preserve">, destacan los expertos de Allianz. </w:t>
      </w:r>
      <w:r w:rsidR="007C5D83" w:rsidRPr="00822E48">
        <w:rPr>
          <w:rFonts w:ascii="Times New Roman" w:hAnsi="Times New Roman" w:cs="Times New Roman"/>
          <w:sz w:val="24"/>
          <w:szCs w:val="24"/>
        </w:rPr>
        <w:t>Italia era uno de los países más ricos de Europa hace unas décadas, pero el estancamiento económico ha ido dejando atrás al país transalpino.</w:t>
      </w:r>
      <w:r w:rsidR="007C5D83" w:rsidRPr="00576E4B">
        <w:rPr>
          <w:rFonts w:ascii="Times New Roman" w:hAnsi="Times New Roman" w:cs="Times New Roman"/>
          <w:sz w:val="24"/>
          <w:szCs w:val="24"/>
          <w:u w:val="single"/>
        </w:rPr>
        <w:t xml:space="preserve"> </w:t>
      </w:r>
    </w:p>
    <w:p w:rsidR="007C5D83" w:rsidRPr="002C2D4F" w:rsidRDefault="007C5D83" w:rsidP="00FA4DA9">
      <w:pPr>
        <w:spacing w:line="240" w:lineRule="auto"/>
        <w:jc w:val="both"/>
        <w:rPr>
          <w:rFonts w:ascii="Times New Roman" w:hAnsi="Times New Roman" w:cs="Times New Roman"/>
          <w:sz w:val="24"/>
          <w:szCs w:val="24"/>
        </w:rPr>
      </w:pPr>
      <w:r w:rsidRPr="002C2D4F">
        <w:rPr>
          <w:rFonts w:ascii="Times New Roman" w:hAnsi="Times New Roman" w:cs="Times New Roman"/>
          <w:sz w:val="24"/>
          <w:szCs w:val="24"/>
        </w:rPr>
        <w:lastRenderedPageBreak/>
        <w:t xml:space="preserve">La riqueza per cápita de los finlandeses ha crecido a un ritmo anual compuesto del 4,6%, mientras que la de los italianos avanzó solo un 0,85%. Esto junto a una mayor tasa de ahorro ha llevado a que los finlandeses pisen los talones a los italianos en cuanto a </w:t>
      </w:r>
      <w:r>
        <w:rPr>
          <w:rFonts w:ascii="Times New Roman" w:hAnsi="Times New Roman" w:cs="Times New Roman"/>
          <w:sz w:val="24"/>
          <w:szCs w:val="24"/>
        </w:rPr>
        <w:t xml:space="preserve">riqueza financiera se refiere. </w:t>
      </w:r>
    </w:p>
    <w:p w:rsidR="007C5D83" w:rsidRPr="002C2D4F" w:rsidRDefault="007C5D83" w:rsidP="00FA4DA9">
      <w:pPr>
        <w:spacing w:line="240" w:lineRule="auto"/>
        <w:jc w:val="both"/>
        <w:rPr>
          <w:rFonts w:ascii="Times New Roman" w:hAnsi="Times New Roman" w:cs="Times New Roman"/>
          <w:sz w:val="24"/>
          <w:szCs w:val="24"/>
        </w:rPr>
      </w:pPr>
      <w:r w:rsidRPr="002C2D4F">
        <w:rPr>
          <w:rFonts w:ascii="Times New Roman" w:hAnsi="Times New Roman" w:cs="Times New Roman"/>
          <w:sz w:val="24"/>
          <w:szCs w:val="24"/>
        </w:rPr>
        <w:t>...la cruz</w:t>
      </w:r>
    </w:p>
    <w:p w:rsidR="007C5D83" w:rsidRPr="002C2D4F" w:rsidRDefault="007C5D83" w:rsidP="00FA4DA9">
      <w:pPr>
        <w:spacing w:line="240" w:lineRule="auto"/>
        <w:jc w:val="both"/>
        <w:rPr>
          <w:rFonts w:ascii="Times New Roman" w:hAnsi="Times New Roman" w:cs="Times New Roman"/>
          <w:sz w:val="24"/>
          <w:szCs w:val="24"/>
        </w:rPr>
      </w:pPr>
      <w:r w:rsidRPr="00822E48">
        <w:rPr>
          <w:rFonts w:ascii="Times New Roman" w:hAnsi="Times New Roman" w:cs="Times New Roman"/>
          <w:sz w:val="24"/>
          <w:szCs w:val="24"/>
        </w:rPr>
        <w:t>En la parte baja de la tabla aparecen Grecia, España y Portugal</w:t>
      </w:r>
      <w:r w:rsidRPr="002C2D4F">
        <w:rPr>
          <w:rFonts w:ascii="Times New Roman" w:hAnsi="Times New Roman" w:cs="Times New Roman"/>
          <w:sz w:val="24"/>
          <w:szCs w:val="24"/>
        </w:rPr>
        <w:t>. Los españoles tienen activos financieros acumulados por valor de 49.282 euros, lo que deja un crecimiento de la riqueza del 1,8% anual. Los portugueses atesoran 41.748 euros, con un aumento del 2,2% anual. La última plaza la ocupan los griegos (no están incluidos en la muestra de Allianz) con una riqueza de 23.324 euros por persona. La distancia es considerable respecto a los países del norte. Pero quizá lo más llamativo es la tendencia que se observa</w:t>
      </w:r>
      <w:r>
        <w:rPr>
          <w:rFonts w:ascii="Times New Roman" w:hAnsi="Times New Roman" w:cs="Times New Roman"/>
          <w:sz w:val="24"/>
          <w:szCs w:val="24"/>
        </w:rPr>
        <w:t xml:space="preserve"> desde la crisis 2008-2009.</w:t>
      </w:r>
    </w:p>
    <w:p w:rsidR="007C5D83" w:rsidRPr="002C2D4F" w:rsidRDefault="007C5D83" w:rsidP="00FA4DA9">
      <w:pPr>
        <w:spacing w:line="240" w:lineRule="auto"/>
        <w:jc w:val="both"/>
        <w:rPr>
          <w:rFonts w:ascii="Times New Roman" w:hAnsi="Times New Roman" w:cs="Times New Roman"/>
          <w:sz w:val="24"/>
          <w:szCs w:val="24"/>
        </w:rPr>
      </w:pPr>
      <w:r w:rsidRPr="002C2D4F">
        <w:rPr>
          <w:rFonts w:ascii="Times New Roman" w:hAnsi="Times New Roman" w:cs="Times New Roman"/>
          <w:sz w:val="24"/>
          <w:szCs w:val="24"/>
        </w:rPr>
        <w:t>En el caso de Grecia, el país que sufrió con mayor virulencia la crisis de deuda soberana en 2011, la riqueza per cápita ha caído desde 2008, un fenómeno que no se observa en ningún otro país. Según los datos que publica trimestralmente Eurostat en 2008, cada griego tocaba a una riqueza de 27.373 euros, frente a los 25.000 euros de hoy. Así, desde la Gran Recesión la riqueza financiera (no tiene en cuenta la vivienda, por ejemplo) per cápita de los griegos ha caído a un ritmo anual del -1,45% (tipo de interés anual compuesto). Por el contrario, la riqueza financiera de los holandeses ha avanzado un 5,37% anual (interés anual compuesto), desde los 90.000 euros de 2008 ha</w:t>
      </w:r>
      <w:r>
        <w:rPr>
          <w:rFonts w:ascii="Times New Roman" w:hAnsi="Times New Roman" w:cs="Times New Roman"/>
          <w:sz w:val="24"/>
          <w:szCs w:val="24"/>
        </w:rPr>
        <w:t>sta los 160.000 euros actuales.</w:t>
      </w:r>
    </w:p>
    <w:p w:rsidR="007C5D83" w:rsidRPr="002C2D4F" w:rsidRDefault="007C5D83" w:rsidP="00FA4DA9">
      <w:pPr>
        <w:spacing w:line="240" w:lineRule="auto"/>
        <w:jc w:val="both"/>
        <w:rPr>
          <w:rFonts w:ascii="Times New Roman" w:hAnsi="Times New Roman" w:cs="Times New Roman"/>
          <w:sz w:val="24"/>
          <w:szCs w:val="24"/>
        </w:rPr>
      </w:pPr>
      <w:r w:rsidRPr="002C2D4F">
        <w:rPr>
          <w:rFonts w:ascii="Times New Roman" w:hAnsi="Times New Roman" w:cs="Times New Roman"/>
          <w:sz w:val="24"/>
          <w:szCs w:val="24"/>
        </w:rPr>
        <w:t>Ahorrar e invertir bien</w:t>
      </w:r>
    </w:p>
    <w:p w:rsidR="007C5D83" w:rsidRPr="002C2D4F" w:rsidRDefault="007C5D83" w:rsidP="00FA4DA9">
      <w:pPr>
        <w:spacing w:line="240" w:lineRule="auto"/>
        <w:jc w:val="both"/>
        <w:rPr>
          <w:rFonts w:ascii="Times New Roman" w:hAnsi="Times New Roman" w:cs="Times New Roman"/>
          <w:sz w:val="24"/>
          <w:szCs w:val="24"/>
        </w:rPr>
      </w:pPr>
      <w:r w:rsidRPr="00576E4B">
        <w:rPr>
          <w:rFonts w:ascii="Times New Roman" w:hAnsi="Times New Roman" w:cs="Times New Roman"/>
          <w:sz w:val="24"/>
          <w:szCs w:val="24"/>
          <w:u w:val="single"/>
        </w:rPr>
        <w:t>¿Por qué la evolución es tan dispar dentro del área monetaria? La riqueza financiera en los países puede incrementarse por un mayor aumento de la renta y del ahorro en unos países que en otros y por los cambios en los precios de los activos</w:t>
      </w:r>
      <w:r w:rsidRPr="002C2D4F">
        <w:rPr>
          <w:rFonts w:ascii="Times New Roman" w:hAnsi="Times New Roman" w:cs="Times New Roman"/>
          <w:sz w:val="24"/>
          <w:szCs w:val="24"/>
        </w:rPr>
        <w:t>. Por ejemplo, si la economía de Alemania crece más que la de España y encima los germanos ahorran más, el resultado es una brecha cada vez mayor en la riqueza. Si a esto se suma que las acciones, bonos o depósitos en los que invierten los germanos suben de precio o dan una renta</w:t>
      </w:r>
      <w:r>
        <w:rPr>
          <w:rFonts w:ascii="Times New Roman" w:hAnsi="Times New Roman" w:cs="Times New Roman"/>
          <w:sz w:val="24"/>
          <w:szCs w:val="24"/>
        </w:rPr>
        <w:t>bilidad vía interés o dividendo</w:t>
      </w:r>
      <w:r w:rsidRPr="002C2D4F">
        <w:rPr>
          <w:rFonts w:ascii="Times New Roman" w:hAnsi="Times New Roman" w:cs="Times New Roman"/>
          <w:sz w:val="24"/>
          <w:szCs w:val="24"/>
        </w:rPr>
        <w:t xml:space="preserve"> mayor, la brecha aún puede crecer más.</w:t>
      </w:r>
    </w:p>
    <w:p w:rsidR="007C5D83" w:rsidRPr="00576E4B" w:rsidRDefault="007C5D83" w:rsidP="00FA4DA9">
      <w:pPr>
        <w:spacing w:line="240" w:lineRule="auto"/>
        <w:jc w:val="both"/>
        <w:rPr>
          <w:rFonts w:ascii="Times New Roman" w:hAnsi="Times New Roman" w:cs="Times New Roman"/>
          <w:color w:val="FF0000"/>
          <w:sz w:val="24"/>
          <w:szCs w:val="24"/>
          <w:u w:val="single"/>
        </w:rPr>
      </w:pPr>
      <w:r w:rsidRPr="00576E4B">
        <w:rPr>
          <w:rFonts w:ascii="Times New Roman" w:hAnsi="Times New Roman" w:cs="Times New Roman"/>
          <w:sz w:val="24"/>
          <w:szCs w:val="24"/>
          <w:u w:val="single"/>
        </w:rPr>
        <w:t>Los expertos de Allianz explican que las grandes diferencias se producen sobre todo la tasa de ahorro y por la evolución del precio de los activos</w:t>
      </w:r>
      <w:r w:rsidRPr="002C2D4F">
        <w:rPr>
          <w:rFonts w:ascii="Times New Roman" w:hAnsi="Times New Roman" w:cs="Times New Roman"/>
          <w:sz w:val="24"/>
          <w:szCs w:val="24"/>
        </w:rPr>
        <w:t xml:space="preserve">. La rentabilidad por dividendos o por intereses no genera apenas diferencias por su escaso peso en la riqueza total. </w:t>
      </w:r>
      <w:r w:rsidRPr="00576E4B">
        <w:rPr>
          <w:rFonts w:ascii="Times New Roman" w:hAnsi="Times New Roman" w:cs="Times New Roman"/>
          <w:color w:val="FF0000"/>
          <w:sz w:val="24"/>
          <w:szCs w:val="24"/>
          <w:u w:val="single"/>
        </w:rPr>
        <w:t>Mientras en que Austria y Alemania entre un 11 y un 13% del aumento de la riqueza se deben a la subida de precios de los activos (la bolsa, por ejemplo), en los Pa</w:t>
      </w:r>
      <w:r w:rsidR="00822E48">
        <w:rPr>
          <w:rFonts w:ascii="Times New Roman" w:hAnsi="Times New Roman" w:cs="Times New Roman"/>
          <w:color w:val="FF0000"/>
          <w:sz w:val="24"/>
          <w:szCs w:val="24"/>
          <w:u w:val="single"/>
        </w:rPr>
        <w:t>íses Bajos esto supone un 77%. “</w:t>
      </w:r>
      <w:r w:rsidRPr="00576E4B">
        <w:rPr>
          <w:rFonts w:ascii="Times New Roman" w:hAnsi="Times New Roman" w:cs="Times New Roman"/>
          <w:color w:val="FF0000"/>
          <w:sz w:val="24"/>
          <w:szCs w:val="24"/>
          <w:u w:val="single"/>
        </w:rPr>
        <w:t>En otras palabras, en Austria y Alemania, casi el 90% del crecimiento de la riqueza se debe a los esfuerzos de ahorro personal, mientras que en los Países Bajos (pero también en Finlandia) se debe en gran parte al aug</w:t>
      </w:r>
      <w:r w:rsidR="00822E48">
        <w:rPr>
          <w:rFonts w:ascii="Times New Roman" w:hAnsi="Times New Roman" w:cs="Times New Roman"/>
          <w:color w:val="FF0000"/>
          <w:sz w:val="24"/>
          <w:szCs w:val="24"/>
          <w:u w:val="single"/>
        </w:rPr>
        <w:t>e de los precios de los activos”</w:t>
      </w:r>
      <w:r w:rsidRPr="00576E4B">
        <w:rPr>
          <w:rFonts w:ascii="Times New Roman" w:hAnsi="Times New Roman" w:cs="Times New Roman"/>
          <w:color w:val="FF0000"/>
          <w:sz w:val="24"/>
          <w:szCs w:val="24"/>
          <w:u w:val="single"/>
        </w:rPr>
        <w:t>.</w:t>
      </w:r>
    </w:p>
    <w:p w:rsidR="007C5D83" w:rsidRPr="00576E4B" w:rsidRDefault="00822E48" w:rsidP="00FA4DA9">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7C5D83" w:rsidRPr="00576E4B">
        <w:rPr>
          <w:rFonts w:ascii="Times New Roman" w:hAnsi="Times New Roman" w:cs="Times New Roman"/>
          <w:color w:val="FF0000"/>
          <w:sz w:val="24"/>
          <w:szCs w:val="24"/>
          <w:u w:val="single"/>
        </w:rPr>
        <w:t>Lo que se esconde detrás de estas sorprendentes diferencias es simplemente la estructura de la cartera: una mayor proporción de productos que podrían beneficiarse del auge de la renta variable en la última década ha sido decisiva para obtener una alta rentabilidad. Esto se aplica principalmente a Finlandia, que tiene, con mucho, la proporción más alta de acciones cotizadas y no cotizadas (un 33% de la cartera), y los Países Bajos, cuyos hogares, como resultado de unos planes de pensiones ocupacionales cuasi-obligatorios que tradicionalmente poseen una alta proporción de acciones y que suponen el</w:t>
      </w:r>
      <w:r>
        <w:rPr>
          <w:rFonts w:ascii="Times New Roman" w:hAnsi="Times New Roman" w:cs="Times New Roman"/>
          <w:color w:val="FF0000"/>
          <w:sz w:val="24"/>
          <w:szCs w:val="24"/>
          <w:u w:val="single"/>
        </w:rPr>
        <w:t xml:space="preserve"> 61% de sus activos financieros”</w:t>
      </w:r>
      <w:r w:rsidR="007C5D83" w:rsidRPr="00576E4B">
        <w:rPr>
          <w:rFonts w:ascii="Times New Roman" w:hAnsi="Times New Roman" w:cs="Times New Roman"/>
          <w:color w:val="FF0000"/>
          <w:sz w:val="24"/>
          <w:szCs w:val="24"/>
          <w:u w:val="single"/>
        </w:rPr>
        <w:t>, señalan los analistas de Allianz.</w:t>
      </w:r>
    </w:p>
    <w:p w:rsidR="007C5D83" w:rsidRPr="002C2D4F" w:rsidRDefault="007C5D83" w:rsidP="00FA4DA9">
      <w:pPr>
        <w:spacing w:line="240" w:lineRule="auto"/>
        <w:jc w:val="both"/>
        <w:rPr>
          <w:rFonts w:ascii="Times New Roman" w:hAnsi="Times New Roman" w:cs="Times New Roman"/>
          <w:sz w:val="24"/>
          <w:szCs w:val="24"/>
        </w:rPr>
      </w:pPr>
      <w:r w:rsidRPr="002C2D4F">
        <w:rPr>
          <w:rFonts w:ascii="Times New Roman" w:hAnsi="Times New Roman" w:cs="Times New Roman"/>
          <w:sz w:val="24"/>
          <w:szCs w:val="24"/>
        </w:rPr>
        <w:lastRenderedPageBreak/>
        <w:t xml:space="preserve">En el otro extremo de la escala se encuentran Portugal y Austria, donde más del 50% de los activos financieros consisten en efectivo y depósitos bancarios. En cuanto a la estructura de la cartera, las diferencias entre Francia y Alemania también son reveladoras: los hogares alemanes tienen una proporción significativamente mayor de efectivo y depósitos bancarios (+12 puntos porcentuales), pero una proporción menor de acciones </w:t>
      </w:r>
      <w:r>
        <w:rPr>
          <w:rFonts w:ascii="Times New Roman" w:hAnsi="Times New Roman" w:cs="Times New Roman"/>
          <w:sz w:val="24"/>
          <w:szCs w:val="24"/>
        </w:rPr>
        <w:t>y fondos de inversión (-2,4pp).</w:t>
      </w:r>
    </w:p>
    <w:p w:rsidR="007C5D83" w:rsidRDefault="007C5D83" w:rsidP="00FA4DA9">
      <w:pPr>
        <w:spacing w:line="240" w:lineRule="auto"/>
        <w:jc w:val="both"/>
        <w:rPr>
          <w:rFonts w:ascii="Times New Roman" w:hAnsi="Times New Roman" w:cs="Times New Roman"/>
          <w:sz w:val="24"/>
          <w:szCs w:val="24"/>
        </w:rPr>
      </w:pPr>
      <w:r w:rsidRPr="002C2D4F">
        <w:rPr>
          <w:rFonts w:ascii="Times New Roman" w:hAnsi="Times New Roman" w:cs="Times New Roman"/>
          <w:sz w:val="24"/>
          <w:szCs w:val="24"/>
        </w:rPr>
        <w:t>En el caso de España, alrededor del 40% de la riqueza financiera está en activos y depósitos, mientras que las acciones y las participaciones en fondos de inversión suponen alrededor de un 35%. Un 10% está en fondos de pensiones, un 10% en seguros y el resto en bonos. Esta composición de la cartera le</w:t>
      </w:r>
      <w:r>
        <w:rPr>
          <w:rFonts w:ascii="Times New Roman" w:hAnsi="Times New Roman" w:cs="Times New Roman"/>
          <w:sz w:val="24"/>
          <w:szCs w:val="24"/>
        </w:rPr>
        <w:t>s</w:t>
      </w:r>
      <w:r w:rsidRPr="002C2D4F">
        <w:rPr>
          <w:rFonts w:ascii="Times New Roman" w:hAnsi="Times New Roman" w:cs="Times New Roman"/>
          <w:sz w:val="24"/>
          <w:szCs w:val="24"/>
        </w:rPr>
        <w:t xml:space="preserve"> ha permitido a los españoles obtener unos rendimientos medios simples (no compuestos) de más del 3% cada año.</w:t>
      </w:r>
    </w:p>
    <w:p w:rsidR="007C5D83" w:rsidRPr="00F02FBA" w:rsidRDefault="007C5D83"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02FBA">
        <w:rPr>
          <w:rFonts w:ascii="Times New Roman" w:hAnsi="Times New Roman" w:cs="Times New Roman"/>
          <w:sz w:val="24"/>
          <w:szCs w:val="24"/>
          <w:u w:val="single"/>
        </w:rPr>
        <w:t>Biden anuncia un plan de ayudas urgentes para inyectar 1,5 billones en la economía</w:t>
      </w:r>
      <w:r>
        <w:rPr>
          <w:rFonts w:ascii="Times New Roman" w:hAnsi="Times New Roman" w:cs="Times New Roman"/>
          <w:sz w:val="24"/>
          <w:szCs w:val="24"/>
        </w:rPr>
        <w:t xml:space="preserve"> (Cinco Días - </w:t>
      </w:r>
      <w:r w:rsidRPr="00F02FBA">
        <w:rPr>
          <w:rFonts w:ascii="Times New Roman" w:hAnsi="Times New Roman" w:cs="Times New Roman"/>
          <w:b/>
          <w:sz w:val="24"/>
          <w:szCs w:val="24"/>
        </w:rPr>
        <w:t>15/1/21</w:t>
      </w:r>
      <w:r>
        <w:rPr>
          <w:rFonts w:ascii="Times New Roman" w:hAnsi="Times New Roman" w:cs="Times New Roman"/>
          <w:sz w:val="24"/>
          <w:szCs w:val="24"/>
        </w:rPr>
        <w:t>)</w:t>
      </w:r>
    </w:p>
    <w:p w:rsidR="007C5D83" w:rsidRPr="00F02FBA" w:rsidRDefault="007C5D83" w:rsidP="00FA4DA9">
      <w:pPr>
        <w:spacing w:line="240" w:lineRule="auto"/>
        <w:jc w:val="both"/>
        <w:rPr>
          <w:rFonts w:ascii="Times New Roman" w:hAnsi="Times New Roman" w:cs="Times New Roman"/>
          <w:sz w:val="24"/>
          <w:szCs w:val="24"/>
        </w:rPr>
      </w:pPr>
      <w:r w:rsidRPr="00822E48">
        <w:rPr>
          <w:rFonts w:ascii="Times New Roman" w:hAnsi="Times New Roman" w:cs="Times New Roman"/>
          <w:b/>
          <w:color w:val="FF0000"/>
          <w:sz w:val="24"/>
          <w:szCs w:val="24"/>
          <w:u w:val="single"/>
        </w:rPr>
        <w:t>El presidente electo de Estados Unidos, Joe Biden, ha anunciado este jueves un paquete de ayuda económica valorado en 1,9 billones de dólares (1,5 billones de euros) para hacer frente a la crisis económica provocada po</w:t>
      </w:r>
      <w:r w:rsidR="00822E48" w:rsidRPr="00822E48">
        <w:rPr>
          <w:rFonts w:ascii="Times New Roman" w:hAnsi="Times New Roman" w:cs="Times New Roman"/>
          <w:b/>
          <w:color w:val="FF0000"/>
          <w:sz w:val="24"/>
          <w:szCs w:val="24"/>
          <w:u w:val="single"/>
        </w:rPr>
        <w:t>r la pandemia del coronavirus</w:t>
      </w:r>
      <w:r w:rsidR="00822E48">
        <w:rPr>
          <w:rFonts w:ascii="Times New Roman" w:hAnsi="Times New Roman" w:cs="Times New Roman"/>
          <w:sz w:val="24"/>
          <w:szCs w:val="24"/>
        </w:rPr>
        <w:t>. “Hemos de actuar ahora”</w:t>
      </w:r>
      <w:r w:rsidRPr="00F02FBA">
        <w:rPr>
          <w:rFonts w:ascii="Times New Roman" w:hAnsi="Times New Roman" w:cs="Times New Roman"/>
          <w:sz w:val="24"/>
          <w:szCs w:val="24"/>
        </w:rPr>
        <w:t>, anunció ayer Biden en una comparecencia celebrada en Delaware, en la costa este de Estados Unidos, con la presencia también de la que será su vicepre</w:t>
      </w:r>
      <w:r w:rsidR="00822E48">
        <w:rPr>
          <w:rFonts w:ascii="Times New Roman" w:hAnsi="Times New Roman" w:cs="Times New Roman"/>
          <w:sz w:val="24"/>
          <w:szCs w:val="24"/>
        </w:rPr>
        <w:t>sidenta, Kamala Harris. “</w:t>
      </w:r>
      <w:r w:rsidRPr="00F02FBA">
        <w:rPr>
          <w:rFonts w:ascii="Times New Roman" w:hAnsi="Times New Roman" w:cs="Times New Roman"/>
          <w:sz w:val="24"/>
          <w:szCs w:val="24"/>
        </w:rPr>
        <w:t>Durante esta pandemia, millones de estadounidenses, sin tener la culpa, han perdido la dignidad y el re</w:t>
      </w:r>
      <w:r w:rsidR="00822E48">
        <w:rPr>
          <w:rFonts w:ascii="Times New Roman" w:hAnsi="Times New Roman" w:cs="Times New Roman"/>
          <w:sz w:val="24"/>
          <w:szCs w:val="24"/>
        </w:rPr>
        <w:t>speto que conlleva un trabajo”.</w:t>
      </w:r>
    </w:p>
    <w:p w:rsidR="007C5D83" w:rsidRPr="00F267CB" w:rsidRDefault="007C5D83" w:rsidP="00FA4DA9">
      <w:pPr>
        <w:spacing w:line="240" w:lineRule="auto"/>
        <w:jc w:val="both"/>
        <w:rPr>
          <w:rFonts w:ascii="Times New Roman" w:hAnsi="Times New Roman" w:cs="Times New Roman"/>
          <w:color w:val="FF0000"/>
          <w:sz w:val="24"/>
          <w:szCs w:val="24"/>
          <w:u w:val="single"/>
        </w:rPr>
      </w:pPr>
      <w:r w:rsidRPr="00F267CB">
        <w:rPr>
          <w:rFonts w:ascii="Times New Roman" w:hAnsi="Times New Roman" w:cs="Times New Roman"/>
          <w:color w:val="FF0000"/>
          <w:sz w:val="24"/>
          <w:szCs w:val="24"/>
          <w:u w:val="single"/>
        </w:rPr>
        <w:t>El futuro jefe de la Casa Blanca ha anunciado un nuevo plan de rescate y de recuperación formado</w:t>
      </w:r>
      <w:r w:rsidR="00822E48">
        <w:rPr>
          <w:rFonts w:ascii="Times New Roman" w:hAnsi="Times New Roman" w:cs="Times New Roman"/>
          <w:color w:val="FF0000"/>
          <w:sz w:val="24"/>
          <w:szCs w:val="24"/>
          <w:u w:val="single"/>
        </w:rPr>
        <w:t xml:space="preserve"> “por dos pasos”</w:t>
      </w:r>
      <w:r w:rsidRPr="00F267CB">
        <w:rPr>
          <w:rFonts w:ascii="Times New Roman" w:hAnsi="Times New Roman" w:cs="Times New Roman"/>
          <w:color w:val="FF0000"/>
          <w:sz w:val="24"/>
          <w:szCs w:val="24"/>
          <w:u w:val="single"/>
        </w:rPr>
        <w:t>, el segundo de los cuales, ha dicho, será detallado el mes próximo durante su primera comparecencia ante el Congreso, pero ha avanzad</w:t>
      </w:r>
      <w:r w:rsidR="00822E48">
        <w:rPr>
          <w:rFonts w:ascii="Times New Roman" w:hAnsi="Times New Roman" w:cs="Times New Roman"/>
          <w:color w:val="FF0000"/>
          <w:sz w:val="24"/>
          <w:szCs w:val="24"/>
          <w:u w:val="single"/>
        </w:rPr>
        <w:t>o que a través de una serie de “inversiones históricas”</w:t>
      </w:r>
      <w:r w:rsidRPr="00F267CB">
        <w:rPr>
          <w:rFonts w:ascii="Times New Roman" w:hAnsi="Times New Roman" w:cs="Times New Roman"/>
          <w:color w:val="FF0000"/>
          <w:sz w:val="24"/>
          <w:szCs w:val="24"/>
          <w:u w:val="single"/>
        </w:rPr>
        <w:t xml:space="preserve"> se prevé la creación de 18 millones de puestos de trabajo.</w:t>
      </w:r>
    </w:p>
    <w:p w:rsidR="007C5D83" w:rsidRPr="00F267CB" w:rsidRDefault="007C5D83" w:rsidP="00FA4DA9">
      <w:pPr>
        <w:spacing w:line="240" w:lineRule="auto"/>
        <w:jc w:val="both"/>
        <w:rPr>
          <w:rFonts w:ascii="Times New Roman" w:hAnsi="Times New Roman" w:cs="Times New Roman"/>
          <w:color w:val="FF0000"/>
          <w:sz w:val="24"/>
          <w:szCs w:val="24"/>
          <w:u w:val="single"/>
        </w:rPr>
      </w:pPr>
      <w:r w:rsidRPr="00F267CB">
        <w:rPr>
          <w:rFonts w:ascii="Times New Roman" w:hAnsi="Times New Roman" w:cs="Times New Roman"/>
          <w:color w:val="FF0000"/>
          <w:sz w:val="24"/>
          <w:szCs w:val="24"/>
          <w:u w:val="single"/>
        </w:rPr>
        <w:t>Así, dentro de ese plan se contemplan unos 400.000 millones (330.000 millones de euros) para la creación de un programa nacional de vacunación, con el que se espera alcanzar a unos 50 millones de personas, y a la reapertura de colegios y centros educativos durante sus primeros 100 días en el Despacho Oval.</w:t>
      </w:r>
    </w:p>
    <w:p w:rsidR="007C5D83" w:rsidRPr="00F267CB" w:rsidRDefault="007C5D83" w:rsidP="00FA4DA9">
      <w:pPr>
        <w:spacing w:line="240" w:lineRule="auto"/>
        <w:jc w:val="both"/>
        <w:rPr>
          <w:rFonts w:ascii="Times New Roman" w:hAnsi="Times New Roman" w:cs="Times New Roman"/>
          <w:color w:val="FF0000"/>
          <w:sz w:val="24"/>
          <w:szCs w:val="24"/>
          <w:u w:val="single"/>
        </w:rPr>
      </w:pPr>
      <w:r w:rsidRPr="00F267CB">
        <w:rPr>
          <w:rFonts w:ascii="Times New Roman" w:hAnsi="Times New Roman" w:cs="Times New Roman"/>
          <w:color w:val="FF0000"/>
          <w:sz w:val="24"/>
          <w:szCs w:val="24"/>
          <w:u w:val="single"/>
        </w:rPr>
        <w:t>Además se destinarán unos 344.000 millones de dólares (290.000 millones de euros) para gobiernos locales y estatales, mientras que el resto del dinero, un billón de dólares irá directamente al bolsillo de los ciudadanos estadounidenses afectados por la crisis, a través de pagos de hasta 1.400 dólares (1.150 euros) y otras ayudas en materia de vivienda, para las familias con pocos recursos, así como para las pequeñas y medianas empresas afectadas por la caída de ingresos.</w:t>
      </w:r>
    </w:p>
    <w:p w:rsidR="007C5D83" w:rsidRPr="00F267CB" w:rsidRDefault="007C5D83" w:rsidP="00FA4DA9">
      <w:pPr>
        <w:spacing w:line="240" w:lineRule="auto"/>
        <w:jc w:val="both"/>
        <w:rPr>
          <w:rFonts w:ascii="Times New Roman" w:hAnsi="Times New Roman" w:cs="Times New Roman"/>
          <w:color w:val="FF0000"/>
          <w:sz w:val="24"/>
          <w:szCs w:val="24"/>
        </w:rPr>
      </w:pPr>
      <w:r w:rsidRPr="00F267CB">
        <w:rPr>
          <w:rFonts w:ascii="Times New Roman" w:hAnsi="Times New Roman" w:cs="Times New Roman"/>
          <w:color w:val="FF0000"/>
          <w:sz w:val="24"/>
          <w:szCs w:val="24"/>
        </w:rPr>
        <w:t>Estas son las principales medidas del plan:</w:t>
      </w:r>
    </w:p>
    <w:p w:rsidR="007C5D83" w:rsidRPr="00F267CB" w:rsidRDefault="007C5D83" w:rsidP="00FA4DA9">
      <w:pPr>
        <w:spacing w:line="240" w:lineRule="auto"/>
        <w:jc w:val="both"/>
        <w:rPr>
          <w:rFonts w:ascii="Times New Roman" w:hAnsi="Times New Roman" w:cs="Times New Roman"/>
          <w:color w:val="FF0000"/>
          <w:sz w:val="24"/>
          <w:szCs w:val="24"/>
        </w:rPr>
      </w:pPr>
      <w:r w:rsidRPr="00F267CB">
        <w:rPr>
          <w:rFonts w:ascii="Times New Roman" w:hAnsi="Times New Roman" w:cs="Times New Roman"/>
          <w:color w:val="FF0000"/>
          <w:sz w:val="24"/>
          <w:szCs w:val="24"/>
        </w:rPr>
        <w:t>Pagos directos a las familias de 1.400 dólares, frente a los 600 anteriores</w:t>
      </w:r>
    </w:p>
    <w:p w:rsidR="007C5D83" w:rsidRPr="00F267CB" w:rsidRDefault="007C5D83" w:rsidP="00FA4DA9">
      <w:pPr>
        <w:spacing w:line="240" w:lineRule="auto"/>
        <w:jc w:val="both"/>
        <w:rPr>
          <w:rFonts w:ascii="Times New Roman" w:hAnsi="Times New Roman" w:cs="Times New Roman"/>
          <w:color w:val="FF0000"/>
          <w:sz w:val="24"/>
          <w:szCs w:val="24"/>
        </w:rPr>
      </w:pPr>
      <w:r w:rsidRPr="00F267CB">
        <w:rPr>
          <w:rFonts w:ascii="Times New Roman" w:hAnsi="Times New Roman" w:cs="Times New Roman"/>
          <w:color w:val="FF0000"/>
          <w:sz w:val="24"/>
          <w:szCs w:val="24"/>
        </w:rPr>
        <w:t>400 dólares a la semana de ayudas al desempleo, prorrogadas hasta septiembre</w:t>
      </w:r>
    </w:p>
    <w:p w:rsidR="007C5D83" w:rsidRPr="00F267CB" w:rsidRDefault="007C5D83" w:rsidP="00FA4DA9">
      <w:pPr>
        <w:spacing w:line="240" w:lineRule="auto"/>
        <w:jc w:val="both"/>
        <w:rPr>
          <w:rFonts w:ascii="Times New Roman" w:hAnsi="Times New Roman" w:cs="Times New Roman"/>
          <w:color w:val="FF0000"/>
          <w:sz w:val="24"/>
          <w:szCs w:val="24"/>
        </w:rPr>
      </w:pPr>
      <w:r w:rsidRPr="00F267CB">
        <w:rPr>
          <w:rFonts w:ascii="Times New Roman" w:hAnsi="Times New Roman" w:cs="Times New Roman"/>
          <w:color w:val="FF0000"/>
          <w:sz w:val="24"/>
          <w:szCs w:val="24"/>
        </w:rPr>
        <w:t>350.000 millones de ayudas a gobiernos estatales y locales</w:t>
      </w:r>
    </w:p>
    <w:p w:rsidR="007C5D83" w:rsidRPr="00F267CB" w:rsidRDefault="007C5D83" w:rsidP="00FA4DA9">
      <w:pPr>
        <w:spacing w:line="240" w:lineRule="auto"/>
        <w:jc w:val="both"/>
        <w:rPr>
          <w:rFonts w:ascii="Times New Roman" w:hAnsi="Times New Roman" w:cs="Times New Roman"/>
          <w:color w:val="FF0000"/>
          <w:sz w:val="24"/>
          <w:szCs w:val="24"/>
        </w:rPr>
      </w:pPr>
      <w:r w:rsidRPr="00F267CB">
        <w:rPr>
          <w:rFonts w:ascii="Times New Roman" w:hAnsi="Times New Roman" w:cs="Times New Roman"/>
          <w:color w:val="FF0000"/>
          <w:sz w:val="24"/>
          <w:szCs w:val="24"/>
        </w:rPr>
        <w:t>Subida del salario mínimo hasta los 15 dólares la hora</w:t>
      </w:r>
    </w:p>
    <w:p w:rsidR="007C5D83" w:rsidRPr="00F267CB" w:rsidRDefault="007C5D83" w:rsidP="00FA4DA9">
      <w:pPr>
        <w:spacing w:line="240" w:lineRule="auto"/>
        <w:jc w:val="both"/>
        <w:rPr>
          <w:rFonts w:ascii="Times New Roman" w:hAnsi="Times New Roman" w:cs="Times New Roman"/>
          <w:color w:val="FF0000"/>
          <w:sz w:val="24"/>
          <w:szCs w:val="24"/>
        </w:rPr>
      </w:pPr>
      <w:r w:rsidRPr="00F267CB">
        <w:rPr>
          <w:rFonts w:ascii="Times New Roman" w:hAnsi="Times New Roman" w:cs="Times New Roman"/>
          <w:color w:val="FF0000"/>
          <w:sz w:val="24"/>
          <w:szCs w:val="24"/>
        </w:rPr>
        <w:t>130.000 millones para la reapertura de escuelas</w:t>
      </w:r>
    </w:p>
    <w:p w:rsidR="007C5D83" w:rsidRPr="00F267CB" w:rsidRDefault="007C5D83" w:rsidP="00FA4DA9">
      <w:pPr>
        <w:spacing w:line="240" w:lineRule="auto"/>
        <w:jc w:val="both"/>
        <w:rPr>
          <w:rFonts w:ascii="Times New Roman" w:hAnsi="Times New Roman" w:cs="Times New Roman"/>
          <w:color w:val="FF0000"/>
          <w:sz w:val="24"/>
          <w:szCs w:val="24"/>
        </w:rPr>
      </w:pPr>
      <w:r w:rsidRPr="00F267CB">
        <w:rPr>
          <w:rFonts w:ascii="Times New Roman" w:hAnsi="Times New Roman" w:cs="Times New Roman"/>
          <w:color w:val="FF0000"/>
          <w:sz w:val="24"/>
          <w:szCs w:val="24"/>
        </w:rPr>
        <w:t>160.000 millones para un programa nacional de vacunación y rastreo</w:t>
      </w:r>
    </w:p>
    <w:p w:rsidR="007C5D83" w:rsidRPr="00F267CB" w:rsidRDefault="007C5D83" w:rsidP="00FA4DA9">
      <w:pPr>
        <w:spacing w:line="240" w:lineRule="auto"/>
        <w:jc w:val="both"/>
        <w:rPr>
          <w:rFonts w:ascii="Times New Roman" w:hAnsi="Times New Roman" w:cs="Times New Roman"/>
          <w:color w:val="FF0000"/>
          <w:sz w:val="24"/>
          <w:szCs w:val="24"/>
        </w:rPr>
      </w:pPr>
      <w:r w:rsidRPr="00F267CB">
        <w:rPr>
          <w:rFonts w:ascii="Times New Roman" w:hAnsi="Times New Roman" w:cs="Times New Roman"/>
          <w:color w:val="FF0000"/>
          <w:sz w:val="24"/>
          <w:szCs w:val="24"/>
        </w:rPr>
        <w:lastRenderedPageBreak/>
        <w:t>30.000 millones de ayudas a pequeños arrendadores</w:t>
      </w:r>
    </w:p>
    <w:p w:rsidR="007C5D83" w:rsidRPr="00F267CB" w:rsidRDefault="007C5D83" w:rsidP="00FA4DA9">
      <w:pPr>
        <w:spacing w:line="240" w:lineRule="auto"/>
        <w:jc w:val="both"/>
        <w:rPr>
          <w:rFonts w:ascii="Times New Roman" w:hAnsi="Times New Roman" w:cs="Times New Roman"/>
          <w:color w:val="FF0000"/>
          <w:sz w:val="24"/>
          <w:szCs w:val="24"/>
        </w:rPr>
      </w:pPr>
      <w:r w:rsidRPr="00F267CB">
        <w:rPr>
          <w:rFonts w:ascii="Times New Roman" w:hAnsi="Times New Roman" w:cs="Times New Roman"/>
          <w:color w:val="FF0000"/>
          <w:sz w:val="24"/>
          <w:szCs w:val="24"/>
        </w:rPr>
        <w:t>25.000 millones para servicios de cuidado infantil</w:t>
      </w:r>
    </w:p>
    <w:p w:rsidR="007C5D83" w:rsidRPr="00F267CB" w:rsidRDefault="007C5D83" w:rsidP="00FA4DA9">
      <w:pPr>
        <w:spacing w:line="240" w:lineRule="auto"/>
        <w:jc w:val="both"/>
        <w:rPr>
          <w:rFonts w:ascii="Times New Roman" w:hAnsi="Times New Roman" w:cs="Times New Roman"/>
          <w:color w:val="FF0000"/>
          <w:sz w:val="24"/>
          <w:szCs w:val="24"/>
        </w:rPr>
      </w:pPr>
      <w:r w:rsidRPr="00F267CB">
        <w:rPr>
          <w:rFonts w:ascii="Times New Roman" w:hAnsi="Times New Roman" w:cs="Times New Roman"/>
          <w:color w:val="FF0000"/>
          <w:sz w:val="24"/>
          <w:szCs w:val="24"/>
        </w:rPr>
        <w:t>Aumento de las ayudas alimentarias, de las deducciones por hijo</w:t>
      </w:r>
    </w:p>
    <w:p w:rsidR="007C5D83" w:rsidRPr="00F267CB" w:rsidRDefault="007C5D83" w:rsidP="00FA4DA9">
      <w:pPr>
        <w:spacing w:line="240" w:lineRule="auto"/>
        <w:jc w:val="both"/>
        <w:rPr>
          <w:rFonts w:ascii="Times New Roman" w:hAnsi="Times New Roman" w:cs="Times New Roman"/>
          <w:color w:val="FF0000"/>
          <w:sz w:val="24"/>
          <w:szCs w:val="24"/>
        </w:rPr>
      </w:pPr>
      <w:r w:rsidRPr="00F267CB">
        <w:rPr>
          <w:rFonts w:ascii="Times New Roman" w:hAnsi="Times New Roman" w:cs="Times New Roman"/>
          <w:color w:val="FF0000"/>
          <w:sz w:val="24"/>
          <w:szCs w:val="24"/>
        </w:rPr>
        <w:t>Mejores condiciones para las excedencias por cuidados médicos</w:t>
      </w:r>
    </w:p>
    <w:p w:rsidR="007C5D83" w:rsidRPr="00F02FBA" w:rsidRDefault="007C5D83" w:rsidP="00FA4DA9">
      <w:pPr>
        <w:spacing w:line="240" w:lineRule="auto"/>
        <w:jc w:val="both"/>
        <w:rPr>
          <w:rFonts w:ascii="Times New Roman" w:hAnsi="Times New Roman" w:cs="Times New Roman"/>
          <w:sz w:val="24"/>
          <w:szCs w:val="24"/>
        </w:rPr>
      </w:pPr>
      <w:r w:rsidRPr="00F02FBA">
        <w:rPr>
          <w:rFonts w:ascii="Times New Roman" w:hAnsi="Times New Roman" w:cs="Times New Roman"/>
          <w:sz w:val="24"/>
          <w:szCs w:val="24"/>
        </w:rPr>
        <w:t>Biden, quien ha agradecido a los congresistas republicanos y demócratas que alcanzaran un acuerdo el pasado mes de diciembre para lanzar un paquete de ayuda de emergencia contra el Covid, ha señalado que el primer paso de su plan de rescate está enfocado en la lucha contra la pan</w:t>
      </w:r>
      <w:r w:rsidR="00822E48">
        <w:rPr>
          <w:rFonts w:ascii="Times New Roman" w:hAnsi="Times New Roman" w:cs="Times New Roman"/>
          <w:sz w:val="24"/>
          <w:szCs w:val="24"/>
        </w:rPr>
        <w:t>demia. Biden ha reconocido que “es mucho”</w:t>
      </w:r>
      <w:r w:rsidRPr="00F02FBA">
        <w:rPr>
          <w:rFonts w:ascii="Times New Roman" w:hAnsi="Times New Roman" w:cs="Times New Roman"/>
          <w:sz w:val="24"/>
          <w:szCs w:val="24"/>
        </w:rPr>
        <w:t>, pero ha justificado su ambicioso plan explicando que la</w:t>
      </w:r>
      <w:r w:rsidR="00822E48">
        <w:rPr>
          <w:rFonts w:ascii="Times New Roman" w:hAnsi="Times New Roman" w:cs="Times New Roman"/>
          <w:sz w:val="24"/>
          <w:szCs w:val="24"/>
        </w:rPr>
        <w:t xml:space="preserve"> salud misma de Estados Unidos “está en juego” y por lo tanto hay que “actuar ahora”</w:t>
      </w:r>
      <w:r w:rsidRPr="00F02FBA">
        <w:rPr>
          <w:rFonts w:ascii="Times New Roman" w:hAnsi="Times New Roman" w:cs="Times New Roman"/>
          <w:sz w:val="24"/>
          <w:szCs w:val="24"/>
        </w:rPr>
        <w:t>. Para ello, consciente de las dificultades de lograr el visto bueno, por lo menos en el Senado, ha apelado a la n</w:t>
      </w:r>
      <w:r w:rsidR="00822E48">
        <w:rPr>
          <w:rFonts w:ascii="Times New Roman" w:hAnsi="Times New Roman" w:cs="Times New Roman"/>
          <w:sz w:val="24"/>
          <w:szCs w:val="24"/>
        </w:rPr>
        <w:t>ecesidad de “</w:t>
      </w:r>
      <w:r>
        <w:rPr>
          <w:rFonts w:ascii="Times New Roman" w:hAnsi="Times New Roman" w:cs="Times New Roman"/>
          <w:sz w:val="24"/>
          <w:szCs w:val="24"/>
        </w:rPr>
        <w:t>más bipartid</w:t>
      </w:r>
      <w:r w:rsidR="00822E48">
        <w:rPr>
          <w:rFonts w:ascii="Times New Roman" w:hAnsi="Times New Roman" w:cs="Times New Roman"/>
          <w:sz w:val="24"/>
          <w:szCs w:val="24"/>
        </w:rPr>
        <w:t>ismo”</w:t>
      </w:r>
      <w:r>
        <w:rPr>
          <w:rFonts w:ascii="Times New Roman" w:hAnsi="Times New Roman" w:cs="Times New Roman"/>
          <w:sz w:val="24"/>
          <w:szCs w:val="24"/>
        </w:rPr>
        <w:t>.</w:t>
      </w:r>
    </w:p>
    <w:p w:rsidR="007C5D83" w:rsidRPr="00F267CB" w:rsidRDefault="007C5D83" w:rsidP="00FA4DA9">
      <w:pPr>
        <w:spacing w:line="240" w:lineRule="auto"/>
        <w:jc w:val="both"/>
        <w:rPr>
          <w:rFonts w:ascii="Times New Roman" w:hAnsi="Times New Roman" w:cs="Times New Roman"/>
          <w:sz w:val="24"/>
          <w:szCs w:val="24"/>
          <w:u w:val="single"/>
        </w:rPr>
      </w:pPr>
      <w:r w:rsidRPr="00F267CB">
        <w:rPr>
          <w:rFonts w:ascii="Times New Roman" w:hAnsi="Times New Roman" w:cs="Times New Roman"/>
          <w:sz w:val="24"/>
          <w:szCs w:val="24"/>
          <w:u w:val="single"/>
        </w:rPr>
        <w:t>Pese a que los demócratas empataron las fuerzas en el Senado al obtener sus dos últimos escaños con el triunfo en la segunda vuelta en el estado de Georgia, y que cuentan además con el voto de desempate de la futura vicepresidenta, Kamala Harris, algunas de las medidas precisarán de una mayoría reforzada de 60 senadores (sobre un total de 100).</w:t>
      </w:r>
    </w:p>
    <w:p w:rsidR="007C5D83" w:rsidRPr="00F02FBA" w:rsidRDefault="007C5D83" w:rsidP="00FA4DA9">
      <w:pPr>
        <w:spacing w:line="240" w:lineRule="auto"/>
        <w:jc w:val="both"/>
        <w:rPr>
          <w:rFonts w:ascii="Times New Roman" w:hAnsi="Times New Roman" w:cs="Times New Roman"/>
          <w:sz w:val="24"/>
          <w:szCs w:val="24"/>
        </w:rPr>
      </w:pPr>
      <w:r w:rsidRPr="00F02FBA">
        <w:rPr>
          <w:rFonts w:ascii="Times New Roman" w:hAnsi="Times New Roman" w:cs="Times New Roman"/>
          <w:sz w:val="24"/>
          <w:szCs w:val="24"/>
        </w:rPr>
        <w:t>Fue precisamente esa razón la que paralizó durante meses un acuerdo entre republicanos y demócratas para firmar el anterior plan de ayuda económica contra el coronavirus, valorado en 900.000 millones de dólares (735.000 millones de euros), que contempla cheques de 600 dólares</w:t>
      </w:r>
      <w:r>
        <w:rPr>
          <w:rFonts w:ascii="Times New Roman" w:hAnsi="Times New Roman" w:cs="Times New Roman"/>
          <w:sz w:val="24"/>
          <w:szCs w:val="24"/>
        </w:rPr>
        <w:t xml:space="preserve"> (490 euros) para las familias.</w:t>
      </w:r>
    </w:p>
    <w:p w:rsidR="007C5D83" w:rsidRPr="00F02FBA" w:rsidRDefault="007C5D83" w:rsidP="00FA4DA9">
      <w:pPr>
        <w:spacing w:line="240" w:lineRule="auto"/>
        <w:jc w:val="both"/>
        <w:rPr>
          <w:rFonts w:ascii="Times New Roman" w:hAnsi="Times New Roman" w:cs="Times New Roman"/>
          <w:sz w:val="24"/>
          <w:szCs w:val="24"/>
        </w:rPr>
      </w:pPr>
      <w:r w:rsidRPr="00F02FBA">
        <w:rPr>
          <w:rFonts w:ascii="Times New Roman" w:hAnsi="Times New Roman" w:cs="Times New Roman"/>
          <w:sz w:val="24"/>
          <w:szCs w:val="24"/>
        </w:rPr>
        <w:t>El mes pasado, estas ayudas comenzaron a repartirse, después de varios días a la espera de la firma del presidente de Estados Unidos, Donald Trump, quien</w:t>
      </w:r>
      <w:r w:rsidR="00822E48">
        <w:rPr>
          <w:rFonts w:ascii="Times New Roman" w:hAnsi="Times New Roman" w:cs="Times New Roman"/>
          <w:sz w:val="24"/>
          <w:szCs w:val="24"/>
        </w:rPr>
        <w:t xml:space="preserve"> durante ese tiempo criticó lo “ridículamente”</w:t>
      </w:r>
      <w:r w:rsidRPr="00F02FBA">
        <w:rPr>
          <w:rFonts w:ascii="Times New Roman" w:hAnsi="Times New Roman" w:cs="Times New Roman"/>
          <w:sz w:val="24"/>
          <w:szCs w:val="24"/>
        </w:rPr>
        <w:t xml:space="preserve"> bajos que eran esos 600 dólares y pidió que el Congreso los subiera a 2.000 (1.600 euros) o 4.000 dólares (3.300 euros). La Cámara de Representantes, liderada por los demócratas, dio luz verde al proyecto, pero no así el Senado, que no celeb</w:t>
      </w:r>
      <w:r>
        <w:rPr>
          <w:rFonts w:ascii="Times New Roman" w:hAnsi="Times New Roman" w:cs="Times New Roman"/>
          <w:sz w:val="24"/>
          <w:szCs w:val="24"/>
        </w:rPr>
        <w:t>ró votación alguna al respecto.</w:t>
      </w:r>
    </w:p>
    <w:p w:rsidR="007C5D83" w:rsidRPr="00F02FBA" w:rsidRDefault="007C5D83" w:rsidP="00FA4DA9">
      <w:pPr>
        <w:spacing w:line="240" w:lineRule="auto"/>
        <w:jc w:val="both"/>
        <w:rPr>
          <w:rFonts w:ascii="Times New Roman" w:hAnsi="Times New Roman" w:cs="Times New Roman"/>
          <w:sz w:val="24"/>
          <w:szCs w:val="24"/>
        </w:rPr>
      </w:pPr>
      <w:r w:rsidRPr="00F02FBA">
        <w:rPr>
          <w:rFonts w:ascii="Times New Roman" w:hAnsi="Times New Roman" w:cs="Times New Roman"/>
          <w:sz w:val="24"/>
          <w:szCs w:val="24"/>
        </w:rPr>
        <w:t>Tan sólo en la primera semana de enero ya ha habido una subida del 25 por ciento en las solicitudes para acceder a estas ayudas con respecto a los siete días anteriores, lo que significa 1,15 millones más de estadounidenses, según ha detallado también este jueves el Departamento de Trabajo, que cifra en 140.000 los puestos de trab</w:t>
      </w:r>
      <w:r>
        <w:rPr>
          <w:rFonts w:ascii="Times New Roman" w:hAnsi="Times New Roman" w:cs="Times New Roman"/>
          <w:sz w:val="24"/>
          <w:szCs w:val="24"/>
        </w:rPr>
        <w:t>ajo perdidos sólo en diciembre.</w:t>
      </w:r>
    </w:p>
    <w:p w:rsidR="007C5D83" w:rsidRDefault="007C5D83" w:rsidP="00FA4DA9">
      <w:pPr>
        <w:spacing w:line="240" w:lineRule="auto"/>
        <w:jc w:val="both"/>
        <w:rPr>
          <w:rFonts w:ascii="Times New Roman" w:hAnsi="Times New Roman" w:cs="Times New Roman"/>
          <w:sz w:val="24"/>
          <w:szCs w:val="24"/>
        </w:rPr>
      </w:pPr>
      <w:r w:rsidRPr="00F02FBA">
        <w:rPr>
          <w:rFonts w:ascii="Times New Roman" w:hAnsi="Times New Roman" w:cs="Times New Roman"/>
          <w:sz w:val="24"/>
          <w:szCs w:val="24"/>
        </w:rPr>
        <w:t>Durante la última semana, informa el Departamento de Trabajo, se han registrado 284.000 solicitudes para acceder a la prestación por desempleo destinada durante la pandemia a los trabajadores autónomos, quienes suelen quedarse fuera del resto de ayudas.</w:t>
      </w:r>
    </w:p>
    <w:p w:rsidR="00F001EE" w:rsidRPr="001A2CF2" w:rsidRDefault="00F001EE"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A2CF2">
        <w:rPr>
          <w:rFonts w:ascii="Times New Roman" w:hAnsi="Times New Roman" w:cs="Times New Roman"/>
          <w:sz w:val="24"/>
          <w:szCs w:val="24"/>
          <w:u w:val="single"/>
        </w:rPr>
        <w:t>La Unión Europea advierte por escrito de que sin reformas no liberará los fondos</w:t>
      </w:r>
      <w:r>
        <w:rPr>
          <w:rFonts w:ascii="Times New Roman" w:hAnsi="Times New Roman" w:cs="Times New Roman"/>
          <w:sz w:val="24"/>
          <w:szCs w:val="24"/>
        </w:rPr>
        <w:t xml:space="preserve"> (Vozpópuli - </w:t>
      </w:r>
      <w:r w:rsidRPr="001A2CF2">
        <w:rPr>
          <w:rFonts w:ascii="Times New Roman" w:hAnsi="Times New Roman" w:cs="Times New Roman"/>
          <w:b/>
          <w:sz w:val="24"/>
          <w:szCs w:val="24"/>
        </w:rPr>
        <w:t>15/1/21</w:t>
      </w:r>
      <w:r>
        <w:rPr>
          <w:rFonts w:ascii="Times New Roman" w:hAnsi="Times New Roman" w:cs="Times New Roman"/>
          <w:sz w:val="24"/>
          <w:szCs w:val="24"/>
        </w:rPr>
        <w:t>)</w:t>
      </w:r>
    </w:p>
    <w:p w:rsidR="00F001EE" w:rsidRPr="001A2CF2" w:rsidRDefault="00F001EE"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1A2CF2">
        <w:rPr>
          <w:rFonts w:ascii="Times New Roman" w:hAnsi="Times New Roman" w:cs="Times New Roman"/>
          <w:sz w:val="24"/>
          <w:szCs w:val="24"/>
        </w:rPr>
        <w:t>A</w:t>
      </w:r>
      <w:r w:rsidR="00822E48">
        <w:rPr>
          <w:rFonts w:ascii="Times New Roman" w:hAnsi="Times New Roman" w:cs="Times New Roman"/>
          <w:sz w:val="24"/>
          <w:szCs w:val="24"/>
        </w:rPr>
        <w:t>lejandra Olcese)</w:t>
      </w:r>
    </w:p>
    <w:p w:rsidR="00F001EE" w:rsidRPr="00F267CB" w:rsidRDefault="00F001EE" w:rsidP="00FA4DA9">
      <w:pPr>
        <w:spacing w:line="240" w:lineRule="auto"/>
        <w:jc w:val="both"/>
        <w:rPr>
          <w:rFonts w:ascii="Times New Roman" w:hAnsi="Times New Roman" w:cs="Times New Roman"/>
          <w:color w:val="FF0000"/>
          <w:sz w:val="24"/>
          <w:szCs w:val="24"/>
          <w:u w:val="single"/>
        </w:rPr>
      </w:pPr>
      <w:r w:rsidRPr="00F267CB">
        <w:rPr>
          <w:rFonts w:ascii="Times New Roman" w:hAnsi="Times New Roman" w:cs="Times New Roman"/>
          <w:color w:val="FF0000"/>
          <w:sz w:val="24"/>
          <w:szCs w:val="24"/>
          <w:u w:val="single"/>
        </w:rPr>
        <w:t>El Parlamento Europeo, el Consejo Europeo y la Comisión Europea han firmado el reglamento del fondo de recuperación y resiliencia -del que España recibirá hasta 140.000 millones de euros- y han acordado que no se desembolsarán los fondos hasta que se compruebe la ejecución de las reformas.</w:t>
      </w:r>
    </w:p>
    <w:p w:rsidR="00F001EE" w:rsidRPr="001A2CF2" w:rsidRDefault="00F001EE" w:rsidP="00FA4DA9">
      <w:pPr>
        <w:spacing w:line="240" w:lineRule="auto"/>
        <w:jc w:val="both"/>
        <w:rPr>
          <w:rFonts w:ascii="Times New Roman" w:hAnsi="Times New Roman" w:cs="Times New Roman"/>
          <w:sz w:val="24"/>
          <w:szCs w:val="24"/>
        </w:rPr>
      </w:pPr>
      <w:r w:rsidRPr="001A2CF2">
        <w:rPr>
          <w:rFonts w:ascii="Times New Roman" w:hAnsi="Times New Roman" w:cs="Times New Roman"/>
          <w:sz w:val="24"/>
          <w:szCs w:val="24"/>
        </w:rPr>
        <w:lastRenderedPageBreak/>
        <w:t xml:space="preserve">Así lo han decido estas tres instituciones: el Parlamento -la cámara legislativa integrada por 705 eurodiputados-, el Consejo Europeo -compuesto por los 27 jefes de Estado o de Gobierno de los países y su presidente, Charles Michel- y la Comisión Europea -formada por 26 comisarios y encargada de elaborar las propuestas de nueva legislación, vigilar el cumplimiento de las normas comunitarias y fijar las </w:t>
      </w:r>
      <w:r>
        <w:rPr>
          <w:rFonts w:ascii="Times New Roman" w:hAnsi="Times New Roman" w:cs="Times New Roman"/>
          <w:sz w:val="24"/>
          <w:szCs w:val="24"/>
        </w:rPr>
        <w:t>prioridades de gasto de la UE-.</w:t>
      </w:r>
    </w:p>
    <w:p w:rsidR="00F001EE" w:rsidRPr="001A2CF2" w:rsidRDefault="00F001EE" w:rsidP="00FA4DA9">
      <w:pPr>
        <w:spacing w:line="240" w:lineRule="auto"/>
        <w:jc w:val="both"/>
        <w:rPr>
          <w:rFonts w:ascii="Times New Roman" w:hAnsi="Times New Roman" w:cs="Times New Roman"/>
          <w:sz w:val="24"/>
          <w:szCs w:val="24"/>
        </w:rPr>
      </w:pPr>
      <w:r w:rsidRPr="00F267CB">
        <w:rPr>
          <w:rFonts w:ascii="Times New Roman" w:hAnsi="Times New Roman" w:cs="Times New Roman"/>
          <w:sz w:val="24"/>
          <w:szCs w:val="24"/>
          <w:u w:val="single"/>
        </w:rPr>
        <w:t>Su decisión ha sido exigir a todos los países que el plan que vayan a enviar para poder acceder a los fondos europeos contribuya a mejorar en las recomendaciones específicas que Bruselas ha hecho a cada país en el marco del Semestre Europeo y fije unas medidas concretas que se irán tomando para poder ir recibiendo el dinero</w:t>
      </w:r>
      <w:r>
        <w:rPr>
          <w:rFonts w:ascii="Times New Roman" w:hAnsi="Times New Roman" w:cs="Times New Roman"/>
          <w:sz w:val="24"/>
          <w:szCs w:val="24"/>
        </w:rPr>
        <w:t>.</w:t>
      </w:r>
    </w:p>
    <w:p w:rsidR="00F001EE" w:rsidRPr="001A2CF2" w:rsidRDefault="00F001EE" w:rsidP="00FA4DA9">
      <w:pPr>
        <w:spacing w:line="240" w:lineRule="auto"/>
        <w:jc w:val="both"/>
        <w:rPr>
          <w:rFonts w:ascii="Times New Roman" w:hAnsi="Times New Roman" w:cs="Times New Roman"/>
          <w:sz w:val="24"/>
          <w:szCs w:val="24"/>
        </w:rPr>
      </w:pPr>
      <w:r w:rsidRPr="00A746E5">
        <w:rPr>
          <w:rFonts w:ascii="Times New Roman" w:hAnsi="Times New Roman" w:cs="Times New Roman"/>
          <w:color w:val="FF0000"/>
          <w:sz w:val="24"/>
          <w:szCs w:val="24"/>
          <w:u w:val="single"/>
        </w:rPr>
        <w:t>Como ya contó Vozpópuli, en el caso de España esto supone abordar una reforma del mercado laboral y otra del sistema público de pensiones, fomentar la transición energética e inversión en I+D, la transición digital y el cambio climático, mejorar la gestión de las finanzas públicas y acometer una serie de retos sociales como reducir el abandono escolar o el porcentaje de personas en riesgo de pobreza, entre otras</w:t>
      </w:r>
      <w:r>
        <w:rPr>
          <w:rFonts w:ascii="Times New Roman" w:hAnsi="Times New Roman" w:cs="Times New Roman"/>
          <w:sz w:val="24"/>
          <w:szCs w:val="24"/>
        </w:rPr>
        <w:t>.</w:t>
      </w:r>
    </w:p>
    <w:p w:rsidR="00F001EE" w:rsidRPr="001A2CF2" w:rsidRDefault="00F001EE" w:rsidP="00FA4DA9">
      <w:pPr>
        <w:spacing w:line="240" w:lineRule="auto"/>
        <w:jc w:val="both"/>
        <w:rPr>
          <w:rFonts w:ascii="Times New Roman" w:hAnsi="Times New Roman" w:cs="Times New Roman"/>
          <w:sz w:val="24"/>
          <w:szCs w:val="24"/>
        </w:rPr>
      </w:pPr>
      <w:r w:rsidRPr="001A2CF2">
        <w:rPr>
          <w:rFonts w:ascii="Times New Roman" w:hAnsi="Times New Roman" w:cs="Times New Roman"/>
          <w:sz w:val="24"/>
          <w:szCs w:val="24"/>
        </w:rPr>
        <w:t>La laboral y la de pensiones pueden ser las dos reformas estructurales más problemáticas, ya que para sacarlas adelante el Gobierno necesita el apoyo de su socio, Unidas Podemos, quien ya ha manifestado que no dará su</w:t>
      </w:r>
      <w:r>
        <w:rPr>
          <w:rFonts w:ascii="Times New Roman" w:hAnsi="Times New Roman" w:cs="Times New Roman"/>
          <w:sz w:val="24"/>
          <w:szCs w:val="24"/>
        </w:rPr>
        <w:t xml:space="preserve"> consentimiento</w:t>
      </w:r>
      <w:r w:rsidR="00822E48">
        <w:rPr>
          <w:rFonts w:ascii="Times New Roman" w:hAnsi="Times New Roman" w:cs="Times New Roman"/>
          <w:sz w:val="24"/>
          <w:szCs w:val="24"/>
        </w:rPr>
        <w:t>…</w:t>
      </w:r>
    </w:p>
    <w:p w:rsidR="00F001EE" w:rsidRPr="00A746E5" w:rsidRDefault="00822E48" w:rsidP="00FA4DA9">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F001EE" w:rsidRPr="00A746E5">
        <w:rPr>
          <w:rFonts w:ascii="Times New Roman" w:hAnsi="Times New Roman" w:cs="Times New Roman"/>
          <w:color w:val="FF0000"/>
          <w:sz w:val="24"/>
          <w:szCs w:val="24"/>
          <w:u w:val="single"/>
        </w:rPr>
        <w:t>El desembolso de fondos está supeditado al satisfactorio cumplimiento de los hitos y los objetivos por parte de los Estados miembro, tal y como se haya establecido en los planes de recuperación y resil</w:t>
      </w:r>
      <w:r>
        <w:rPr>
          <w:rFonts w:ascii="Times New Roman" w:hAnsi="Times New Roman" w:cs="Times New Roman"/>
          <w:color w:val="FF0000"/>
          <w:sz w:val="24"/>
          <w:szCs w:val="24"/>
          <w:u w:val="single"/>
        </w:rPr>
        <w:t>iencia aprobados por el Consejo”</w:t>
      </w:r>
      <w:r w:rsidR="00F001EE" w:rsidRPr="00A746E5">
        <w:rPr>
          <w:rFonts w:ascii="Times New Roman" w:hAnsi="Times New Roman" w:cs="Times New Roman"/>
          <w:color w:val="FF0000"/>
          <w:sz w:val="24"/>
          <w:szCs w:val="24"/>
          <w:u w:val="single"/>
        </w:rPr>
        <w:t>, recalca el citado reglamento, a cuya versión definitiva ha tenido acceso Vozpópuli.</w:t>
      </w:r>
    </w:p>
    <w:p w:rsidR="00F001EE" w:rsidRPr="001A2CF2" w:rsidRDefault="00F001EE" w:rsidP="00FA4DA9">
      <w:pPr>
        <w:spacing w:line="240" w:lineRule="auto"/>
        <w:jc w:val="both"/>
        <w:rPr>
          <w:rFonts w:ascii="Times New Roman" w:hAnsi="Times New Roman" w:cs="Times New Roman"/>
          <w:sz w:val="24"/>
          <w:szCs w:val="24"/>
        </w:rPr>
      </w:pPr>
      <w:r w:rsidRPr="00A746E5">
        <w:rPr>
          <w:rFonts w:ascii="Times New Roman" w:hAnsi="Times New Roman" w:cs="Times New Roman"/>
          <w:sz w:val="24"/>
          <w:szCs w:val="24"/>
          <w:u w:val="single"/>
        </w:rPr>
        <w:t>El Parlamento Europeo votará el texto probablemente en la sesión de febrero y tendrá que ser también aprobado formalmente en el Consejo, pero de facto ya está aprobad</w:t>
      </w:r>
      <w:r w:rsidR="00822E48">
        <w:rPr>
          <w:rFonts w:ascii="Times New Roman" w:hAnsi="Times New Roman" w:cs="Times New Roman"/>
          <w:sz w:val="24"/>
          <w:szCs w:val="24"/>
          <w:u w:val="single"/>
        </w:rPr>
        <w:t>o al haber sido pactado por el “trílogo”</w:t>
      </w:r>
      <w:r w:rsidRPr="00A746E5">
        <w:rPr>
          <w:rFonts w:ascii="Times New Roman" w:hAnsi="Times New Roman" w:cs="Times New Roman"/>
          <w:sz w:val="24"/>
          <w:szCs w:val="24"/>
          <w:u w:val="single"/>
        </w:rPr>
        <w:t xml:space="preserve"> (el Parlamento, el Consejo y la Comisión) con el acuerdo -muy mayoritario- de conservadores, socialdemócratas, liberales y verdes</w:t>
      </w:r>
      <w:r>
        <w:rPr>
          <w:rFonts w:ascii="Times New Roman" w:hAnsi="Times New Roman" w:cs="Times New Roman"/>
          <w:sz w:val="24"/>
          <w:szCs w:val="24"/>
        </w:rPr>
        <w:t>.</w:t>
      </w:r>
    </w:p>
    <w:p w:rsidR="00F001EE" w:rsidRPr="001A2CF2" w:rsidRDefault="00F001EE" w:rsidP="00FA4DA9">
      <w:pPr>
        <w:spacing w:line="240" w:lineRule="auto"/>
        <w:jc w:val="both"/>
        <w:rPr>
          <w:rFonts w:ascii="Times New Roman" w:hAnsi="Times New Roman" w:cs="Times New Roman"/>
          <w:sz w:val="24"/>
          <w:szCs w:val="24"/>
        </w:rPr>
      </w:pPr>
      <w:r w:rsidRPr="001A2CF2">
        <w:rPr>
          <w:rFonts w:ascii="Times New Roman" w:hAnsi="Times New Roman" w:cs="Times New Roman"/>
          <w:sz w:val="24"/>
          <w:szCs w:val="24"/>
        </w:rPr>
        <w:t>De hecho, según ha podido saber este periódico de fuentes europarlamentarias, Bruselas ya ha advertido a los países de que ese va a ser el texto formal dentro de un mes y de que deben b</w:t>
      </w:r>
      <w:r>
        <w:rPr>
          <w:rFonts w:ascii="Times New Roman" w:hAnsi="Times New Roman" w:cs="Times New Roman"/>
          <w:sz w:val="24"/>
          <w:szCs w:val="24"/>
        </w:rPr>
        <w:t>asar sus planes en esas reglas.</w:t>
      </w:r>
    </w:p>
    <w:p w:rsidR="00F001EE" w:rsidRPr="00335F76" w:rsidRDefault="00F001EE" w:rsidP="00FA4DA9">
      <w:pPr>
        <w:spacing w:line="240" w:lineRule="auto"/>
        <w:jc w:val="both"/>
        <w:rPr>
          <w:rFonts w:ascii="Times New Roman" w:hAnsi="Times New Roman" w:cs="Times New Roman"/>
          <w:sz w:val="24"/>
          <w:szCs w:val="24"/>
        </w:rPr>
      </w:pPr>
      <w:r w:rsidRPr="00335F76">
        <w:rPr>
          <w:rFonts w:ascii="Times New Roman" w:hAnsi="Times New Roman" w:cs="Times New Roman"/>
          <w:sz w:val="24"/>
          <w:szCs w:val="24"/>
        </w:rPr>
        <w:t>Si hay incumplimiento se suspende la entrega de fondos</w:t>
      </w:r>
    </w:p>
    <w:p w:rsidR="00F001EE" w:rsidRPr="001A2CF2" w:rsidRDefault="00F001EE" w:rsidP="00FA4DA9">
      <w:pPr>
        <w:spacing w:line="240" w:lineRule="auto"/>
        <w:jc w:val="both"/>
        <w:rPr>
          <w:rFonts w:ascii="Times New Roman" w:hAnsi="Times New Roman" w:cs="Times New Roman"/>
          <w:sz w:val="24"/>
          <w:szCs w:val="24"/>
        </w:rPr>
      </w:pPr>
      <w:r w:rsidRPr="00A746E5">
        <w:rPr>
          <w:rFonts w:ascii="Times New Roman" w:hAnsi="Times New Roman" w:cs="Times New Roman"/>
          <w:sz w:val="24"/>
          <w:szCs w:val="24"/>
          <w:u w:val="single"/>
        </w:rPr>
        <w:t>Antes de tomar la decisión de autorizar la liberación del dinero, la Comisión deberá consultar con el Comité Económico y Financiero para que dé su opinión en cuatro semanas sobre si ha habido un cumplimiento satisfactorio</w:t>
      </w:r>
      <w:r w:rsidRPr="001A2CF2">
        <w:rPr>
          <w:rFonts w:ascii="Times New Roman" w:hAnsi="Times New Roman" w:cs="Times New Roman"/>
          <w:sz w:val="24"/>
          <w:szCs w:val="24"/>
        </w:rPr>
        <w:t>. Este Comité es un órgano consultivo de la Unión integrado por altos funcionarios de las administraciones nacionales y los bancos centrales, el Banco Centra</w:t>
      </w:r>
      <w:r>
        <w:rPr>
          <w:rFonts w:ascii="Times New Roman" w:hAnsi="Times New Roman" w:cs="Times New Roman"/>
          <w:sz w:val="24"/>
          <w:szCs w:val="24"/>
        </w:rPr>
        <w:t>l Europeo y la propia Comisión.</w:t>
      </w:r>
    </w:p>
    <w:p w:rsidR="00F001EE" w:rsidRPr="00A746E5" w:rsidRDefault="00822E48" w:rsidP="00FA4DA9">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w:t>
      </w:r>
      <w:r w:rsidR="00F001EE" w:rsidRPr="00A746E5">
        <w:rPr>
          <w:rFonts w:ascii="Times New Roman" w:hAnsi="Times New Roman" w:cs="Times New Roman"/>
          <w:sz w:val="24"/>
          <w:szCs w:val="24"/>
          <w:u w:val="single"/>
        </w:rPr>
        <w:t xml:space="preserve">Si de forma excepcional uno o más estados miembros consideran que hay serias desviaciones de un satisfactorio cumplimiento de los hitos y objetivos, podrá pedir al presidente del Consejo Europeo que lo aborde en la próxima reunión (...) En esas excepcionales circunstancias, se decidirá no hacer ningún desembolso hasta que el próximo Consejo Europeo discuta </w:t>
      </w:r>
      <w:r>
        <w:rPr>
          <w:rFonts w:ascii="Times New Roman" w:hAnsi="Times New Roman" w:cs="Times New Roman"/>
          <w:sz w:val="24"/>
          <w:szCs w:val="24"/>
          <w:u w:val="single"/>
        </w:rPr>
        <w:t>exhaustivamente sobre el asunto”</w:t>
      </w:r>
      <w:r w:rsidR="00F001EE" w:rsidRPr="00A746E5">
        <w:rPr>
          <w:rFonts w:ascii="Times New Roman" w:hAnsi="Times New Roman" w:cs="Times New Roman"/>
          <w:sz w:val="24"/>
          <w:szCs w:val="24"/>
          <w:u w:val="single"/>
        </w:rPr>
        <w:t>, explica el reglamento.</w:t>
      </w:r>
    </w:p>
    <w:p w:rsidR="00F001EE" w:rsidRDefault="00F001EE" w:rsidP="00FA4DA9">
      <w:pPr>
        <w:spacing w:line="240" w:lineRule="auto"/>
        <w:jc w:val="both"/>
        <w:rPr>
          <w:rFonts w:ascii="Times New Roman" w:hAnsi="Times New Roman" w:cs="Times New Roman"/>
          <w:color w:val="FF0000"/>
          <w:sz w:val="24"/>
          <w:szCs w:val="24"/>
          <w:u w:val="single"/>
        </w:rPr>
      </w:pPr>
      <w:r w:rsidRPr="00A746E5">
        <w:rPr>
          <w:rFonts w:ascii="Times New Roman" w:hAnsi="Times New Roman" w:cs="Times New Roman"/>
          <w:color w:val="FF0000"/>
          <w:sz w:val="24"/>
          <w:szCs w:val="24"/>
          <w:u w:val="single"/>
        </w:rPr>
        <w:t>En un plazo máximo de tres meses tendrán que tomar una decisión definitiva respecto al país en cuestión.</w:t>
      </w:r>
    </w:p>
    <w:p w:rsidR="007A5C27" w:rsidRPr="00A746E5" w:rsidRDefault="007A5C27" w:rsidP="00FA4DA9">
      <w:pPr>
        <w:spacing w:line="240" w:lineRule="auto"/>
        <w:jc w:val="both"/>
        <w:rPr>
          <w:rFonts w:ascii="Times New Roman" w:hAnsi="Times New Roman" w:cs="Times New Roman"/>
          <w:color w:val="FF0000"/>
          <w:sz w:val="24"/>
          <w:szCs w:val="24"/>
          <w:u w:val="single"/>
        </w:rPr>
      </w:pPr>
      <w:r>
        <w:rPr>
          <w:noProof/>
          <w:lang w:eastAsia="es-ES"/>
        </w:rPr>
        <w:lastRenderedPageBreak/>
        <w:drawing>
          <wp:inline distT="0" distB="0" distL="0" distR="0" wp14:anchorId="6C6803C2" wp14:editId="6D651C7D">
            <wp:extent cx="5733415" cy="5111750"/>
            <wp:effectExtent l="0" t="0" r="635" b="0"/>
            <wp:docPr id="68" name="Imagen 68" descr="Fondos 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ndos UE"/>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5731510" cy="5110051"/>
                    </a:xfrm>
                    <a:prstGeom prst="rect">
                      <a:avLst/>
                    </a:prstGeom>
                    <a:noFill/>
                    <a:ln>
                      <a:noFill/>
                    </a:ln>
                  </pic:spPr>
                </pic:pic>
              </a:graphicData>
            </a:graphic>
          </wp:inline>
        </w:drawing>
      </w:r>
    </w:p>
    <w:p w:rsidR="00F001EE" w:rsidRPr="00A746E5" w:rsidRDefault="00F001EE" w:rsidP="00FA4DA9">
      <w:pPr>
        <w:spacing w:line="240" w:lineRule="auto"/>
        <w:jc w:val="both"/>
        <w:rPr>
          <w:rFonts w:ascii="Times New Roman" w:hAnsi="Times New Roman" w:cs="Times New Roman"/>
          <w:color w:val="FF0000"/>
          <w:sz w:val="24"/>
          <w:szCs w:val="24"/>
          <w:u w:val="single"/>
        </w:rPr>
      </w:pPr>
      <w:r w:rsidRPr="00A746E5">
        <w:rPr>
          <w:rFonts w:ascii="Times New Roman" w:hAnsi="Times New Roman" w:cs="Times New Roman"/>
          <w:color w:val="FF0000"/>
          <w:sz w:val="24"/>
          <w:szCs w:val="24"/>
          <w:u w:val="single"/>
        </w:rPr>
        <w:t>Si deciden que ese país no ha tomado las medidas necesarias para cumplir ese hito y, en consecuencia, no autorizan el desembolso del dinero, la Comi</w:t>
      </w:r>
      <w:r w:rsidR="00822E48">
        <w:rPr>
          <w:rFonts w:ascii="Times New Roman" w:hAnsi="Times New Roman" w:cs="Times New Roman"/>
          <w:color w:val="FF0000"/>
          <w:sz w:val="24"/>
          <w:szCs w:val="24"/>
          <w:u w:val="single"/>
        </w:rPr>
        <w:t>sión puede proponer al Consejo “</w:t>
      </w:r>
      <w:r w:rsidRPr="00A746E5">
        <w:rPr>
          <w:rFonts w:ascii="Times New Roman" w:hAnsi="Times New Roman" w:cs="Times New Roman"/>
          <w:color w:val="FF0000"/>
          <w:sz w:val="24"/>
          <w:szCs w:val="24"/>
          <w:u w:val="single"/>
        </w:rPr>
        <w:t>suspender todo o par</w:t>
      </w:r>
      <w:r w:rsidR="00822E48">
        <w:rPr>
          <w:rFonts w:ascii="Times New Roman" w:hAnsi="Times New Roman" w:cs="Times New Roman"/>
          <w:color w:val="FF0000"/>
          <w:sz w:val="24"/>
          <w:szCs w:val="24"/>
          <w:u w:val="single"/>
        </w:rPr>
        <w:t>te de los compromisos o pagos”</w:t>
      </w:r>
      <w:r w:rsidRPr="00A746E5">
        <w:rPr>
          <w:rFonts w:ascii="Times New Roman" w:hAnsi="Times New Roman" w:cs="Times New Roman"/>
          <w:color w:val="FF0000"/>
          <w:sz w:val="24"/>
          <w:szCs w:val="24"/>
          <w:u w:val="single"/>
        </w:rPr>
        <w:t xml:space="preserve">. </w:t>
      </w:r>
    </w:p>
    <w:p w:rsidR="00F001EE" w:rsidRPr="00A746E5" w:rsidRDefault="00F001EE" w:rsidP="00FA4DA9">
      <w:pPr>
        <w:spacing w:line="240" w:lineRule="auto"/>
        <w:jc w:val="both"/>
        <w:rPr>
          <w:rFonts w:ascii="Times New Roman" w:hAnsi="Times New Roman" w:cs="Times New Roman"/>
          <w:color w:val="FF0000"/>
          <w:sz w:val="24"/>
          <w:szCs w:val="24"/>
          <w:u w:val="single"/>
        </w:rPr>
      </w:pPr>
      <w:r w:rsidRPr="00A746E5">
        <w:rPr>
          <w:rFonts w:ascii="Times New Roman" w:hAnsi="Times New Roman" w:cs="Times New Roman"/>
          <w:color w:val="FF0000"/>
          <w:sz w:val="24"/>
          <w:szCs w:val="24"/>
          <w:u w:val="single"/>
        </w:rPr>
        <w:t xml:space="preserve">También podrán suspender los pagos definitivamente si consideran que el país no está tomando las medidas recomendadas por Bruselas en dos ocasiones consecutivas o si no cumple con el programa de ajustes macroeconómicos o con las medidas que le pide el Consejo. </w:t>
      </w:r>
    </w:p>
    <w:p w:rsidR="00F001EE" w:rsidRDefault="00F001EE" w:rsidP="00FA4DA9">
      <w:pPr>
        <w:spacing w:line="240" w:lineRule="auto"/>
        <w:jc w:val="both"/>
        <w:rPr>
          <w:rFonts w:ascii="Times New Roman" w:hAnsi="Times New Roman" w:cs="Times New Roman"/>
          <w:sz w:val="24"/>
          <w:szCs w:val="24"/>
        </w:rPr>
      </w:pPr>
      <w:r w:rsidRPr="001A2CF2">
        <w:rPr>
          <w:rFonts w:ascii="Times New Roman" w:hAnsi="Times New Roman" w:cs="Times New Roman"/>
          <w:sz w:val="24"/>
          <w:szCs w:val="24"/>
        </w:rPr>
        <w:t xml:space="preserve">Para Bruselas, los hitos y </w:t>
      </w:r>
      <w:r w:rsidR="00822E48">
        <w:rPr>
          <w:rFonts w:ascii="Times New Roman" w:hAnsi="Times New Roman" w:cs="Times New Roman"/>
          <w:sz w:val="24"/>
          <w:szCs w:val="24"/>
        </w:rPr>
        <w:t>objetivos se materializarán en “</w:t>
      </w:r>
      <w:r w:rsidRPr="001A2CF2">
        <w:rPr>
          <w:rFonts w:ascii="Times New Roman" w:hAnsi="Times New Roman" w:cs="Times New Roman"/>
          <w:sz w:val="24"/>
          <w:szCs w:val="24"/>
        </w:rPr>
        <w:t>medidas de progreso hacia el logro</w:t>
      </w:r>
      <w:r w:rsidR="00822E48">
        <w:rPr>
          <w:rFonts w:ascii="Times New Roman" w:hAnsi="Times New Roman" w:cs="Times New Roman"/>
          <w:sz w:val="24"/>
          <w:szCs w:val="24"/>
        </w:rPr>
        <w:t xml:space="preserve"> de una reforma o una inversión”</w:t>
      </w:r>
      <w:r w:rsidRPr="001A2CF2">
        <w:rPr>
          <w:rFonts w:ascii="Times New Roman" w:hAnsi="Times New Roman" w:cs="Times New Roman"/>
          <w:sz w:val="24"/>
          <w:szCs w:val="24"/>
        </w:rPr>
        <w:t>, siendo los hitos avances cualitativos y los objetivos, metas cuantificables.</w:t>
      </w:r>
    </w:p>
    <w:p w:rsidR="00F001EE" w:rsidRDefault="00F001EE" w:rsidP="00FA4DA9">
      <w:pPr>
        <w:spacing w:line="240" w:lineRule="auto"/>
        <w:jc w:val="both"/>
        <w:rPr>
          <w:rFonts w:ascii="Times New Roman" w:hAnsi="Times New Roman" w:cs="Times New Roman"/>
          <w:sz w:val="24"/>
          <w:szCs w:val="24"/>
        </w:rPr>
      </w:pPr>
    </w:p>
    <w:p w:rsidR="00F001EE" w:rsidRDefault="00F001EE" w:rsidP="00FA4DA9">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0C38A4DE" wp14:editId="74199005">
            <wp:extent cx="5731808" cy="2667000"/>
            <wp:effectExtent l="0" t="0" r="2540" b="0"/>
            <wp:docPr id="43" name="Imagen 43" descr="https://s03.s3c.es/imag/_v0/770x476/6/6/5/paro-juvenil-eurozo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770x476/6/6/5/paro-juvenil-eurozona.jpg"/>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731510" cy="2666861"/>
                    </a:xfrm>
                    <a:prstGeom prst="rect">
                      <a:avLst/>
                    </a:prstGeom>
                    <a:noFill/>
                    <a:ln>
                      <a:noFill/>
                    </a:ln>
                  </pic:spPr>
                </pic:pic>
              </a:graphicData>
            </a:graphic>
          </wp:inline>
        </w:drawing>
      </w:r>
    </w:p>
    <w:p w:rsidR="00F001EE" w:rsidRDefault="00F001EE"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Economista - </w:t>
      </w:r>
      <w:r w:rsidRPr="001F34C1">
        <w:rPr>
          <w:rFonts w:ascii="Times New Roman" w:hAnsi="Times New Roman" w:cs="Times New Roman"/>
          <w:b/>
          <w:sz w:val="24"/>
          <w:szCs w:val="24"/>
        </w:rPr>
        <w:t>16/1/21</w:t>
      </w:r>
      <w:r>
        <w:rPr>
          <w:rFonts w:ascii="Times New Roman" w:hAnsi="Times New Roman" w:cs="Times New Roman"/>
          <w:sz w:val="24"/>
          <w:szCs w:val="24"/>
        </w:rPr>
        <w:t>)</w:t>
      </w:r>
    </w:p>
    <w:p w:rsidR="00F001EE" w:rsidRPr="001F34C1" w:rsidRDefault="00F001EE"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F34C1">
        <w:rPr>
          <w:rFonts w:ascii="Times New Roman" w:hAnsi="Times New Roman" w:cs="Times New Roman"/>
          <w:sz w:val="24"/>
          <w:szCs w:val="24"/>
          <w:u w:val="single"/>
        </w:rPr>
        <w:t>El legado de Trump: casi 7,8 billones de dólares en deuda pública en EEUU</w:t>
      </w:r>
      <w:r>
        <w:rPr>
          <w:rFonts w:ascii="Times New Roman" w:hAnsi="Times New Roman" w:cs="Times New Roman"/>
          <w:sz w:val="24"/>
          <w:szCs w:val="24"/>
        </w:rPr>
        <w:t xml:space="preserve"> (El Economista - </w:t>
      </w:r>
      <w:r w:rsidRPr="001F34C1">
        <w:rPr>
          <w:rFonts w:ascii="Times New Roman" w:hAnsi="Times New Roman" w:cs="Times New Roman"/>
          <w:b/>
          <w:sz w:val="24"/>
          <w:szCs w:val="24"/>
        </w:rPr>
        <w:t>16/1/21</w:t>
      </w:r>
      <w:r>
        <w:rPr>
          <w:rFonts w:ascii="Times New Roman" w:hAnsi="Times New Roman" w:cs="Times New Roman"/>
          <w:sz w:val="24"/>
          <w:szCs w:val="24"/>
        </w:rPr>
        <w:t>)</w:t>
      </w:r>
    </w:p>
    <w:p w:rsidR="00F001EE" w:rsidRPr="001F34C1" w:rsidRDefault="00F001EE"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00324F4A" w:rsidRPr="001F34C1">
        <w:rPr>
          <w:rFonts w:ascii="Times New Roman" w:hAnsi="Times New Roman" w:cs="Times New Roman"/>
          <w:sz w:val="24"/>
          <w:szCs w:val="24"/>
        </w:rPr>
        <w:t>José</w:t>
      </w:r>
      <w:r w:rsidRPr="001F34C1">
        <w:rPr>
          <w:rFonts w:ascii="Times New Roman" w:hAnsi="Times New Roman" w:cs="Times New Roman"/>
          <w:sz w:val="24"/>
          <w:szCs w:val="24"/>
        </w:rPr>
        <w:t xml:space="preserve"> Luis de Haro</w:t>
      </w:r>
      <w:r>
        <w:rPr>
          <w:rFonts w:ascii="Times New Roman" w:hAnsi="Times New Roman" w:cs="Times New Roman"/>
          <w:sz w:val="24"/>
          <w:szCs w:val="24"/>
        </w:rPr>
        <w:t>)</w:t>
      </w:r>
    </w:p>
    <w:p w:rsidR="00F001EE" w:rsidRPr="001F34C1" w:rsidRDefault="00F001EE" w:rsidP="00FA4DA9">
      <w:pPr>
        <w:spacing w:line="240" w:lineRule="auto"/>
        <w:jc w:val="both"/>
        <w:rPr>
          <w:rFonts w:ascii="Times New Roman" w:hAnsi="Times New Roman" w:cs="Times New Roman"/>
          <w:sz w:val="24"/>
          <w:szCs w:val="24"/>
        </w:rPr>
      </w:pPr>
      <w:r w:rsidRPr="001F34C1">
        <w:rPr>
          <w:rFonts w:ascii="Times New Roman" w:hAnsi="Times New Roman" w:cs="Times New Roman"/>
          <w:sz w:val="24"/>
          <w:szCs w:val="24"/>
        </w:rPr>
        <w:t>El impacto de la pandemia marcará el último año del presidente saliente, Donald Trump en la Casa Blanca. La crisis de salud y posterior debacle económica cerró el año pasado con la peor destrucción de empleo desde que se registran estos datos desde 1939 mientras que solo en diciembre se destruyeron otros 140.000 empleos y las ven</w:t>
      </w:r>
      <w:r>
        <w:rPr>
          <w:rFonts w:ascii="Times New Roman" w:hAnsi="Times New Roman" w:cs="Times New Roman"/>
          <w:sz w:val="24"/>
          <w:szCs w:val="24"/>
        </w:rPr>
        <w:t>tas minoristas cayeron un 0,7%.</w:t>
      </w:r>
    </w:p>
    <w:p w:rsidR="00F001EE" w:rsidRPr="00254AAE" w:rsidRDefault="00F001EE" w:rsidP="00FA4DA9">
      <w:pPr>
        <w:spacing w:line="240" w:lineRule="auto"/>
        <w:jc w:val="both"/>
        <w:rPr>
          <w:rFonts w:ascii="Times New Roman" w:hAnsi="Times New Roman" w:cs="Times New Roman"/>
          <w:color w:val="FF0000"/>
          <w:sz w:val="24"/>
          <w:szCs w:val="24"/>
          <w:u w:val="single"/>
        </w:rPr>
      </w:pPr>
      <w:r w:rsidRPr="00254AAE">
        <w:rPr>
          <w:rFonts w:ascii="Times New Roman" w:hAnsi="Times New Roman" w:cs="Times New Roman"/>
          <w:color w:val="FF0000"/>
          <w:sz w:val="24"/>
          <w:szCs w:val="24"/>
          <w:u w:val="single"/>
        </w:rPr>
        <w:t>Para hacer frente a esta situación, el masivo desembolso público, en forma de dos paquetes de estímulo, uno por algo más de 2 billones de dólares y otro por alrededor de 900.000 millones de dólares, incrementó sensiblemente la deuda del país. Sin embargo, incluso antes del azote del Covid-19, la Administración del republicano ya había puesto en una senda ascendente el apalancamiento del gobierno.</w:t>
      </w:r>
    </w:p>
    <w:p w:rsidR="00F001EE" w:rsidRPr="00254AAE" w:rsidRDefault="00F001EE" w:rsidP="00FA4DA9">
      <w:pPr>
        <w:spacing w:line="240" w:lineRule="auto"/>
        <w:jc w:val="both"/>
        <w:rPr>
          <w:rFonts w:ascii="Times New Roman" w:hAnsi="Times New Roman" w:cs="Times New Roman"/>
          <w:b/>
          <w:color w:val="FF0000"/>
          <w:sz w:val="24"/>
          <w:szCs w:val="24"/>
          <w:u w:val="single"/>
        </w:rPr>
      </w:pPr>
      <w:r w:rsidRPr="00254AAE">
        <w:rPr>
          <w:rFonts w:ascii="Times New Roman" w:hAnsi="Times New Roman" w:cs="Times New Roman"/>
          <w:b/>
          <w:color w:val="FF0000"/>
          <w:sz w:val="24"/>
          <w:szCs w:val="24"/>
          <w:u w:val="single"/>
        </w:rPr>
        <w:t>Durante los cuatro años de Trump la deuda nacional ha aumentado en casi 7,8 billones de dólares hasta un total de 27,7 billones de dólares, según la plataforma USDebtClock.org.</w:t>
      </w:r>
    </w:p>
    <w:p w:rsidR="00F001EE" w:rsidRPr="00335F76" w:rsidRDefault="00F001EE" w:rsidP="00FA4DA9">
      <w:pPr>
        <w:spacing w:line="240" w:lineRule="auto"/>
        <w:jc w:val="both"/>
        <w:rPr>
          <w:rFonts w:ascii="Times New Roman" w:hAnsi="Times New Roman" w:cs="Times New Roman"/>
          <w:color w:val="FF0000"/>
          <w:sz w:val="24"/>
          <w:szCs w:val="24"/>
          <w:u w:val="single"/>
        </w:rPr>
      </w:pPr>
      <w:r w:rsidRPr="00254AAE">
        <w:rPr>
          <w:rFonts w:ascii="Times New Roman" w:hAnsi="Times New Roman" w:cs="Times New Roman"/>
          <w:color w:val="FF0000"/>
          <w:sz w:val="24"/>
          <w:szCs w:val="24"/>
          <w:u w:val="single"/>
        </w:rPr>
        <w:t xml:space="preserve">El aumento bajo su mandato equivale casi al doble de lo que los estadounidenses deben en préstamos estudiantiles, para automóviles, tarjetas de crédito y cualquier otro tipo de deuda que no sean hipotecas. </w:t>
      </w:r>
      <w:r w:rsidRPr="00335F76">
        <w:rPr>
          <w:rFonts w:ascii="Times New Roman" w:hAnsi="Times New Roman" w:cs="Times New Roman"/>
          <w:color w:val="FF0000"/>
          <w:sz w:val="24"/>
          <w:szCs w:val="24"/>
          <w:u w:val="single"/>
        </w:rPr>
        <w:t>Es decir, alrededor de 23.500 dólares por contribuyente, según los datos de la Reserva Federal de Nueva York que recoge el portal ProPublica.</w:t>
      </w:r>
    </w:p>
    <w:p w:rsidR="00F001EE" w:rsidRPr="00254AAE" w:rsidRDefault="00F001EE" w:rsidP="00FA4DA9">
      <w:pPr>
        <w:spacing w:line="240" w:lineRule="auto"/>
        <w:jc w:val="both"/>
        <w:rPr>
          <w:rFonts w:ascii="Times New Roman" w:hAnsi="Times New Roman" w:cs="Times New Roman"/>
          <w:b/>
          <w:color w:val="FF0000"/>
          <w:sz w:val="24"/>
          <w:szCs w:val="24"/>
          <w:u w:val="single"/>
        </w:rPr>
      </w:pPr>
      <w:r w:rsidRPr="00254AAE">
        <w:rPr>
          <w:rFonts w:ascii="Times New Roman" w:hAnsi="Times New Roman" w:cs="Times New Roman"/>
          <w:b/>
          <w:color w:val="FF0000"/>
          <w:sz w:val="24"/>
          <w:szCs w:val="24"/>
          <w:u w:val="single"/>
        </w:rPr>
        <w:t>Por su parte, la Oficina Presupuestaria del Congreso (CBO, por sus siglas en inglés) estima que el déficit cerró el año pasado en los 3,3 billones de dólares, alrededor del 16% del PIB. En estos momentos se prevé que, en el ejercicio en curso, el déficit baje considerablemente pero seguirá rondando casi el 9% del PIB.</w:t>
      </w:r>
    </w:p>
    <w:p w:rsidR="00F001EE" w:rsidRDefault="00F001EE" w:rsidP="00FA4DA9">
      <w:pPr>
        <w:spacing w:line="240" w:lineRule="auto"/>
        <w:jc w:val="both"/>
        <w:rPr>
          <w:rFonts w:ascii="Times New Roman" w:hAnsi="Times New Roman" w:cs="Times New Roman"/>
          <w:sz w:val="24"/>
          <w:szCs w:val="24"/>
        </w:rPr>
      </w:pPr>
      <w:r w:rsidRPr="00254AAE">
        <w:rPr>
          <w:rFonts w:ascii="Times New Roman" w:hAnsi="Times New Roman" w:cs="Times New Roman"/>
          <w:b/>
          <w:color w:val="FF0000"/>
          <w:sz w:val="24"/>
          <w:szCs w:val="24"/>
          <w:u w:val="single"/>
        </w:rPr>
        <w:t>Eso sí, estas cifras todavía no digieren el potencial plan de estímulo de 1,9 billones de dólares presentado por la Administración del presidente electo, el demócrata, Joe Biden.</w:t>
      </w:r>
      <w:r w:rsidRPr="001F34C1">
        <w:rPr>
          <w:rFonts w:ascii="Times New Roman" w:hAnsi="Times New Roman" w:cs="Times New Roman"/>
          <w:sz w:val="24"/>
          <w:szCs w:val="24"/>
        </w:rPr>
        <w:t xml:space="preserve"> A la espera de una actualización, la CBO estima que, para 2023, el déficit disminuirá </w:t>
      </w:r>
      <w:r w:rsidRPr="001F34C1">
        <w:rPr>
          <w:rFonts w:ascii="Times New Roman" w:hAnsi="Times New Roman" w:cs="Times New Roman"/>
          <w:sz w:val="24"/>
          <w:szCs w:val="24"/>
        </w:rPr>
        <w:lastRenderedPageBreak/>
        <w:t>al 4,9% a medida que los gastos relacionados con la pandemia disminuyen y la economía mejora.</w:t>
      </w:r>
    </w:p>
    <w:p w:rsidR="00F001EE" w:rsidRPr="001A0EE3" w:rsidRDefault="00F001EE"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77792">
        <w:rPr>
          <w:rFonts w:ascii="Times New Roman" w:hAnsi="Times New Roman" w:cs="Times New Roman"/>
          <w:sz w:val="24"/>
          <w:szCs w:val="24"/>
          <w:u w:val="single"/>
        </w:rPr>
        <w:t>¿Qué vino antes, la desigualdad o las políticas expansivas de los bancos centrales?</w:t>
      </w:r>
      <w:r>
        <w:rPr>
          <w:rFonts w:ascii="Times New Roman" w:hAnsi="Times New Roman" w:cs="Times New Roman"/>
          <w:sz w:val="24"/>
          <w:szCs w:val="24"/>
        </w:rPr>
        <w:t xml:space="preserve"> (El Economista - </w:t>
      </w:r>
      <w:r w:rsidRPr="00677792">
        <w:rPr>
          <w:rFonts w:ascii="Times New Roman" w:hAnsi="Times New Roman" w:cs="Times New Roman"/>
          <w:b/>
          <w:sz w:val="24"/>
          <w:szCs w:val="24"/>
        </w:rPr>
        <w:t>18/1/21</w:t>
      </w:r>
      <w:r>
        <w:rPr>
          <w:rFonts w:ascii="Times New Roman" w:hAnsi="Times New Roman" w:cs="Times New Roman"/>
          <w:sz w:val="24"/>
          <w:szCs w:val="24"/>
        </w:rPr>
        <w:t>)</w:t>
      </w:r>
    </w:p>
    <w:p w:rsidR="00F001EE" w:rsidRPr="001A0EE3" w:rsidRDefault="00F001EE"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1A0EE3">
        <w:rPr>
          <w:rFonts w:ascii="Times New Roman" w:hAnsi="Times New Roman" w:cs="Times New Roman"/>
          <w:sz w:val="24"/>
          <w:szCs w:val="24"/>
        </w:rPr>
        <w:t>Mario Becedas</w:t>
      </w:r>
      <w:r>
        <w:rPr>
          <w:rFonts w:ascii="Times New Roman" w:hAnsi="Times New Roman" w:cs="Times New Roman"/>
          <w:sz w:val="24"/>
          <w:szCs w:val="24"/>
        </w:rPr>
        <w:t>)</w:t>
      </w:r>
    </w:p>
    <w:p w:rsidR="00F001EE" w:rsidRPr="00254AAE" w:rsidRDefault="00F001EE" w:rsidP="00FA4DA9">
      <w:pPr>
        <w:spacing w:line="240" w:lineRule="auto"/>
        <w:jc w:val="both"/>
        <w:rPr>
          <w:rFonts w:ascii="Times New Roman" w:hAnsi="Times New Roman" w:cs="Times New Roman"/>
          <w:b/>
          <w:color w:val="FF0000"/>
          <w:sz w:val="24"/>
          <w:szCs w:val="24"/>
          <w:u w:val="single"/>
        </w:rPr>
      </w:pPr>
      <w:r w:rsidRPr="00254AAE">
        <w:rPr>
          <w:rFonts w:ascii="Times New Roman" w:hAnsi="Times New Roman" w:cs="Times New Roman"/>
          <w:b/>
          <w:color w:val="FF0000"/>
          <w:sz w:val="24"/>
          <w:szCs w:val="24"/>
          <w:u w:val="single"/>
        </w:rPr>
        <w:t>No son pocos los críticos que afirman que los bajos tipos de interés y la expansión cuantitativa (QE por sus siglas en inglés) decretados por los bancos centrales en los últimos años han exacerbado la desigualdad en las sociedades actuales. Uno de los argumentos que más se escucha es que esta combinación de políticas monetarias ha disparado los precios de las acciones sin hacer mucho por la economía real. De la misma manera, se sostiene que estas medidas perjudican a la clase media al privar a los ahorradores de una fuente importante de ingresos por el cobro de intereses. ¿Pero es esto realmente así?</w:t>
      </w:r>
    </w:p>
    <w:p w:rsidR="00F001EE" w:rsidRPr="00254AAE" w:rsidRDefault="00F001EE" w:rsidP="00FA4DA9">
      <w:pPr>
        <w:spacing w:line="240" w:lineRule="auto"/>
        <w:jc w:val="both"/>
        <w:rPr>
          <w:rFonts w:ascii="Times New Roman" w:hAnsi="Times New Roman" w:cs="Times New Roman"/>
          <w:color w:val="FF0000"/>
          <w:sz w:val="24"/>
          <w:szCs w:val="24"/>
          <w:u w:val="single"/>
        </w:rPr>
      </w:pPr>
      <w:r w:rsidRPr="00254AAE">
        <w:rPr>
          <w:rFonts w:ascii="Times New Roman" w:hAnsi="Times New Roman" w:cs="Times New Roman"/>
          <w:color w:val="FF0000"/>
          <w:sz w:val="24"/>
          <w:szCs w:val="24"/>
          <w:u w:val="single"/>
        </w:rPr>
        <w:t>Centrándose en el caso de EEUU, la evidencia parece sugerir lo contrario. Según concluye un informe de BCA Research, la creciente desigualdad desde principios de la década de 1980 ha deprimido la demanda agregada, lo que ha obligado a los bancos centrales a flexibilizar la política monetaria. Y es precisamente esa flexibilización la que puede provocar un cierto viraje en las tasas de desigualdad.</w:t>
      </w:r>
    </w:p>
    <w:p w:rsidR="00F001EE" w:rsidRPr="00254AAE" w:rsidRDefault="00F001EE" w:rsidP="00FA4DA9">
      <w:pPr>
        <w:spacing w:line="240" w:lineRule="auto"/>
        <w:jc w:val="both"/>
        <w:rPr>
          <w:rFonts w:ascii="Times New Roman" w:hAnsi="Times New Roman" w:cs="Times New Roman"/>
          <w:b/>
          <w:color w:val="FF0000"/>
          <w:sz w:val="24"/>
          <w:szCs w:val="24"/>
          <w:u w:val="single"/>
        </w:rPr>
      </w:pPr>
      <w:r w:rsidRPr="00254AAE">
        <w:rPr>
          <w:rFonts w:ascii="Times New Roman" w:hAnsi="Times New Roman" w:cs="Times New Roman"/>
          <w:b/>
          <w:color w:val="FF0000"/>
          <w:sz w:val="24"/>
          <w:szCs w:val="24"/>
          <w:u w:val="single"/>
        </w:rPr>
        <w:t>Si bien es cierto que, por ejemplo, la mayor parte de la riqueza en acciones está en manos de los muy ricos -según datos de la Fed, el 1% más rico posee la mitad de todas las acciones-, las políticas expansivas no solo ha hecho subir los precios de las acciones. La caída de los rendimientos de los bonos también ha elevado los precios de las viviendas y, a diferencia de los activos financieros, la riqueza inmobiliaria se mantiene en general entre la población.</w:t>
      </w:r>
    </w:p>
    <w:p w:rsidR="00F001EE" w:rsidRPr="00254AAE" w:rsidRDefault="00F001EE" w:rsidP="00FA4DA9">
      <w:pPr>
        <w:spacing w:line="240" w:lineRule="auto"/>
        <w:jc w:val="both"/>
        <w:rPr>
          <w:rFonts w:ascii="Times New Roman" w:hAnsi="Times New Roman" w:cs="Times New Roman"/>
          <w:b/>
          <w:color w:val="FF0000"/>
          <w:sz w:val="24"/>
          <w:szCs w:val="24"/>
          <w:u w:val="single"/>
        </w:rPr>
      </w:pPr>
      <w:r w:rsidRPr="00254AAE">
        <w:rPr>
          <w:rFonts w:ascii="Times New Roman" w:hAnsi="Times New Roman" w:cs="Times New Roman"/>
          <w:b/>
          <w:color w:val="FF0000"/>
          <w:sz w:val="24"/>
          <w:szCs w:val="24"/>
          <w:u w:val="single"/>
        </w:rPr>
        <w:t>Del lado de los tipos de interés, aunque su bajada ha ayudado a que los más ricos vean cómo sus activos se han revalorizado, también les ha golpea</w:t>
      </w:r>
      <w:r w:rsidR="00254AAE" w:rsidRPr="00254AAE">
        <w:rPr>
          <w:rFonts w:ascii="Times New Roman" w:hAnsi="Times New Roman" w:cs="Times New Roman"/>
          <w:b/>
          <w:color w:val="FF0000"/>
          <w:sz w:val="24"/>
          <w:szCs w:val="24"/>
          <w:u w:val="single"/>
        </w:rPr>
        <w:t>do más por el lado del ahorro. “</w:t>
      </w:r>
      <w:r w:rsidRPr="00254AAE">
        <w:rPr>
          <w:rFonts w:ascii="Times New Roman" w:hAnsi="Times New Roman" w:cs="Times New Roman"/>
          <w:b/>
          <w:color w:val="FF0000"/>
          <w:sz w:val="24"/>
          <w:szCs w:val="24"/>
          <w:u w:val="single"/>
        </w:rPr>
        <w:t>Los ingresos por intereses representan una proporción mucho mayor de los ingresos totales de los individuos ult</w:t>
      </w:r>
      <w:r w:rsidR="00254AAE" w:rsidRPr="00254AAE">
        <w:rPr>
          <w:rFonts w:ascii="Times New Roman" w:hAnsi="Times New Roman" w:cs="Times New Roman"/>
          <w:b/>
          <w:color w:val="FF0000"/>
          <w:sz w:val="24"/>
          <w:szCs w:val="24"/>
          <w:u w:val="single"/>
        </w:rPr>
        <w:t>rarricos que de todos los demás”</w:t>
      </w:r>
      <w:r w:rsidRPr="00254AAE">
        <w:rPr>
          <w:rFonts w:ascii="Times New Roman" w:hAnsi="Times New Roman" w:cs="Times New Roman"/>
          <w:b/>
          <w:color w:val="FF0000"/>
          <w:sz w:val="24"/>
          <w:szCs w:val="24"/>
          <w:u w:val="single"/>
        </w:rPr>
        <w:t>, afirma en la nota el Jefe de Estrategia Global de BCA Research, Peter Berezin, quien subra</w:t>
      </w:r>
      <w:r w:rsidR="00254AAE" w:rsidRPr="00254AAE">
        <w:rPr>
          <w:rFonts w:ascii="Times New Roman" w:hAnsi="Times New Roman" w:cs="Times New Roman"/>
          <w:b/>
          <w:color w:val="FF0000"/>
          <w:sz w:val="24"/>
          <w:szCs w:val="24"/>
          <w:u w:val="single"/>
        </w:rPr>
        <w:t>ya que, al menos en ese punto, “</w:t>
      </w:r>
      <w:r w:rsidRPr="00254AAE">
        <w:rPr>
          <w:rFonts w:ascii="Times New Roman" w:hAnsi="Times New Roman" w:cs="Times New Roman"/>
          <w:b/>
          <w:color w:val="FF0000"/>
          <w:sz w:val="24"/>
          <w:szCs w:val="24"/>
          <w:u w:val="single"/>
        </w:rPr>
        <w:t>la clase media no</w:t>
      </w:r>
      <w:r w:rsidR="00254AAE" w:rsidRPr="00254AAE">
        <w:rPr>
          <w:rFonts w:ascii="Times New Roman" w:hAnsi="Times New Roman" w:cs="Times New Roman"/>
          <w:b/>
          <w:color w:val="FF0000"/>
          <w:sz w:val="24"/>
          <w:szCs w:val="24"/>
          <w:u w:val="single"/>
        </w:rPr>
        <w:t xml:space="preserve"> ha sido la principal víctima”</w:t>
      </w:r>
      <w:r w:rsidRPr="00254AAE">
        <w:rPr>
          <w:rFonts w:ascii="Times New Roman" w:hAnsi="Times New Roman" w:cs="Times New Roman"/>
          <w:b/>
          <w:color w:val="FF0000"/>
          <w:sz w:val="24"/>
          <w:szCs w:val="24"/>
          <w:u w:val="single"/>
        </w:rPr>
        <w:t>.</w:t>
      </w:r>
    </w:p>
    <w:p w:rsidR="00F001EE" w:rsidRPr="00254AAE" w:rsidRDefault="00F001EE" w:rsidP="00FA4DA9">
      <w:pPr>
        <w:spacing w:line="240" w:lineRule="auto"/>
        <w:jc w:val="both"/>
        <w:rPr>
          <w:rFonts w:ascii="Times New Roman" w:hAnsi="Times New Roman" w:cs="Times New Roman"/>
          <w:b/>
          <w:color w:val="FF0000"/>
          <w:sz w:val="24"/>
          <w:szCs w:val="24"/>
          <w:u w:val="single"/>
        </w:rPr>
      </w:pPr>
      <w:r w:rsidRPr="00254AAE">
        <w:rPr>
          <w:rFonts w:ascii="Times New Roman" w:hAnsi="Times New Roman" w:cs="Times New Roman"/>
          <w:color w:val="FF0000"/>
          <w:sz w:val="24"/>
          <w:szCs w:val="24"/>
          <w:u w:val="single"/>
        </w:rPr>
        <w:t>Durante un tiempo, los tipos de interés bajos permitieron que los hogares más pobres se endeudaran más, enmascarando así el impacto de la creciente desigualdad. Sin embargo, después del estallido de la burbuja inmobiliaria, los hogares se vieron obligados a reducir los gastos y empezar a vivi</w:t>
      </w:r>
      <w:r w:rsidR="00254AAE" w:rsidRPr="00254AAE">
        <w:rPr>
          <w:rFonts w:ascii="Times New Roman" w:hAnsi="Times New Roman" w:cs="Times New Roman"/>
          <w:color w:val="FF0000"/>
          <w:sz w:val="24"/>
          <w:szCs w:val="24"/>
          <w:u w:val="single"/>
        </w:rPr>
        <w:t>r dentro de sus posibilidades</w:t>
      </w:r>
      <w:r w:rsidR="00254AAE">
        <w:rPr>
          <w:rFonts w:ascii="Times New Roman" w:hAnsi="Times New Roman" w:cs="Times New Roman"/>
          <w:sz w:val="24"/>
          <w:szCs w:val="24"/>
        </w:rPr>
        <w:t xml:space="preserve">. </w:t>
      </w:r>
      <w:r w:rsidR="00254AAE" w:rsidRPr="00254AAE">
        <w:rPr>
          <w:rFonts w:ascii="Times New Roman" w:hAnsi="Times New Roman" w:cs="Times New Roman"/>
          <w:b/>
          <w:color w:val="FF0000"/>
          <w:sz w:val="24"/>
          <w:szCs w:val="24"/>
          <w:u w:val="single"/>
        </w:rPr>
        <w:t>“</w:t>
      </w:r>
      <w:r w:rsidRPr="00254AAE">
        <w:rPr>
          <w:rFonts w:ascii="Times New Roman" w:hAnsi="Times New Roman" w:cs="Times New Roman"/>
          <w:b/>
          <w:color w:val="FF0000"/>
          <w:sz w:val="24"/>
          <w:szCs w:val="24"/>
          <w:u w:val="single"/>
        </w:rPr>
        <w:t>El colapso resultante en el consumo empujó los tipos hacia el cero y obligó a la Fed a empren</w:t>
      </w:r>
      <w:r w:rsidR="00254AAE" w:rsidRPr="00254AAE">
        <w:rPr>
          <w:rFonts w:ascii="Times New Roman" w:hAnsi="Times New Roman" w:cs="Times New Roman"/>
          <w:b/>
          <w:color w:val="FF0000"/>
          <w:sz w:val="24"/>
          <w:szCs w:val="24"/>
          <w:u w:val="single"/>
        </w:rPr>
        <w:t>der un programa de QE tras otro”</w:t>
      </w:r>
      <w:r w:rsidRPr="00254AAE">
        <w:rPr>
          <w:rFonts w:ascii="Times New Roman" w:hAnsi="Times New Roman" w:cs="Times New Roman"/>
          <w:b/>
          <w:color w:val="FF0000"/>
          <w:sz w:val="24"/>
          <w:szCs w:val="24"/>
          <w:u w:val="single"/>
        </w:rPr>
        <w:t>, apostilla Berezin.</w:t>
      </w:r>
    </w:p>
    <w:p w:rsidR="00F001EE" w:rsidRPr="00254AAE" w:rsidRDefault="00F001EE" w:rsidP="00FA4DA9">
      <w:pPr>
        <w:spacing w:line="240" w:lineRule="auto"/>
        <w:jc w:val="both"/>
        <w:rPr>
          <w:rFonts w:ascii="Times New Roman" w:hAnsi="Times New Roman" w:cs="Times New Roman"/>
          <w:color w:val="FF0000"/>
          <w:sz w:val="24"/>
          <w:szCs w:val="24"/>
          <w:u w:val="single"/>
        </w:rPr>
      </w:pPr>
      <w:r w:rsidRPr="00254AAE">
        <w:rPr>
          <w:rFonts w:ascii="Times New Roman" w:hAnsi="Times New Roman" w:cs="Times New Roman"/>
          <w:b/>
          <w:color w:val="FF0000"/>
          <w:sz w:val="24"/>
          <w:szCs w:val="24"/>
          <w:u w:val="single"/>
        </w:rPr>
        <w:t>Abordando la vertiente laboral, los datos ponen de manifiesto que la productividad de EEUU se ha duplicado desde 1980, pero los salarios medios reales han aumentado solo en un 20%. La mayor parte de las ganancias por este repunte de la productividad se han dirigido a los propietarios de capital y a las personas con los ingresos más altos.</w:t>
      </w:r>
      <w:r w:rsidRPr="001A0EE3">
        <w:rPr>
          <w:rFonts w:ascii="Times New Roman" w:hAnsi="Times New Roman" w:cs="Times New Roman"/>
          <w:sz w:val="24"/>
          <w:szCs w:val="24"/>
        </w:rPr>
        <w:t xml:space="preserve"> </w:t>
      </w:r>
      <w:r w:rsidRPr="00254AAE">
        <w:rPr>
          <w:rFonts w:ascii="Times New Roman" w:hAnsi="Times New Roman" w:cs="Times New Roman"/>
          <w:color w:val="FF0000"/>
          <w:sz w:val="24"/>
          <w:szCs w:val="24"/>
          <w:u w:val="single"/>
        </w:rPr>
        <w:t>Por contra, señala Berezin, lejos de exacerbar la desigualdad de ingresos, una investigación reciente del FMI demostraba que una política monetaria más flexible puede reducir la desigualdad al impulsar el crecimiento del empleo y los salarios.</w:t>
      </w:r>
    </w:p>
    <w:p w:rsidR="00F001EE" w:rsidRPr="001A0EE3" w:rsidRDefault="00F001EE" w:rsidP="00FA4DA9">
      <w:pPr>
        <w:spacing w:line="240" w:lineRule="auto"/>
        <w:jc w:val="both"/>
        <w:rPr>
          <w:rFonts w:ascii="Times New Roman" w:hAnsi="Times New Roman" w:cs="Times New Roman"/>
          <w:sz w:val="24"/>
          <w:szCs w:val="24"/>
        </w:rPr>
      </w:pPr>
      <w:r w:rsidRPr="00254AAE">
        <w:rPr>
          <w:rFonts w:ascii="Times New Roman" w:hAnsi="Times New Roman" w:cs="Times New Roman"/>
          <w:b/>
          <w:color w:val="FF0000"/>
          <w:sz w:val="24"/>
          <w:szCs w:val="24"/>
          <w:u w:val="single"/>
        </w:rPr>
        <w:lastRenderedPageBreak/>
        <w:t>Del lado de las empresas, también se aprecian tendencias previas a la aplicación de los programas QE. La más clara ha sido el auge de los monopolios: la concentración del mercado ha aumentado en el 75% de todas las industrias estadounidenses desde 1997. La prueba fehaciente se ha visto con especial énfasis en el sector tecnológico con un cambio de modelo en el que los mayores rendimientos del capital no han desembocado en una mayor inversión.</w:t>
      </w:r>
      <w:r w:rsidRPr="00254AAE">
        <w:rPr>
          <w:rFonts w:ascii="Times New Roman" w:hAnsi="Times New Roman" w:cs="Times New Roman"/>
          <w:color w:val="FF0000"/>
          <w:sz w:val="24"/>
          <w:szCs w:val="24"/>
        </w:rPr>
        <w:t xml:space="preserve"> </w:t>
      </w:r>
      <w:r w:rsidRPr="001A0EE3">
        <w:rPr>
          <w:rFonts w:ascii="Times New Roman" w:hAnsi="Times New Roman" w:cs="Times New Roman"/>
          <w:sz w:val="24"/>
          <w:szCs w:val="24"/>
        </w:rPr>
        <w:t>Esta menor inversión, a su vez, reduce la demanda agregada al mismo tiempo que el mayor pode</w:t>
      </w:r>
      <w:r w:rsidR="00254AAE">
        <w:rPr>
          <w:rFonts w:ascii="Times New Roman" w:hAnsi="Times New Roman" w:cs="Times New Roman"/>
          <w:sz w:val="24"/>
          <w:szCs w:val="24"/>
        </w:rPr>
        <w:t>r de mercado de estas empresas “</w:t>
      </w:r>
      <w:r w:rsidRPr="001A0EE3">
        <w:rPr>
          <w:rFonts w:ascii="Times New Roman" w:hAnsi="Times New Roman" w:cs="Times New Roman"/>
          <w:sz w:val="24"/>
          <w:szCs w:val="24"/>
        </w:rPr>
        <w:t>desplazará los ingresos hacia los ricos propietarios del capital, que tienden a ahorrar más que los trabajado</w:t>
      </w:r>
      <w:r w:rsidR="00254AAE">
        <w:rPr>
          <w:rFonts w:ascii="Times New Roman" w:hAnsi="Times New Roman" w:cs="Times New Roman"/>
          <w:sz w:val="24"/>
          <w:szCs w:val="24"/>
        </w:rPr>
        <w:t>res normales”</w:t>
      </w:r>
      <w:r>
        <w:rPr>
          <w:rFonts w:ascii="Times New Roman" w:hAnsi="Times New Roman" w:cs="Times New Roman"/>
          <w:sz w:val="24"/>
          <w:szCs w:val="24"/>
        </w:rPr>
        <w:t>, remacha Berezin.</w:t>
      </w:r>
    </w:p>
    <w:p w:rsidR="00F001EE" w:rsidRPr="001A0EE3" w:rsidRDefault="00F001EE" w:rsidP="00FA4DA9">
      <w:pPr>
        <w:spacing w:line="240" w:lineRule="auto"/>
        <w:jc w:val="both"/>
        <w:rPr>
          <w:rFonts w:ascii="Times New Roman" w:hAnsi="Times New Roman" w:cs="Times New Roman"/>
          <w:sz w:val="24"/>
          <w:szCs w:val="24"/>
        </w:rPr>
      </w:pPr>
      <w:r w:rsidRPr="001A0EE3">
        <w:rPr>
          <w:rFonts w:ascii="Times New Roman" w:hAnsi="Times New Roman" w:cs="Times New Roman"/>
          <w:sz w:val="24"/>
          <w:szCs w:val="24"/>
        </w:rPr>
        <w:t>¿Cambio de paradigma?</w:t>
      </w:r>
    </w:p>
    <w:p w:rsidR="00F001EE" w:rsidRPr="001A0EE3" w:rsidRDefault="00F001EE" w:rsidP="00FA4DA9">
      <w:pPr>
        <w:spacing w:line="240" w:lineRule="auto"/>
        <w:jc w:val="both"/>
        <w:rPr>
          <w:rFonts w:ascii="Times New Roman" w:hAnsi="Times New Roman" w:cs="Times New Roman"/>
          <w:sz w:val="24"/>
          <w:szCs w:val="24"/>
        </w:rPr>
      </w:pPr>
      <w:r w:rsidRPr="001A0EE3">
        <w:rPr>
          <w:rFonts w:ascii="Times New Roman" w:hAnsi="Times New Roman" w:cs="Times New Roman"/>
          <w:sz w:val="24"/>
          <w:szCs w:val="24"/>
        </w:rPr>
        <w:t xml:space="preserve">Tras la ponderación entre el progresivo aumento de la desigualdad en las últimas décadas y las ulteriores políticas expansivas, los analistas de BCA se abren con esperanza a un cambio de paradigma precisamente por la laxitud de los bancos centrales, acrecentada por los efectos causados </w:t>
      </w:r>
      <w:r>
        <w:rPr>
          <w:rFonts w:ascii="Times New Roman" w:hAnsi="Times New Roman" w:cs="Times New Roman"/>
          <w:sz w:val="24"/>
          <w:szCs w:val="24"/>
        </w:rPr>
        <w:t>por la pandemia de coronavirus.</w:t>
      </w:r>
    </w:p>
    <w:p w:rsidR="00F001EE" w:rsidRPr="00254AAE" w:rsidRDefault="00254AAE" w:rsidP="00FA4DA9">
      <w:pPr>
        <w:spacing w:line="240" w:lineRule="auto"/>
        <w:jc w:val="both"/>
        <w:rPr>
          <w:rFonts w:ascii="Times New Roman" w:hAnsi="Times New Roman" w:cs="Times New Roman"/>
          <w:b/>
          <w:color w:val="FF0000"/>
          <w:sz w:val="24"/>
          <w:szCs w:val="24"/>
          <w:u w:val="single"/>
        </w:rPr>
      </w:pPr>
      <w:r w:rsidRPr="00254AAE">
        <w:rPr>
          <w:rFonts w:ascii="Times New Roman" w:hAnsi="Times New Roman" w:cs="Times New Roman"/>
          <w:b/>
          <w:color w:val="FF0000"/>
          <w:sz w:val="24"/>
          <w:szCs w:val="24"/>
          <w:u w:val="single"/>
        </w:rPr>
        <w:t>“</w:t>
      </w:r>
      <w:r w:rsidR="00F001EE" w:rsidRPr="00254AAE">
        <w:rPr>
          <w:rFonts w:ascii="Times New Roman" w:hAnsi="Times New Roman" w:cs="Times New Roman"/>
          <w:b/>
          <w:color w:val="FF0000"/>
          <w:sz w:val="24"/>
          <w:szCs w:val="24"/>
          <w:u w:val="single"/>
        </w:rPr>
        <w:t>Después de aumentar durante las últimas cuatro décadas, es posible que la desigualdad disminuya. Los bancos centrales están dispuestos a permitir que las economías se sobrecalienten. Podría surgir un ciclo de retroalimentación en el que las economías sobrecalentadas eleven la participación del trabajo en los ingresos, lo que generaría más gasto e incluso salarios más altos. Es probable que la política fiscal amplifique est</w:t>
      </w:r>
      <w:r w:rsidRPr="00254AAE">
        <w:rPr>
          <w:rFonts w:ascii="Times New Roman" w:hAnsi="Times New Roman" w:cs="Times New Roman"/>
          <w:b/>
          <w:color w:val="FF0000"/>
          <w:sz w:val="24"/>
          <w:szCs w:val="24"/>
          <w:u w:val="single"/>
        </w:rPr>
        <w:t>e circuito de retroalimentación”</w:t>
      </w:r>
      <w:r w:rsidR="00F001EE" w:rsidRPr="00254AAE">
        <w:rPr>
          <w:rFonts w:ascii="Times New Roman" w:hAnsi="Times New Roman" w:cs="Times New Roman"/>
          <w:b/>
          <w:color w:val="FF0000"/>
          <w:sz w:val="24"/>
          <w:szCs w:val="24"/>
          <w:u w:val="single"/>
        </w:rPr>
        <w:t>, señalan con cierto optimismo.</w:t>
      </w:r>
    </w:p>
    <w:p w:rsidR="00F001EE" w:rsidRPr="00254AAE" w:rsidRDefault="00F001EE" w:rsidP="00FA4DA9">
      <w:pPr>
        <w:spacing w:line="240" w:lineRule="auto"/>
        <w:jc w:val="both"/>
        <w:rPr>
          <w:rFonts w:ascii="Times New Roman" w:hAnsi="Times New Roman" w:cs="Times New Roman"/>
          <w:sz w:val="24"/>
          <w:szCs w:val="24"/>
          <w:u w:val="single"/>
        </w:rPr>
      </w:pPr>
      <w:r w:rsidRPr="001A0EE3">
        <w:rPr>
          <w:rFonts w:ascii="Times New Roman" w:hAnsi="Times New Roman" w:cs="Times New Roman"/>
          <w:sz w:val="24"/>
          <w:szCs w:val="24"/>
        </w:rPr>
        <w:t>También se aferran a que las políticas gubernamentales se e</w:t>
      </w:r>
      <w:r w:rsidR="00254AAE">
        <w:rPr>
          <w:rFonts w:ascii="Times New Roman" w:hAnsi="Times New Roman" w:cs="Times New Roman"/>
          <w:sz w:val="24"/>
          <w:szCs w:val="24"/>
        </w:rPr>
        <w:t>stán moviendo en una dirección “más redistributiva”</w:t>
      </w:r>
      <w:r w:rsidRPr="001A0EE3">
        <w:rPr>
          <w:rFonts w:ascii="Times New Roman" w:hAnsi="Times New Roman" w:cs="Times New Roman"/>
          <w:sz w:val="24"/>
          <w:szCs w:val="24"/>
        </w:rPr>
        <w:t xml:space="preserve">, dando por seguro que </w:t>
      </w:r>
      <w:r w:rsidRPr="00254AAE">
        <w:rPr>
          <w:rFonts w:ascii="Times New Roman" w:hAnsi="Times New Roman" w:cs="Times New Roman"/>
          <w:sz w:val="24"/>
          <w:szCs w:val="24"/>
          <w:u w:val="single"/>
        </w:rPr>
        <w:t>con la llegada de Joe Biden a la presidencia de EEUU las tasas impositivas sobre los mayores perceptores de ingresos aumentarán al mismo tiempo que se propiciarán políticas de gasto como la subida del salario mínimo.</w:t>
      </w:r>
    </w:p>
    <w:p w:rsidR="00F001EE" w:rsidRPr="001A0EE3" w:rsidRDefault="00F001EE" w:rsidP="00FA4DA9">
      <w:pPr>
        <w:spacing w:line="240" w:lineRule="auto"/>
        <w:jc w:val="both"/>
        <w:rPr>
          <w:rFonts w:ascii="Times New Roman" w:hAnsi="Times New Roman" w:cs="Times New Roman"/>
          <w:sz w:val="24"/>
          <w:szCs w:val="24"/>
        </w:rPr>
      </w:pPr>
      <w:r w:rsidRPr="00254AAE">
        <w:rPr>
          <w:rFonts w:ascii="Times New Roman" w:hAnsi="Times New Roman" w:cs="Times New Roman"/>
          <w:sz w:val="24"/>
          <w:szCs w:val="24"/>
          <w:u w:val="single"/>
        </w:rPr>
        <w:t>C</w:t>
      </w:r>
      <w:r w:rsidR="00254AAE" w:rsidRPr="00254AAE">
        <w:rPr>
          <w:rFonts w:ascii="Times New Roman" w:hAnsi="Times New Roman" w:cs="Times New Roman"/>
          <w:sz w:val="24"/>
          <w:szCs w:val="24"/>
          <w:u w:val="single"/>
        </w:rPr>
        <w:t>oadyuvando a este cambio en la “marea de la desigualdad”</w:t>
      </w:r>
      <w:r w:rsidRPr="00254AAE">
        <w:rPr>
          <w:rFonts w:ascii="Times New Roman" w:hAnsi="Times New Roman" w:cs="Times New Roman"/>
          <w:sz w:val="24"/>
          <w:szCs w:val="24"/>
          <w:u w:val="single"/>
        </w:rPr>
        <w:t>, el análisis anticipa también una aplicación más contundente de las leyes antimonopolio</w:t>
      </w:r>
      <w:r w:rsidRPr="001A0EE3">
        <w:rPr>
          <w:rFonts w:ascii="Times New Roman" w:hAnsi="Times New Roman" w:cs="Times New Roman"/>
          <w:sz w:val="24"/>
          <w:szCs w:val="24"/>
        </w:rPr>
        <w:t>. En ese sentido, señala que cada vez más republicanos están de acuerdo con afirmaciones como la hecha por la senado</w:t>
      </w:r>
      <w:r w:rsidR="00254AAE">
        <w:rPr>
          <w:rFonts w:ascii="Times New Roman" w:hAnsi="Times New Roman" w:cs="Times New Roman"/>
          <w:sz w:val="24"/>
          <w:szCs w:val="24"/>
        </w:rPr>
        <w:t>ra demócrata Elizabeth Warren: “</w:t>
      </w:r>
      <w:r w:rsidRPr="001A0EE3">
        <w:rPr>
          <w:rFonts w:ascii="Times New Roman" w:hAnsi="Times New Roman" w:cs="Times New Roman"/>
          <w:sz w:val="24"/>
          <w:szCs w:val="24"/>
        </w:rPr>
        <w:t>Las grandes empresas tecnológicas de hoy tienen demasiado poder, demasiado poder sobre nuestra economía, nuestra s</w:t>
      </w:r>
      <w:r w:rsidR="00254AAE">
        <w:rPr>
          <w:rFonts w:ascii="Times New Roman" w:hAnsi="Times New Roman" w:cs="Times New Roman"/>
          <w:sz w:val="24"/>
          <w:szCs w:val="24"/>
        </w:rPr>
        <w:t>ociedad y nuestra democracia”</w:t>
      </w:r>
      <w:r>
        <w:rPr>
          <w:rFonts w:ascii="Times New Roman" w:hAnsi="Times New Roman" w:cs="Times New Roman"/>
          <w:sz w:val="24"/>
          <w:szCs w:val="24"/>
        </w:rPr>
        <w:t xml:space="preserve">. </w:t>
      </w:r>
    </w:p>
    <w:p w:rsidR="00F001EE" w:rsidRDefault="00F001EE" w:rsidP="00FA4DA9">
      <w:pPr>
        <w:spacing w:line="240" w:lineRule="auto"/>
        <w:jc w:val="both"/>
        <w:rPr>
          <w:rFonts w:ascii="Times New Roman" w:hAnsi="Times New Roman" w:cs="Times New Roman"/>
          <w:sz w:val="24"/>
          <w:szCs w:val="24"/>
        </w:rPr>
      </w:pPr>
      <w:r w:rsidRPr="001A0EE3">
        <w:rPr>
          <w:rFonts w:ascii="Times New Roman" w:hAnsi="Times New Roman" w:cs="Times New Roman"/>
          <w:sz w:val="24"/>
          <w:szCs w:val="24"/>
        </w:rPr>
        <w:t xml:space="preserve">Por último, entra en escena un cierto </w:t>
      </w:r>
      <w:r w:rsidR="00254AAE">
        <w:rPr>
          <w:rFonts w:ascii="Times New Roman" w:hAnsi="Times New Roman" w:cs="Times New Roman"/>
          <w:sz w:val="24"/>
          <w:szCs w:val="24"/>
        </w:rPr>
        <w:t>retroceso de la globalización. “</w:t>
      </w:r>
      <w:r w:rsidRPr="001A0EE3">
        <w:rPr>
          <w:rFonts w:ascii="Times New Roman" w:hAnsi="Times New Roman" w:cs="Times New Roman"/>
          <w:sz w:val="24"/>
          <w:szCs w:val="24"/>
        </w:rPr>
        <w:t>Después de aumentar significativamente, la relación entre el comercio mundial y la producción se ha mantenido estable durante más de una década. A medida que disminuya la competencia de los trabajadores extranjeros, los salarios de la clase trabajadora en las econo</w:t>
      </w:r>
      <w:r w:rsidR="00254AAE">
        <w:rPr>
          <w:rFonts w:ascii="Times New Roman" w:hAnsi="Times New Roman" w:cs="Times New Roman"/>
          <w:sz w:val="24"/>
          <w:szCs w:val="24"/>
        </w:rPr>
        <w:t>mías avanzadas podrían aumentar”</w:t>
      </w:r>
      <w:r w:rsidRPr="001A0EE3">
        <w:rPr>
          <w:rFonts w:ascii="Times New Roman" w:hAnsi="Times New Roman" w:cs="Times New Roman"/>
          <w:sz w:val="24"/>
          <w:szCs w:val="24"/>
        </w:rPr>
        <w:t>, concluyen desde BCA Research.</w:t>
      </w:r>
    </w:p>
    <w:p w:rsidR="00F001EE" w:rsidRPr="00677792" w:rsidRDefault="00F001EE"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77792">
        <w:rPr>
          <w:rFonts w:ascii="Times New Roman" w:hAnsi="Times New Roman" w:cs="Times New Roman"/>
          <w:sz w:val="24"/>
          <w:szCs w:val="24"/>
          <w:u w:val="single"/>
        </w:rPr>
        <w:t xml:space="preserve">La </w:t>
      </w:r>
      <w:r w:rsidR="00254AAE">
        <w:rPr>
          <w:rFonts w:ascii="Times New Roman" w:hAnsi="Times New Roman" w:cs="Times New Roman"/>
          <w:sz w:val="24"/>
          <w:szCs w:val="24"/>
          <w:u w:val="single"/>
        </w:rPr>
        <w:t>“</w:t>
      </w:r>
      <w:r w:rsidRPr="00677792">
        <w:rPr>
          <w:rFonts w:ascii="Times New Roman" w:hAnsi="Times New Roman" w:cs="Times New Roman"/>
          <w:sz w:val="24"/>
          <w:szCs w:val="24"/>
          <w:u w:val="single"/>
        </w:rPr>
        <w:t>gran r</w:t>
      </w:r>
      <w:r w:rsidR="00254AAE">
        <w:rPr>
          <w:rFonts w:ascii="Times New Roman" w:hAnsi="Times New Roman" w:cs="Times New Roman"/>
          <w:sz w:val="24"/>
          <w:szCs w:val="24"/>
          <w:u w:val="single"/>
        </w:rPr>
        <w:t>eestructuración de la inflación”</w:t>
      </w:r>
      <w:r w:rsidRPr="00677792">
        <w:rPr>
          <w:rFonts w:ascii="Times New Roman" w:hAnsi="Times New Roman" w:cs="Times New Roman"/>
          <w:sz w:val="24"/>
          <w:szCs w:val="24"/>
          <w:u w:val="single"/>
        </w:rPr>
        <w:t xml:space="preserve"> que se avecina puede acabar dando un susto al BCE</w:t>
      </w:r>
      <w:r>
        <w:rPr>
          <w:rFonts w:ascii="Times New Roman" w:hAnsi="Times New Roman" w:cs="Times New Roman"/>
          <w:sz w:val="24"/>
          <w:szCs w:val="24"/>
        </w:rPr>
        <w:t xml:space="preserve"> (El Economista - </w:t>
      </w:r>
      <w:r w:rsidRPr="00677792">
        <w:rPr>
          <w:rFonts w:ascii="Times New Roman" w:hAnsi="Times New Roman" w:cs="Times New Roman"/>
          <w:b/>
          <w:sz w:val="24"/>
          <w:szCs w:val="24"/>
        </w:rPr>
        <w:t>18/1/21</w:t>
      </w:r>
      <w:r>
        <w:rPr>
          <w:rFonts w:ascii="Times New Roman" w:hAnsi="Times New Roman" w:cs="Times New Roman"/>
          <w:sz w:val="24"/>
          <w:szCs w:val="24"/>
        </w:rPr>
        <w:t>)</w:t>
      </w:r>
    </w:p>
    <w:p w:rsidR="00F001EE" w:rsidRPr="00677792" w:rsidRDefault="00F001EE"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677792">
        <w:rPr>
          <w:rFonts w:ascii="Times New Roman" w:hAnsi="Times New Roman" w:cs="Times New Roman"/>
          <w:sz w:val="24"/>
          <w:szCs w:val="24"/>
        </w:rPr>
        <w:t>Vicente Nieves</w:t>
      </w:r>
      <w:r>
        <w:rPr>
          <w:rFonts w:ascii="Times New Roman" w:hAnsi="Times New Roman" w:cs="Times New Roman"/>
          <w:sz w:val="24"/>
          <w:szCs w:val="24"/>
        </w:rPr>
        <w:t>)</w:t>
      </w:r>
    </w:p>
    <w:p w:rsidR="00F001EE" w:rsidRPr="00677792" w:rsidRDefault="00F001EE" w:rsidP="00FA4DA9">
      <w:pPr>
        <w:spacing w:line="240" w:lineRule="auto"/>
        <w:jc w:val="both"/>
        <w:rPr>
          <w:rFonts w:ascii="Times New Roman" w:hAnsi="Times New Roman" w:cs="Times New Roman"/>
          <w:sz w:val="24"/>
          <w:szCs w:val="24"/>
        </w:rPr>
      </w:pPr>
      <w:r w:rsidRPr="00254AAE">
        <w:rPr>
          <w:rFonts w:ascii="Times New Roman" w:hAnsi="Times New Roman" w:cs="Times New Roman"/>
          <w:sz w:val="24"/>
          <w:szCs w:val="24"/>
          <w:u w:val="single"/>
        </w:rPr>
        <w:t>La inflación lleva meses en terreno negativo. Aunque la economía euro va a seguir lejos de su PIB potencial, varios factores que van a coincidir (reestructuración) en el tiempo pueden generar una subida intensa de los precios, que en principio será temporal</w:t>
      </w:r>
      <w:r w:rsidRPr="00677792">
        <w:rPr>
          <w:rFonts w:ascii="Times New Roman" w:hAnsi="Times New Roman" w:cs="Times New Roman"/>
          <w:sz w:val="24"/>
          <w:szCs w:val="24"/>
        </w:rPr>
        <w:t xml:space="preserve">. El Banco Central Europeo (BCE) deberá seguir su hoja de ruta y mantener los estímulos desplegados hasta que la inflación alcance de forma sostenida (no temporal) el 2%. </w:t>
      </w:r>
      <w:r w:rsidRPr="001B060F">
        <w:rPr>
          <w:rFonts w:ascii="Times New Roman" w:hAnsi="Times New Roman" w:cs="Times New Roman"/>
          <w:sz w:val="24"/>
          <w:szCs w:val="24"/>
          <w:u w:val="single"/>
        </w:rPr>
        <w:t xml:space="preserve">Sin embargo, no resultaría nada extraño que esta subida temporal de los precios termine convirtiéndose en un nuevo dolor de </w:t>
      </w:r>
      <w:r w:rsidRPr="001B060F">
        <w:rPr>
          <w:rFonts w:ascii="Times New Roman" w:hAnsi="Times New Roman" w:cs="Times New Roman"/>
          <w:sz w:val="24"/>
          <w:szCs w:val="24"/>
          <w:u w:val="single"/>
        </w:rPr>
        <w:lastRenderedPageBreak/>
        <w:t>cabeza para el BCE: las críticas y las presiones para reducir el estímulo llegarán. La reunión de este jueves podría se</w:t>
      </w:r>
      <w:r w:rsidR="00254AAE" w:rsidRPr="001B060F">
        <w:rPr>
          <w:rFonts w:ascii="Times New Roman" w:hAnsi="Times New Roman" w:cs="Times New Roman"/>
          <w:sz w:val="24"/>
          <w:szCs w:val="24"/>
          <w:u w:val="single"/>
        </w:rPr>
        <w:t>r una de los últimos cónclaves “tranquilos”</w:t>
      </w:r>
      <w:r w:rsidRPr="001B060F">
        <w:rPr>
          <w:rFonts w:ascii="Times New Roman" w:hAnsi="Times New Roman" w:cs="Times New Roman"/>
          <w:sz w:val="24"/>
          <w:szCs w:val="24"/>
          <w:u w:val="single"/>
        </w:rPr>
        <w:t xml:space="preserve"> para el banco central</w:t>
      </w:r>
      <w:r w:rsidRPr="00677792">
        <w:rPr>
          <w:rFonts w:ascii="Times New Roman" w:hAnsi="Times New Roman" w:cs="Times New Roman"/>
          <w:sz w:val="24"/>
          <w:szCs w:val="24"/>
        </w:rPr>
        <w:t>.</w:t>
      </w:r>
    </w:p>
    <w:p w:rsidR="00F001EE" w:rsidRPr="001B060F" w:rsidRDefault="001B060F" w:rsidP="00FA4DA9">
      <w:pPr>
        <w:spacing w:line="240" w:lineRule="auto"/>
        <w:jc w:val="both"/>
        <w:rPr>
          <w:rFonts w:ascii="Times New Roman" w:hAnsi="Times New Roman" w:cs="Times New Roman"/>
          <w:color w:val="FF0000"/>
          <w:sz w:val="24"/>
          <w:szCs w:val="24"/>
          <w:u w:val="single"/>
        </w:rPr>
      </w:pPr>
      <w:r w:rsidRPr="001B060F">
        <w:rPr>
          <w:rFonts w:ascii="Times New Roman" w:hAnsi="Times New Roman" w:cs="Times New Roman"/>
          <w:color w:val="FF0000"/>
          <w:sz w:val="24"/>
          <w:szCs w:val="24"/>
          <w:u w:val="single"/>
        </w:rPr>
        <w:t>ING: “</w:t>
      </w:r>
      <w:r w:rsidR="00F001EE" w:rsidRPr="001B060F">
        <w:rPr>
          <w:rFonts w:ascii="Times New Roman" w:hAnsi="Times New Roman" w:cs="Times New Roman"/>
          <w:color w:val="FF0000"/>
          <w:sz w:val="24"/>
          <w:szCs w:val="24"/>
          <w:u w:val="single"/>
        </w:rPr>
        <w:t>Si se producen varias lecturas de inflación sólidas a partir del segundo trimestre del año, algunos participantes del mercado podrían ponerse nerviosos, recordando viejos temores de una inflación acelerada como resultado de políticas monetarias y fiscales laxas. O al menos, podrían preocuparse por un ajust</w:t>
      </w:r>
      <w:r w:rsidRPr="001B060F">
        <w:rPr>
          <w:rFonts w:ascii="Times New Roman" w:hAnsi="Times New Roman" w:cs="Times New Roman"/>
          <w:color w:val="FF0000"/>
          <w:sz w:val="24"/>
          <w:szCs w:val="24"/>
          <w:u w:val="single"/>
        </w:rPr>
        <w:t>e inesperado por parte del BCE”.</w:t>
      </w:r>
    </w:p>
    <w:p w:rsidR="00F001EE" w:rsidRPr="00677792" w:rsidRDefault="00F001EE" w:rsidP="00FA4DA9">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Por ahora, la inflación acumula cinco meses consecutivos en territorio negativo en la zona euro. Además, se espera que en enero y febrero se mantenga débil aunque quizá logre acercarse al territorio positivo. Pero el cambio importante de la tendencia de la inflación general (que no la subyacente) se producirá a partir de marzo. Es entonces cuando el BCE puede empezar a sentir la</w:t>
      </w:r>
      <w:r w:rsidR="001B060F">
        <w:rPr>
          <w:rFonts w:ascii="Times New Roman" w:hAnsi="Times New Roman" w:cs="Times New Roman"/>
          <w:sz w:val="24"/>
          <w:szCs w:val="24"/>
        </w:rPr>
        <w:t>s</w:t>
      </w:r>
      <w:r w:rsidRPr="00677792">
        <w:rPr>
          <w:rFonts w:ascii="Times New Roman" w:hAnsi="Times New Roman" w:cs="Times New Roman"/>
          <w:sz w:val="24"/>
          <w:szCs w:val="24"/>
        </w:rPr>
        <w:t xml:space="preserve"> presiones de ciertos sectores (sobre todo de lengua germana) y el mur</w:t>
      </w:r>
      <w:r>
        <w:rPr>
          <w:rFonts w:ascii="Times New Roman" w:hAnsi="Times New Roman" w:cs="Times New Roman"/>
          <w:sz w:val="24"/>
          <w:szCs w:val="24"/>
        </w:rPr>
        <w:t>mullo del mercado.</w:t>
      </w:r>
    </w:p>
    <w:p w:rsidR="00F001EE" w:rsidRPr="001B060F" w:rsidRDefault="00F001EE" w:rsidP="00FA4DA9">
      <w:pPr>
        <w:spacing w:line="240" w:lineRule="auto"/>
        <w:jc w:val="both"/>
        <w:rPr>
          <w:rFonts w:ascii="Times New Roman" w:hAnsi="Times New Roman" w:cs="Times New Roman"/>
          <w:color w:val="FF0000"/>
          <w:sz w:val="24"/>
          <w:szCs w:val="24"/>
          <w:u w:val="single"/>
        </w:rPr>
      </w:pPr>
      <w:r w:rsidRPr="001B060F">
        <w:rPr>
          <w:rFonts w:ascii="Times New Roman" w:hAnsi="Times New Roman" w:cs="Times New Roman"/>
          <w:color w:val="FF0000"/>
          <w:sz w:val="24"/>
          <w:szCs w:val="24"/>
          <w:u w:val="single"/>
        </w:rPr>
        <w:t>Marchel Alexandrovich, economista senior de Jeff</w:t>
      </w:r>
      <w:r w:rsidR="001B060F" w:rsidRPr="001B060F">
        <w:rPr>
          <w:rFonts w:ascii="Times New Roman" w:hAnsi="Times New Roman" w:cs="Times New Roman"/>
          <w:color w:val="FF0000"/>
          <w:sz w:val="24"/>
          <w:szCs w:val="24"/>
          <w:u w:val="single"/>
        </w:rPr>
        <w:t>eries, destaca en una nota que “</w:t>
      </w:r>
      <w:r w:rsidRPr="001B060F">
        <w:rPr>
          <w:rFonts w:ascii="Times New Roman" w:hAnsi="Times New Roman" w:cs="Times New Roman"/>
          <w:color w:val="FF0000"/>
          <w:sz w:val="24"/>
          <w:szCs w:val="24"/>
          <w:u w:val="single"/>
        </w:rPr>
        <w:t>para el BCE, un tema adicional en el radar será la inflación, que se espera que aumente drásticamente en los próximos meses. Inicialmente, la historia girará solo entorno a la evolución en Alemania, donde las cifras de inflación de enero se verán impulsadas por la reversión de la reducción temporal del IVA implementada en julio (en ese momento a</w:t>
      </w:r>
      <w:r w:rsidR="001B060F" w:rsidRPr="001B060F">
        <w:rPr>
          <w:rFonts w:ascii="Times New Roman" w:hAnsi="Times New Roman" w:cs="Times New Roman"/>
          <w:color w:val="FF0000"/>
          <w:sz w:val="24"/>
          <w:szCs w:val="24"/>
          <w:u w:val="single"/>
        </w:rPr>
        <w:t>rrastró la tasa de inflación)”</w:t>
      </w:r>
      <w:r w:rsidRPr="001B060F">
        <w:rPr>
          <w:rFonts w:ascii="Times New Roman" w:hAnsi="Times New Roman" w:cs="Times New Roman"/>
          <w:color w:val="FF0000"/>
          <w:sz w:val="24"/>
          <w:szCs w:val="24"/>
          <w:u w:val="single"/>
        </w:rPr>
        <w:t>.</w:t>
      </w:r>
    </w:p>
    <w:p w:rsidR="00F001EE" w:rsidRPr="00677792" w:rsidRDefault="00F001EE" w:rsidP="00FA4DA9">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Si Alemania no hubiera rebajado el IVA, la inflación en el país habría estado cerca del 1,5% en los últimos meses del año, según revelan desde la agencia de estadística de Bruselas, mientras que la inflación en la zona euro se habría mantenido en territorio positivo, promediando un avance anual del 0,3% en el mes</w:t>
      </w:r>
      <w:r>
        <w:rPr>
          <w:rFonts w:ascii="Times New Roman" w:hAnsi="Times New Roman" w:cs="Times New Roman"/>
          <w:sz w:val="24"/>
          <w:szCs w:val="24"/>
        </w:rPr>
        <w:t xml:space="preserve"> de diciembre, frente al -0,3%.</w:t>
      </w:r>
    </w:p>
    <w:p w:rsidR="00F001EE" w:rsidRPr="00677792" w:rsidRDefault="00F001EE" w:rsidP="00FA4DA9">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Nuevos impuestos</w:t>
      </w:r>
    </w:p>
    <w:p w:rsidR="00F001EE" w:rsidRPr="001B060F" w:rsidRDefault="00F001EE" w:rsidP="00FA4DA9">
      <w:pPr>
        <w:spacing w:line="240" w:lineRule="auto"/>
        <w:jc w:val="both"/>
        <w:rPr>
          <w:rFonts w:ascii="Times New Roman" w:hAnsi="Times New Roman" w:cs="Times New Roman"/>
          <w:color w:val="FF0000"/>
          <w:sz w:val="24"/>
          <w:szCs w:val="24"/>
          <w:u w:val="single"/>
        </w:rPr>
      </w:pPr>
      <w:r w:rsidRPr="001B060F">
        <w:rPr>
          <w:rFonts w:ascii="Times New Roman" w:hAnsi="Times New Roman" w:cs="Times New Roman"/>
          <w:color w:val="FF0000"/>
          <w:sz w:val="24"/>
          <w:szCs w:val="24"/>
          <w:u w:val="single"/>
        </w:rPr>
        <w:t>Además, como destaca el Bundesbank, los datos de inflación a principios de año se verán afectados por la introducción de certificados de emisión de carbono en los sectores de transporte y calefacción, lo que también hará subir los precios de los productos refinados del petróleo y el gas tras del impuesto sobre vehículos de motor. Desde UBS creen que este impulso llevará a que la inflación abandone la</w:t>
      </w:r>
      <w:r w:rsidR="001B060F" w:rsidRPr="001B060F">
        <w:rPr>
          <w:rFonts w:ascii="Times New Roman" w:hAnsi="Times New Roman" w:cs="Times New Roman"/>
          <w:color w:val="FF0000"/>
          <w:sz w:val="24"/>
          <w:szCs w:val="24"/>
          <w:u w:val="single"/>
        </w:rPr>
        <w:t>s tasas negativas ya en enero: “</w:t>
      </w:r>
      <w:r w:rsidRPr="001B060F">
        <w:rPr>
          <w:rFonts w:ascii="Times New Roman" w:hAnsi="Times New Roman" w:cs="Times New Roman"/>
          <w:color w:val="FF0000"/>
          <w:sz w:val="24"/>
          <w:szCs w:val="24"/>
          <w:u w:val="single"/>
        </w:rPr>
        <w:t>Esperamos que la inflación medida por el IPCA de la zona euro sea positiva en enero (+0,1% interanual), algo antes de lo que anticipamos anteriormente. La recuperación esperada se explica en gran medida por los aumentos d</w:t>
      </w:r>
      <w:r w:rsidR="001B060F" w:rsidRPr="001B060F">
        <w:rPr>
          <w:rFonts w:ascii="Times New Roman" w:hAnsi="Times New Roman" w:cs="Times New Roman"/>
          <w:color w:val="FF0000"/>
          <w:sz w:val="24"/>
          <w:szCs w:val="24"/>
          <w:u w:val="single"/>
        </w:rPr>
        <w:t>e precios en Alemania y Francia”</w:t>
      </w:r>
      <w:r w:rsidRPr="001B060F">
        <w:rPr>
          <w:rFonts w:ascii="Times New Roman" w:hAnsi="Times New Roman" w:cs="Times New Roman"/>
          <w:color w:val="FF0000"/>
          <w:sz w:val="24"/>
          <w:szCs w:val="24"/>
          <w:u w:val="single"/>
        </w:rPr>
        <w:t>, señalan los expertos del banco suizo.</w:t>
      </w:r>
    </w:p>
    <w:p w:rsidR="00F001EE" w:rsidRPr="00677792" w:rsidRDefault="00F001EE" w:rsidP="00FA4DA9">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En total, el Bundesbank estima que estas medidas del paquete climático podrían impulsar la inflación general en 0,3</w:t>
      </w:r>
      <w:r w:rsidR="001B060F">
        <w:rPr>
          <w:rFonts w:ascii="Times New Roman" w:hAnsi="Times New Roman" w:cs="Times New Roman"/>
          <w:sz w:val="24"/>
          <w:szCs w:val="24"/>
        </w:rPr>
        <w:t xml:space="preserve"> puntos porcentuales en 2021. “</w:t>
      </w:r>
      <w:r w:rsidRPr="00677792">
        <w:rPr>
          <w:rFonts w:ascii="Times New Roman" w:hAnsi="Times New Roman" w:cs="Times New Roman"/>
          <w:sz w:val="24"/>
          <w:szCs w:val="24"/>
        </w:rPr>
        <w:t>Por lo tanto, un tema para el que los mercados deben estar preparados es el enfoque en Alemania, ya que no solo está muy por delante de los demás países de la zona del euro a la hora de amortiguar la crisis, también está siendo una economía que se percibe como capaz de generar tasas de inflación mucho más altas. En 2022, algunos de los factores temporales que impulsan la inflación alemana se desvanecerán, pero las percepciones sobre un aumento de la inflación en el corazón de la zona del euro podrían mantenerse y proba</w:t>
      </w:r>
      <w:r w:rsidR="001B060F">
        <w:rPr>
          <w:rFonts w:ascii="Times New Roman" w:hAnsi="Times New Roman" w:cs="Times New Roman"/>
          <w:sz w:val="24"/>
          <w:szCs w:val="24"/>
        </w:rPr>
        <w:t>blemente crear cierta confusión”</w:t>
      </w:r>
      <w:r w:rsidRPr="00677792">
        <w:rPr>
          <w:rFonts w:ascii="Times New Roman" w:hAnsi="Times New Roman" w:cs="Times New Roman"/>
          <w:sz w:val="24"/>
          <w:szCs w:val="24"/>
        </w:rPr>
        <w:t>, reconoce el experto de Jeff</w:t>
      </w:r>
      <w:r>
        <w:rPr>
          <w:rFonts w:ascii="Times New Roman" w:hAnsi="Times New Roman" w:cs="Times New Roman"/>
          <w:sz w:val="24"/>
          <w:szCs w:val="24"/>
        </w:rPr>
        <w:t>eries.</w:t>
      </w:r>
    </w:p>
    <w:p w:rsidR="00F001EE" w:rsidRPr="00677792" w:rsidRDefault="00F001EE" w:rsidP="00FA4DA9">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La importancia que todavía tiene el petróleo</w:t>
      </w:r>
    </w:p>
    <w:p w:rsidR="00F001EE" w:rsidRPr="001B060F" w:rsidRDefault="00F001EE" w:rsidP="00FA4DA9">
      <w:pPr>
        <w:spacing w:line="240" w:lineRule="auto"/>
        <w:jc w:val="both"/>
        <w:rPr>
          <w:rFonts w:ascii="Times New Roman" w:hAnsi="Times New Roman" w:cs="Times New Roman"/>
          <w:sz w:val="24"/>
          <w:szCs w:val="24"/>
          <w:u w:val="single"/>
        </w:rPr>
      </w:pPr>
      <w:r w:rsidRPr="00677792">
        <w:rPr>
          <w:rFonts w:ascii="Times New Roman" w:hAnsi="Times New Roman" w:cs="Times New Roman"/>
          <w:sz w:val="24"/>
          <w:szCs w:val="24"/>
        </w:rPr>
        <w:t xml:space="preserve">A la cuestión alemana, que al final tiene una influencia enorme sobre la zona euro, hay que sumarle la energía. </w:t>
      </w:r>
      <w:r w:rsidRPr="001B060F">
        <w:rPr>
          <w:rFonts w:ascii="Times New Roman" w:hAnsi="Times New Roman" w:cs="Times New Roman"/>
          <w:sz w:val="24"/>
          <w:szCs w:val="24"/>
          <w:u w:val="single"/>
        </w:rPr>
        <w:t xml:space="preserve">A partir de marzo, si el petróleo sigue cotizando por encima de los 55 </w:t>
      </w:r>
      <w:r w:rsidRPr="001B060F">
        <w:rPr>
          <w:rFonts w:ascii="Times New Roman" w:hAnsi="Times New Roman" w:cs="Times New Roman"/>
          <w:sz w:val="24"/>
          <w:szCs w:val="24"/>
          <w:u w:val="single"/>
        </w:rPr>
        <w:lastRenderedPageBreak/>
        <w:t>dólares, los precios energéticos empezarán a mostrar una contribución muy positiva sobre la inflación, pres</w:t>
      </w:r>
      <w:r w:rsidR="001B060F" w:rsidRPr="001B060F">
        <w:rPr>
          <w:rFonts w:ascii="Times New Roman" w:hAnsi="Times New Roman" w:cs="Times New Roman"/>
          <w:sz w:val="24"/>
          <w:szCs w:val="24"/>
          <w:u w:val="single"/>
        </w:rPr>
        <w:t>ionando al alza el IPC general.</w:t>
      </w:r>
    </w:p>
    <w:p w:rsidR="00F001EE" w:rsidRPr="001B060F" w:rsidRDefault="00F001EE" w:rsidP="00FA4DA9">
      <w:pPr>
        <w:spacing w:line="240" w:lineRule="auto"/>
        <w:jc w:val="both"/>
        <w:rPr>
          <w:rFonts w:ascii="Times New Roman" w:hAnsi="Times New Roman" w:cs="Times New Roman"/>
          <w:color w:val="FF0000"/>
          <w:sz w:val="24"/>
          <w:szCs w:val="24"/>
          <w:u w:val="single"/>
        </w:rPr>
      </w:pPr>
      <w:r w:rsidRPr="001B060F">
        <w:rPr>
          <w:rFonts w:ascii="Times New Roman" w:hAnsi="Times New Roman" w:cs="Times New Roman"/>
          <w:color w:val="FF0000"/>
          <w:sz w:val="24"/>
          <w:szCs w:val="24"/>
          <w:u w:val="single"/>
        </w:rPr>
        <w:t>Las fluctuaciones del precio del barril de petróleo Brent son clave para entender el movimiento de los precios. Un incremento de 10 euros (unos 12 dólares) en el barril de referencia en Europa incrementa la inflación en unos 0,4 puntos porcentuales en la Eurozona, según cálculos del Banco de Francia. Esto llevará a que el crudo apoye con intensidad a la inflación de la zona euro durante gran parte del año.</w:t>
      </w:r>
    </w:p>
    <w:p w:rsidR="00F001EE" w:rsidRPr="00677792" w:rsidRDefault="00F001EE" w:rsidP="00FA4DA9">
      <w:pPr>
        <w:spacing w:line="240" w:lineRule="auto"/>
        <w:jc w:val="both"/>
        <w:rPr>
          <w:rFonts w:ascii="Times New Roman" w:hAnsi="Times New Roman" w:cs="Times New Roman"/>
          <w:sz w:val="24"/>
          <w:szCs w:val="24"/>
        </w:rPr>
      </w:pPr>
      <w:r>
        <w:rPr>
          <w:noProof/>
          <w:lang w:eastAsia="es-ES"/>
        </w:rPr>
        <w:drawing>
          <wp:inline distT="0" distB="0" distL="0" distR="0" wp14:anchorId="13B6F293" wp14:editId="6C84B476">
            <wp:extent cx="5731510" cy="2778763"/>
            <wp:effectExtent l="0" t="0" r="2540" b="2540"/>
            <wp:docPr id="44" name="Imagen 44" descr="https://s03.s3c.es/imag/_v0/769x373/6/e/7/petroleo-inflacion-europa-b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769x373/6/e/7/petroleo-inflacion-europa-bce.jpg"/>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5731510" cy="2778763"/>
                    </a:xfrm>
                    <a:prstGeom prst="rect">
                      <a:avLst/>
                    </a:prstGeom>
                    <a:noFill/>
                    <a:ln>
                      <a:noFill/>
                    </a:ln>
                  </pic:spPr>
                </pic:pic>
              </a:graphicData>
            </a:graphic>
          </wp:inline>
        </w:drawing>
      </w:r>
    </w:p>
    <w:p w:rsidR="00F001EE" w:rsidRPr="00677792" w:rsidRDefault="00F001EE" w:rsidP="00FA4DA9">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El IPC de la zona euro guarda una estrecha relación con el petróleo Brent</w:t>
      </w:r>
    </w:p>
    <w:p w:rsidR="00F001EE" w:rsidRPr="00677792" w:rsidRDefault="00F001EE" w:rsidP="00FA4DA9">
      <w:pPr>
        <w:spacing w:line="240" w:lineRule="auto"/>
        <w:jc w:val="both"/>
        <w:rPr>
          <w:rFonts w:ascii="Times New Roman" w:hAnsi="Times New Roman" w:cs="Times New Roman"/>
          <w:sz w:val="24"/>
          <w:szCs w:val="24"/>
        </w:rPr>
      </w:pPr>
      <w:r w:rsidRPr="001B060F">
        <w:rPr>
          <w:rFonts w:ascii="Times New Roman" w:hAnsi="Times New Roman" w:cs="Times New Roman"/>
          <w:color w:val="FF0000"/>
          <w:sz w:val="24"/>
          <w:szCs w:val="24"/>
          <w:u w:val="single"/>
        </w:rPr>
        <w:t>Existe una importante relación entre los precios del barril de Brent y de la inflación general en la zona euro</w:t>
      </w:r>
      <w:r w:rsidRPr="00677792">
        <w:rPr>
          <w:rFonts w:ascii="Times New Roman" w:hAnsi="Times New Roman" w:cs="Times New Roman"/>
          <w:sz w:val="24"/>
          <w:szCs w:val="24"/>
        </w:rPr>
        <w:t>. La última vez que el euro coqueteó con la deflación (como estos últimos meses) ocurrió en 2015-2016, cuando el precio del petróleo se hundió con fuerza ante la imparable irrupción de la industria del fracking en EEUU, que llevó a Arabia Saudí a iniciar una guerra de precios bajos en el petróleo para expulsar a los firmas americanas menos rentables. En esta ocasión son más fuerzas las que han llevado la inflación a terreno negativo (una demanda deprimida, bajada del IVA en Alemania, salarios congelados...), pero el crudo ha vuelto a jugar un papel important</w:t>
      </w:r>
      <w:r>
        <w:rPr>
          <w:rFonts w:ascii="Times New Roman" w:hAnsi="Times New Roman" w:cs="Times New Roman"/>
          <w:sz w:val="24"/>
          <w:szCs w:val="24"/>
        </w:rPr>
        <w:t>e.</w:t>
      </w:r>
    </w:p>
    <w:p w:rsidR="00F001EE" w:rsidRPr="001B060F" w:rsidRDefault="00F001EE" w:rsidP="00FA4DA9">
      <w:pPr>
        <w:spacing w:line="240" w:lineRule="auto"/>
        <w:jc w:val="both"/>
        <w:rPr>
          <w:rFonts w:ascii="Times New Roman" w:hAnsi="Times New Roman" w:cs="Times New Roman"/>
          <w:color w:val="FF0000"/>
          <w:sz w:val="24"/>
          <w:szCs w:val="24"/>
          <w:u w:val="single"/>
        </w:rPr>
      </w:pPr>
      <w:r w:rsidRPr="001B060F">
        <w:rPr>
          <w:rFonts w:ascii="Times New Roman" w:hAnsi="Times New Roman" w:cs="Times New Roman"/>
          <w:color w:val="FF0000"/>
          <w:sz w:val="24"/>
          <w:szCs w:val="24"/>
          <w:u w:val="single"/>
        </w:rPr>
        <w:t>Con el petróleo por encima de 55 dólares, la llegada de la recuperación económica (allá por primavera-verano), más el alza del IVA alemán (se notará sobre todo en la segunda mitad del año), la inflación podría superar el 2% por un tiempo. Carsten Brzeski y Bert Colijn, economistas de ING, han ap</w:t>
      </w:r>
      <w:r w:rsidR="001B060F">
        <w:rPr>
          <w:rFonts w:ascii="Times New Roman" w:hAnsi="Times New Roman" w:cs="Times New Roman"/>
          <w:color w:val="FF0000"/>
          <w:sz w:val="24"/>
          <w:szCs w:val="24"/>
          <w:u w:val="single"/>
        </w:rPr>
        <w:t>odado a estos movimientos como “</w:t>
      </w:r>
      <w:r w:rsidRPr="001B060F">
        <w:rPr>
          <w:rFonts w:ascii="Times New Roman" w:hAnsi="Times New Roman" w:cs="Times New Roman"/>
          <w:color w:val="FF0000"/>
          <w:sz w:val="24"/>
          <w:szCs w:val="24"/>
          <w:u w:val="single"/>
        </w:rPr>
        <w:t>la gran r</w:t>
      </w:r>
      <w:r w:rsidR="001B060F">
        <w:rPr>
          <w:rFonts w:ascii="Times New Roman" w:hAnsi="Times New Roman" w:cs="Times New Roman"/>
          <w:color w:val="FF0000"/>
          <w:sz w:val="24"/>
          <w:szCs w:val="24"/>
          <w:u w:val="single"/>
        </w:rPr>
        <w:t>eestructuración de la inflación”</w:t>
      </w:r>
      <w:r w:rsidRPr="001B060F">
        <w:rPr>
          <w:rFonts w:ascii="Times New Roman" w:hAnsi="Times New Roman" w:cs="Times New Roman"/>
          <w:color w:val="FF0000"/>
          <w:sz w:val="24"/>
          <w:szCs w:val="24"/>
          <w:u w:val="single"/>
        </w:rPr>
        <w:t xml:space="preserve"> que viene en 2021. Desde el banco holandés aseguran que la inflación puede ser la gran sorpresa de este año.</w:t>
      </w:r>
    </w:p>
    <w:p w:rsidR="00F001EE" w:rsidRPr="001B060F" w:rsidRDefault="001B060F" w:rsidP="00FA4DA9">
      <w:pPr>
        <w:spacing w:line="240" w:lineRule="auto"/>
        <w:jc w:val="both"/>
        <w:rPr>
          <w:rFonts w:ascii="Times New Roman" w:hAnsi="Times New Roman" w:cs="Times New Roman"/>
          <w:color w:val="FF0000"/>
          <w:sz w:val="24"/>
          <w:szCs w:val="24"/>
          <w:u w:val="single"/>
        </w:rPr>
      </w:pPr>
      <w:r w:rsidRPr="001B060F">
        <w:rPr>
          <w:rFonts w:ascii="Times New Roman" w:hAnsi="Times New Roman" w:cs="Times New Roman"/>
          <w:color w:val="FF0000"/>
          <w:sz w:val="24"/>
          <w:szCs w:val="24"/>
          <w:u w:val="single"/>
        </w:rPr>
        <w:t>“</w:t>
      </w:r>
      <w:r w:rsidR="00F001EE" w:rsidRPr="001B060F">
        <w:rPr>
          <w:rFonts w:ascii="Times New Roman" w:hAnsi="Times New Roman" w:cs="Times New Roman"/>
          <w:color w:val="FF0000"/>
          <w:sz w:val="24"/>
          <w:szCs w:val="24"/>
          <w:u w:val="single"/>
        </w:rPr>
        <w:t>Si se producen varias lecturas de inflación sólidas a partir del segundo trimestre del año, algunos participantes del mercado financiero podrían ponerse nerviosos, recordando viejos temores de una inflación acelerada como resultado de políticas monetarias y fiscales laxas. O al menos, podrían preocuparse por un ajus</w:t>
      </w:r>
      <w:r w:rsidRPr="001B060F">
        <w:rPr>
          <w:rFonts w:ascii="Times New Roman" w:hAnsi="Times New Roman" w:cs="Times New Roman"/>
          <w:color w:val="FF0000"/>
          <w:sz w:val="24"/>
          <w:szCs w:val="24"/>
          <w:u w:val="single"/>
        </w:rPr>
        <w:t>te inesperado por parte del BCE”</w:t>
      </w:r>
      <w:r w:rsidR="00F001EE" w:rsidRPr="001B060F">
        <w:rPr>
          <w:rFonts w:ascii="Times New Roman" w:hAnsi="Times New Roman" w:cs="Times New Roman"/>
          <w:color w:val="FF0000"/>
          <w:sz w:val="24"/>
          <w:szCs w:val="24"/>
          <w:u w:val="single"/>
        </w:rPr>
        <w:t>, explican Carsten Brzeski y Bert Colijn.</w:t>
      </w:r>
    </w:p>
    <w:p w:rsidR="00F001EE" w:rsidRPr="001B060F" w:rsidRDefault="00F001EE" w:rsidP="00FA4DA9">
      <w:pPr>
        <w:spacing w:line="240" w:lineRule="auto"/>
        <w:jc w:val="both"/>
        <w:rPr>
          <w:rFonts w:ascii="Times New Roman" w:hAnsi="Times New Roman" w:cs="Times New Roman"/>
          <w:b/>
          <w:color w:val="FF0000"/>
          <w:sz w:val="24"/>
          <w:szCs w:val="24"/>
          <w:u w:val="single"/>
        </w:rPr>
      </w:pPr>
      <w:r w:rsidRPr="001B060F">
        <w:rPr>
          <w:rFonts w:ascii="Times New Roman" w:hAnsi="Times New Roman" w:cs="Times New Roman"/>
          <w:b/>
          <w:color w:val="FF0000"/>
          <w:sz w:val="24"/>
          <w:szCs w:val="24"/>
          <w:u w:val="single"/>
        </w:rPr>
        <w:t xml:space="preserve">Parece poco probable que el BCE vuelva a cometer un error de ese calado. Todavía está en el recuerdo de todos la subida de tipos que llevó a cabo el banco central en el año </w:t>
      </w:r>
      <w:r w:rsidRPr="001B060F">
        <w:rPr>
          <w:rFonts w:ascii="Times New Roman" w:hAnsi="Times New Roman" w:cs="Times New Roman"/>
          <w:b/>
          <w:color w:val="FF0000"/>
          <w:sz w:val="24"/>
          <w:szCs w:val="24"/>
          <w:u w:val="single"/>
        </w:rPr>
        <w:lastRenderedPageBreak/>
        <w:t>2011, cuando la inflación se encontraba por encima del 2% (el barril de crudo costaba más de 100 dólares), pero la economía de la zona euro se adentraba en una crisis de deuda soberana que estuvo a punto de destruir el área monetaria.</w:t>
      </w:r>
    </w:p>
    <w:p w:rsidR="00F001EE" w:rsidRPr="001B060F" w:rsidRDefault="00F001EE" w:rsidP="00FA4DA9">
      <w:pPr>
        <w:spacing w:line="240" w:lineRule="auto"/>
        <w:jc w:val="both"/>
        <w:rPr>
          <w:rFonts w:ascii="Times New Roman" w:hAnsi="Times New Roman" w:cs="Times New Roman"/>
          <w:b/>
          <w:color w:val="FF0000"/>
          <w:sz w:val="24"/>
          <w:szCs w:val="24"/>
          <w:u w:val="single"/>
        </w:rPr>
      </w:pPr>
      <w:r w:rsidRPr="001B060F">
        <w:rPr>
          <w:rFonts w:ascii="Times New Roman" w:hAnsi="Times New Roman" w:cs="Times New Roman"/>
          <w:b/>
          <w:color w:val="FF0000"/>
          <w:sz w:val="24"/>
          <w:szCs w:val="24"/>
          <w:u w:val="single"/>
        </w:rPr>
        <w:t>Aunque el BCE no comience a endurecer su política, las presiones llegarán. No sería la primera vez que ocurre algo similar. En 2017 y 2018, cuando la inflación en la zona euro superó el 2% por unas décimas durante unos meses se comenzó a poner fecha a la primera subida de tipos y a la reducción del balance del banco central. No obstante, en aquel momento la situación parecía más estable y existía cierta certidumbre sobre el crecimiento de la economía. Ahora, el BCE tiene que tener mucho cuidado, puesto que la deuda pública y privada se ha disparado, por lo que un movimiento que desencadene una subida tipos en el mercado puede ser letal para países y empresas.</w:t>
      </w:r>
    </w:p>
    <w:p w:rsidR="00F001EE" w:rsidRPr="007A5B07" w:rsidRDefault="00F001EE"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A5B07">
        <w:rPr>
          <w:rFonts w:ascii="Times New Roman" w:hAnsi="Times New Roman" w:cs="Times New Roman"/>
          <w:sz w:val="24"/>
          <w:szCs w:val="24"/>
          <w:u w:val="single"/>
        </w:rPr>
        <w:t>Los países del euro emitirán 1,2 billones de deuda en otro año de fuerte gasto</w:t>
      </w:r>
      <w:r>
        <w:rPr>
          <w:rFonts w:ascii="Times New Roman" w:hAnsi="Times New Roman" w:cs="Times New Roman"/>
          <w:sz w:val="24"/>
          <w:szCs w:val="24"/>
        </w:rPr>
        <w:t xml:space="preserve"> (Cinco Días - </w:t>
      </w:r>
      <w:r w:rsidRPr="007A5B07">
        <w:rPr>
          <w:rFonts w:ascii="Times New Roman" w:hAnsi="Times New Roman" w:cs="Times New Roman"/>
          <w:b/>
          <w:sz w:val="24"/>
          <w:szCs w:val="24"/>
        </w:rPr>
        <w:t>20/1/21</w:t>
      </w:r>
      <w:r>
        <w:rPr>
          <w:rFonts w:ascii="Times New Roman" w:hAnsi="Times New Roman" w:cs="Times New Roman"/>
          <w:sz w:val="24"/>
          <w:szCs w:val="24"/>
        </w:rPr>
        <w:t>)</w:t>
      </w:r>
    </w:p>
    <w:p w:rsidR="00F001EE" w:rsidRDefault="00F001EE"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7A5B07">
        <w:rPr>
          <w:rFonts w:ascii="Times New Roman" w:hAnsi="Times New Roman" w:cs="Times New Roman"/>
          <w:sz w:val="24"/>
          <w:szCs w:val="24"/>
        </w:rPr>
        <w:t>Nuria Salobral</w:t>
      </w:r>
      <w:r>
        <w:rPr>
          <w:rFonts w:ascii="Times New Roman" w:hAnsi="Times New Roman" w:cs="Times New Roman"/>
          <w:sz w:val="24"/>
          <w:szCs w:val="24"/>
        </w:rPr>
        <w:t>)</w:t>
      </w:r>
    </w:p>
    <w:p w:rsidR="00F001EE" w:rsidRPr="007A5B07" w:rsidRDefault="00F001EE" w:rsidP="00FA4DA9">
      <w:pPr>
        <w:spacing w:line="240" w:lineRule="auto"/>
        <w:jc w:val="both"/>
        <w:rPr>
          <w:rFonts w:ascii="Times New Roman" w:hAnsi="Times New Roman" w:cs="Times New Roman"/>
          <w:sz w:val="24"/>
          <w:szCs w:val="24"/>
        </w:rPr>
      </w:pPr>
      <w:r>
        <w:rPr>
          <w:noProof/>
          <w:lang w:eastAsia="es-ES"/>
        </w:rPr>
        <w:drawing>
          <wp:inline distT="0" distB="0" distL="0" distR="0" wp14:anchorId="3A0C0283" wp14:editId="79C927F0">
            <wp:extent cx="5731510" cy="3092286"/>
            <wp:effectExtent l="0" t="0" r="2540" b="0"/>
            <wp:docPr id="45" name="Imagen 45" descr="https://d500.epimg.net/descargables/2021/01/19/c0d4f50c9d6376e33534e904b0e1d1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500.epimg.net/descargables/2021/01/19/c0d4f50c9d6376e33534e904b0e1d1ed.png"/>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5731510" cy="3092286"/>
                    </a:xfrm>
                    <a:prstGeom prst="rect">
                      <a:avLst/>
                    </a:prstGeom>
                    <a:noFill/>
                    <a:ln>
                      <a:noFill/>
                    </a:ln>
                  </pic:spPr>
                </pic:pic>
              </a:graphicData>
            </a:graphic>
          </wp:inline>
        </w:drawing>
      </w:r>
    </w:p>
    <w:p w:rsidR="00F001EE" w:rsidRPr="007A5B07" w:rsidRDefault="00F001EE" w:rsidP="00FA4DA9">
      <w:pPr>
        <w:spacing w:line="240" w:lineRule="auto"/>
        <w:jc w:val="both"/>
        <w:rPr>
          <w:rFonts w:ascii="Times New Roman" w:hAnsi="Times New Roman" w:cs="Times New Roman"/>
          <w:sz w:val="24"/>
          <w:szCs w:val="24"/>
        </w:rPr>
      </w:pPr>
      <w:r w:rsidRPr="001B060F">
        <w:rPr>
          <w:rFonts w:ascii="Times New Roman" w:hAnsi="Times New Roman" w:cs="Times New Roman"/>
          <w:color w:val="FF0000"/>
          <w:sz w:val="24"/>
          <w:szCs w:val="24"/>
          <w:u w:val="single"/>
        </w:rPr>
        <w:t>El fuerte endeudamiento fue la opción obligada en 2020 para los Gobiernos de la zona euro para hacer frente a la pandemia en 2020 y lo volverá a ser en 2021</w:t>
      </w:r>
      <w:r w:rsidRPr="007A5B07">
        <w:rPr>
          <w:rFonts w:ascii="Times New Roman" w:hAnsi="Times New Roman" w:cs="Times New Roman"/>
          <w:sz w:val="24"/>
          <w:szCs w:val="24"/>
        </w:rPr>
        <w:t>. A pesar de que este año se prevé crecimiento económico y de que los déficit</w:t>
      </w:r>
      <w:r w:rsidR="001B060F">
        <w:rPr>
          <w:rFonts w:ascii="Times New Roman" w:hAnsi="Times New Roman" w:cs="Times New Roman"/>
          <w:sz w:val="24"/>
          <w:szCs w:val="24"/>
        </w:rPr>
        <w:t>s</w:t>
      </w:r>
      <w:r w:rsidRPr="007A5B07">
        <w:rPr>
          <w:rFonts w:ascii="Times New Roman" w:hAnsi="Times New Roman" w:cs="Times New Roman"/>
          <w:sz w:val="24"/>
          <w:szCs w:val="24"/>
        </w:rPr>
        <w:t xml:space="preserve"> públicos vayan a ser menores a los del año pasado, el volumen de emisión de deuda soberana en la zona euro de este ejercic</w:t>
      </w:r>
      <w:r>
        <w:rPr>
          <w:rFonts w:ascii="Times New Roman" w:hAnsi="Times New Roman" w:cs="Times New Roman"/>
          <w:sz w:val="24"/>
          <w:szCs w:val="24"/>
        </w:rPr>
        <w:t>io será muy similar al de 2020.</w:t>
      </w:r>
    </w:p>
    <w:p w:rsidR="00F001EE" w:rsidRPr="001B060F" w:rsidRDefault="00F001EE" w:rsidP="00FA4DA9">
      <w:pPr>
        <w:spacing w:line="240" w:lineRule="auto"/>
        <w:jc w:val="both"/>
        <w:rPr>
          <w:rFonts w:ascii="Times New Roman" w:hAnsi="Times New Roman" w:cs="Times New Roman"/>
          <w:b/>
          <w:color w:val="FF0000"/>
          <w:sz w:val="24"/>
          <w:szCs w:val="24"/>
          <w:u w:val="single"/>
        </w:rPr>
      </w:pPr>
      <w:r w:rsidRPr="001B060F">
        <w:rPr>
          <w:rFonts w:ascii="Times New Roman" w:hAnsi="Times New Roman" w:cs="Times New Roman"/>
          <w:b/>
          <w:color w:val="FF0000"/>
          <w:sz w:val="24"/>
          <w:szCs w:val="24"/>
          <w:u w:val="single"/>
        </w:rPr>
        <w:t>En Citi prevén un volumen de emisión bruta por 1,204 billones de euros, en línea con 2020 si bien la emisión neta de este año sería incluso superior dado el menor volumen de vencimientos previstos. En concreto, casi 660.000 millones de euros de nuevo endeudamiento, una cifra que en Société Générale rebajan a los 541.000 millones de euros, contando con el efecto de la financiación que obtendrán los Gobiernos del fondo europeo de recuperación.</w:t>
      </w:r>
    </w:p>
    <w:p w:rsidR="00F001EE" w:rsidRPr="007A5B07" w:rsidRDefault="00F001EE" w:rsidP="00FA4DA9">
      <w:pPr>
        <w:spacing w:line="240" w:lineRule="auto"/>
        <w:jc w:val="both"/>
        <w:rPr>
          <w:rFonts w:ascii="Times New Roman" w:hAnsi="Times New Roman" w:cs="Times New Roman"/>
          <w:sz w:val="24"/>
          <w:szCs w:val="24"/>
        </w:rPr>
      </w:pPr>
      <w:r w:rsidRPr="007A5B07">
        <w:rPr>
          <w:rFonts w:ascii="Times New Roman" w:hAnsi="Times New Roman" w:cs="Times New Roman"/>
          <w:sz w:val="24"/>
          <w:szCs w:val="24"/>
        </w:rPr>
        <w:t xml:space="preserve">Las previsiones de necesidades de financiación para este año son sin embargo conservadoras e incluyen por lo general la emisión de deuda por la totalidad de esas necesidades, a la espera </w:t>
      </w:r>
      <w:r w:rsidRPr="007A5B07">
        <w:rPr>
          <w:rFonts w:ascii="Times New Roman" w:hAnsi="Times New Roman" w:cs="Times New Roman"/>
          <w:sz w:val="24"/>
          <w:szCs w:val="24"/>
        </w:rPr>
        <w:lastRenderedPageBreak/>
        <w:t>aún de ver cómo será el calendario para el desembolso de los recursos europeos. Es el caso de España, que contempla una emisión neta de 100.000 millones de euros este año, cifra que Citi rebaja a los 72.000 millones de euros al incluir 11.300 millones del programa SURE de ayuda al desempleo y otros 27.000 millone</w:t>
      </w:r>
      <w:r>
        <w:rPr>
          <w:rFonts w:ascii="Times New Roman" w:hAnsi="Times New Roman" w:cs="Times New Roman"/>
          <w:sz w:val="24"/>
          <w:szCs w:val="24"/>
        </w:rPr>
        <w:t>s del fondo UE Next Generation.</w:t>
      </w:r>
    </w:p>
    <w:p w:rsidR="00F001EE" w:rsidRPr="007A5B07" w:rsidRDefault="00F001EE" w:rsidP="00FA4DA9">
      <w:pPr>
        <w:spacing w:line="240" w:lineRule="auto"/>
        <w:jc w:val="both"/>
        <w:rPr>
          <w:rFonts w:ascii="Times New Roman" w:hAnsi="Times New Roman" w:cs="Times New Roman"/>
          <w:sz w:val="24"/>
          <w:szCs w:val="24"/>
        </w:rPr>
      </w:pPr>
      <w:r w:rsidRPr="007A5B07">
        <w:rPr>
          <w:rFonts w:ascii="Times New Roman" w:hAnsi="Times New Roman" w:cs="Times New Roman"/>
          <w:sz w:val="24"/>
          <w:szCs w:val="24"/>
        </w:rPr>
        <w:t>El mayor endeudamiento en términos absolutos corresponderá a Alemania, con una emisión neta de deuda de 180.000 millones de euros, ya prevista por el ejecutivo de Angela Merkel. Le seguirá Francia, con 160.</w:t>
      </w:r>
      <w:r w:rsidR="001B060F">
        <w:rPr>
          <w:rFonts w:ascii="Times New Roman" w:hAnsi="Times New Roman" w:cs="Times New Roman"/>
          <w:sz w:val="24"/>
          <w:szCs w:val="24"/>
        </w:rPr>
        <w:t>000 millones de euros e Italia -</w:t>
      </w:r>
      <w:r w:rsidRPr="007A5B07">
        <w:rPr>
          <w:rFonts w:ascii="Times New Roman" w:hAnsi="Times New Roman" w:cs="Times New Roman"/>
          <w:sz w:val="24"/>
          <w:szCs w:val="24"/>
        </w:rPr>
        <w:t>el país más endeudado de la zona euro en relación a su</w:t>
      </w:r>
      <w:r w:rsidR="001B060F">
        <w:rPr>
          <w:rFonts w:ascii="Times New Roman" w:hAnsi="Times New Roman" w:cs="Times New Roman"/>
          <w:sz w:val="24"/>
          <w:szCs w:val="24"/>
        </w:rPr>
        <w:t xml:space="preserve"> PIB, solo por detrás de Grecia-</w:t>
      </w:r>
      <w:r w:rsidRPr="007A5B07">
        <w:rPr>
          <w:rFonts w:ascii="Times New Roman" w:hAnsi="Times New Roman" w:cs="Times New Roman"/>
          <w:sz w:val="24"/>
          <w:szCs w:val="24"/>
        </w:rPr>
        <w:t>, con 125.000 millones. Pero el Tesoro italiano será de nuevo este año el que más acuda a buscar financiación al mercado, con una emisión bruta de deuda por 335.000 millones de euros, de acuerd</w:t>
      </w:r>
      <w:r>
        <w:rPr>
          <w:rFonts w:ascii="Times New Roman" w:hAnsi="Times New Roman" w:cs="Times New Roman"/>
          <w:sz w:val="24"/>
          <w:szCs w:val="24"/>
        </w:rPr>
        <w:t>o con las estimaciones de Citi.</w:t>
      </w:r>
    </w:p>
    <w:p w:rsidR="00F001EE" w:rsidRPr="007A5B07" w:rsidRDefault="00F001EE" w:rsidP="00FA4DA9">
      <w:pPr>
        <w:spacing w:line="240" w:lineRule="auto"/>
        <w:jc w:val="both"/>
        <w:rPr>
          <w:rFonts w:ascii="Times New Roman" w:hAnsi="Times New Roman" w:cs="Times New Roman"/>
          <w:sz w:val="24"/>
          <w:szCs w:val="24"/>
        </w:rPr>
      </w:pPr>
      <w:r w:rsidRPr="007A5B07">
        <w:rPr>
          <w:rFonts w:ascii="Times New Roman" w:hAnsi="Times New Roman" w:cs="Times New Roman"/>
          <w:sz w:val="24"/>
          <w:szCs w:val="24"/>
        </w:rPr>
        <w:t>Los países del euro disfrutaron de tregua en los objetivos de consolidación fiscal en 2020, lo que dio vía libre a un endeudamiento masivo que ha estado sostenido en todo momento por el BCE con sus programas de compra de deuda. Esa tregua se mantendrá vigente también en 2021, en paralelo a la extensión del programa extraordinario de compras del BCE hasta marzo de 2022, lo que da cobertura para un amplio endeudamiento soberano en este año</w:t>
      </w:r>
      <w:r>
        <w:rPr>
          <w:rFonts w:ascii="Times New Roman" w:hAnsi="Times New Roman" w:cs="Times New Roman"/>
          <w:sz w:val="24"/>
          <w:szCs w:val="24"/>
        </w:rPr>
        <w:t>.</w:t>
      </w:r>
    </w:p>
    <w:p w:rsidR="00F001EE" w:rsidRPr="001B060F" w:rsidRDefault="00F001EE" w:rsidP="00FA4DA9">
      <w:pPr>
        <w:spacing w:line="240" w:lineRule="auto"/>
        <w:jc w:val="both"/>
        <w:rPr>
          <w:rFonts w:ascii="Times New Roman" w:hAnsi="Times New Roman" w:cs="Times New Roman"/>
          <w:b/>
          <w:color w:val="FF0000"/>
          <w:sz w:val="24"/>
          <w:szCs w:val="24"/>
          <w:u w:val="single"/>
        </w:rPr>
      </w:pPr>
      <w:r w:rsidRPr="001B060F">
        <w:rPr>
          <w:rFonts w:ascii="Times New Roman" w:hAnsi="Times New Roman" w:cs="Times New Roman"/>
          <w:b/>
          <w:color w:val="FF0000"/>
          <w:sz w:val="24"/>
          <w:szCs w:val="24"/>
          <w:u w:val="single"/>
        </w:rPr>
        <w:t>“Los países del euro han anunciado presupuestos expansivos para 2021 con un alto grado de inversión para sostener la recuperación”, señalan desde Moody’s, agencia que prevé un descenso en el déficit público al 6% de media en las grandes economías del euro, desde más del 9% en 2020.</w:t>
      </w:r>
    </w:p>
    <w:p w:rsidR="00F001EE" w:rsidRPr="001B060F" w:rsidRDefault="00F001EE" w:rsidP="00FA4DA9">
      <w:pPr>
        <w:spacing w:line="240" w:lineRule="auto"/>
        <w:jc w:val="both"/>
        <w:rPr>
          <w:rFonts w:ascii="Times New Roman" w:hAnsi="Times New Roman" w:cs="Times New Roman"/>
          <w:b/>
          <w:color w:val="FF0000"/>
          <w:sz w:val="24"/>
          <w:szCs w:val="24"/>
          <w:u w:val="single"/>
        </w:rPr>
      </w:pPr>
      <w:r w:rsidRPr="001B060F">
        <w:rPr>
          <w:rFonts w:ascii="Times New Roman" w:hAnsi="Times New Roman" w:cs="Times New Roman"/>
          <w:b/>
          <w:color w:val="FF0000"/>
          <w:sz w:val="24"/>
          <w:szCs w:val="24"/>
          <w:u w:val="single"/>
        </w:rPr>
        <w:t>En Goldman Sachs también apuntan a la política fiscal expansiva de 2021 en la zona euro, con una previsión de déficit que se ajustará en la línea de lo apuntado por Moody’s, desde el 9% al 6%. El inicio de año refuerza aún más la necesidad de continuar con el apoyo fiscal sobre la economía, ante la virulencia de la tercera ola del coronavirus y las restricciones a la movilidad que ha generado en toda Europa.</w:t>
      </w:r>
    </w:p>
    <w:p w:rsidR="00F001EE" w:rsidRPr="007A5B07" w:rsidRDefault="00F001EE" w:rsidP="00FA4DA9">
      <w:pPr>
        <w:spacing w:line="240" w:lineRule="auto"/>
        <w:jc w:val="both"/>
        <w:rPr>
          <w:rFonts w:ascii="Times New Roman" w:hAnsi="Times New Roman" w:cs="Times New Roman"/>
          <w:sz w:val="24"/>
          <w:szCs w:val="24"/>
        </w:rPr>
      </w:pPr>
      <w:r w:rsidRPr="007A5B07">
        <w:rPr>
          <w:rFonts w:ascii="Times New Roman" w:hAnsi="Times New Roman" w:cs="Times New Roman"/>
          <w:sz w:val="24"/>
          <w:szCs w:val="24"/>
        </w:rPr>
        <w:t>Goldman Sachs prevé de hecho que esta tercera ola cause una ligera contracción del PIB de la zona euro del 0,1% en el primer trimestre, si bien ha revisado al alza su previsión de retroceso del PIB en el cuarto trimestre de 2020, desde el 2,2% al 1%. El banco mantiene una previsión optimista para el alza del PIB de la zona euro del año, del 5,2%, por encima del consenso de mercado y del 3,9% que prevé el BCE.</w:t>
      </w:r>
    </w:p>
    <w:p w:rsidR="00F001EE" w:rsidRDefault="00F001EE" w:rsidP="00FA4DA9">
      <w:pPr>
        <w:spacing w:line="240" w:lineRule="auto"/>
        <w:jc w:val="both"/>
        <w:rPr>
          <w:rFonts w:ascii="Times New Roman" w:hAnsi="Times New Roman" w:cs="Times New Roman"/>
          <w:sz w:val="24"/>
          <w:szCs w:val="24"/>
        </w:rPr>
      </w:pPr>
      <w:r w:rsidRPr="007A5B07">
        <w:rPr>
          <w:rFonts w:ascii="Times New Roman" w:hAnsi="Times New Roman" w:cs="Times New Roman"/>
          <w:sz w:val="24"/>
          <w:szCs w:val="24"/>
        </w:rPr>
        <w:t>En cuanto al coste de financiación, y pese al enorme volumen de deuda por emitir, no será un problema gracias a las políticas de apoyo del BCE, según reconocen desde Moody’s.</w:t>
      </w:r>
    </w:p>
    <w:p w:rsidR="00F001EE" w:rsidRPr="004E3E29" w:rsidRDefault="00F001EE"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4017C">
        <w:rPr>
          <w:rFonts w:ascii="Times New Roman" w:hAnsi="Times New Roman" w:cs="Times New Roman"/>
          <w:sz w:val="24"/>
          <w:szCs w:val="24"/>
          <w:u w:val="single"/>
        </w:rPr>
        <w:t xml:space="preserve">Biden fía a un gasto sin precedentes para frenar el </w:t>
      </w:r>
      <w:r w:rsidR="004C20BF">
        <w:rPr>
          <w:rFonts w:ascii="Times New Roman" w:hAnsi="Times New Roman" w:cs="Times New Roman"/>
          <w:sz w:val="24"/>
          <w:szCs w:val="24"/>
          <w:u w:val="single"/>
        </w:rPr>
        <w:t>“</w:t>
      </w:r>
      <w:r w:rsidRPr="0064017C">
        <w:rPr>
          <w:rFonts w:ascii="Times New Roman" w:hAnsi="Times New Roman" w:cs="Times New Roman"/>
          <w:sz w:val="24"/>
          <w:szCs w:val="24"/>
          <w:u w:val="single"/>
        </w:rPr>
        <w:t>sorpasso</w:t>
      </w:r>
      <w:r w:rsidR="004C20BF">
        <w:rPr>
          <w:rFonts w:ascii="Times New Roman" w:hAnsi="Times New Roman" w:cs="Times New Roman"/>
          <w:sz w:val="24"/>
          <w:szCs w:val="24"/>
          <w:u w:val="single"/>
        </w:rPr>
        <w:t>”</w:t>
      </w:r>
      <w:r w:rsidRPr="0064017C">
        <w:rPr>
          <w:rFonts w:ascii="Times New Roman" w:hAnsi="Times New Roman" w:cs="Times New Roman"/>
          <w:sz w:val="24"/>
          <w:szCs w:val="24"/>
          <w:u w:val="single"/>
        </w:rPr>
        <w:t xml:space="preserve"> de China</w:t>
      </w:r>
      <w:r>
        <w:rPr>
          <w:rFonts w:ascii="Times New Roman" w:hAnsi="Times New Roman" w:cs="Times New Roman"/>
          <w:sz w:val="24"/>
          <w:szCs w:val="24"/>
        </w:rPr>
        <w:t xml:space="preserve"> (el Economista - </w:t>
      </w:r>
      <w:r w:rsidRPr="004E3E29">
        <w:rPr>
          <w:rFonts w:ascii="Times New Roman" w:hAnsi="Times New Roman" w:cs="Times New Roman"/>
          <w:b/>
          <w:sz w:val="24"/>
          <w:szCs w:val="24"/>
        </w:rPr>
        <w:t>19/1/21</w:t>
      </w:r>
      <w:r>
        <w:rPr>
          <w:rFonts w:ascii="Times New Roman" w:hAnsi="Times New Roman" w:cs="Times New Roman"/>
          <w:sz w:val="24"/>
          <w:szCs w:val="24"/>
        </w:rPr>
        <w:t>)</w:t>
      </w:r>
    </w:p>
    <w:p w:rsidR="00F001EE" w:rsidRPr="004E3E29" w:rsidRDefault="00F001EE"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00324F4A" w:rsidRPr="004E3E29">
        <w:rPr>
          <w:rFonts w:ascii="Times New Roman" w:hAnsi="Times New Roman" w:cs="Times New Roman"/>
          <w:sz w:val="24"/>
          <w:szCs w:val="24"/>
        </w:rPr>
        <w:t>José</w:t>
      </w:r>
      <w:r w:rsidRPr="004E3E29">
        <w:rPr>
          <w:rFonts w:ascii="Times New Roman" w:hAnsi="Times New Roman" w:cs="Times New Roman"/>
          <w:sz w:val="24"/>
          <w:szCs w:val="24"/>
        </w:rPr>
        <w:t xml:space="preserve"> Luis de Haro</w:t>
      </w:r>
      <w:r>
        <w:rPr>
          <w:rFonts w:ascii="Times New Roman" w:hAnsi="Times New Roman" w:cs="Times New Roman"/>
          <w:sz w:val="24"/>
          <w:szCs w:val="24"/>
        </w:rPr>
        <w:t>)</w:t>
      </w:r>
    </w:p>
    <w:p w:rsidR="00F001EE" w:rsidRPr="004E3E29" w:rsidRDefault="00F001EE" w:rsidP="00FA4DA9">
      <w:pPr>
        <w:spacing w:line="240" w:lineRule="auto"/>
        <w:jc w:val="both"/>
        <w:rPr>
          <w:rFonts w:ascii="Times New Roman" w:hAnsi="Times New Roman" w:cs="Times New Roman"/>
          <w:sz w:val="24"/>
          <w:szCs w:val="24"/>
        </w:rPr>
      </w:pPr>
      <w:r w:rsidRPr="004E3E29">
        <w:rPr>
          <w:rFonts w:ascii="Times New Roman" w:hAnsi="Times New Roman" w:cs="Times New Roman"/>
          <w:sz w:val="24"/>
          <w:szCs w:val="24"/>
        </w:rPr>
        <w:t>El presidente electo de Estados Unidos, Joe Biden, tomará hoy posesión de su cargo con una economía que se contrajo el año pasado al menos un 2,4% según las proyecciones que calcula la Reserva Federal. Un revés que contrasta con el crecimiento del 2,3% registrado por China, la única gran potencia</w:t>
      </w:r>
      <w:r>
        <w:rPr>
          <w:rFonts w:ascii="Times New Roman" w:hAnsi="Times New Roman" w:cs="Times New Roman"/>
          <w:sz w:val="24"/>
          <w:szCs w:val="24"/>
        </w:rPr>
        <w:t xml:space="preserve"> que despidió 2020 en positivo.</w:t>
      </w:r>
    </w:p>
    <w:p w:rsidR="00F001EE" w:rsidRPr="004E3E29" w:rsidRDefault="00F001EE" w:rsidP="00FA4DA9">
      <w:pPr>
        <w:spacing w:line="240" w:lineRule="auto"/>
        <w:jc w:val="both"/>
        <w:rPr>
          <w:rFonts w:ascii="Times New Roman" w:hAnsi="Times New Roman" w:cs="Times New Roman"/>
          <w:sz w:val="24"/>
          <w:szCs w:val="24"/>
        </w:rPr>
      </w:pPr>
      <w:r w:rsidRPr="004E3E29">
        <w:rPr>
          <w:rFonts w:ascii="Times New Roman" w:hAnsi="Times New Roman" w:cs="Times New Roman"/>
          <w:sz w:val="24"/>
          <w:szCs w:val="24"/>
        </w:rPr>
        <w:t xml:space="preserve">De hecho, el impacto de la pandemia ha intensificado la rivalidad entre ambos países, según indicó el martes un informe publicado por el Foro Económico Mundial (WEF, por sus siglas en inglés). Una carrera en la que se estima que el némesis de Washington conseguirá </w:t>
      </w:r>
      <w:r w:rsidRPr="004E3E29">
        <w:rPr>
          <w:rFonts w:ascii="Times New Roman" w:hAnsi="Times New Roman" w:cs="Times New Roman"/>
          <w:sz w:val="24"/>
          <w:szCs w:val="24"/>
        </w:rPr>
        <w:lastRenderedPageBreak/>
        <w:t>posicionarse como la principal economía del planeta tan pronto c</w:t>
      </w:r>
      <w:r>
        <w:rPr>
          <w:rFonts w:ascii="Times New Roman" w:hAnsi="Times New Roman" w:cs="Times New Roman"/>
          <w:sz w:val="24"/>
          <w:szCs w:val="24"/>
        </w:rPr>
        <w:t>omo en los próximos cinco años.</w:t>
      </w:r>
    </w:p>
    <w:p w:rsidR="00F001EE" w:rsidRPr="001B060F" w:rsidRDefault="00F001EE" w:rsidP="00FA4DA9">
      <w:pPr>
        <w:spacing w:line="240" w:lineRule="auto"/>
        <w:jc w:val="both"/>
        <w:rPr>
          <w:rFonts w:ascii="Times New Roman" w:hAnsi="Times New Roman" w:cs="Times New Roman"/>
          <w:color w:val="FF0000"/>
          <w:sz w:val="24"/>
          <w:szCs w:val="24"/>
          <w:u w:val="single"/>
        </w:rPr>
      </w:pPr>
      <w:r w:rsidRPr="001B060F">
        <w:rPr>
          <w:rFonts w:ascii="Times New Roman" w:hAnsi="Times New Roman" w:cs="Times New Roman"/>
          <w:color w:val="FF0000"/>
          <w:sz w:val="24"/>
          <w:szCs w:val="24"/>
          <w:u w:val="single"/>
        </w:rPr>
        <w:t>Desde Nomura ya habían estimado que la economía de China superaría a la de EEUU en 2030, pero el avance registrado el año pasado ha provocado que este banco acorte este plazo hasta 2028, tomando como referencia las proyecciones del Fondo Monetario Internacional. No obstante, si la apreciación de la divisa china continúa y el dólar pierde fuelle, el adelanto podría producirse tan pronto como en 2026.</w:t>
      </w:r>
    </w:p>
    <w:p w:rsidR="00F001EE" w:rsidRPr="001B060F" w:rsidRDefault="001B060F" w:rsidP="00FA4DA9">
      <w:pPr>
        <w:spacing w:line="240" w:lineRule="auto"/>
        <w:jc w:val="both"/>
        <w:rPr>
          <w:rFonts w:ascii="Times New Roman" w:hAnsi="Times New Roman" w:cs="Times New Roman"/>
          <w:b/>
          <w:color w:val="FF0000"/>
          <w:sz w:val="24"/>
          <w:szCs w:val="24"/>
          <w:u w:val="single"/>
        </w:rPr>
      </w:pPr>
      <w:r w:rsidRPr="001B060F">
        <w:rPr>
          <w:rFonts w:ascii="Times New Roman" w:hAnsi="Times New Roman" w:cs="Times New Roman"/>
          <w:b/>
          <w:color w:val="FF0000"/>
          <w:sz w:val="24"/>
          <w:szCs w:val="24"/>
          <w:u w:val="single"/>
        </w:rPr>
        <w:t>La pandemia “</w:t>
      </w:r>
      <w:r w:rsidR="00F001EE" w:rsidRPr="001B060F">
        <w:rPr>
          <w:rFonts w:ascii="Times New Roman" w:hAnsi="Times New Roman" w:cs="Times New Roman"/>
          <w:b/>
          <w:color w:val="FF0000"/>
          <w:sz w:val="24"/>
          <w:szCs w:val="24"/>
          <w:u w:val="single"/>
        </w:rPr>
        <w:t>asestó un golpe mucho más grande a la economí</w:t>
      </w:r>
      <w:r w:rsidRPr="001B060F">
        <w:rPr>
          <w:rFonts w:ascii="Times New Roman" w:hAnsi="Times New Roman" w:cs="Times New Roman"/>
          <w:b/>
          <w:color w:val="FF0000"/>
          <w:sz w:val="24"/>
          <w:szCs w:val="24"/>
          <w:u w:val="single"/>
        </w:rPr>
        <w:t>a estadounidense que a la china”</w:t>
      </w:r>
      <w:r w:rsidR="00F001EE" w:rsidRPr="001B060F">
        <w:rPr>
          <w:rFonts w:ascii="Times New Roman" w:hAnsi="Times New Roman" w:cs="Times New Roman"/>
          <w:b/>
          <w:color w:val="FF0000"/>
          <w:sz w:val="24"/>
          <w:szCs w:val="24"/>
          <w:u w:val="single"/>
        </w:rPr>
        <w:t>, según reza el inf</w:t>
      </w:r>
      <w:r w:rsidRPr="001B060F">
        <w:rPr>
          <w:rFonts w:ascii="Times New Roman" w:hAnsi="Times New Roman" w:cs="Times New Roman"/>
          <w:b/>
          <w:color w:val="FF0000"/>
          <w:sz w:val="24"/>
          <w:szCs w:val="24"/>
          <w:u w:val="single"/>
        </w:rPr>
        <w:t>orme de Nomura a sus clientes. “</w:t>
      </w:r>
      <w:r w:rsidR="00F001EE" w:rsidRPr="001B060F">
        <w:rPr>
          <w:rFonts w:ascii="Times New Roman" w:hAnsi="Times New Roman" w:cs="Times New Roman"/>
          <w:b/>
          <w:color w:val="FF0000"/>
          <w:sz w:val="24"/>
          <w:szCs w:val="24"/>
          <w:u w:val="single"/>
        </w:rPr>
        <w:t>El tiempo dirá, pero en nuestra opinión hay una alta probabilidad de que en 2026 China resurja como la may</w:t>
      </w:r>
      <w:r w:rsidRPr="001B060F">
        <w:rPr>
          <w:rFonts w:ascii="Times New Roman" w:hAnsi="Times New Roman" w:cs="Times New Roman"/>
          <w:b/>
          <w:color w:val="FF0000"/>
          <w:sz w:val="24"/>
          <w:szCs w:val="24"/>
          <w:u w:val="single"/>
        </w:rPr>
        <w:t>or economía del mundo”</w:t>
      </w:r>
      <w:r w:rsidR="00F001EE" w:rsidRPr="001B060F">
        <w:rPr>
          <w:rFonts w:ascii="Times New Roman" w:hAnsi="Times New Roman" w:cs="Times New Roman"/>
          <w:b/>
          <w:color w:val="FF0000"/>
          <w:sz w:val="24"/>
          <w:szCs w:val="24"/>
          <w:u w:val="single"/>
        </w:rPr>
        <w:t>, añaden.</w:t>
      </w:r>
    </w:p>
    <w:p w:rsidR="00F001EE" w:rsidRPr="001B060F" w:rsidRDefault="00F001EE" w:rsidP="00FA4DA9">
      <w:pPr>
        <w:spacing w:line="240" w:lineRule="auto"/>
        <w:jc w:val="both"/>
        <w:rPr>
          <w:rFonts w:ascii="Times New Roman" w:hAnsi="Times New Roman" w:cs="Times New Roman"/>
          <w:b/>
          <w:color w:val="FF0000"/>
          <w:sz w:val="24"/>
          <w:szCs w:val="24"/>
          <w:u w:val="single"/>
        </w:rPr>
      </w:pPr>
      <w:r w:rsidRPr="001B060F">
        <w:rPr>
          <w:rFonts w:ascii="Times New Roman" w:hAnsi="Times New Roman" w:cs="Times New Roman"/>
          <w:b/>
          <w:color w:val="FF0000"/>
          <w:sz w:val="24"/>
          <w:szCs w:val="24"/>
          <w:u w:val="single"/>
        </w:rPr>
        <w:t xml:space="preserve">Es por ello que Biden y su gabinete económico llegan dispuestos a instigar un gasto público sin </w:t>
      </w:r>
      <w:r w:rsidR="001B060F" w:rsidRPr="001B060F">
        <w:rPr>
          <w:rFonts w:ascii="Times New Roman" w:hAnsi="Times New Roman" w:cs="Times New Roman"/>
          <w:b/>
          <w:color w:val="FF0000"/>
          <w:sz w:val="24"/>
          <w:szCs w:val="24"/>
          <w:u w:val="single"/>
        </w:rPr>
        <w:t>precedentes, que no solo evite “</w:t>
      </w:r>
      <w:r w:rsidRPr="001B060F">
        <w:rPr>
          <w:rFonts w:ascii="Times New Roman" w:hAnsi="Times New Roman" w:cs="Times New Roman"/>
          <w:b/>
          <w:color w:val="FF0000"/>
          <w:sz w:val="24"/>
          <w:szCs w:val="24"/>
          <w:u w:val="single"/>
        </w:rPr>
        <w:t>un</w:t>
      </w:r>
      <w:r w:rsidR="001B060F" w:rsidRPr="001B060F">
        <w:rPr>
          <w:rFonts w:ascii="Times New Roman" w:hAnsi="Times New Roman" w:cs="Times New Roman"/>
          <w:b/>
          <w:color w:val="FF0000"/>
          <w:sz w:val="24"/>
          <w:szCs w:val="24"/>
          <w:u w:val="single"/>
        </w:rPr>
        <w:t>a recesión más larga y dolorosa”</w:t>
      </w:r>
      <w:r w:rsidRPr="001B060F">
        <w:rPr>
          <w:rFonts w:ascii="Times New Roman" w:hAnsi="Times New Roman" w:cs="Times New Roman"/>
          <w:b/>
          <w:color w:val="FF0000"/>
          <w:sz w:val="24"/>
          <w:szCs w:val="24"/>
          <w:u w:val="single"/>
        </w:rPr>
        <w:t xml:space="preserve"> como adelantó el martes Janet Yellen, nominada a secretaria del Tesoro, sino que frene el imparable avance del gigante asiático. La nueva Administración estadounidense aboga inmediatamente por una factura de gasto adicional por valor del 8,6% del PIB que se sumaría a los estímulos por más de 2 billones de dólares activados el pasado mes de marzo y la remesa de otros 900.000 millones de dólares adicionales autorizados a finales de diciembre.</w:t>
      </w:r>
    </w:p>
    <w:p w:rsidR="00F001EE" w:rsidRPr="001B060F" w:rsidRDefault="00F001EE" w:rsidP="00FA4DA9">
      <w:pPr>
        <w:spacing w:line="240" w:lineRule="auto"/>
        <w:jc w:val="both"/>
        <w:rPr>
          <w:rFonts w:ascii="Times New Roman" w:hAnsi="Times New Roman" w:cs="Times New Roman"/>
          <w:b/>
          <w:color w:val="FF0000"/>
          <w:sz w:val="24"/>
          <w:szCs w:val="24"/>
          <w:u w:val="single"/>
        </w:rPr>
      </w:pPr>
      <w:r w:rsidRPr="001B060F">
        <w:rPr>
          <w:rFonts w:ascii="Times New Roman" w:hAnsi="Times New Roman" w:cs="Times New Roman"/>
          <w:b/>
          <w:color w:val="FF0000"/>
          <w:sz w:val="24"/>
          <w:szCs w:val="24"/>
          <w:u w:val="single"/>
        </w:rPr>
        <w:t>Pero además del Plan de Rescate Americano desvelado la semana pasada, por valor de 1,9 billones de dólares, el demócrata presentará el próximo mes la segunda fase del mismo, orientado a la inversión en infraestructura y la transición energética que promete ascender hasta por los menos otros 2 billones de dólares.</w:t>
      </w:r>
    </w:p>
    <w:p w:rsidR="00F001EE" w:rsidRDefault="00F001EE" w:rsidP="00FA4DA9">
      <w:pPr>
        <w:spacing w:line="240" w:lineRule="auto"/>
        <w:jc w:val="both"/>
        <w:rPr>
          <w:rFonts w:ascii="Times New Roman" w:hAnsi="Times New Roman" w:cs="Times New Roman"/>
          <w:sz w:val="24"/>
          <w:szCs w:val="24"/>
        </w:rPr>
      </w:pPr>
      <w:r w:rsidRPr="004E3E29">
        <w:rPr>
          <w:rFonts w:ascii="Times New Roman" w:hAnsi="Times New Roman" w:cs="Times New Roman"/>
          <w:sz w:val="24"/>
          <w:szCs w:val="24"/>
        </w:rPr>
        <w:t>De momento, entre las próximas iniciativas que bara</w:t>
      </w:r>
      <w:r w:rsidR="001B060F">
        <w:rPr>
          <w:rFonts w:ascii="Times New Roman" w:hAnsi="Times New Roman" w:cs="Times New Roman"/>
          <w:sz w:val="24"/>
          <w:szCs w:val="24"/>
        </w:rPr>
        <w:t>ja Biden, quien busca instigar “</w:t>
      </w:r>
      <w:r w:rsidRPr="004E3E29">
        <w:rPr>
          <w:rFonts w:ascii="Times New Roman" w:hAnsi="Times New Roman" w:cs="Times New Roman"/>
          <w:sz w:val="24"/>
          <w:szCs w:val="24"/>
        </w:rPr>
        <w:t>la mayor movilización de inversiones públicas en infraestructuras e I+D desde la Segunda Guerra Mun</w:t>
      </w:r>
      <w:r w:rsidR="001B060F">
        <w:rPr>
          <w:rFonts w:ascii="Times New Roman" w:hAnsi="Times New Roman" w:cs="Times New Roman"/>
          <w:sz w:val="24"/>
          <w:szCs w:val="24"/>
        </w:rPr>
        <w:t>dial”</w:t>
      </w:r>
      <w:r w:rsidRPr="004E3E29">
        <w:rPr>
          <w:rFonts w:ascii="Times New Roman" w:hAnsi="Times New Roman" w:cs="Times New Roman"/>
          <w:sz w:val="24"/>
          <w:szCs w:val="24"/>
        </w:rPr>
        <w:t xml:space="preserve"> se quiere incluir una inversión de 40</w:t>
      </w:r>
      <w:r w:rsidR="001B060F">
        <w:rPr>
          <w:rFonts w:ascii="Times New Roman" w:hAnsi="Times New Roman" w:cs="Times New Roman"/>
          <w:sz w:val="24"/>
          <w:szCs w:val="24"/>
        </w:rPr>
        <w:t>0.000 millones de dólares para “</w:t>
      </w:r>
      <w:r w:rsidRPr="004E3E29">
        <w:rPr>
          <w:rFonts w:ascii="Times New Roman" w:hAnsi="Times New Roman" w:cs="Times New Roman"/>
          <w:sz w:val="24"/>
          <w:szCs w:val="24"/>
        </w:rPr>
        <w:t>comprar productos, ma</w:t>
      </w:r>
      <w:r w:rsidR="001B060F">
        <w:rPr>
          <w:rFonts w:ascii="Times New Roman" w:hAnsi="Times New Roman" w:cs="Times New Roman"/>
          <w:sz w:val="24"/>
          <w:szCs w:val="24"/>
        </w:rPr>
        <w:t>teriales y servicios americanos”.</w:t>
      </w:r>
    </w:p>
    <w:p w:rsidR="00F001EE" w:rsidRPr="004E3E29" w:rsidRDefault="00F001EE" w:rsidP="00FA4DA9">
      <w:pPr>
        <w:spacing w:line="240" w:lineRule="auto"/>
        <w:jc w:val="both"/>
        <w:rPr>
          <w:rFonts w:ascii="Times New Roman" w:hAnsi="Times New Roman" w:cs="Times New Roman"/>
          <w:sz w:val="24"/>
          <w:szCs w:val="24"/>
        </w:rPr>
      </w:pPr>
      <w:r w:rsidRPr="004E3E29">
        <w:rPr>
          <w:rFonts w:ascii="Times New Roman" w:hAnsi="Times New Roman" w:cs="Times New Roman"/>
          <w:sz w:val="24"/>
          <w:szCs w:val="24"/>
        </w:rPr>
        <w:t>Yellen, al rescate</w:t>
      </w:r>
    </w:p>
    <w:p w:rsidR="00F001EE" w:rsidRPr="004E3E29" w:rsidRDefault="00F001EE" w:rsidP="00FA4DA9">
      <w:pPr>
        <w:spacing w:line="240" w:lineRule="auto"/>
        <w:jc w:val="both"/>
        <w:rPr>
          <w:rFonts w:ascii="Times New Roman" w:hAnsi="Times New Roman" w:cs="Times New Roman"/>
          <w:sz w:val="24"/>
          <w:szCs w:val="24"/>
        </w:rPr>
      </w:pPr>
      <w:r w:rsidRPr="004E3E29">
        <w:rPr>
          <w:rFonts w:ascii="Times New Roman" w:hAnsi="Times New Roman" w:cs="Times New Roman"/>
          <w:sz w:val="24"/>
          <w:szCs w:val="24"/>
        </w:rPr>
        <w:t>En sus declaraciones ante el Comité Financiero del Senado, como parte de su proceso de confirmación, la expresidenta de la</w:t>
      </w:r>
      <w:r w:rsidR="001B060F">
        <w:rPr>
          <w:rFonts w:ascii="Times New Roman" w:hAnsi="Times New Roman" w:cs="Times New Roman"/>
          <w:sz w:val="24"/>
          <w:szCs w:val="24"/>
        </w:rPr>
        <w:t xml:space="preserve"> Reserva Federal reconoció que “</w:t>
      </w:r>
      <w:r w:rsidRPr="004E3E29">
        <w:rPr>
          <w:rFonts w:ascii="Times New Roman" w:hAnsi="Times New Roman" w:cs="Times New Roman"/>
          <w:sz w:val="24"/>
          <w:szCs w:val="24"/>
        </w:rPr>
        <w:t>EEUU debe en</w:t>
      </w:r>
      <w:r w:rsidR="001B060F">
        <w:rPr>
          <w:rFonts w:ascii="Times New Roman" w:hAnsi="Times New Roman" w:cs="Times New Roman"/>
          <w:sz w:val="24"/>
          <w:szCs w:val="24"/>
        </w:rPr>
        <w:t>frentarse a los abusos de China”</w:t>
      </w:r>
      <w:r w:rsidRPr="004E3E29">
        <w:rPr>
          <w:rFonts w:ascii="Times New Roman" w:hAnsi="Times New Roman" w:cs="Times New Roman"/>
          <w:sz w:val="24"/>
          <w:szCs w:val="24"/>
        </w:rPr>
        <w:t>, un reto para el que la Administración Bi</w:t>
      </w:r>
      <w:r>
        <w:rPr>
          <w:rFonts w:ascii="Times New Roman" w:hAnsi="Times New Roman" w:cs="Times New Roman"/>
          <w:sz w:val="24"/>
          <w:szCs w:val="24"/>
        </w:rPr>
        <w:t>den dice estar preparado.</w:t>
      </w:r>
    </w:p>
    <w:p w:rsidR="00F001EE" w:rsidRPr="004E3E29" w:rsidRDefault="00F001EE" w:rsidP="00FA4DA9">
      <w:pPr>
        <w:spacing w:line="240" w:lineRule="auto"/>
        <w:jc w:val="both"/>
        <w:rPr>
          <w:rFonts w:ascii="Times New Roman" w:hAnsi="Times New Roman" w:cs="Times New Roman"/>
          <w:sz w:val="24"/>
          <w:szCs w:val="24"/>
        </w:rPr>
      </w:pPr>
      <w:r w:rsidRPr="004E3E29">
        <w:rPr>
          <w:rFonts w:ascii="Times New Roman" w:hAnsi="Times New Roman" w:cs="Times New Roman"/>
          <w:sz w:val="24"/>
          <w:szCs w:val="24"/>
        </w:rPr>
        <w:t>En este sentido, Yellen criticó al gobierno chino por acciones que han sido ampliamente condenadas por los economistas y la comunidad internacional, incluyendo el dumping de productos baratos en los mercados extranjeros, los subsidios ilegales a las empresas nacionales, la imposición de barreras comerciales y el</w:t>
      </w:r>
      <w:r>
        <w:rPr>
          <w:rFonts w:ascii="Times New Roman" w:hAnsi="Times New Roman" w:cs="Times New Roman"/>
          <w:sz w:val="24"/>
          <w:szCs w:val="24"/>
        </w:rPr>
        <w:t xml:space="preserve"> robo de propiedad intelectual.</w:t>
      </w:r>
    </w:p>
    <w:p w:rsidR="00F001EE" w:rsidRPr="004E3E29" w:rsidRDefault="001B060F"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F001EE" w:rsidRPr="004E3E29">
        <w:rPr>
          <w:rFonts w:ascii="Times New Roman" w:hAnsi="Times New Roman" w:cs="Times New Roman"/>
          <w:sz w:val="24"/>
          <w:szCs w:val="24"/>
        </w:rPr>
        <w:t>Cuando las prácticas desleales tienen que ver con cosas como el robo de propiedad intelectual y la participación en transferencias de tecnología forzadas, o subsidios que proporcionan una ventaja tecnológica injusta, creo que deberíamos centrarnos directamente e</w:t>
      </w:r>
      <w:r>
        <w:rPr>
          <w:rFonts w:ascii="Times New Roman" w:hAnsi="Times New Roman" w:cs="Times New Roman"/>
          <w:sz w:val="24"/>
          <w:szCs w:val="24"/>
        </w:rPr>
        <w:t>n esas prácticas”</w:t>
      </w:r>
      <w:r w:rsidR="00F001EE" w:rsidRPr="004E3E29">
        <w:rPr>
          <w:rFonts w:ascii="Times New Roman" w:hAnsi="Times New Roman" w:cs="Times New Roman"/>
          <w:sz w:val="24"/>
          <w:szCs w:val="24"/>
        </w:rPr>
        <w:t>, aclaró.</w:t>
      </w:r>
    </w:p>
    <w:p w:rsidR="00F001EE" w:rsidRPr="004E3E29" w:rsidRDefault="00F001EE" w:rsidP="00FA4DA9">
      <w:pPr>
        <w:spacing w:line="240" w:lineRule="auto"/>
        <w:jc w:val="both"/>
        <w:rPr>
          <w:rFonts w:ascii="Times New Roman" w:hAnsi="Times New Roman" w:cs="Times New Roman"/>
          <w:sz w:val="24"/>
          <w:szCs w:val="24"/>
        </w:rPr>
      </w:pPr>
      <w:r w:rsidRPr="004E3E29">
        <w:rPr>
          <w:rFonts w:ascii="Times New Roman" w:hAnsi="Times New Roman" w:cs="Times New Roman"/>
          <w:sz w:val="24"/>
          <w:szCs w:val="24"/>
        </w:rPr>
        <w:t>La primera mujer que tomará las riendas del Departamento del Tesoro explicó que EEUU debe trabajar con sus aliados para plantar cara a Pekín, lo que difiere de la preferencia de Trump por las negociaciones unilaterales y las sanc</w:t>
      </w:r>
      <w:r w:rsidR="001B060F">
        <w:rPr>
          <w:rFonts w:ascii="Times New Roman" w:hAnsi="Times New Roman" w:cs="Times New Roman"/>
          <w:sz w:val="24"/>
          <w:szCs w:val="24"/>
        </w:rPr>
        <w:t>iones agresivas. “</w:t>
      </w:r>
      <w:r w:rsidRPr="004E3E29">
        <w:rPr>
          <w:rFonts w:ascii="Times New Roman" w:hAnsi="Times New Roman" w:cs="Times New Roman"/>
          <w:sz w:val="24"/>
          <w:szCs w:val="24"/>
        </w:rPr>
        <w:t xml:space="preserve">Creo que debemos tratar </w:t>
      </w:r>
      <w:r w:rsidRPr="004E3E29">
        <w:rPr>
          <w:rFonts w:ascii="Times New Roman" w:hAnsi="Times New Roman" w:cs="Times New Roman"/>
          <w:sz w:val="24"/>
          <w:szCs w:val="24"/>
        </w:rPr>
        <w:lastRenderedPageBreak/>
        <w:t>de abordar las prácticas comerciales injustas, y la mejor manera de hacerlo es trabajar con nuestros aliados en lugar de hac</w:t>
      </w:r>
      <w:r w:rsidR="001B060F">
        <w:rPr>
          <w:rFonts w:ascii="Times New Roman" w:hAnsi="Times New Roman" w:cs="Times New Roman"/>
          <w:sz w:val="24"/>
          <w:szCs w:val="24"/>
        </w:rPr>
        <w:t>erlo unilateralmente”</w:t>
      </w:r>
      <w:r>
        <w:rPr>
          <w:rFonts w:ascii="Times New Roman" w:hAnsi="Times New Roman" w:cs="Times New Roman"/>
          <w:sz w:val="24"/>
          <w:szCs w:val="24"/>
        </w:rPr>
        <w:t>, recalcó.</w:t>
      </w:r>
    </w:p>
    <w:p w:rsidR="00F001EE" w:rsidRPr="004E3E29" w:rsidRDefault="00F001EE" w:rsidP="00FA4DA9">
      <w:pPr>
        <w:spacing w:line="240" w:lineRule="auto"/>
        <w:jc w:val="both"/>
        <w:rPr>
          <w:rFonts w:ascii="Times New Roman" w:hAnsi="Times New Roman" w:cs="Times New Roman"/>
          <w:sz w:val="24"/>
          <w:szCs w:val="24"/>
        </w:rPr>
      </w:pPr>
      <w:r w:rsidRPr="004E3E29">
        <w:rPr>
          <w:rFonts w:ascii="Times New Roman" w:hAnsi="Times New Roman" w:cs="Times New Roman"/>
          <w:sz w:val="24"/>
          <w:szCs w:val="24"/>
        </w:rPr>
        <w:t>Es más, en su testimonio, la exfuncionaria del banco central estadounidense hizo un guiño a sus aliados europeos al indicar que las negociaciones sobre un impuesto digital global auspiciado bajo la Organización para la Cooperación y el Desarrollo Económico (OCDE) son importantes para que EEUU pueda recaudar impuestos de las empresas que han tras</w:t>
      </w:r>
      <w:r>
        <w:rPr>
          <w:rFonts w:ascii="Times New Roman" w:hAnsi="Times New Roman" w:cs="Times New Roman"/>
          <w:sz w:val="24"/>
          <w:szCs w:val="24"/>
        </w:rPr>
        <w:t>ladado sus sedes al extranjero.</w:t>
      </w:r>
    </w:p>
    <w:p w:rsidR="00F001EE" w:rsidRPr="004E3E29" w:rsidRDefault="001B060F"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F001EE" w:rsidRPr="004E3E29">
        <w:rPr>
          <w:rFonts w:ascii="Times New Roman" w:hAnsi="Times New Roman" w:cs="Times New Roman"/>
          <w:sz w:val="24"/>
          <w:szCs w:val="24"/>
        </w:rPr>
        <w:t>Nos permitiría recaudar una parte justa de las corporaciones, manteniendo al mismo tiempo la competitividad de nuestros negocios y disminuyendo los incentivos que las empresas estadounidenses tienen ahora para realizar activ</w:t>
      </w:r>
      <w:r>
        <w:rPr>
          <w:rFonts w:ascii="Times New Roman" w:hAnsi="Times New Roman" w:cs="Times New Roman"/>
          <w:sz w:val="24"/>
          <w:szCs w:val="24"/>
        </w:rPr>
        <w:t>idades en el extranjero”</w:t>
      </w:r>
      <w:r w:rsidR="00F001EE">
        <w:rPr>
          <w:rFonts w:ascii="Times New Roman" w:hAnsi="Times New Roman" w:cs="Times New Roman"/>
          <w:sz w:val="24"/>
          <w:szCs w:val="24"/>
        </w:rPr>
        <w:t>, dijo.</w:t>
      </w:r>
    </w:p>
    <w:p w:rsidR="00F001EE" w:rsidRPr="004E3E29" w:rsidRDefault="00F001EE" w:rsidP="00FA4DA9">
      <w:pPr>
        <w:spacing w:line="240" w:lineRule="auto"/>
        <w:jc w:val="both"/>
        <w:rPr>
          <w:rFonts w:ascii="Times New Roman" w:hAnsi="Times New Roman" w:cs="Times New Roman"/>
          <w:sz w:val="24"/>
          <w:szCs w:val="24"/>
        </w:rPr>
      </w:pPr>
      <w:r w:rsidRPr="004E3E29">
        <w:rPr>
          <w:rFonts w:ascii="Times New Roman" w:hAnsi="Times New Roman" w:cs="Times New Roman"/>
          <w:sz w:val="24"/>
          <w:szCs w:val="24"/>
        </w:rPr>
        <w:t>Precisamente, la próxima secretaria del Tesoro dejó entrever algunas de las iniciativas fiscales que garantizarán que los demócratas puedan justificar un desembolso a gran escala no solo avalado por el bajo coste de este apalancamiento. Entre ellas mencionó un impuesto de sociedades algo más alto y la necesidad de fiscalizar en algún momento las ganancias de capital. También dijo creer en un código t</w:t>
      </w:r>
      <w:r w:rsidR="001B060F">
        <w:rPr>
          <w:rFonts w:ascii="Times New Roman" w:hAnsi="Times New Roman" w:cs="Times New Roman"/>
          <w:sz w:val="24"/>
          <w:szCs w:val="24"/>
        </w:rPr>
        <w:t>ributario “justo y progresivo”</w:t>
      </w:r>
      <w:r>
        <w:rPr>
          <w:rFonts w:ascii="Times New Roman" w:hAnsi="Times New Roman" w:cs="Times New Roman"/>
          <w:sz w:val="24"/>
          <w:szCs w:val="24"/>
        </w:rPr>
        <w:t>.</w:t>
      </w:r>
    </w:p>
    <w:p w:rsidR="00F001EE" w:rsidRPr="004E3E29" w:rsidRDefault="00F001EE" w:rsidP="00FA4DA9">
      <w:pPr>
        <w:spacing w:line="240" w:lineRule="auto"/>
        <w:jc w:val="both"/>
        <w:rPr>
          <w:rFonts w:ascii="Times New Roman" w:hAnsi="Times New Roman" w:cs="Times New Roman"/>
          <w:sz w:val="24"/>
          <w:szCs w:val="24"/>
        </w:rPr>
      </w:pPr>
      <w:r w:rsidRPr="004E3E29">
        <w:rPr>
          <w:rFonts w:ascii="Times New Roman" w:hAnsi="Times New Roman" w:cs="Times New Roman"/>
          <w:sz w:val="24"/>
          <w:szCs w:val="24"/>
        </w:rPr>
        <w:t>Durante su campaña presidencial, Biden propuso aumentar el impuesto de sociedades hasta el 28% desde el 21% actual. No se espera que los cambios en el código tributario se materialicen inmediatamente dado que, en estos momentos, se quiere dar prioridad a calmar el impacto</w:t>
      </w:r>
      <w:r>
        <w:rPr>
          <w:rFonts w:ascii="Times New Roman" w:hAnsi="Times New Roman" w:cs="Times New Roman"/>
          <w:sz w:val="24"/>
          <w:szCs w:val="24"/>
        </w:rPr>
        <w:t xml:space="preserve"> de la pandemia en la economía.</w:t>
      </w:r>
    </w:p>
    <w:p w:rsidR="00F001EE" w:rsidRDefault="00675F68"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F001EE" w:rsidRPr="00D73BF1">
        <w:rPr>
          <w:rFonts w:ascii="Times New Roman" w:hAnsi="Times New Roman" w:cs="Times New Roman"/>
          <w:noProof/>
          <w:sz w:val="24"/>
          <w:szCs w:val="24"/>
          <w:lang w:eastAsia="es-ES"/>
        </w:rPr>
        <w:drawing>
          <wp:inline distT="0" distB="0" distL="0" distR="0" wp14:anchorId="350E25EA" wp14:editId="7AD14211">
            <wp:extent cx="3778250" cy="2540000"/>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2"/>
                    <a:stretch>
                      <a:fillRect/>
                    </a:stretch>
                  </pic:blipFill>
                  <pic:spPr>
                    <a:xfrm>
                      <a:off x="0" y="0"/>
                      <a:ext cx="3781953" cy="2542489"/>
                    </a:xfrm>
                    <a:prstGeom prst="rect">
                      <a:avLst/>
                    </a:prstGeom>
                  </pic:spPr>
                </pic:pic>
              </a:graphicData>
            </a:graphic>
          </wp:inline>
        </w:drawing>
      </w:r>
    </w:p>
    <w:p w:rsidR="00F001EE" w:rsidRPr="004609CD" w:rsidRDefault="00183D1F" w:rsidP="00FA4DA9">
      <w:pPr>
        <w:spacing w:line="240" w:lineRule="auto"/>
        <w:jc w:val="both"/>
        <w:rPr>
          <w:rFonts w:ascii="Times New Roman" w:hAnsi="Times New Roman" w:cs="Times New Roman"/>
          <w:sz w:val="24"/>
          <w:szCs w:val="24"/>
        </w:rPr>
      </w:pPr>
      <w:r w:rsidRPr="004609CD">
        <w:rPr>
          <w:rFonts w:ascii="Times New Roman" w:hAnsi="Times New Roman" w:cs="Times New Roman"/>
          <w:b/>
          <w:sz w:val="24"/>
          <w:szCs w:val="24"/>
        </w:rPr>
        <w:t>Nota (I)</w:t>
      </w:r>
      <w:r w:rsidRPr="004609CD">
        <w:rPr>
          <w:rFonts w:ascii="Times New Roman" w:hAnsi="Times New Roman" w:cs="Times New Roman"/>
          <w:sz w:val="24"/>
          <w:szCs w:val="24"/>
        </w:rPr>
        <w:t xml:space="preserve">: </w:t>
      </w:r>
      <w:r w:rsidR="00F001EE" w:rsidRPr="004609CD">
        <w:rPr>
          <w:rFonts w:ascii="Times New Roman" w:hAnsi="Times New Roman" w:cs="Times New Roman"/>
          <w:sz w:val="24"/>
          <w:szCs w:val="24"/>
        </w:rPr>
        <w:t>Los que piensan a lo grande…</w:t>
      </w:r>
    </w:p>
    <w:p w:rsidR="00F001EE" w:rsidRPr="004609CD" w:rsidRDefault="00F001EE" w:rsidP="00FA4DA9">
      <w:pPr>
        <w:spacing w:line="240" w:lineRule="auto"/>
        <w:jc w:val="both"/>
        <w:rPr>
          <w:rFonts w:ascii="Times New Roman" w:hAnsi="Times New Roman" w:cs="Times New Roman"/>
          <w:sz w:val="24"/>
          <w:szCs w:val="24"/>
        </w:rPr>
      </w:pPr>
      <w:r w:rsidRPr="004609CD">
        <w:rPr>
          <w:rFonts w:ascii="Times New Roman" w:hAnsi="Times New Roman" w:cs="Times New Roman"/>
          <w:sz w:val="24"/>
          <w:szCs w:val="24"/>
        </w:rPr>
        <w:t>“Con los tipos de interés en niveles históricamente bajos, lo más inteligente que podemos hacer es pensar a lo grande”. Es lo que dijo Janet Yellen en su reciente comparecencia ante el senado de EEUU (enero 2021). Solo le faltó decir “y el que venga detrás, que arree”.</w:t>
      </w:r>
    </w:p>
    <w:p w:rsidR="00F001EE" w:rsidRPr="004609CD" w:rsidRDefault="00F001EE" w:rsidP="00FA4DA9">
      <w:pPr>
        <w:spacing w:line="240" w:lineRule="auto"/>
        <w:jc w:val="both"/>
        <w:rPr>
          <w:rFonts w:ascii="Times New Roman" w:hAnsi="Times New Roman" w:cs="Times New Roman"/>
          <w:sz w:val="24"/>
          <w:szCs w:val="24"/>
        </w:rPr>
      </w:pPr>
      <w:r w:rsidRPr="004609CD">
        <w:rPr>
          <w:rFonts w:ascii="Times New Roman" w:hAnsi="Times New Roman" w:cs="Times New Roman"/>
          <w:sz w:val="24"/>
          <w:szCs w:val="24"/>
        </w:rPr>
        <w:t xml:space="preserve">Es solo una constatación (aunque podría ser una crítica): la estrategia para compensar las consecuencias económicas de confinamientos y limitaciones de la movilidad se puede definir de forma muy breve, muy poco técnica, pero muy clara: fabrico dinero en grandes cantidades, lo pido también prestado por si acaso, para que “no falte de nada”, y el que venga detrás, que arree. Porque en eso consiste llevar el estímulo monetario hasta cotas desconocidas -sobre todo en el caso del Banco Central Europeo-, disparar la emisión de deuda a niveles estratosféricos y, con todo ese dinero,  intentar evitar que se destruya el tejido productivo y, </w:t>
      </w:r>
      <w:r w:rsidRPr="004609CD">
        <w:rPr>
          <w:rFonts w:ascii="Times New Roman" w:hAnsi="Times New Roman" w:cs="Times New Roman"/>
          <w:sz w:val="24"/>
          <w:szCs w:val="24"/>
        </w:rPr>
        <w:lastRenderedPageBreak/>
        <w:t>tan pronto sea posible, ponerlo a trabajar a base de inversión y gasto público para reanimar la economía.</w:t>
      </w:r>
    </w:p>
    <w:p w:rsidR="00F001EE" w:rsidRPr="004609CD" w:rsidRDefault="00F001EE" w:rsidP="00FA4DA9">
      <w:pPr>
        <w:spacing w:line="240" w:lineRule="auto"/>
        <w:jc w:val="both"/>
        <w:rPr>
          <w:rFonts w:ascii="Times New Roman" w:hAnsi="Times New Roman" w:cs="Times New Roman"/>
          <w:sz w:val="24"/>
          <w:szCs w:val="24"/>
        </w:rPr>
      </w:pPr>
      <w:r w:rsidRPr="004609CD">
        <w:rPr>
          <w:rFonts w:ascii="Times New Roman" w:hAnsi="Times New Roman" w:cs="Times New Roman"/>
          <w:sz w:val="24"/>
          <w:szCs w:val="24"/>
        </w:rPr>
        <w:t>Tal vez en el caso europeo habría sido de agradecer que esa estrategia hubiera estado dirigida a apoyar a las empresas -especialmente a las PYME-, fomentar la innovación y eliminar la burocracia y los excesos regulatorios que provocan la famosa “euro esclerosis”, en lugar de promover planes quinquenales de corte soviético, que van a generar corrupción y donde mucho dinero se va a perder en gasto político. Pero en términos generales está claro que una vez que se ha decidido cerrar la economía se tiene que buscar alguna solución para que la máquina pueda volver a funcionar a pleno rendimiento.</w:t>
      </w:r>
    </w:p>
    <w:p w:rsidR="00F001EE" w:rsidRPr="004609CD" w:rsidRDefault="00F001EE" w:rsidP="00FA4DA9">
      <w:pPr>
        <w:spacing w:line="240" w:lineRule="auto"/>
        <w:jc w:val="both"/>
        <w:rPr>
          <w:rFonts w:ascii="Times New Roman" w:hAnsi="Times New Roman" w:cs="Times New Roman"/>
          <w:sz w:val="24"/>
          <w:szCs w:val="24"/>
        </w:rPr>
      </w:pPr>
      <w:r w:rsidRPr="004609CD">
        <w:rPr>
          <w:rFonts w:ascii="Times New Roman" w:hAnsi="Times New Roman" w:cs="Times New Roman"/>
          <w:sz w:val="24"/>
          <w:szCs w:val="24"/>
        </w:rPr>
        <w:t>De lo que no hay duda es que la estrategia de “me gasto lo que tengo y lo que no y el que venga detrás que arree” es muy buena para las bolsas y muy mala para “el que viene detrás”.</w:t>
      </w:r>
    </w:p>
    <w:p w:rsidR="00F001EE" w:rsidRPr="004609CD" w:rsidRDefault="00F001EE" w:rsidP="00FA4DA9">
      <w:pPr>
        <w:spacing w:line="240" w:lineRule="auto"/>
        <w:jc w:val="both"/>
        <w:rPr>
          <w:rFonts w:ascii="Times New Roman" w:hAnsi="Times New Roman" w:cs="Times New Roman"/>
          <w:sz w:val="24"/>
          <w:szCs w:val="24"/>
        </w:rPr>
      </w:pPr>
      <w:r w:rsidRPr="004609CD">
        <w:rPr>
          <w:rFonts w:ascii="Times New Roman" w:hAnsi="Times New Roman" w:cs="Times New Roman"/>
          <w:sz w:val="24"/>
          <w:szCs w:val="24"/>
        </w:rPr>
        <w:t>Yellen desde luego lo tiene claro: con los tipos de interés en niveles históricamente bajos y siendo el país con mayor calidad crediticia del mundo y la divisa de referencia mundial, habría que ser tontos para no aprovechar la oportunidad y endeudarse hasta las cejas a un coste realmente bajo. Lo tiene tan claro que en su comparecencia no descartó la posibilidad de emitir bonos con vencimiento a 50 años.</w:t>
      </w:r>
    </w:p>
    <w:p w:rsidR="00F001EE" w:rsidRPr="004609CD" w:rsidRDefault="00F001EE" w:rsidP="00FA4DA9">
      <w:pPr>
        <w:spacing w:line="240" w:lineRule="auto"/>
        <w:jc w:val="both"/>
        <w:rPr>
          <w:rFonts w:ascii="Times New Roman" w:hAnsi="Times New Roman" w:cs="Times New Roman"/>
          <w:sz w:val="24"/>
          <w:szCs w:val="24"/>
        </w:rPr>
      </w:pPr>
      <w:r w:rsidRPr="004609CD">
        <w:rPr>
          <w:rFonts w:ascii="Times New Roman" w:hAnsi="Times New Roman" w:cs="Times New Roman"/>
          <w:sz w:val="24"/>
          <w:szCs w:val="24"/>
        </w:rPr>
        <w:t>Con la caja llena, barra libre para incrementar el endeudamiento y el partido demócrata controlando ambas cámaras, la fiesta del gasto y la inversión pública va a ser histórica. Si a eso añadimos el dinero emitido y que seguirá emitiendo durante una temporada la Reserva Federal, así como los programas de ayuda, tenemos no uno, sino varios “tsunamis” de liquidez llegando al sistema financiero y a la economía, un auténtico maná para las bolsas a corto plazo.</w:t>
      </w:r>
    </w:p>
    <w:p w:rsidR="00F001EE" w:rsidRPr="004609CD" w:rsidRDefault="00F001EE" w:rsidP="00FA4DA9">
      <w:pPr>
        <w:spacing w:line="240" w:lineRule="auto"/>
        <w:jc w:val="both"/>
        <w:rPr>
          <w:rFonts w:ascii="Times New Roman" w:hAnsi="Times New Roman" w:cs="Times New Roman"/>
          <w:sz w:val="24"/>
          <w:szCs w:val="24"/>
        </w:rPr>
      </w:pPr>
      <w:r w:rsidRPr="004609CD">
        <w:rPr>
          <w:rFonts w:ascii="Times New Roman" w:hAnsi="Times New Roman" w:cs="Times New Roman"/>
          <w:sz w:val="24"/>
          <w:szCs w:val="24"/>
        </w:rPr>
        <w:t>Un cometario de cabotaje (a modo de ejemplo):</w:t>
      </w:r>
    </w:p>
    <w:p w:rsidR="00F001EE" w:rsidRPr="004609CD" w:rsidRDefault="00F001EE" w:rsidP="00FA4DA9">
      <w:pPr>
        <w:spacing w:line="240" w:lineRule="auto"/>
        <w:jc w:val="both"/>
        <w:rPr>
          <w:rFonts w:ascii="Times New Roman" w:hAnsi="Times New Roman" w:cs="Times New Roman"/>
          <w:sz w:val="24"/>
          <w:szCs w:val="24"/>
        </w:rPr>
      </w:pPr>
      <w:r w:rsidRPr="004609CD">
        <w:rPr>
          <w:rFonts w:ascii="Times New Roman" w:hAnsi="Times New Roman" w:cs="Times New Roman"/>
          <w:sz w:val="24"/>
          <w:szCs w:val="24"/>
        </w:rPr>
        <w:t>Matthew Lynn, Director ejecutivo de Strategy Economics, publicaba en El Economista (21/1/21) un artículo titulado, “Razones para confiar en el rebote Biden”, donde decía:</w:t>
      </w:r>
    </w:p>
    <w:p w:rsidR="00F001EE" w:rsidRPr="004609CD" w:rsidRDefault="00F001EE" w:rsidP="00FA4DA9">
      <w:pPr>
        <w:spacing w:line="240" w:lineRule="auto"/>
        <w:jc w:val="both"/>
        <w:rPr>
          <w:rFonts w:ascii="Times New Roman" w:hAnsi="Times New Roman" w:cs="Times New Roman"/>
          <w:sz w:val="24"/>
          <w:szCs w:val="24"/>
        </w:rPr>
      </w:pPr>
      <w:r w:rsidRPr="004609CD">
        <w:rPr>
          <w:rFonts w:ascii="Times New Roman" w:hAnsi="Times New Roman" w:cs="Times New Roman"/>
          <w:sz w:val="24"/>
          <w:szCs w:val="24"/>
        </w:rPr>
        <w:t>“Ya le podemos poner nombre: el rebote bursátil de Biden. En medio de todo el alboroto de la toma de posesión, la rabieta de su antecesor en la Casa Blanca y las preocupaciones en torno a la seguridad en Washington, los mercados se preguntan, con razón, cuál será el impacto del nuevo presidente en los índices de bolsa.</w:t>
      </w:r>
    </w:p>
    <w:p w:rsidR="00F001EE" w:rsidRPr="004609CD" w:rsidRDefault="00F001EE" w:rsidP="00FA4DA9">
      <w:pPr>
        <w:spacing w:line="240" w:lineRule="auto"/>
        <w:jc w:val="both"/>
        <w:rPr>
          <w:rFonts w:ascii="Times New Roman" w:hAnsi="Times New Roman" w:cs="Times New Roman"/>
          <w:sz w:val="24"/>
          <w:szCs w:val="24"/>
        </w:rPr>
      </w:pPr>
      <w:r w:rsidRPr="004609CD">
        <w:rPr>
          <w:rFonts w:ascii="Times New Roman" w:hAnsi="Times New Roman" w:cs="Times New Roman"/>
          <w:sz w:val="24"/>
          <w:szCs w:val="24"/>
        </w:rPr>
        <w:t>¿La respuesta?: a los mercados les va a gustar Joe Biden. ¿Por qué?: porque los presidentes demócratas suelen ser buenos para las bolsas, al menos en su primer año; porque promete un estímulo masivo; porque la aceleración de la vacunación significa que Estados Unidos debería recuperarse de Covid-19 más rápido que la mayoría de sus principales rivales; y porque una Administración algo más tranquila debería consolidar las reformas de los últimos años. Sin duda, las acciones de empresas estadounidenses están caras según cualquier criterio histórico. Pero eso no significa que el rebote de Biden no pueda ser real y duradero…</w:t>
      </w:r>
    </w:p>
    <w:p w:rsidR="00F001EE" w:rsidRPr="004609CD" w:rsidRDefault="00F001EE" w:rsidP="00FA4DA9">
      <w:pPr>
        <w:spacing w:line="240" w:lineRule="auto"/>
        <w:jc w:val="both"/>
        <w:rPr>
          <w:rFonts w:ascii="Times New Roman" w:hAnsi="Times New Roman" w:cs="Times New Roman"/>
          <w:sz w:val="24"/>
          <w:szCs w:val="24"/>
        </w:rPr>
      </w:pPr>
      <w:r w:rsidRPr="004609CD">
        <w:rPr>
          <w:rFonts w:ascii="Times New Roman" w:hAnsi="Times New Roman" w:cs="Times New Roman"/>
          <w:sz w:val="24"/>
          <w:szCs w:val="24"/>
        </w:rPr>
        <w:t>Es cierto que las empresas estadounidenses están caras según cualquier criterio histórico. El desplome de marzo y abril fue, en retrospectiva, simplemente una interrupción en lo que se está convirtiendo en un mercado alcista épico. Pero eso no significa que no puedan encarecerse aún más a medida que se desarrolla el resto de 2021. El rebote de Biden no será tan dramático como el de Roosevelt. Pero no hay ninguna razón por la que no debería al menos igualar a Kennedy y Obama, y eso significa ganancias en el rango del 10 al 20%”.</w:t>
      </w:r>
    </w:p>
    <w:p w:rsidR="00F001EE" w:rsidRPr="004609CD" w:rsidRDefault="00F001EE" w:rsidP="00FA4DA9">
      <w:pPr>
        <w:spacing w:line="240" w:lineRule="auto"/>
        <w:jc w:val="both"/>
        <w:rPr>
          <w:rFonts w:ascii="Times New Roman" w:hAnsi="Times New Roman" w:cs="Times New Roman"/>
          <w:sz w:val="24"/>
          <w:szCs w:val="24"/>
        </w:rPr>
      </w:pPr>
      <w:r w:rsidRPr="004609CD">
        <w:rPr>
          <w:rFonts w:ascii="Times New Roman" w:hAnsi="Times New Roman" w:cs="Times New Roman"/>
          <w:b/>
          <w:sz w:val="24"/>
          <w:szCs w:val="24"/>
        </w:rPr>
        <w:lastRenderedPageBreak/>
        <w:t>Nota</w:t>
      </w:r>
      <w:r w:rsidR="00183D1F" w:rsidRPr="004609CD">
        <w:rPr>
          <w:rFonts w:ascii="Times New Roman" w:hAnsi="Times New Roman" w:cs="Times New Roman"/>
          <w:b/>
          <w:sz w:val="24"/>
          <w:szCs w:val="24"/>
        </w:rPr>
        <w:t xml:space="preserve"> (II)</w:t>
      </w:r>
      <w:r w:rsidRPr="004609CD">
        <w:rPr>
          <w:rFonts w:ascii="Times New Roman" w:hAnsi="Times New Roman" w:cs="Times New Roman"/>
          <w:sz w:val="24"/>
          <w:szCs w:val="24"/>
        </w:rPr>
        <w:t>: En realidad, las bolsas empezaron a descontar este escenario tan pronto se confirmó que Biden ganaba las elecciones y que los demócratas controlaban las cámaras. Pero queda recorrido. Falta ver cuál es el efecto económico y bursátil del momento en el que se junten los tres tsunamis: el del dinero de las ayudas, que ha quedado en manos del público, el que ha “fabricado” la FED -que en gran medida está en manos de bancos, y grandes fondos de inversión- y, finalmente, el de los planes de infraestructuras. Biden ya ha anunciado que su gobierno invertirá 1,3 billones de dólares.</w:t>
      </w:r>
    </w:p>
    <w:p w:rsidR="00F001EE" w:rsidRPr="004609CD" w:rsidRDefault="00F001EE" w:rsidP="00FA4DA9">
      <w:pPr>
        <w:spacing w:line="240" w:lineRule="auto"/>
        <w:jc w:val="both"/>
        <w:rPr>
          <w:rFonts w:ascii="Times New Roman" w:hAnsi="Times New Roman" w:cs="Times New Roman"/>
          <w:sz w:val="24"/>
          <w:szCs w:val="24"/>
        </w:rPr>
      </w:pPr>
      <w:r w:rsidRPr="004609CD">
        <w:rPr>
          <w:rFonts w:ascii="Times New Roman" w:hAnsi="Times New Roman" w:cs="Times New Roman"/>
          <w:sz w:val="24"/>
          <w:szCs w:val="24"/>
        </w:rPr>
        <w:t>No es de extrañar que el tipo de interés del bono americano haya pasado del 0,72% que cotizaba a inicios del cuarto trimestre del año 2020 al 1 % en la actualidad (21/1/21). Y eso pese a que la Reserva Federal sigue comprando bonos a mansalva. Lo que va a tener su gracia es cuando la Fed deje de comprar y el mercado de bonos -y no sólo el norteamericano- se dé cuenta que ni la oferta monetaria ni la deuda han sido nunca tan elevadas y que los planes de expansión dejan pálido al famoso Plan Marshall.</w:t>
      </w:r>
    </w:p>
    <w:p w:rsidR="00F001EE" w:rsidRPr="004609CD" w:rsidRDefault="00F001EE" w:rsidP="00FA4DA9">
      <w:pPr>
        <w:spacing w:line="240" w:lineRule="auto"/>
        <w:jc w:val="both"/>
        <w:rPr>
          <w:rFonts w:ascii="Times New Roman" w:hAnsi="Times New Roman" w:cs="Times New Roman"/>
          <w:sz w:val="24"/>
          <w:szCs w:val="24"/>
        </w:rPr>
      </w:pPr>
      <w:r w:rsidRPr="004609CD">
        <w:rPr>
          <w:rFonts w:ascii="Times New Roman" w:hAnsi="Times New Roman" w:cs="Times New Roman"/>
          <w:sz w:val="24"/>
          <w:szCs w:val="24"/>
        </w:rPr>
        <w:t xml:space="preserve">Por eso vuelvo a reiterar mi advertencia: si son rápidos, les gusta el riesgo, y están muy bien informados, pueden continuar participando la fiesta de la renta variable mientras dure, aunque deben ser muy precavidos para salir antes que empiece la estampida. ¿Podrán? </w:t>
      </w:r>
    </w:p>
    <w:p w:rsidR="00F001EE" w:rsidRPr="009B2691" w:rsidRDefault="00F001EE"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B2691">
        <w:rPr>
          <w:rFonts w:ascii="Times New Roman" w:hAnsi="Times New Roman" w:cs="Times New Roman"/>
          <w:sz w:val="24"/>
          <w:szCs w:val="24"/>
          <w:u w:val="single"/>
        </w:rPr>
        <w:t>El mundo feliz de los bancos centrales</w:t>
      </w:r>
      <w:r>
        <w:rPr>
          <w:rFonts w:ascii="Times New Roman" w:hAnsi="Times New Roman" w:cs="Times New Roman"/>
          <w:sz w:val="24"/>
          <w:szCs w:val="24"/>
        </w:rPr>
        <w:t xml:space="preserve"> (Vozpópuli - </w:t>
      </w:r>
      <w:r w:rsidRPr="009B2691">
        <w:rPr>
          <w:rFonts w:ascii="Times New Roman" w:hAnsi="Times New Roman" w:cs="Times New Roman"/>
          <w:b/>
          <w:sz w:val="24"/>
          <w:szCs w:val="24"/>
        </w:rPr>
        <w:t>22/1/21</w:t>
      </w:r>
      <w:r>
        <w:rPr>
          <w:rFonts w:ascii="Times New Roman" w:hAnsi="Times New Roman" w:cs="Times New Roman"/>
          <w:sz w:val="24"/>
          <w:szCs w:val="24"/>
        </w:rPr>
        <w:t>)</w:t>
      </w:r>
    </w:p>
    <w:p w:rsidR="00F001EE" w:rsidRPr="00183D1F" w:rsidRDefault="00F001EE" w:rsidP="00FA4DA9">
      <w:pPr>
        <w:spacing w:line="240" w:lineRule="auto"/>
        <w:jc w:val="both"/>
        <w:rPr>
          <w:rFonts w:ascii="Times New Roman" w:hAnsi="Times New Roman" w:cs="Times New Roman"/>
          <w:sz w:val="24"/>
          <w:szCs w:val="24"/>
        </w:rPr>
      </w:pPr>
      <w:r w:rsidRPr="00183D1F">
        <w:rPr>
          <w:rFonts w:ascii="Times New Roman" w:hAnsi="Times New Roman" w:cs="Times New Roman"/>
          <w:sz w:val="24"/>
          <w:szCs w:val="24"/>
        </w:rPr>
        <w:t>El año en los mercados financieros ha comenzado como acabó 2020: máximos históricos de la capitalización bursátil global y del Bitcoin, continuación de la tendencia alcista en las materias primas y mínimos históricos del Euribor. Es decir, una situación aparentemente ideal: el que tiene dinero invertido gana y el que tiene acceso a créditos los obtiene con un coste mínimo. Pongamos el ejemplo de Dinamarca: allí si alguien quiere una hipoteca a 20 años puede contratar un tipo fijo al 0%. Es decir, se endeuda sin pagar intereses. Mientras, la Bolsa danesa en 2020 subió un 29% recompensando con creces a los ahorradores que optaron por un activo de riesgo en lugar de tener su dinero en el banco allí que los tipos de interés son negativos. ¿Cuál es el problema entonces? Hay muchos, empezando con que los que no tienen ni dinero ni acceso a crédito, están peor que nunca y eso dispara la desigualdad; pero hagamos algo de Historia para ahondar en los demás:</w:t>
      </w:r>
    </w:p>
    <w:p w:rsidR="00F001EE" w:rsidRPr="00183D1F" w:rsidRDefault="00F001EE" w:rsidP="00FA4DA9">
      <w:pPr>
        <w:spacing w:line="240" w:lineRule="auto"/>
        <w:jc w:val="both"/>
        <w:rPr>
          <w:rFonts w:ascii="Times New Roman" w:hAnsi="Times New Roman" w:cs="Times New Roman"/>
          <w:sz w:val="24"/>
          <w:szCs w:val="24"/>
        </w:rPr>
      </w:pPr>
      <w:r w:rsidRPr="00183D1F">
        <w:rPr>
          <w:rFonts w:ascii="Times New Roman" w:hAnsi="Times New Roman" w:cs="Times New Roman"/>
          <w:sz w:val="24"/>
          <w:szCs w:val="24"/>
        </w:rPr>
        <w:t>Las monedas, tal y como las conocemos en la actualidad, existen desde hace casi tres mil años y no han variado demasiado ni de forma ni de aspecto pero sí se ha fortalecido su valor simbólico en relación al valor de sus componentes. Ya no son ni de oro ni de</w:t>
      </w:r>
      <w:r w:rsidR="00183D1F">
        <w:rPr>
          <w:rFonts w:ascii="Times New Roman" w:hAnsi="Times New Roman" w:cs="Times New Roman"/>
          <w:sz w:val="24"/>
          <w:szCs w:val="24"/>
        </w:rPr>
        <w:t xml:space="preserve"> plata sino de un metal barato -</w:t>
      </w:r>
      <w:r w:rsidRPr="00183D1F">
        <w:rPr>
          <w:rFonts w:ascii="Times New Roman" w:hAnsi="Times New Roman" w:cs="Times New Roman"/>
          <w:sz w:val="24"/>
          <w:szCs w:val="24"/>
        </w:rPr>
        <w:t>o papel en el caso de los billetes- e incluso hay quien aboga por hacerlas desaparecer como forma de representación del dinero. Aunque sirven para lo mismo que en su origen: favorecer los intercambios comerciales y como método de pago por servicios. Este cambio en el que la confianza sustituye casi en su totalidad al material del que está hecho el dinero fue muy anterior al fin del patrón oro.</w:t>
      </w:r>
    </w:p>
    <w:p w:rsidR="00F001EE" w:rsidRPr="00183D1F" w:rsidRDefault="00F001EE" w:rsidP="00FA4DA9">
      <w:pPr>
        <w:spacing w:line="240" w:lineRule="auto"/>
        <w:jc w:val="both"/>
        <w:rPr>
          <w:rFonts w:ascii="Times New Roman" w:hAnsi="Times New Roman" w:cs="Times New Roman"/>
          <w:sz w:val="24"/>
          <w:szCs w:val="24"/>
        </w:rPr>
      </w:pPr>
      <w:r w:rsidRPr="00183D1F">
        <w:rPr>
          <w:rFonts w:ascii="Times New Roman" w:hAnsi="Times New Roman" w:cs="Times New Roman"/>
          <w:sz w:val="24"/>
          <w:szCs w:val="24"/>
        </w:rPr>
        <w:t>Este sólo significó que los tenedores de billetes y monedas ya no los podían cambiar por el metal precioso pero creerse que eso era posible ya era, en sí mismo, un acto de fe hacia el emisor. Pero es cierto que a día de hoy, todo es confianza. El dinero sólo nos sirve porque creemos en la fortaleza de la economía del país que lo crea y que esa creencia es universal (porque de nada nos sirve una divisa que no sea reconocida por los demás) ya que nadie sabe si la cantidad de dinero emitido se corresponde con activos reales, es un acto de fe. Es por eso que en cuanto se duda, la moneda pierde valor a toda prisa como pasa por ejemplo en Argentina o Venezuela.</w:t>
      </w:r>
    </w:p>
    <w:p w:rsidR="00F001EE" w:rsidRPr="00183D1F" w:rsidRDefault="00F001EE" w:rsidP="00FA4DA9">
      <w:pPr>
        <w:spacing w:line="240" w:lineRule="auto"/>
        <w:jc w:val="both"/>
        <w:rPr>
          <w:rFonts w:ascii="Times New Roman" w:hAnsi="Times New Roman" w:cs="Times New Roman"/>
          <w:sz w:val="24"/>
          <w:szCs w:val="24"/>
        </w:rPr>
      </w:pPr>
      <w:r w:rsidRPr="00183D1F">
        <w:rPr>
          <w:rFonts w:ascii="Times New Roman" w:hAnsi="Times New Roman" w:cs="Times New Roman"/>
          <w:sz w:val="24"/>
          <w:szCs w:val="24"/>
        </w:rPr>
        <w:lastRenderedPageBreak/>
        <w:t>Y es que nunca deberíamos olvidar que el dinero, sea en forma de moneda, de billete, o de anotación en cuenta (que vemos en una pantalla), debe representar bienes reales y/o trabajos realizados, como en los tiempos del trueque, porque es tan sólo su sustituto. Hasta no hace demasiados años, la ortodoxia económica no discutía esto y lo que pasaba cuando llegaba una recesión típica es que se bajaban los tipos de interés para desincentivar el ahorro y aumentar el consumo y la inversión, y como mucho se disparaba el gasto público de los gobiernos temporalmente.</w:t>
      </w:r>
    </w:p>
    <w:p w:rsidR="00F001EE" w:rsidRPr="00183D1F" w:rsidRDefault="00F001EE" w:rsidP="00FA4DA9">
      <w:pPr>
        <w:spacing w:line="240" w:lineRule="auto"/>
        <w:jc w:val="both"/>
        <w:rPr>
          <w:rFonts w:ascii="Times New Roman" w:hAnsi="Times New Roman" w:cs="Times New Roman"/>
          <w:sz w:val="24"/>
          <w:szCs w:val="24"/>
        </w:rPr>
      </w:pPr>
      <w:r w:rsidRPr="00183D1F">
        <w:rPr>
          <w:rFonts w:ascii="Times New Roman" w:hAnsi="Times New Roman" w:cs="Times New Roman"/>
          <w:sz w:val="24"/>
          <w:szCs w:val="24"/>
        </w:rPr>
        <w:t>Sin embargo, cuando en 2009 la FED (al comprobar que ni las bajadas de tipos de interés ni el Plan Paulson -aprobado a finales de 2008 aún con la Administración Bush- de mayor gasto público, funcionaban), empezó con su primer programa de compra de deuda (Quantitative Easing) y alivió en poco tiempo la crisis financiera norteamericana sin disparar el IPC, la ortodoxia económica sufrió una mutación.</w:t>
      </w:r>
    </w:p>
    <w:p w:rsidR="00F001EE" w:rsidRDefault="00F001EE" w:rsidP="00FA4DA9">
      <w:pPr>
        <w:spacing w:line="240" w:lineRule="auto"/>
        <w:jc w:val="both"/>
        <w:rPr>
          <w:rFonts w:ascii="Times New Roman" w:hAnsi="Times New Roman" w:cs="Times New Roman"/>
          <w:sz w:val="24"/>
          <w:szCs w:val="24"/>
        </w:rPr>
      </w:pPr>
      <w:r w:rsidRPr="00183D1F">
        <w:rPr>
          <w:rFonts w:ascii="Times New Roman" w:hAnsi="Times New Roman" w:cs="Times New Roman"/>
          <w:sz w:val="24"/>
          <w:szCs w:val="24"/>
        </w:rPr>
        <w:t xml:space="preserve">Ya no era suficiente con las soluciones clásicas y empezaron a ver </w:t>
      </w:r>
      <w:r w:rsidR="00324F4A" w:rsidRPr="00183D1F">
        <w:rPr>
          <w:rFonts w:ascii="Times New Roman" w:hAnsi="Times New Roman" w:cs="Times New Roman"/>
          <w:sz w:val="24"/>
          <w:szCs w:val="24"/>
        </w:rPr>
        <w:t>cómo</w:t>
      </w:r>
      <w:r w:rsidRPr="00183D1F">
        <w:rPr>
          <w:rFonts w:ascii="Times New Roman" w:hAnsi="Times New Roman" w:cs="Times New Roman"/>
          <w:sz w:val="24"/>
          <w:szCs w:val="24"/>
        </w:rPr>
        <w:t xml:space="preserve"> correcto que un banco central comprara activos con un dinero que creaba de la nada, simplemente usando su propio prestigio como aval, ya que lo recuperaría cuando ese activo venciera. Mientras no hubiera un incumplimiento de pagos del emisor de dicho activo, parecía un buen sistema para otorgar liquidez a las entidades financieras que los tenían en cartera y se arriesgaban a una quiebra por no poder transformarlos en efectivo dada la enorme desconfianza que en ese momento existía en los mercados.</w:t>
      </w:r>
    </w:p>
    <w:p w:rsidR="00183D1F" w:rsidRPr="00183D1F" w:rsidRDefault="00183D1F" w:rsidP="00183D1F">
      <w:pPr>
        <w:spacing w:line="240" w:lineRule="auto"/>
        <w:jc w:val="both"/>
        <w:rPr>
          <w:rFonts w:ascii="Times New Roman" w:hAnsi="Times New Roman" w:cs="Times New Roman"/>
          <w:sz w:val="24"/>
          <w:szCs w:val="24"/>
        </w:rPr>
      </w:pPr>
      <w:r w:rsidRPr="00183D1F">
        <w:rPr>
          <w:rFonts w:ascii="Times New Roman" w:hAnsi="Times New Roman" w:cs="Times New Roman"/>
          <w:sz w:val="24"/>
          <w:szCs w:val="24"/>
        </w:rPr>
        <w:t>Por ejemplo: BCE compra un bono emitido por Portugal, o España, o Italia, o Grecia, a diez años a un banco que lo había adquirido con anterioridad, el banco recibe la liquidez de BCE, y BCE tiene un activo que, mientras Portugal, o España, o Italia, o Grecia, como emisor no quiebre, acabará abonando en su totalidad, y por tanto recuperará ese dinero reduciendo en ese momento -dentro de diez  años- el balance que había hinchado artificialmente al adquirirlo.</w:t>
      </w:r>
    </w:p>
    <w:p w:rsidR="00183D1F" w:rsidRPr="00183D1F" w:rsidRDefault="00183D1F" w:rsidP="00183D1F">
      <w:pPr>
        <w:spacing w:line="240" w:lineRule="auto"/>
        <w:jc w:val="both"/>
        <w:rPr>
          <w:rFonts w:ascii="Times New Roman" w:hAnsi="Times New Roman" w:cs="Times New Roman"/>
          <w:sz w:val="24"/>
          <w:szCs w:val="24"/>
        </w:rPr>
      </w:pPr>
      <w:r w:rsidRPr="00183D1F">
        <w:rPr>
          <w:rFonts w:ascii="Times New Roman" w:hAnsi="Times New Roman" w:cs="Times New Roman"/>
          <w:sz w:val="24"/>
          <w:szCs w:val="24"/>
        </w:rPr>
        <w:t>Es difícil no valorar positivamente aquel primer programa, centrado sobre todo en activos ligados al mercado hipotecario, el problema fue que una medida excepcional motivada por unas circunstancias muy especiales (que incluían la bancarrota de Lehman Brothers y el miedo a una crisis sistémica peor incluso que la de 1929) se convirtió en algo habitual.</w:t>
      </w:r>
    </w:p>
    <w:p w:rsidR="004609CD" w:rsidRPr="00183D1F" w:rsidRDefault="004609CD" w:rsidP="004609CD">
      <w:pPr>
        <w:spacing w:line="240" w:lineRule="auto"/>
        <w:jc w:val="both"/>
        <w:rPr>
          <w:rFonts w:ascii="Times New Roman" w:hAnsi="Times New Roman" w:cs="Times New Roman"/>
          <w:sz w:val="24"/>
          <w:szCs w:val="24"/>
        </w:rPr>
      </w:pPr>
      <w:r w:rsidRPr="00183D1F">
        <w:rPr>
          <w:rFonts w:ascii="Times New Roman" w:hAnsi="Times New Roman" w:cs="Times New Roman"/>
          <w:sz w:val="24"/>
          <w:szCs w:val="24"/>
        </w:rPr>
        <w:t>Ahora que los tipos de interés rondan el 0% e incluso están negativos, su movimiento ya no es la principal arma de política monetaria, es la compra de deuda. Los balances de todos los grandes bancos centrales del mundo están repletos no sólo de activos ilíquidos de entidades financieras -de emisores privados y públicos- también de los líquidos como la deuda gubernamental.</w:t>
      </w:r>
    </w:p>
    <w:p w:rsidR="004609CD" w:rsidRPr="00183D1F" w:rsidRDefault="004609CD" w:rsidP="004609CD">
      <w:pPr>
        <w:spacing w:line="240" w:lineRule="auto"/>
        <w:jc w:val="both"/>
        <w:rPr>
          <w:rFonts w:ascii="Times New Roman" w:hAnsi="Times New Roman" w:cs="Times New Roman"/>
          <w:sz w:val="24"/>
          <w:szCs w:val="24"/>
        </w:rPr>
      </w:pPr>
      <w:r w:rsidRPr="00183D1F">
        <w:rPr>
          <w:rFonts w:ascii="Times New Roman" w:hAnsi="Times New Roman" w:cs="Times New Roman"/>
          <w:sz w:val="24"/>
          <w:szCs w:val="24"/>
        </w:rPr>
        <w:t>Incluso el BCE se está saltando sus propias normas (tiene prohibido financiar a los estados) con la artimaña de no comprar directamente en las subastas y hacerlo en el mercado secundario, dando así liquidez a los que adquieren los bonos a los emisores, en lugar de al emisor directamente. Ya no es, como originalmente, un programa para dar liquidez a las entidades financieras puesto que ellas compran la deuda sobre todo para colocársela al BCE y hacer negocio con ella.</w:t>
      </w:r>
    </w:p>
    <w:p w:rsidR="00183D1F" w:rsidRPr="00183D1F" w:rsidRDefault="00183D1F" w:rsidP="00FA4DA9">
      <w:pPr>
        <w:spacing w:line="240" w:lineRule="auto"/>
        <w:jc w:val="both"/>
        <w:rPr>
          <w:rFonts w:ascii="Times New Roman" w:hAnsi="Times New Roman" w:cs="Times New Roman"/>
          <w:sz w:val="24"/>
          <w:szCs w:val="24"/>
        </w:rPr>
      </w:pPr>
    </w:p>
    <w:p w:rsidR="004C20BF" w:rsidRPr="00183D1F" w:rsidRDefault="004C20BF" w:rsidP="00FA4DA9">
      <w:pPr>
        <w:spacing w:line="240" w:lineRule="auto"/>
        <w:jc w:val="both"/>
        <w:rPr>
          <w:rFonts w:ascii="Times New Roman" w:hAnsi="Times New Roman" w:cs="Times New Roman"/>
          <w:sz w:val="24"/>
          <w:szCs w:val="24"/>
        </w:rPr>
      </w:pPr>
    </w:p>
    <w:p w:rsidR="004C20BF" w:rsidRPr="00504DE6" w:rsidRDefault="004C20BF" w:rsidP="00FA4DA9">
      <w:pPr>
        <w:spacing w:line="240" w:lineRule="auto"/>
        <w:jc w:val="both"/>
        <w:rPr>
          <w:rFonts w:ascii="Times New Roman" w:hAnsi="Times New Roman" w:cs="Times New Roman"/>
          <w:color w:val="FF0000"/>
          <w:sz w:val="24"/>
          <w:szCs w:val="24"/>
        </w:rPr>
      </w:pPr>
      <w:r>
        <w:rPr>
          <w:noProof/>
          <w:lang w:eastAsia="es-ES"/>
        </w:rPr>
        <w:lastRenderedPageBreak/>
        <w:drawing>
          <wp:inline distT="0" distB="0" distL="0" distR="0" wp14:anchorId="48E091FE" wp14:editId="6A4D9503">
            <wp:extent cx="5727700" cy="7588250"/>
            <wp:effectExtent l="0" t="0" r="6350" b="0"/>
            <wp:docPr id="109" name="Imagen 109" descr="Biden seduce a Wall Street con sus estímulos fisc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iden seduce a Wall Street con sus estímulos fiscales"/>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5731510" cy="7593298"/>
                    </a:xfrm>
                    <a:prstGeom prst="rect">
                      <a:avLst/>
                    </a:prstGeom>
                    <a:noFill/>
                    <a:ln>
                      <a:noFill/>
                    </a:ln>
                  </pic:spPr>
                </pic:pic>
              </a:graphicData>
            </a:graphic>
          </wp:inline>
        </w:drawing>
      </w:r>
    </w:p>
    <w:p w:rsidR="00F001EE" w:rsidRPr="00183D1F" w:rsidRDefault="00F001EE" w:rsidP="00FA4DA9">
      <w:pPr>
        <w:spacing w:line="240" w:lineRule="auto"/>
        <w:jc w:val="both"/>
        <w:rPr>
          <w:rFonts w:ascii="Times New Roman" w:hAnsi="Times New Roman" w:cs="Times New Roman"/>
          <w:sz w:val="24"/>
          <w:szCs w:val="24"/>
        </w:rPr>
      </w:pPr>
      <w:r w:rsidRPr="00183D1F">
        <w:rPr>
          <w:rFonts w:ascii="Times New Roman" w:hAnsi="Times New Roman" w:cs="Times New Roman"/>
          <w:sz w:val="24"/>
          <w:szCs w:val="24"/>
        </w:rPr>
        <w:t>Estímulo monetario</w:t>
      </w:r>
    </w:p>
    <w:p w:rsidR="00F001EE" w:rsidRPr="00183D1F" w:rsidRDefault="00F001EE" w:rsidP="00FA4DA9">
      <w:pPr>
        <w:spacing w:line="240" w:lineRule="auto"/>
        <w:jc w:val="both"/>
        <w:rPr>
          <w:rFonts w:ascii="Times New Roman" w:hAnsi="Times New Roman" w:cs="Times New Roman"/>
          <w:sz w:val="24"/>
          <w:szCs w:val="24"/>
        </w:rPr>
      </w:pPr>
      <w:r w:rsidRPr="00183D1F">
        <w:rPr>
          <w:rFonts w:ascii="Times New Roman" w:hAnsi="Times New Roman" w:cs="Times New Roman"/>
          <w:sz w:val="24"/>
          <w:szCs w:val="24"/>
        </w:rPr>
        <w:t xml:space="preserve">Sin los bancos centrales en los mercados, todos los emisores -y eso incluye a los endeudadísimos estados- pagarían mucho más (algunos quizás ni podrían colocarla) por la deuda que emiten porque la demanda de papel se reduciría notablemente. Y lo peor es que todo esto se siguió haciendo incluso en épocas de crecimiento económico, no es que se haya </w:t>
      </w:r>
      <w:r w:rsidRPr="00183D1F">
        <w:rPr>
          <w:rFonts w:ascii="Times New Roman" w:hAnsi="Times New Roman" w:cs="Times New Roman"/>
          <w:sz w:val="24"/>
          <w:szCs w:val="24"/>
        </w:rPr>
        <w:lastRenderedPageBreak/>
        <w:t>guardado ese recurso extremo para la crítica situación presente. Los departamentos de investigación de los bancos centrales elaboran regularmente trabajos que muestran que los QE han estabilizado los mercados, impulsado el crecimiento y evitado la deflación. Sin embargo, entre los economistas que no están a sueldo suyo, hay mucha menos certeza de que esos beneficios persistan después de años y años de exagerado estímulo monetario. “El QE funciona particularmente bien durante períodos de perturbaciones del mercado, pero no podrá hacer mucho en este punto por el crecimiento y la inflación en ausencia de una política fiscal”, dijo a principios de enero (2021) Peter Praet, ex economista jefe del BCE y arquitecto del plan de compra de bonos a gran escala que comenzó en 2015.</w:t>
      </w:r>
    </w:p>
    <w:p w:rsidR="00F001EE" w:rsidRPr="00183D1F" w:rsidRDefault="00F001EE" w:rsidP="00FA4DA9">
      <w:pPr>
        <w:spacing w:line="240" w:lineRule="auto"/>
        <w:jc w:val="both"/>
        <w:rPr>
          <w:rFonts w:ascii="Times New Roman" w:hAnsi="Times New Roman" w:cs="Times New Roman"/>
          <w:sz w:val="24"/>
          <w:szCs w:val="24"/>
        </w:rPr>
      </w:pPr>
      <w:r w:rsidRPr="00183D1F">
        <w:rPr>
          <w:rFonts w:ascii="Times New Roman" w:hAnsi="Times New Roman" w:cs="Times New Roman"/>
          <w:sz w:val="24"/>
          <w:szCs w:val="24"/>
        </w:rPr>
        <w:t>Y es que ahí tenemos otra de las claves del por qué haber convertido en habitual una medida excepcional es tan peligroso: reduce el incentivo de los gobiernos para cuadrar sus cuentas. Un presidente que se juega su elección cada cuatro años puede elegir entre gastar más de lo que ingresa y emitir deuda para cubrir el desfase (¡y encima en muchas ocasiones, gracias al banco central, cobrar intereses por ella!) o reducir gastos/aumentar ingresos para cuadrar las cuentas como debería hacer cualquier buen gestor. Y la mayoría de gobernantes -en</w:t>
      </w:r>
      <w:r w:rsidR="004C20BF" w:rsidRPr="00183D1F">
        <w:rPr>
          <w:rFonts w:ascii="Times New Roman" w:hAnsi="Times New Roman" w:cs="Times New Roman"/>
          <w:sz w:val="24"/>
          <w:szCs w:val="24"/>
        </w:rPr>
        <w:t xml:space="preserve"> Portugal</w:t>
      </w:r>
      <w:r w:rsidRPr="00183D1F">
        <w:rPr>
          <w:rFonts w:ascii="Times New Roman" w:hAnsi="Times New Roman" w:cs="Times New Roman"/>
          <w:sz w:val="24"/>
          <w:szCs w:val="24"/>
        </w:rPr>
        <w:t>, en España, en Italia, en Grecia… y en Japón también- tienen claro que lo mejor para sus expectativas electorales es lo primero. Por supuesto, ahora pocos dudan de que el gasto público debe dispararse debido a la actual crisis, para temas tan importantes como pagar las vacunas o financiar los subsidios al desempleo, si bien cada gobierno tiene diferentes prioridades y mientras unos dan ayudas directas a las empresas que han cesado su actividad por el estado de alarma, otros aplican los fondos a gastos corrientes y políticas clientelares.</w:t>
      </w:r>
    </w:p>
    <w:p w:rsidR="00F001EE" w:rsidRPr="00183D1F" w:rsidRDefault="00F001EE" w:rsidP="00FA4DA9">
      <w:pPr>
        <w:spacing w:line="240" w:lineRule="auto"/>
        <w:jc w:val="both"/>
        <w:rPr>
          <w:rFonts w:ascii="Times New Roman" w:hAnsi="Times New Roman" w:cs="Times New Roman"/>
          <w:sz w:val="24"/>
          <w:szCs w:val="24"/>
        </w:rPr>
      </w:pPr>
      <w:r w:rsidRPr="00183D1F">
        <w:rPr>
          <w:rFonts w:ascii="Times New Roman" w:hAnsi="Times New Roman" w:cs="Times New Roman"/>
          <w:sz w:val="24"/>
          <w:szCs w:val="24"/>
        </w:rPr>
        <w:t>El otro gran problema de la actual disparatada política monetaria es el enorme divorcio entre la economía real y la financiera, entre la triste realidad de la calle y el mundo feliz de los bancos centrales. Mientras baja el consumo, crece el desempleo y la expansión del virus se acelera, la enorme liquidez no aumenta las inversiones pero sí dispara la especulación. Esto hace que se castigue al ahorro que no se dirija a activos de riesgo, que tienen ese nombre porque lo son, y la Bolsa (que según toda medición objetiva está en niveles muy altos a escala mundial) puede sufrir una brutal corrección que, como pasó por ejemplo con el estallido de la “burbuja de las punto com” en el 2000, provoque no sólo la ruina de muchos, también una crisis económica.</w:t>
      </w:r>
    </w:p>
    <w:p w:rsidR="00F001EE" w:rsidRPr="00183D1F" w:rsidRDefault="00F001EE" w:rsidP="00FA4DA9">
      <w:pPr>
        <w:spacing w:line="240" w:lineRule="auto"/>
        <w:jc w:val="both"/>
        <w:rPr>
          <w:rFonts w:ascii="Times New Roman" w:hAnsi="Times New Roman" w:cs="Times New Roman"/>
          <w:sz w:val="24"/>
          <w:szCs w:val="24"/>
        </w:rPr>
      </w:pPr>
      <w:r w:rsidRPr="00183D1F">
        <w:rPr>
          <w:rFonts w:ascii="Times New Roman" w:hAnsi="Times New Roman" w:cs="Times New Roman"/>
          <w:sz w:val="24"/>
          <w:szCs w:val="24"/>
        </w:rPr>
        <w:t xml:space="preserve">Pero en mi opinión lo peor de todo esto no es, con todo lo grave que resulta, el aumento de la desigualdad, o que la política monetaria sustituya a la fiscal o que se esté formando una burbuja total (en Bolsa, criptomonedas, deuda emitida a tipos negativos, etc.) en los mercados, es que esta extrema dependencia de los bancos centrales (o siguen inyectando liquidez o llegarán las quiebras soberanas y el estallido de la burbuja de uno o de varios activos) puede conducir a un estallido inflacionario difícil de controlar, que provoque una pérdida de confianza en el dinero, y una profunda crisis sistémica. ¿Vamos encaminados a ella o aún se puede evitar? </w:t>
      </w:r>
    </w:p>
    <w:p w:rsidR="00F001EE" w:rsidRPr="00265C8A" w:rsidRDefault="00F001EE"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65C8A">
        <w:rPr>
          <w:rFonts w:ascii="Times New Roman" w:hAnsi="Times New Roman" w:cs="Times New Roman"/>
          <w:sz w:val="24"/>
          <w:szCs w:val="24"/>
          <w:u w:val="single"/>
        </w:rPr>
        <w:t>Coronavirus: 8 gráficos para entender cómo la pandemia ha afectado a las mayores economías del mundo</w:t>
      </w:r>
      <w:r>
        <w:rPr>
          <w:rFonts w:ascii="Times New Roman" w:hAnsi="Times New Roman" w:cs="Times New Roman"/>
          <w:sz w:val="24"/>
          <w:szCs w:val="24"/>
        </w:rPr>
        <w:t xml:space="preserve"> (BBCMundo - </w:t>
      </w:r>
      <w:r w:rsidRPr="00265C8A">
        <w:rPr>
          <w:rFonts w:ascii="Times New Roman" w:hAnsi="Times New Roman" w:cs="Times New Roman"/>
          <w:b/>
          <w:sz w:val="24"/>
          <w:szCs w:val="24"/>
        </w:rPr>
        <w:t>25/1/21</w:t>
      </w:r>
      <w:r>
        <w:rPr>
          <w:rFonts w:ascii="Times New Roman" w:hAnsi="Times New Roman" w:cs="Times New Roman"/>
          <w:sz w:val="24"/>
          <w:szCs w:val="24"/>
        </w:rPr>
        <w:t>)</w:t>
      </w:r>
    </w:p>
    <w:p w:rsidR="00F001EE" w:rsidRPr="00265C8A" w:rsidRDefault="00F001EE"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265C8A">
        <w:rPr>
          <w:rFonts w:ascii="Times New Roman" w:hAnsi="Times New Roman" w:cs="Times New Roman"/>
          <w:sz w:val="24"/>
          <w:szCs w:val="24"/>
        </w:rPr>
        <w:t>Lora Jones, Daniele Palumbo y David Brown</w:t>
      </w:r>
      <w:r>
        <w:rPr>
          <w:rFonts w:ascii="Times New Roman" w:hAnsi="Times New Roman" w:cs="Times New Roman"/>
          <w:sz w:val="24"/>
          <w:szCs w:val="24"/>
        </w:rPr>
        <w:t>)</w:t>
      </w:r>
    </w:p>
    <w:p w:rsidR="004C20BF" w:rsidRDefault="00F001EE"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La pandemia de coronavirus llegó a c</w:t>
      </w:r>
      <w:r w:rsidR="004C20BF">
        <w:rPr>
          <w:rFonts w:ascii="Times New Roman" w:hAnsi="Times New Roman" w:cs="Times New Roman"/>
          <w:sz w:val="24"/>
          <w:szCs w:val="24"/>
        </w:rPr>
        <w:t xml:space="preserve">asi todos los países del mundo. </w:t>
      </w:r>
    </w:p>
    <w:p w:rsidR="00F001EE" w:rsidRPr="00265C8A" w:rsidRDefault="00F001EE"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Su propagación ha dejado a las economías y empresas en graves apuros, mientras varios gobiernos intentan mitigar sus efectos con nuevas medidas de confinamiento.</w:t>
      </w:r>
    </w:p>
    <w:p w:rsidR="00F001EE" w:rsidRPr="00265C8A" w:rsidRDefault="00F001EE"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lastRenderedPageBreak/>
        <w:t xml:space="preserve">A pesar del desarrollo de nuevas vacunas, persiste la incertidumbre y muchos todavía se preguntan cómo será </w:t>
      </w:r>
      <w:r>
        <w:rPr>
          <w:rFonts w:ascii="Times New Roman" w:hAnsi="Times New Roman" w:cs="Times New Roman"/>
          <w:sz w:val="24"/>
          <w:szCs w:val="24"/>
        </w:rPr>
        <w:t>la recuperación económica.</w:t>
      </w:r>
    </w:p>
    <w:p w:rsidR="00F001EE" w:rsidRPr="00265C8A" w:rsidRDefault="00F001EE"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Esta es una selección de gráficos y mapas para ayudarte a comprender el im</w:t>
      </w:r>
      <w:r>
        <w:rPr>
          <w:rFonts w:ascii="Times New Roman" w:hAnsi="Times New Roman" w:cs="Times New Roman"/>
          <w:sz w:val="24"/>
          <w:szCs w:val="24"/>
        </w:rPr>
        <w:t>pacto económico de la pandemia.</w:t>
      </w:r>
    </w:p>
    <w:p w:rsidR="00F001EE" w:rsidRPr="00265C8A" w:rsidRDefault="00F001EE"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Acciones globales en cambio constante</w:t>
      </w:r>
    </w:p>
    <w:p w:rsidR="00F001EE" w:rsidRPr="00265C8A" w:rsidRDefault="00F001EE"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Los grandes cambios en los mercados bursátiles, donde se compran y venden acciones de empresas, pueden afectar el valor de las pensiones o las cuentas de ahorro individuales.</w:t>
      </w:r>
    </w:p>
    <w:p w:rsidR="00F001EE" w:rsidRPr="00265C8A" w:rsidRDefault="00F001EE"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Índices bursátiles como el FTSE, el Dow Jones Industrial Average y el Nikkei, experimentaron grandes caídas a medida que crecía el número de casos de covid-19 en los primeros meses de la crisis.</w:t>
      </w:r>
    </w:p>
    <w:p w:rsidR="004C20BF" w:rsidRDefault="00F001EE"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Las princ</w:t>
      </w:r>
      <w:r w:rsidR="00675F68">
        <w:rPr>
          <w:rFonts w:ascii="Times New Roman" w:hAnsi="Times New Roman" w:cs="Times New Roman"/>
          <w:sz w:val="24"/>
          <w:szCs w:val="24"/>
        </w:rPr>
        <w:t>ipales bolsas asiáticas y de EEUU</w:t>
      </w:r>
      <w:r w:rsidRPr="00265C8A">
        <w:rPr>
          <w:rFonts w:ascii="Times New Roman" w:hAnsi="Times New Roman" w:cs="Times New Roman"/>
          <w:sz w:val="24"/>
          <w:szCs w:val="24"/>
        </w:rPr>
        <w:t xml:space="preserve"> se han recuperado tras el anuncio de la primera vacuna en noviembre, pero el índice FTSE de Londres todavía se encuentra en territorio negativo.</w:t>
      </w:r>
      <w:r w:rsidR="004C20BF">
        <w:rPr>
          <w:rFonts w:ascii="Times New Roman" w:hAnsi="Times New Roman" w:cs="Times New Roman"/>
          <w:sz w:val="24"/>
          <w:szCs w:val="24"/>
        </w:rPr>
        <w:t xml:space="preserve"> </w:t>
      </w:r>
      <w:r w:rsidRPr="00265C8A">
        <w:rPr>
          <w:rFonts w:ascii="Times New Roman" w:hAnsi="Times New Roman" w:cs="Times New Roman"/>
          <w:sz w:val="24"/>
          <w:szCs w:val="24"/>
        </w:rPr>
        <w:t>El FTSE cayó un 14,3% en 2020, su peor desempeño desde 2008.</w:t>
      </w:r>
    </w:p>
    <w:p w:rsidR="00F001EE" w:rsidRPr="00265C8A" w:rsidRDefault="00F001EE" w:rsidP="00FA4DA9">
      <w:pPr>
        <w:spacing w:line="240" w:lineRule="auto"/>
        <w:jc w:val="both"/>
        <w:rPr>
          <w:rFonts w:ascii="Times New Roman" w:hAnsi="Times New Roman" w:cs="Times New Roman"/>
          <w:sz w:val="24"/>
          <w:szCs w:val="24"/>
        </w:rPr>
      </w:pPr>
      <w:r>
        <w:rPr>
          <w:noProof/>
          <w:lang w:eastAsia="es-ES"/>
        </w:rPr>
        <w:drawing>
          <wp:inline distT="0" distB="0" distL="0" distR="0" wp14:anchorId="3D5A88D4" wp14:editId="554006B4">
            <wp:extent cx="5727699" cy="3771900"/>
            <wp:effectExtent l="0" t="0" r="6985" b="0"/>
            <wp:docPr id="55" name="Imagen 55" descr="gráf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áfico"/>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5731510" cy="3774409"/>
                    </a:xfrm>
                    <a:prstGeom prst="rect">
                      <a:avLst/>
                    </a:prstGeom>
                    <a:noFill/>
                    <a:ln>
                      <a:noFill/>
                    </a:ln>
                  </pic:spPr>
                </pic:pic>
              </a:graphicData>
            </a:graphic>
          </wp:inline>
        </w:drawing>
      </w:r>
    </w:p>
    <w:p w:rsidR="00F001EE" w:rsidRPr="00265C8A" w:rsidRDefault="00F001EE"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En respuesta, los bancos centrales de muchos países, incluido Reino Unido, han recortado las tasas de interés. Eso debería, en teoría, abaratar los préstamos y fomentar el g</w:t>
      </w:r>
      <w:r>
        <w:rPr>
          <w:rFonts w:ascii="Times New Roman" w:hAnsi="Times New Roman" w:cs="Times New Roman"/>
          <w:sz w:val="24"/>
          <w:szCs w:val="24"/>
        </w:rPr>
        <w:t>asto para impulsar la economía.</w:t>
      </w:r>
    </w:p>
    <w:p w:rsidR="00F001EE" w:rsidRDefault="00F001EE"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Algunos mercados recuperaron terreno en enero de este año, pero esta es una tendencia normal conocida com</w:t>
      </w:r>
      <w:r w:rsidR="00675F68">
        <w:rPr>
          <w:rFonts w:ascii="Times New Roman" w:hAnsi="Times New Roman" w:cs="Times New Roman"/>
          <w:sz w:val="24"/>
          <w:szCs w:val="24"/>
        </w:rPr>
        <w:t>o el “efecto enero”</w:t>
      </w:r>
      <w:r>
        <w:rPr>
          <w:rFonts w:ascii="Times New Roman" w:hAnsi="Times New Roman" w:cs="Times New Roman"/>
          <w:sz w:val="24"/>
          <w:szCs w:val="24"/>
        </w:rPr>
        <w:t>.</w:t>
      </w:r>
      <w:r w:rsidR="004C20BF">
        <w:rPr>
          <w:rFonts w:ascii="Times New Roman" w:hAnsi="Times New Roman" w:cs="Times New Roman"/>
          <w:sz w:val="24"/>
          <w:szCs w:val="24"/>
        </w:rPr>
        <w:t xml:space="preserve"> </w:t>
      </w:r>
      <w:r w:rsidRPr="00265C8A">
        <w:rPr>
          <w:rFonts w:ascii="Times New Roman" w:hAnsi="Times New Roman" w:cs="Times New Roman"/>
          <w:sz w:val="24"/>
          <w:szCs w:val="24"/>
        </w:rPr>
        <w:t>A los analistas les preocupa que la posibilidad de más bloqueos y retrasos en los programas de vacunación pueda desencadenar más vola</w:t>
      </w:r>
      <w:r>
        <w:rPr>
          <w:rFonts w:ascii="Times New Roman" w:hAnsi="Times New Roman" w:cs="Times New Roman"/>
          <w:sz w:val="24"/>
          <w:szCs w:val="24"/>
        </w:rPr>
        <w:t>tilidad en las bolsas este año.</w:t>
      </w:r>
    </w:p>
    <w:p w:rsidR="004609CD" w:rsidRPr="00265C8A" w:rsidRDefault="004609CD" w:rsidP="00FA4DA9">
      <w:pPr>
        <w:spacing w:line="240" w:lineRule="auto"/>
        <w:jc w:val="both"/>
        <w:rPr>
          <w:rFonts w:ascii="Times New Roman" w:hAnsi="Times New Roman" w:cs="Times New Roman"/>
          <w:sz w:val="24"/>
          <w:szCs w:val="24"/>
        </w:rPr>
      </w:pPr>
    </w:p>
    <w:p w:rsidR="00F001EE" w:rsidRPr="00265C8A" w:rsidRDefault="00F001EE"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lastRenderedPageBreak/>
        <w:t>Un año difícil para los que buscan empleo</w:t>
      </w:r>
    </w:p>
    <w:p w:rsidR="004C20BF" w:rsidRDefault="00F001EE"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Muchas personas han perdido sus trabajos o han visto u</w:t>
      </w:r>
      <w:r>
        <w:rPr>
          <w:rFonts w:ascii="Times New Roman" w:hAnsi="Times New Roman" w:cs="Times New Roman"/>
          <w:sz w:val="24"/>
          <w:szCs w:val="24"/>
        </w:rPr>
        <w:t>na disminución de sus ingresos.</w:t>
      </w:r>
      <w:r w:rsidR="004C20BF">
        <w:rPr>
          <w:rFonts w:ascii="Times New Roman" w:hAnsi="Times New Roman" w:cs="Times New Roman"/>
          <w:sz w:val="24"/>
          <w:szCs w:val="24"/>
        </w:rPr>
        <w:t xml:space="preserve"> </w:t>
      </w:r>
    </w:p>
    <w:p w:rsidR="00F001EE" w:rsidRDefault="00F001EE"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Es así como las tasas de desempleo han aumentado en las principales economías del mundo.</w:t>
      </w:r>
    </w:p>
    <w:p w:rsidR="004C20BF" w:rsidRPr="00265C8A" w:rsidRDefault="004C20BF"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En Estados Unidos, la proporción de personas sin trabajo alcanzó un total anual de 8,9%, según el Fondo Monetario Internacional, FMI, lo que marca el fin de una década de expansión del empleo.</w:t>
      </w:r>
    </w:p>
    <w:p w:rsidR="004C20BF" w:rsidRPr="00265C8A" w:rsidRDefault="004C20BF"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Millones de trabajadores están participando en planes de retención de empleo respaldados por el gobierno, ya que sectores como el turismo y la hotelería se han estancado casi por completo.</w:t>
      </w:r>
    </w:p>
    <w:p w:rsidR="004C20BF" w:rsidRPr="00265C8A" w:rsidRDefault="004C20BF"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Y el número de nuevas oportunidades laborales sigue si</w:t>
      </w:r>
      <w:r>
        <w:rPr>
          <w:rFonts w:ascii="Times New Roman" w:hAnsi="Times New Roman" w:cs="Times New Roman"/>
          <w:sz w:val="24"/>
          <w:szCs w:val="24"/>
        </w:rPr>
        <w:t>endo muy bajo en muchos países.</w:t>
      </w:r>
    </w:p>
    <w:p w:rsidR="004C20BF" w:rsidRDefault="004C20BF"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Las vacantes de empleo en Australia han vuelto al mismo nivel de 2019, pero están rezagadas en Francia, España, Reino Unido y varios otros países.</w:t>
      </w:r>
    </w:p>
    <w:p w:rsidR="00183D1F" w:rsidRDefault="00183D1F" w:rsidP="00FA4DA9">
      <w:pPr>
        <w:spacing w:line="240" w:lineRule="auto"/>
        <w:jc w:val="both"/>
        <w:rPr>
          <w:rFonts w:ascii="Times New Roman" w:hAnsi="Times New Roman" w:cs="Times New Roman"/>
          <w:sz w:val="24"/>
          <w:szCs w:val="24"/>
        </w:rPr>
      </w:pPr>
    </w:p>
    <w:p w:rsidR="00F001EE" w:rsidRPr="00265C8A" w:rsidRDefault="00F001EE" w:rsidP="00FA4DA9">
      <w:pPr>
        <w:spacing w:line="240" w:lineRule="auto"/>
        <w:jc w:val="both"/>
        <w:rPr>
          <w:rFonts w:ascii="Times New Roman" w:hAnsi="Times New Roman" w:cs="Times New Roman"/>
          <w:sz w:val="24"/>
          <w:szCs w:val="24"/>
        </w:rPr>
      </w:pPr>
      <w:r>
        <w:rPr>
          <w:noProof/>
          <w:lang w:eastAsia="es-ES"/>
        </w:rPr>
        <w:drawing>
          <wp:inline distT="0" distB="0" distL="0" distR="0" wp14:anchorId="144E117E" wp14:editId="1201CA0B">
            <wp:extent cx="5734049" cy="3898900"/>
            <wp:effectExtent l="0" t="0" r="635" b="6350"/>
            <wp:docPr id="56" name="Imagen 56" descr="gráfico economías mundiales luchan por cre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áfico economías mundiales luchan por crecer"/>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731510" cy="3897173"/>
                    </a:xfrm>
                    <a:prstGeom prst="rect">
                      <a:avLst/>
                    </a:prstGeom>
                    <a:noFill/>
                    <a:ln>
                      <a:noFill/>
                    </a:ln>
                  </pic:spPr>
                </pic:pic>
              </a:graphicData>
            </a:graphic>
          </wp:inline>
        </w:drawing>
      </w:r>
    </w:p>
    <w:p w:rsidR="00F001EE" w:rsidRPr="00265C8A" w:rsidRDefault="00F001EE" w:rsidP="00FA4DA9">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69B0D578" wp14:editId="3FFA55C1">
            <wp:extent cx="5727700" cy="5118100"/>
            <wp:effectExtent l="0" t="0" r="6350" b="6350"/>
            <wp:docPr id="57" name="Imagen 57" descr="gráfico las nuevas vacantes siguen sinedo muy bajas en muchos paí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ráfico las nuevas vacantes siguen sinedo muy bajas en muchos países"/>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5731510" cy="5121505"/>
                    </a:xfrm>
                    <a:prstGeom prst="rect">
                      <a:avLst/>
                    </a:prstGeom>
                    <a:noFill/>
                    <a:ln>
                      <a:noFill/>
                    </a:ln>
                  </pic:spPr>
                </pic:pic>
              </a:graphicData>
            </a:graphic>
          </wp:inline>
        </w:drawing>
      </w:r>
    </w:p>
    <w:p w:rsidR="00183D1F" w:rsidRDefault="00183D1F" w:rsidP="00FA4DA9">
      <w:pPr>
        <w:spacing w:line="240" w:lineRule="auto"/>
        <w:jc w:val="both"/>
        <w:rPr>
          <w:rFonts w:ascii="Times New Roman" w:hAnsi="Times New Roman" w:cs="Times New Roman"/>
          <w:sz w:val="24"/>
          <w:szCs w:val="24"/>
        </w:rPr>
      </w:pPr>
    </w:p>
    <w:p w:rsidR="00F001EE" w:rsidRPr="00265C8A" w:rsidRDefault="00F001EE"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Algunos expertos han advertido que podrían pasar años antes de que los niveles de empleo vuelvan a l</w:t>
      </w:r>
      <w:r>
        <w:rPr>
          <w:rFonts w:ascii="Times New Roman" w:hAnsi="Times New Roman" w:cs="Times New Roman"/>
          <w:sz w:val="24"/>
          <w:szCs w:val="24"/>
        </w:rPr>
        <w:t>os vistos antes de la pandemia.</w:t>
      </w:r>
    </w:p>
    <w:p w:rsidR="00F001EE" w:rsidRPr="00265C8A" w:rsidRDefault="00F001EE"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La mayoría de los países están en recesión</w:t>
      </w:r>
    </w:p>
    <w:p w:rsidR="00F001EE" w:rsidRPr="00265C8A" w:rsidRDefault="00F001EE"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Si la economía crece, generalmente significa má</w:t>
      </w:r>
      <w:r>
        <w:rPr>
          <w:rFonts w:ascii="Times New Roman" w:hAnsi="Times New Roman" w:cs="Times New Roman"/>
          <w:sz w:val="24"/>
          <w:szCs w:val="24"/>
        </w:rPr>
        <w:t>s riqueza y más empleos nuevos.</w:t>
      </w:r>
    </w:p>
    <w:p w:rsidR="00F001EE" w:rsidRPr="00265C8A" w:rsidRDefault="00F001EE"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Eso se mide observando el cambio porcentual en el Producto Interno Bruto, PIB, o el valor de los bienes y servicios producidos, generalmen</w:t>
      </w:r>
      <w:r>
        <w:rPr>
          <w:rFonts w:ascii="Times New Roman" w:hAnsi="Times New Roman" w:cs="Times New Roman"/>
          <w:sz w:val="24"/>
          <w:szCs w:val="24"/>
        </w:rPr>
        <w:t>te durante tres meses o un año.</w:t>
      </w:r>
    </w:p>
    <w:p w:rsidR="00F001EE" w:rsidRDefault="00F001EE"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El FMI estima que la economía mundial se contrajo un 4,4% en 2020. La organización describió la caída como la peor desde la Gran Depresión de la década de 1930.</w:t>
      </w:r>
    </w:p>
    <w:p w:rsidR="00DA27A0" w:rsidRDefault="00DA27A0" w:rsidP="00FA4DA9">
      <w:pPr>
        <w:spacing w:line="240" w:lineRule="auto"/>
        <w:jc w:val="both"/>
        <w:rPr>
          <w:rFonts w:ascii="Times New Roman" w:hAnsi="Times New Roman" w:cs="Times New Roman"/>
          <w:sz w:val="24"/>
          <w:szCs w:val="24"/>
        </w:rPr>
      </w:pPr>
    </w:p>
    <w:p w:rsidR="00F001EE" w:rsidRPr="00265C8A" w:rsidRDefault="00F001EE" w:rsidP="00FA4DA9">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01B89BF1" wp14:editId="22432353">
            <wp:extent cx="5732296" cy="4521200"/>
            <wp:effectExtent l="0" t="0" r="1905" b="0"/>
            <wp:docPr id="58" name="Imagen 58" descr="Recesión en el mun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cesión en el mundo"/>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731510" cy="4520580"/>
                    </a:xfrm>
                    <a:prstGeom prst="rect">
                      <a:avLst/>
                    </a:prstGeom>
                    <a:noFill/>
                    <a:ln>
                      <a:noFill/>
                    </a:ln>
                  </pic:spPr>
                </pic:pic>
              </a:graphicData>
            </a:graphic>
          </wp:inline>
        </w:drawing>
      </w:r>
    </w:p>
    <w:p w:rsidR="00DA27A0" w:rsidRDefault="00DA27A0" w:rsidP="00FA4DA9">
      <w:pPr>
        <w:spacing w:line="240" w:lineRule="auto"/>
        <w:jc w:val="both"/>
        <w:rPr>
          <w:rFonts w:ascii="Times New Roman" w:hAnsi="Times New Roman" w:cs="Times New Roman"/>
          <w:sz w:val="24"/>
          <w:szCs w:val="24"/>
        </w:rPr>
      </w:pPr>
    </w:p>
    <w:p w:rsidR="00F001EE" w:rsidRPr="00265C8A" w:rsidRDefault="00F001EE"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La única economía grande que creció en 2020 fue China. Registró un crecimiento del 2,3%.</w:t>
      </w:r>
    </w:p>
    <w:p w:rsidR="00F001EE" w:rsidRPr="00265C8A" w:rsidRDefault="00F001EE"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Sin embargo, el FMI prevé un crecimiento global del 5,2% en 2021.</w:t>
      </w:r>
    </w:p>
    <w:p w:rsidR="00F001EE" w:rsidRPr="00265C8A" w:rsidRDefault="00F001EE"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Eso será impulsado principalmente por países como India y China, que podrían crecer un 8,8% y un 8,2% respectivamente.</w:t>
      </w:r>
    </w:p>
    <w:p w:rsidR="00F001EE" w:rsidRDefault="00F001EE"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Se espera que la recuperación en las grandes economías que dependen de los servicios -y que se han visto muy afectadas por el brote- como el Reino Unido o Italia, sea lenta.</w:t>
      </w:r>
    </w:p>
    <w:p w:rsidR="00F001EE" w:rsidRPr="00265C8A" w:rsidRDefault="00F001EE"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Los viajes aún están lejos de despegar</w:t>
      </w:r>
    </w:p>
    <w:p w:rsidR="00F001EE" w:rsidRPr="00265C8A" w:rsidRDefault="00F001EE"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La industria de viajes se ha visto gravemente dañada, con las aerolíneas recortando vuelos y los clientes cancelando v</w:t>
      </w:r>
      <w:r w:rsidR="00DA27A0">
        <w:rPr>
          <w:rFonts w:ascii="Times New Roman" w:hAnsi="Times New Roman" w:cs="Times New Roman"/>
          <w:sz w:val="24"/>
          <w:szCs w:val="24"/>
        </w:rPr>
        <w:t xml:space="preserve">iajes de negocios y vacaciones. </w:t>
      </w:r>
      <w:r w:rsidRPr="00265C8A">
        <w:rPr>
          <w:rFonts w:ascii="Times New Roman" w:hAnsi="Times New Roman" w:cs="Times New Roman"/>
          <w:sz w:val="24"/>
          <w:szCs w:val="24"/>
        </w:rPr>
        <w:t>Las nuevas variantes del virus, descubiertas solo en los últimos meses, han obligado a muchos países a introducir restricciones de viaje más estrictas.</w:t>
      </w:r>
    </w:p>
    <w:p w:rsidR="00F001EE" w:rsidRDefault="00F001EE"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Los datos del servicio de seguimiento de vuelos Flight Radar 24 muestran que la cantidad de vuelos a nivel mundial sufrió un gran impacto en 2020 y que todavía hay un largo camino para recuperarse.</w:t>
      </w:r>
    </w:p>
    <w:p w:rsidR="00F001EE" w:rsidRPr="00265C8A" w:rsidRDefault="00F001EE" w:rsidP="00FA4DA9">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04AEF888" wp14:editId="47812790">
            <wp:extent cx="5727700" cy="3587750"/>
            <wp:effectExtent l="0" t="0" r="6350" b="0"/>
            <wp:docPr id="59" name="Imagen 59" descr="gráfico los vuelos comerciales se mantineen muy por debajo de niveles norm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ráfico los vuelos comerciales se mantineen muy por debajo de niveles normales"/>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5731510" cy="3590137"/>
                    </a:xfrm>
                    <a:prstGeom prst="rect">
                      <a:avLst/>
                    </a:prstGeom>
                    <a:noFill/>
                    <a:ln>
                      <a:noFill/>
                    </a:ln>
                  </pic:spPr>
                </pic:pic>
              </a:graphicData>
            </a:graphic>
          </wp:inline>
        </w:drawing>
      </w:r>
    </w:p>
    <w:p w:rsidR="00183D1F" w:rsidRDefault="00183D1F" w:rsidP="00FA4DA9">
      <w:pPr>
        <w:spacing w:line="240" w:lineRule="auto"/>
        <w:jc w:val="both"/>
        <w:rPr>
          <w:rFonts w:ascii="Times New Roman" w:hAnsi="Times New Roman" w:cs="Times New Roman"/>
          <w:sz w:val="24"/>
          <w:szCs w:val="24"/>
        </w:rPr>
      </w:pPr>
    </w:p>
    <w:p w:rsidR="00F001EE" w:rsidRDefault="00F001EE"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El sector de la hotelería ha cerrado sus puertas en todo el mundo</w:t>
      </w:r>
    </w:p>
    <w:p w:rsidR="004609CD" w:rsidRPr="00265C8A" w:rsidRDefault="004609CD" w:rsidP="00FA4DA9">
      <w:pPr>
        <w:spacing w:line="240" w:lineRule="auto"/>
        <w:jc w:val="both"/>
        <w:rPr>
          <w:rFonts w:ascii="Times New Roman" w:hAnsi="Times New Roman" w:cs="Times New Roman"/>
          <w:sz w:val="24"/>
          <w:szCs w:val="24"/>
        </w:rPr>
      </w:pPr>
      <w:r>
        <w:rPr>
          <w:noProof/>
          <w:lang w:eastAsia="es-ES"/>
        </w:rPr>
        <w:drawing>
          <wp:inline distT="0" distB="0" distL="0" distR="0" wp14:anchorId="440DFC4B" wp14:editId="67949226">
            <wp:extent cx="5731510" cy="4089400"/>
            <wp:effectExtent l="0" t="0" r="2540" b="6350"/>
            <wp:docPr id="70" name="Imagen 70" descr="gráfico sobre cómo la industria del turismo mundial se está desmoronan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ráfico sobre cómo la industria del turismo mundial se está desmoronando"/>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5731510" cy="4089400"/>
                    </a:xfrm>
                    <a:prstGeom prst="rect">
                      <a:avLst/>
                    </a:prstGeom>
                    <a:noFill/>
                    <a:ln>
                      <a:noFill/>
                    </a:ln>
                  </pic:spPr>
                </pic:pic>
              </a:graphicData>
            </a:graphic>
          </wp:inline>
        </w:drawing>
      </w:r>
    </w:p>
    <w:p w:rsidR="00DA27A0" w:rsidRDefault="00F001EE"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lastRenderedPageBreak/>
        <w:t>El sector de la hotelería se ha visto muy afectado, con millones de puestos de trabajo perdido</w:t>
      </w:r>
      <w:r>
        <w:rPr>
          <w:rFonts w:ascii="Times New Roman" w:hAnsi="Times New Roman" w:cs="Times New Roman"/>
          <w:sz w:val="24"/>
          <w:szCs w:val="24"/>
        </w:rPr>
        <w:t>s y muchas empresas en quiebra.</w:t>
      </w:r>
      <w:r w:rsidR="00DA27A0">
        <w:rPr>
          <w:rFonts w:ascii="Times New Roman" w:hAnsi="Times New Roman" w:cs="Times New Roman"/>
          <w:sz w:val="24"/>
          <w:szCs w:val="24"/>
        </w:rPr>
        <w:t xml:space="preserve"> </w:t>
      </w:r>
    </w:p>
    <w:p w:rsidR="00F001EE" w:rsidRDefault="00F001EE"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Los datos de Transparent, una compañía de inteligencia líder en la industria que cubre más de 35 millones de anuncios de hoteles y alquileres en todo el mundo, han registrado una caída en las reservas en todos los principales destinos de viaje.</w:t>
      </w:r>
    </w:p>
    <w:p w:rsidR="00F001EE" w:rsidRPr="00265C8A" w:rsidRDefault="00DA27A0"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Se han perdido miles de millones de dólares en 2020 y, aunque el pronóstico para 2021 es mejor, muchos analistas creen que los viajes y el turismo internacionales no volverán a los niveles normales previos a la pa</w:t>
      </w:r>
      <w:r w:rsidR="004609CD">
        <w:rPr>
          <w:rFonts w:ascii="Times New Roman" w:hAnsi="Times New Roman" w:cs="Times New Roman"/>
          <w:sz w:val="24"/>
          <w:szCs w:val="24"/>
        </w:rPr>
        <w:t>ndemia hasta alrededor de 2025.</w:t>
      </w:r>
    </w:p>
    <w:p w:rsidR="00F001EE" w:rsidRPr="00265C8A" w:rsidRDefault="00F001EE"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Comprando... desde la casa</w:t>
      </w:r>
    </w:p>
    <w:p w:rsidR="00F001EE" w:rsidRPr="00265C8A" w:rsidRDefault="00F001EE"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La afluencia de público a las tiendas minoristas ha experimentado caídas sin precedentes ya que los compradores se quedaron en casa.</w:t>
      </w:r>
    </w:p>
    <w:p w:rsidR="00F001EE" w:rsidRPr="00265C8A" w:rsidRDefault="00F001EE"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Nuevas variantes y aumentos repentinos de casos han empeorado los problemas.</w:t>
      </w:r>
    </w:p>
    <w:p w:rsidR="00F001EE" w:rsidRDefault="00F001EE"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El número de clientes que van físicamente a las tiendas ha caído aún más desde los primeros confinamientos, según la firma de investigación ShopperTrak.</w:t>
      </w:r>
    </w:p>
    <w:p w:rsidR="00DA27A0" w:rsidRPr="00265C8A" w:rsidRDefault="00DA27A0"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Distintas investigaciones sugieren que los consumidores todavía se sienten inquietos sobre el regreso a las tiendas. El gigante de la contabilidad EY señala que el 67% de los clientes no está dispuesto a viajar más de 5 kilómetros para ir de compras.</w:t>
      </w:r>
    </w:p>
    <w:p w:rsidR="00DA27A0" w:rsidRPr="00265C8A" w:rsidRDefault="00DA27A0"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Este cambio en el comportamiento de los clientes ha impulsado significativamente el comercio minorista en línea, con un ingreso global de US$</w:t>
      </w:r>
      <w:r w:rsidR="0005599B">
        <w:rPr>
          <w:rFonts w:ascii="Times New Roman" w:hAnsi="Times New Roman" w:cs="Times New Roman"/>
          <w:sz w:val="24"/>
          <w:szCs w:val="24"/>
        </w:rPr>
        <w:t xml:space="preserve"> </w:t>
      </w:r>
      <w:r w:rsidRPr="00265C8A">
        <w:rPr>
          <w:rFonts w:ascii="Times New Roman" w:hAnsi="Times New Roman" w:cs="Times New Roman"/>
          <w:sz w:val="24"/>
          <w:szCs w:val="24"/>
        </w:rPr>
        <w:t>3,9 billones en 2020.</w:t>
      </w:r>
    </w:p>
    <w:p w:rsidR="00DA27A0" w:rsidRDefault="00DA27A0" w:rsidP="00FA4DA9">
      <w:pPr>
        <w:spacing w:line="240" w:lineRule="auto"/>
        <w:jc w:val="both"/>
        <w:rPr>
          <w:rFonts w:ascii="Times New Roman" w:hAnsi="Times New Roman" w:cs="Times New Roman"/>
          <w:sz w:val="24"/>
          <w:szCs w:val="24"/>
        </w:rPr>
      </w:pPr>
    </w:p>
    <w:p w:rsidR="00F001EE" w:rsidRPr="00265C8A" w:rsidRDefault="00F001EE" w:rsidP="00FA4DA9">
      <w:pPr>
        <w:spacing w:line="240" w:lineRule="auto"/>
        <w:jc w:val="both"/>
        <w:rPr>
          <w:rFonts w:ascii="Times New Roman" w:hAnsi="Times New Roman" w:cs="Times New Roman"/>
          <w:sz w:val="24"/>
          <w:szCs w:val="24"/>
        </w:rPr>
      </w:pPr>
      <w:r>
        <w:rPr>
          <w:noProof/>
          <w:lang w:eastAsia="es-ES"/>
        </w:rPr>
        <w:drawing>
          <wp:inline distT="0" distB="0" distL="0" distR="0" wp14:anchorId="52DF6D9E" wp14:editId="607D2601">
            <wp:extent cx="5734050" cy="3098800"/>
            <wp:effectExtent l="0" t="0" r="0" b="6350"/>
            <wp:docPr id="62" name="Imagen 62" descr="gráfico sobre la enorme caída en los comprado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ráfico sobre la enorme caída en los compradores"/>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5731510" cy="3097427"/>
                    </a:xfrm>
                    <a:prstGeom prst="rect">
                      <a:avLst/>
                    </a:prstGeom>
                    <a:noFill/>
                    <a:ln>
                      <a:noFill/>
                    </a:ln>
                  </pic:spPr>
                </pic:pic>
              </a:graphicData>
            </a:graphic>
          </wp:inline>
        </w:drawing>
      </w:r>
    </w:p>
    <w:p w:rsidR="00F001EE" w:rsidRPr="00265C8A" w:rsidRDefault="00F001EE"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Las farmacéuticas entre los ganadores</w:t>
      </w:r>
    </w:p>
    <w:p w:rsidR="00F001EE" w:rsidRPr="00265C8A" w:rsidRDefault="00F001EE"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Los gobiernos de todo el mundo han comprometido miles de millones de dólares para vacunar a la población contra la covid-19 e invertir en opciones de tratamiento.</w:t>
      </w:r>
    </w:p>
    <w:p w:rsidR="00F001EE" w:rsidRPr="00265C8A" w:rsidRDefault="00F001EE"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lastRenderedPageBreak/>
        <w:t>Las acciones de algunas compañías farmacéuticas involucradas en el desarrollo de vacunas se han disparado.</w:t>
      </w:r>
    </w:p>
    <w:p w:rsidR="00F001EE" w:rsidRPr="00265C8A" w:rsidRDefault="00F001EE"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Moderna, Novavax y AstraZeneca han experimentado aumentos significativos en los mercados bursátiles. Pero Pfizer ha visto caer el precio de sus acciones.</w:t>
      </w:r>
    </w:p>
    <w:p w:rsidR="00F001EE" w:rsidRDefault="00F001EE"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Su asociación con BioNTech, el alto costo de producción y gestión de la vacuna y el creciente número de competidores del mismo tamaño, han reducido la confianza de los inversores en que la empresa puede tener mayores ingresos en 2021.</w:t>
      </w:r>
    </w:p>
    <w:p w:rsidR="00F001EE" w:rsidRPr="00265C8A" w:rsidRDefault="00F001EE" w:rsidP="00FA4DA9">
      <w:pPr>
        <w:spacing w:line="240" w:lineRule="auto"/>
        <w:jc w:val="both"/>
        <w:rPr>
          <w:rFonts w:ascii="Times New Roman" w:hAnsi="Times New Roman" w:cs="Times New Roman"/>
          <w:sz w:val="24"/>
          <w:szCs w:val="24"/>
        </w:rPr>
      </w:pPr>
      <w:r>
        <w:rPr>
          <w:noProof/>
          <w:lang w:eastAsia="es-ES"/>
        </w:rPr>
        <w:drawing>
          <wp:inline distT="0" distB="0" distL="0" distR="0" wp14:anchorId="3C27EBE0" wp14:editId="6290BF59">
            <wp:extent cx="5727700" cy="3067050"/>
            <wp:effectExtent l="0" t="0" r="6350" b="0"/>
            <wp:docPr id="63" name="Imagen 63" descr="gráfico auge de las empresas farmacéutic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ráfico auge de las empresas farmacéuticas."/>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5731510" cy="3069090"/>
                    </a:xfrm>
                    <a:prstGeom prst="rect">
                      <a:avLst/>
                    </a:prstGeom>
                    <a:noFill/>
                    <a:ln>
                      <a:noFill/>
                    </a:ln>
                  </pic:spPr>
                </pic:pic>
              </a:graphicData>
            </a:graphic>
          </wp:inline>
        </w:drawing>
      </w:r>
    </w:p>
    <w:p w:rsidR="00F001EE" w:rsidRPr="00265C8A" w:rsidRDefault="00F001EE"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Varias empresas farmacéuticas ya han comenzado a distribuir dosis de vacunas y muchos países han iniciado sus programas de vacunación.</w:t>
      </w:r>
    </w:p>
    <w:p w:rsidR="00F001EE" w:rsidRDefault="00F001EE" w:rsidP="00FA4DA9">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Muchos más, como Johnson &amp; Johnson y Sanofi / GSK, se unirán a la distribución de vacunas durante 2021.</w:t>
      </w:r>
    </w:p>
    <w:p w:rsidR="00F001EE" w:rsidRPr="006F4810" w:rsidRDefault="00F001EE"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F4810">
        <w:rPr>
          <w:rFonts w:ascii="Times New Roman" w:hAnsi="Times New Roman" w:cs="Times New Roman"/>
          <w:sz w:val="24"/>
          <w:szCs w:val="24"/>
          <w:u w:val="single"/>
        </w:rPr>
        <w:t>El FMI revisa a la baja el crecimiento para España y espera un alza del 5,9% en 2021</w:t>
      </w:r>
      <w:r>
        <w:rPr>
          <w:rFonts w:ascii="Times New Roman" w:hAnsi="Times New Roman" w:cs="Times New Roman"/>
          <w:sz w:val="24"/>
          <w:szCs w:val="24"/>
        </w:rPr>
        <w:t xml:space="preserve"> (Cinco Días - </w:t>
      </w:r>
      <w:r w:rsidRPr="006F4810">
        <w:rPr>
          <w:rFonts w:ascii="Times New Roman" w:hAnsi="Times New Roman" w:cs="Times New Roman"/>
          <w:b/>
          <w:sz w:val="24"/>
          <w:szCs w:val="24"/>
        </w:rPr>
        <w:t>26/1/21</w:t>
      </w:r>
      <w:r>
        <w:rPr>
          <w:rFonts w:ascii="Times New Roman" w:hAnsi="Times New Roman" w:cs="Times New Roman"/>
          <w:sz w:val="24"/>
          <w:szCs w:val="24"/>
        </w:rPr>
        <w:t>)</w:t>
      </w:r>
    </w:p>
    <w:p w:rsidR="00F001EE" w:rsidRDefault="00F001EE"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6F4810">
        <w:rPr>
          <w:rFonts w:ascii="Times New Roman" w:hAnsi="Times New Roman" w:cs="Times New Roman"/>
          <w:sz w:val="24"/>
          <w:szCs w:val="24"/>
        </w:rPr>
        <w:t>Pablo Sempere</w:t>
      </w:r>
      <w:r>
        <w:rPr>
          <w:rFonts w:ascii="Times New Roman" w:hAnsi="Times New Roman" w:cs="Times New Roman"/>
          <w:sz w:val="24"/>
          <w:szCs w:val="24"/>
        </w:rPr>
        <w:t>)</w:t>
      </w:r>
    </w:p>
    <w:p w:rsidR="00675F68" w:rsidRPr="006F4810" w:rsidRDefault="00675F68" w:rsidP="00FA4DA9">
      <w:pPr>
        <w:spacing w:line="240" w:lineRule="auto"/>
        <w:jc w:val="both"/>
        <w:rPr>
          <w:rFonts w:ascii="Times New Roman" w:hAnsi="Times New Roman" w:cs="Times New Roman"/>
          <w:sz w:val="24"/>
          <w:szCs w:val="24"/>
        </w:rPr>
      </w:pPr>
      <w:r w:rsidRPr="006F4810">
        <w:rPr>
          <w:rFonts w:ascii="Times New Roman" w:hAnsi="Times New Roman" w:cs="Times New Roman"/>
          <w:sz w:val="24"/>
          <w:szCs w:val="24"/>
        </w:rPr>
        <w:t xml:space="preserve">El Fondo Monetario Internacional (FMI) ha recortado en 1,3 puntos las previsiones de crecimiento de la economía española para 2021, proyectando una subida del Producto Interior Bruto (PIB) del 5,9% a lo largo de todo el ejercicio frente al 7,2% dibujado el pasado mes de octubre. Así se desprende del nuevo cuadro de expectativas macroeconómicas actualizado este martes por el organismo, que a su vez revisa levemente al alza el crecimiento para 2022, pasando del 4,5% al 4,7%, y cifra el desplome en 2020 en el -11,1%, frente </w:t>
      </w:r>
      <w:r>
        <w:rPr>
          <w:rFonts w:ascii="Times New Roman" w:hAnsi="Times New Roman" w:cs="Times New Roman"/>
          <w:sz w:val="24"/>
          <w:szCs w:val="24"/>
        </w:rPr>
        <w:t>al -12,8% de hace cuatro meses.</w:t>
      </w:r>
    </w:p>
    <w:p w:rsidR="00675F68" w:rsidRDefault="00675F68" w:rsidP="00FA4DA9">
      <w:pPr>
        <w:spacing w:line="240" w:lineRule="auto"/>
        <w:jc w:val="both"/>
        <w:rPr>
          <w:rFonts w:ascii="Times New Roman" w:hAnsi="Times New Roman" w:cs="Times New Roman"/>
          <w:sz w:val="24"/>
          <w:szCs w:val="24"/>
        </w:rPr>
      </w:pPr>
    </w:p>
    <w:p w:rsidR="00F001EE" w:rsidRPr="006F4810" w:rsidRDefault="00F001EE" w:rsidP="00FA4DA9">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6609A467" wp14:editId="1AF4F2EA">
            <wp:extent cx="5733282" cy="2889250"/>
            <wp:effectExtent l="0" t="0" r="1270" b="6350"/>
            <wp:docPr id="64" name="Imagen 64" descr="FMI Crecimien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MI Crecimiento"/>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5731510" cy="2888357"/>
                    </a:xfrm>
                    <a:prstGeom prst="rect">
                      <a:avLst/>
                    </a:prstGeom>
                    <a:noFill/>
                    <a:ln>
                      <a:noFill/>
                    </a:ln>
                  </pic:spPr>
                </pic:pic>
              </a:graphicData>
            </a:graphic>
          </wp:inline>
        </w:drawing>
      </w:r>
    </w:p>
    <w:p w:rsidR="00F001EE" w:rsidRPr="00675F68" w:rsidRDefault="00F001EE" w:rsidP="00FA4DA9">
      <w:pPr>
        <w:spacing w:line="240" w:lineRule="auto"/>
        <w:jc w:val="both"/>
        <w:rPr>
          <w:rFonts w:ascii="Times New Roman" w:hAnsi="Times New Roman" w:cs="Times New Roman"/>
          <w:color w:val="FF0000"/>
          <w:sz w:val="24"/>
          <w:szCs w:val="24"/>
          <w:u w:val="single"/>
        </w:rPr>
      </w:pPr>
      <w:r w:rsidRPr="00675F68">
        <w:rPr>
          <w:rFonts w:ascii="Times New Roman" w:hAnsi="Times New Roman" w:cs="Times New Roman"/>
          <w:color w:val="FF0000"/>
          <w:sz w:val="24"/>
          <w:szCs w:val="24"/>
          <w:u w:val="single"/>
        </w:rPr>
        <w:t>La recuperación del crecimiento global proyectada para 2021, ex</w:t>
      </w:r>
      <w:r w:rsidR="00675F68" w:rsidRPr="00675F68">
        <w:rPr>
          <w:rFonts w:ascii="Times New Roman" w:hAnsi="Times New Roman" w:cs="Times New Roman"/>
          <w:color w:val="FF0000"/>
          <w:sz w:val="24"/>
          <w:szCs w:val="24"/>
          <w:u w:val="single"/>
        </w:rPr>
        <w:t>plica el FMI en un comunicado, “</w:t>
      </w:r>
      <w:r w:rsidRPr="00675F68">
        <w:rPr>
          <w:rFonts w:ascii="Times New Roman" w:hAnsi="Times New Roman" w:cs="Times New Roman"/>
          <w:color w:val="FF0000"/>
          <w:sz w:val="24"/>
          <w:szCs w:val="24"/>
          <w:u w:val="single"/>
        </w:rPr>
        <w:t xml:space="preserve">sigue a un colapso severo en 2020 que ha tenido un impacto adverso en las mujeres, los jóvenes, los pobres, los empleados informales y los que </w:t>
      </w:r>
      <w:r w:rsidR="0005599B">
        <w:rPr>
          <w:rFonts w:ascii="Times New Roman" w:hAnsi="Times New Roman" w:cs="Times New Roman"/>
          <w:color w:val="FF0000"/>
          <w:sz w:val="24"/>
          <w:szCs w:val="24"/>
          <w:u w:val="single"/>
        </w:rPr>
        <w:t>trabajan en sectores intensivos”</w:t>
      </w:r>
      <w:r w:rsidRPr="00675F68">
        <w:rPr>
          <w:rFonts w:ascii="Times New Roman" w:hAnsi="Times New Roman" w:cs="Times New Roman"/>
          <w:color w:val="FF0000"/>
          <w:sz w:val="24"/>
          <w:szCs w:val="24"/>
          <w:u w:val="single"/>
        </w:rPr>
        <w:t xml:space="preserve"> en todo el mundo. Con todo, la contracción del crecimiento mundial para 2020, que hoy se estima en el -3,5%, está 0,9 puntos porcentuales por encima de lo proyect</w:t>
      </w:r>
      <w:r w:rsidR="0005599B">
        <w:rPr>
          <w:rFonts w:ascii="Times New Roman" w:hAnsi="Times New Roman" w:cs="Times New Roman"/>
          <w:color w:val="FF0000"/>
          <w:sz w:val="24"/>
          <w:szCs w:val="24"/>
          <w:u w:val="single"/>
        </w:rPr>
        <w:t>ado en el pronóstico anterior, “</w:t>
      </w:r>
      <w:r w:rsidRPr="00675F68">
        <w:rPr>
          <w:rFonts w:ascii="Times New Roman" w:hAnsi="Times New Roman" w:cs="Times New Roman"/>
          <w:color w:val="FF0000"/>
          <w:sz w:val="24"/>
          <w:szCs w:val="24"/>
          <w:u w:val="single"/>
        </w:rPr>
        <w:t>lo que refleja un impulso más fuerte del esperado dur</w:t>
      </w:r>
      <w:r w:rsidR="00675F68" w:rsidRPr="00675F68">
        <w:rPr>
          <w:rFonts w:ascii="Times New Roman" w:hAnsi="Times New Roman" w:cs="Times New Roman"/>
          <w:color w:val="FF0000"/>
          <w:sz w:val="24"/>
          <w:szCs w:val="24"/>
          <w:u w:val="single"/>
        </w:rPr>
        <w:t>ante la segunda mitad de 2020”</w:t>
      </w:r>
      <w:r w:rsidRPr="00675F68">
        <w:rPr>
          <w:rFonts w:ascii="Times New Roman" w:hAnsi="Times New Roman" w:cs="Times New Roman"/>
          <w:color w:val="FF0000"/>
          <w:sz w:val="24"/>
          <w:szCs w:val="24"/>
          <w:u w:val="single"/>
        </w:rPr>
        <w:t>.</w:t>
      </w:r>
    </w:p>
    <w:p w:rsidR="00F001EE" w:rsidRPr="008C381B" w:rsidRDefault="00F001EE" w:rsidP="00FA4DA9">
      <w:pPr>
        <w:spacing w:line="240" w:lineRule="auto"/>
        <w:jc w:val="both"/>
        <w:rPr>
          <w:rFonts w:ascii="Times New Roman" w:hAnsi="Times New Roman" w:cs="Times New Roman"/>
          <w:color w:val="FF0000"/>
          <w:sz w:val="24"/>
          <w:szCs w:val="24"/>
          <w:u w:val="single"/>
        </w:rPr>
      </w:pPr>
      <w:r w:rsidRPr="008C381B">
        <w:rPr>
          <w:rFonts w:ascii="Times New Roman" w:hAnsi="Times New Roman" w:cs="Times New Roman"/>
          <w:color w:val="FF0000"/>
          <w:sz w:val="24"/>
          <w:szCs w:val="24"/>
          <w:u w:val="single"/>
        </w:rPr>
        <w:t>A nivel global, prosigue el organismo, el aumento del 5,5% para 2021 supone una revisión al alza de 0,3 puntos porcentuales respecto a las previsiones de octubre, u</w:t>
      </w:r>
      <w:r w:rsidR="00675F68" w:rsidRPr="008C381B">
        <w:rPr>
          <w:rFonts w:ascii="Times New Roman" w:hAnsi="Times New Roman" w:cs="Times New Roman"/>
          <w:color w:val="FF0000"/>
          <w:sz w:val="24"/>
          <w:szCs w:val="24"/>
          <w:u w:val="single"/>
        </w:rPr>
        <w:t>n cambio que vuelve a reflejar “</w:t>
      </w:r>
      <w:r w:rsidRPr="008C381B">
        <w:rPr>
          <w:rFonts w:ascii="Times New Roman" w:hAnsi="Times New Roman" w:cs="Times New Roman"/>
          <w:color w:val="FF0000"/>
          <w:sz w:val="24"/>
          <w:szCs w:val="24"/>
          <w:u w:val="single"/>
        </w:rPr>
        <w:t>las expectativas de un fortalecimiento de la actividad impulsado por la llegada de las vacunas y las medidas de apoyo adicional puestas en ma</w:t>
      </w:r>
      <w:r w:rsidR="00675F68" w:rsidRPr="008C381B">
        <w:rPr>
          <w:rFonts w:ascii="Times New Roman" w:hAnsi="Times New Roman" w:cs="Times New Roman"/>
          <w:color w:val="FF0000"/>
          <w:sz w:val="24"/>
          <w:szCs w:val="24"/>
          <w:u w:val="single"/>
        </w:rPr>
        <w:t>rcha en las grandes economías”</w:t>
      </w:r>
      <w:r w:rsidRPr="008C381B">
        <w:rPr>
          <w:rFonts w:ascii="Times New Roman" w:hAnsi="Times New Roman" w:cs="Times New Roman"/>
          <w:color w:val="FF0000"/>
          <w:sz w:val="24"/>
          <w:szCs w:val="24"/>
          <w:u w:val="single"/>
        </w:rPr>
        <w:t>.</w:t>
      </w:r>
    </w:p>
    <w:p w:rsidR="00F001EE" w:rsidRPr="006F4810" w:rsidRDefault="00F001EE" w:rsidP="00FA4DA9">
      <w:pPr>
        <w:spacing w:line="240" w:lineRule="auto"/>
        <w:jc w:val="both"/>
        <w:rPr>
          <w:rFonts w:ascii="Times New Roman" w:hAnsi="Times New Roman" w:cs="Times New Roman"/>
          <w:sz w:val="24"/>
          <w:szCs w:val="24"/>
        </w:rPr>
      </w:pPr>
      <w:r w:rsidRPr="001976E6">
        <w:rPr>
          <w:rFonts w:ascii="Times New Roman" w:hAnsi="Times New Roman" w:cs="Times New Roman"/>
          <w:sz w:val="24"/>
          <w:szCs w:val="24"/>
          <w:u w:val="single"/>
        </w:rPr>
        <w:t>Sin embargo, el FMI toma con cautela todas estas proyecciones e insiste en la creciente incertidumbre alimentada, sobre todo, por el alza de contagios en las pr</w:t>
      </w:r>
      <w:r w:rsidR="00675F68" w:rsidRPr="001976E6">
        <w:rPr>
          <w:rFonts w:ascii="Times New Roman" w:hAnsi="Times New Roman" w:cs="Times New Roman"/>
          <w:sz w:val="24"/>
          <w:szCs w:val="24"/>
          <w:u w:val="single"/>
        </w:rPr>
        <w:t>incipales economías del mundo</w:t>
      </w:r>
      <w:r w:rsidR="00675F68">
        <w:rPr>
          <w:rFonts w:ascii="Times New Roman" w:hAnsi="Times New Roman" w:cs="Times New Roman"/>
          <w:sz w:val="24"/>
          <w:szCs w:val="24"/>
        </w:rPr>
        <w:t>. “</w:t>
      </w:r>
      <w:r w:rsidRPr="006F4810">
        <w:rPr>
          <w:rFonts w:ascii="Times New Roman" w:hAnsi="Times New Roman" w:cs="Times New Roman"/>
          <w:sz w:val="24"/>
          <w:szCs w:val="24"/>
        </w:rPr>
        <w:t>El aumento de casos desde finales de 2020, incluidas las nuevas variantes del virus, los cierres perimetrales y los problemas logísticos con</w:t>
      </w:r>
      <w:r w:rsidR="00675F68">
        <w:rPr>
          <w:rFonts w:ascii="Times New Roman" w:hAnsi="Times New Roman" w:cs="Times New Roman"/>
          <w:sz w:val="24"/>
          <w:szCs w:val="24"/>
        </w:rPr>
        <w:t xml:space="preserve"> la distribución de las vacunas” obligan a tomar medidas para “</w:t>
      </w:r>
      <w:r w:rsidRPr="006F4810">
        <w:rPr>
          <w:rFonts w:ascii="Times New Roman" w:hAnsi="Times New Roman" w:cs="Times New Roman"/>
          <w:sz w:val="24"/>
          <w:szCs w:val="24"/>
        </w:rPr>
        <w:t>garantiz</w:t>
      </w:r>
      <w:r w:rsidR="00675F68">
        <w:rPr>
          <w:rFonts w:ascii="Times New Roman" w:hAnsi="Times New Roman" w:cs="Times New Roman"/>
          <w:sz w:val="24"/>
          <w:szCs w:val="24"/>
        </w:rPr>
        <w:t>ar una recuperación sostenida”</w:t>
      </w:r>
      <w:r>
        <w:rPr>
          <w:rFonts w:ascii="Times New Roman" w:hAnsi="Times New Roman" w:cs="Times New Roman"/>
          <w:sz w:val="24"/>
          <w:szCs w:val="24"/>
        </w:rPr>
        <w:t>.</w:t>
      </w:r>
    </w:p>
    <w:p w:rsidR="00F001EE" w:rsidRPr="006F4810" w:rsidRDefault="00F001EE" w:rsidP="00FA4DA9">
      <w:pPr>
        <w:spacing w:line="240" w:lineRule="auto"/>
        <w:jc w:val="both"/>
        <w:rPr>
          <w:rFonts w:ascii="Times New Roman" w:hAnsi="Times New Roman" w:cs="Times New Roman"/>
          <w:sz w:val="24"/>
          <w:szCs w:val="24"/>
        </w:rPr>
      </w:pPr>
      <w:r w:rsidRPr="00675F68">
        <w:rPr>
          <w:rFonts w:ascii="Times New Roman" w:hAnsi="Times New Roman" w:cs="Times New Roman"/>
          <w:color w:val="FF0000"/>
          <w:sz w:val="24"/>
          <w:szCs w:val="24"/>
          <w:u w:val="single"/>
        </w:rPr>
        <w:t>Por eso, sostiene el organismo que dirige Kristalina Georgieva, las nuevas restricciones tras el aument</w:t>
      </w:r>
      <w:r w:rsidR="00675F68" w:rsidRPr="00675F68">
        <w:rPr>
          <w:rFonts w:ascii="Times New Roman" w:hAnsi="Times New Roman" w:cs="Times New Roman"/>
          <w:color w:val="FF0000"/>
          <w:sz w:val="24"/>
          <w:szCs w:val="24"/>
          <w:u w:val="single"/>
        </w:rPr>
        <w:t>o repentino de los contagios, “especialmente en Europa”</w:t>
      </w:r>
      <w:r w:rsidRPr="00675F68">
        <w:rPr>
          <w:rFonts w:ascii="Times New Roman" w:hAnsi="Times New Roman" w:cs="Times New Roman"/>
          <w:color w:val="FF0000"/>
          <w:sz w:val="24"/>
          <w:szCs w:val="24"/>
          <w:u w:val="single"/>
        </w:rPr>
        <w:t>, sugieren que el crecimiento podría ser más débil de lo proyectado</w:t>
      </w:r>
      <w:r w:rsidRPr="006F4810">
        <w:rPr>
          <w:rFonts w:ascii="Times New Roman" w:hAnsi="Times New Roman" w:cs="Times New Roman"/>
          <w:sz w:val="24"/>
          <w:szCs w:val="24"/>
        </w:rPr>
        <w:t>. El FMI alerta de los riesgos aparejados a que la inmunización colectiva sea más lenta de lo esperado por los problemas en el suministro de las vacunas o porque los efectos de los viales sean menos fuertes de lo esp</w:t>
      </w:r>
      <w:r w:rsidR="001976E6">
        <w:rPr>
          <w:rFonts w:ascii="Times New Roman" w:hAnsi="Times New Roman" w:cs="Times New Roman"/>
          <w:sz w:val="24"/>
          <w:szCs w:val="24"/>
        </w:rPr>
        <w:t>erado. También pone el foco en “</w:t>
      </w:r>
      <w:r w:rsidRPr="006F4810">
        <w:rPr>
          <w:rFonts w:ascii="Times New Roman" w:hAnsi="Times New Roman" w:cs="Times New Roman"/>
          <w:sz w:val="24"/>
          <w:szCs w:val="24"/>
        </w:rPr>
        <w:t>la inte</w:t>
      </w:r>
      <w:r w:rsidR="001976E6">
        <w:rPr>
          <w:rFonts w:ascii="Times New Roman" w:hAnsi="Times New Roman" w:cs="Times New Roman"/>
          <w:sz w:val="24"/>
          <w:szCs w:val="24"/>
        </w:rPr>
        <w:t>nsificación del malestar social”</w:t>
      </w:r>
      <w:r w:rsidRPr="006F4810">
        <w:rPr>
          <w:rFonts w:ascii="Times New Roman" w:hAnsi="Times New Roman" w:cs="Times New Roman"/>
          <w:sz w:val="24"/>
          <w:szCs w:val="24"/>
        </w:rPr>
        <w:t xml:space="preserve"> debido al aumento de</w:t>
      </w:r>
      <w:r w:rsidR="001976E6">
        <w:rPr>
          <w:rFonts w:ascii="Times New Roman" w:hAnsi="Times New Roman" w:cs="Times New Roman"/>
          <w:sz w:val="24"/>
          <w:szCs w:val="24"/>
        </w:rPr>
        <w:t xml:space="preserve"> la desigualdad y a un posible “acceso desigual”</w:t>
      </w:r>
      <w:r w:rsidRPr="006F4810">
        <w:rPr>
          <w:rFonts w:ascii="Times New Roman" w:hAnsi="Times New Roman" w:cs="Times New Roman"/>
          <w:sz w:val="24"/>
          <w:szCs w:val="24"/>
        </w:rPr>
        <w:t xml:space="preserve"> a los tratamientos y, además, en el riesgo de que los países </w:t>
      </w:r>
      <w:r w:rsidR="001976E6">
        <w:rPr>
          <w:rFonts w:ascii="Times New Roman" w:hAnsi="Times New Roman" w:cs="Times New Roman"/>
          <w:sz w:val="24"/>
          <w:szCs w:val="24"/>
        </w:rPr>
        <w:t>retiren las políticas de apoyo “</w:t>
      </w:r>
      <w:r w:rsidRPr="006F4810">
        <w:rPr>
          <w:rFonts w:ascii="Times New Roman" w:hAnsi="Times New Roman" w:cs="Times New Roman"/>
          <w:sz w:val="24"/>
          <w:szCs w:val="24"/>
        </w:rPr>
        <w:t>antes de qu</w:t>
      </w:r>
      <w:r w:rsidR="001976E6">
        <w:rPr>
          <w:rFonts w:ascii="Times New Roman" w:hAnsi="Times New Roman" w:cs="Times New Roman"/>
          <w:sz w:val="24"/>
          <w:szCs w:val="24"/>
        </w:rPr>
        <w:t>e la recuperación se arraigue”</w:t>
      </w:r>
      <w:r>
        <w:rPr>
          <w:rFonts w:ascii="Times New Roman" w:hAnsi="Times New Roman" w:cs="Times New Roman"/>
          <w:sz w:val="24"/>
          <w:szCs w:val="24"/>
        </w:rPr>
        <w:t>.</w:t>
      </w:r>
    </w:p>
    <w:p w:rsidR="00F001EE" w:rsidRPr="001976E6" w:rsidRDefault="00F001EE" w:rsidP="00FA4DA9">
      <w:pPr>
        <w:spacing w:line="240" w:lineRule="auto"/>
        <w:jc w:val="both"/>
        <w:rPr>
          <w:rFonts w:ascii="Times New Roman" w:hAnsi="Times New Roman" w:cs="Times New Roman"/>
          <w:sz w:val="24"/>
          <w:szCs w:val="24"/>
        </w:rPr>
      </w:pPr>
      <w:r w:rsidRPr="001976E6">
        <w:rPr>
          <w:rFonts w:ascii="Times New Roman" w:hAnsi="Times New Roman" w:cs="Times New Roman"/>
          <w:color w:val="FF0000"/>
          <w:sz w:val="24"/>
          <w:szCs w:val="24"/>
          <w:u w:val="single"/>
        </w:rPr>
        <w:t>En un escenario positivo, y pese a que se prevé un apoyo adicional a las políticas fiscales para impulsar la actividad en algunos países, el FMI espera que la mayoría de las e</w:t>
      </w:r>
      <w:r w:rsidR="001976E6" w:rsidRPr="001976E6">
        <w:rPr>
          <w:rFonts w:ascii="Times New Roman" w:hAnsi="Times New Roman" w:cs="Times New Roman"/>
          <w:color w:val="FF0000"/>
          <w:sz w:val="24"/>
          <w:szCs w:val="24"/>
          <w:u w:val="single"/>
        </w:rPr>
        <w:t>conomías experimenten déficits “más bajos en 2021”</w:t>
      </w:r>
      <w:r w:rsidRPr="001976E6">
        <w:rPr>
          <w:rFonts w:ascii="Times New Roman" w:hAnsi="Times New Roman" w:cs="Times New Roman"/>
          <w:color w:val="FF0000"/>
          <w:sz w:val="24"/>
          <w:szCs w:val="24"/>
          <w:u w:val="single"/>
        </w:rPr>
        <w:t xml:space="preserve">. </w:t>
      </w:r>
      <w:r w:rsidRPr="006F4810">
        <w:rPr>
          <w:rFonts w:ascii="Times New Roman" w:hAnsi="Times New Roman" w:cs="Times New Roman"/>
          <w:sz w:val="24"/>
          <w:szCs w:val="24"/>
        </w:rPr>
        <w:t>Así, explica, el considerable apoyo fiscal anunciado para 2021 en algunos países, incluidos los recientes anuncios en Estados Unidos y Japón, junto al desbloqueo del fondo europeo Ne</w:t>
      </w:r>
      <w:r w:rsidR="001976E6">
        <w:rPr>
          <w:rFonts w:ascii="Times New Roman" w:hAnsi="Times New Roman" w:cs="Times New Roman"/>
          <w:sz w:val="24"/>
          <w:szCs w:val="24"/>
        </w:rPr>
        <w:t>xt Generation UE, “</w:t>
      </w:r>
      <w:r w:rsidRPr="006F4810">
        <w:rPr>
          <w:rFonts w:ascii="Times New Roman" w:hAnsi="Times New Roman" w:cs="Times New Roman"/>
          <w:sz w:val="24"/>
          <w:szCs w:val="24"/>
        </w:rPr>
        <w:t>ayudarán a impulsar la actividad económica entre las economías avanzadas con ef</w:t>
      </w:r>
      <w:r w:rsidR="001976E6">
        <w:rPr>
          <w:rFonts w:ascii="Times New Roman" w:hAnsi="Times New Roman" w:cs="Times New Roman"/>
          <w:sz w:val="24"/>
          <w:szCs w:val="24"/>
        </w:rPr>
        <w:t>ectos en sus socios comerciales”</w:t>
      </w:r>
      <w:r w:rsidRPr="006F4810">
        <w:rPr>
          <w:rFonts w:ascii="Times New Roman" w:hAnsi="Times New Roman" w:cs="Times New Roman"/>
          <w:sz w:val="24"/>
          <w:szCs w:val="24"/>
        </w:rPr>
        <w:t xml:space="preserve">. </w:t>
      </w:r>
      <w:r w:rsidRPr="006F4810">
        <w:rPr>
          <w:rFonts w:ascii="Times New Roman" w:hAnsi="Times New Roman" w:cs="Times New Roman"/>
          <w:sz w:val="24"/>
          <w:szCs w:val="24"/>
        </w:rPr>
        <w:lastRenderedPageBreak/>
        <w:t>Se prevé que los déficits fiscales en la mayoría de las capitales caigan a medida que aumentan los ingresos y el gasto público disminuya.</w:t>
      </w:r>
    </w:p>
    <w:p w:rsidR="00F001EE" w:rsidRDefault="00F001EE" w:rsidP="00FA4DA9">
      <w:pPr>
        <w:spacing w:line="240" w:lineRule="auto"/>
        <w:jc w:val="both"/>
        <w:rPr>
          <w:rFonts w:ascii="Times New Roman" w:hAnsi="Times New Roman" w:cs="Times New Roman"/>
          <w:sz w:val="24"/>
          <w:szCs w:val="24"/>
          <w:lang w:val="en-US"/>
        </w:rPr>
      </w:pPr>
      <w:r w:rsidRPr="006D60B8">
        <w:rPr>
          <w:rFonts w:ascii="Times New Roman" w:hAnsi="Times New Roman" w:cs="Times New Roman"/>
          <w:noProof/>
          <w:sz w:val="24"/>
          <w:szCs w:val="24"/>
          <w:lang w:eastAsia="es-ES"/>
        </w:rPr>
        <w:drawing>
          <wp:inline distT="0" distB="0" distL="0" distR="0" wp14:anchorId="4217B946" wp14:editId="232B8A19">
            <wp:extent cx="5664200" cy="3486150"/>
            <wp:effectExtent l="0" t="0" r="0" b="0"/>
            <wp:docPr id="96" name="Imagen 96" descr="curva del elefa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rva del elefante"/>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5664200" cy="3486150"/>
                    </a:xfrm>
                    <a:prstGeom prst="rect">
                      <a:avLst/>
                    </a:prstGeom>
                    <a:noFill/>
                    <a:ln>
                      <a:noFill/>
                    </a:ln>
                  </pic:spPr>
                </pic:pic>
              </a:graphicData>
            </a:graphic>
          </wp:inline>
        </w:drawing>
      </w:r>
    </w:p>
    <w:p w:rsidR="00F001EE" w:rsidRDefault="00F001EE" w:rsidP="00FA4DA9">
      <w:pPr>
        <w:spacing w:line="240" w:lineRule="auto"/>
        <w:jc w:val="both"/>
        <w:rPr>
          <w:rFonts w:ascii="Times New Roman" w:hAnsi="Times New Roman" w:cs="Times New Roman"/>
          <w:sz w:val="24"/>
          <w:szCs w:val="24"/>
          <w:lang w:val="en-US"/>
        </w:rPr>
      </w:pPr>
      <w:r w:rsidRPr="006D60B8">
        <w:rPr>
          <w:rFonts w:ascii="Times New Roman" w:hAnsi="Times New Roman" w:cs="Times New Roman"/>
          <w:noProof/>
          <w:sz w:val="24"/>
          <w:szCs w:val="24"/>
          <w:lang w:eastAsia="es-ES"/>
        </w:rPr>
        <w:drawing>
          <wp:inline distT="0" distB="0" distL="0" distR="0" wp14:anchorId="585DA87D" wp14:editId="1C15A139">
            <wp:extent cx="5695950" cy="4318000"/>
            <wp:effectExtent l="0" t="0" r="0" b="6350"/>
            <wp:docPr id="65" name="Imagen 65" descr="Curva sin elefa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rva sin elefante"/>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5695950" cy="4318000"/>
                    </a:xfrm>
                    <a:prstGeom prst="rect">
                      <a:avLst/>
                    </a:prstGeom>
                    <a:noFill/>
                    <a:ln>
                      <a:noFill/>
                    </a:ln>
                  </pic:spPr>
                </pic:pic>
              </a:graphicData>
            </a:graphic>
          </wp:inline>
        </w:drawing>
      </w:r>
    </w:p>
    <w:p w:rsidR="004609CD" w:rsidRDefault="004609CD" w:rsidP="00FA4DA9">
      <w:pPr>
        <w:spacing w:line="240" w:lineRule="auto"/>
        <w:jc w:val="both"/>
        <w:rPr>
          <w:rFonts w:ascii="Times New Roman" w:hAnsi="Times New Roman" w:cs="Times New Roman"/>
          <w:sz w:val="24"/>
          <w:szCs w:val="24"/>
          <w:lang w:val="en-US"/>
        </w:rPr>
      </w:pPr>
    </w:p>
    <w:p w:rsidR="00F001EE" w:rsidRPr="00337D10" w:rsidRDefault="00F001EE"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337D10">
        <w:rPr>
          <w:rFonts w:ascii="Times New Roman" w:hAnsi="Times New Roman" w:cs="Times New Roman"/>
          <w:sz w:val="24"/>
          <w:szCs w:val="24"/>
          <w:u w:val="single"/>
        </w:rPr>
        <w:t>El fracaso de Europa: ni frena el virus ni reactiva la economía</w:t>
      </w:r>
      <w:r>
        <w:rPr>
          <w:rFonts w:ascii="Times New Roman" w:hAnsi="Times New Roman" w:cs="Times New Roman"/>
          <w:sz w:val="24"/>
          <w:szCs w:val="24"/>
        </w:rPr>
        <w:t xml:space="preserve"> (El Confidencial - </w:t>
      </w:r>
      <w:r w:rsidRPr="00337D10">
        <w:rPr>
          <w:rFonts w:ascii="Times New Roman" w:hAnsi="Times New Roman" w:cs="Times New Roman"/>
          <w:b/>
          <w:sz w:val="24"/>
          <w:szCs w:val="24"/>
        </w:rPr>
        <w:t>28/1/21</w:t>
      </w:r>
      <w:r>
        <w:rPr>
          <w:rFonts w:ascii="Times New Roman" w:hAnsi="Times New Roman" w:cs="Times New Roman"/>
          <w:sz w:val="24"/>
          <w:szCs w:val="24"/>
        </w:rPr>
        <w:t>)</w:t>
      </w:r>
    </w:p>
    <w:p w:rsidR="00F001EE" w:rsidRPr="00FD2C14" w:rsidRDefault="00F001EE" w:rsidP="00FA4DA9">
      <w:pPr>
        <w:spacing w:line="240" w:lineRule="auto"/>
        <w:jc w:val="both"/>
        <w:rPr>
          <w:rFonts w:ascii="Times New Roman" w:hAnsi="Times New Roman" w:cs="Times New Roman"/>
          <w:color w:val="FF0000"/>
          <w:sz w:val="24"/>
          <w:szCs w:val="24"/>
        </w:rPr>
      </w:pPr>
      <w:r w:rsidRPr="00FD2C14">
        <w:rPr>
          <w:rFonts w:ascii="Times New Roman" w:hAnsi="Times New Roman" w:cs="Times New Roman"/>
          <w:color w:val="FF0000"/>
          <w:sz w:val="24"/>
          <w:szCs w:val="24"/>
        </w:rPr>
        <w:t>La estrategia de la UE está</w:t>
      </w:r>
      <w:r w:rsidR="001976E6">
        <w:rPr>
          <w:rFonts w:ascii="Times New Roman" w:hAnsi="Times New Roman" w:cs="Times New Roman"/>
          <w:color w:val="FF0000"/>
          <w:sz w:val="24"/>
          <w:szCs w:val="24"/>
        </w:rPr>
        <w:t xml:space="preserve"> a medio camino entre la china -confinamientos estrictos- y la de EEUU -mantener la economía abierta-</w:t>
      </w:r>
      <w:r w:rsidRPr="00FD2C14">
        <w:rPr>
          <w:rFonts w:ascii="Times New Roman" w:hAnsi="Times New Roman" w:cs="Times New Roman"/>
          <w:color w:val="FF0000"/>
          <w:sz w:val="24"/>
          <w:szCs w:val="24"/>
        </w:rPr>
        <w:t xml:space="preserve">, pero está cosechando los peores resultados de cada una de ellas </w:t>
      </w:r>
    </w:p>
    <w:p w:rsidR="00F001EE" w:rsidRDefault="00F001EE" w:rsidP="00FA4DA9">
      <w:pPr>
        <w:spacing w:line="240" w:lineRule="auto"/>
        <w:jc w:val="both"/>
        <w:rPr>
          <w:rFonts w:ascii="Times New Roman" w:hAnsi="Times New Roman" w:cs="Times New Roman"/>
          <w:sz w:val="24"/>
          <w:szCs w:val="24"/>
        </w:rPr>
      </w:pPr>
      <w:r w:rsidRPr="00337D10">
        <w:rPr>
          <w:rFonts w:ascii="Times New Roman" w:hAnsi="Times New Roman" w:cs="Times New Roman"/>
          <w:noProof/>
          <w:sz w:val="24"/>
          <w:szCs w:val="24"/>
          <w:lang w:eastAsia="es-ES"/>
        </w:rPr>
        <w:drawing>
          <wp:inline distT="0" distB="0" distL="0" distR="0" wp14:anchorId="04D6CB12" wp14:editId="3F393054">
            <wp:extent cx="5731299" cy="3282950"/>
            <wp:effectExtent l="0" t="0" r="3175"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5"/>
                    <a:stretch>
                      <a:fillRect/>
                    </a:stretch>
                  </pic:blipFill>
                  <pic:spPr>
                    <a:xfrm>
                      <a:off x="0" y="0"/>
                      <a:ext cx="5731510" cy="3283071"/>
                    </a:xfrm>
                    <a:prstGeom prst="rect">
                      <a:avLst/>
                    </a:prstGeom>
                  </pic:spPr>
                </pic:pic>
              </a:graphicData>
            </a:graphic>
          </wp:inline>
        </w:drawing>
      </w:r>
    </w:p>
    <w:p w:rsidR="004609CD" w:rsidRDefault="004609CD" w:rsidP="00FA4DA9">
      <w:pPr>
        <w:spacing w:line="240" w:lineRule="auto"/>
        <w:jc w:val="both"/>
        <w:rPr>
          <w:rFonts w:ascii="Times New Roman" w:hAnsi="Times New Roman" w:cs="Times New Roman"/>
          <w:sz w:val="24"/>
          <w:szCs w:val="24"/>
        </w:rPr>
      </w:pPr>
    </w:p>
    <w:p w:rsidR="004609CD" w:rsidRDefault="004609CD" w:rsidP="00FA4DA9">
      <w:pPr>
        <w:spacing w:line="240" w:lineRule="auto"/>
        <w:jc w:val="both"/>
        <w:rPr>
          <w:rFonts w:ascii="Times New Roman" w:hAnsi="Times New Roman" w:cs="Times New Roman"/>
          <w:sz w:val="24"/>
          <w:szCs w:val="24"/>
        </w:rPr>
      </w:pPr>
    </w:p>
    <w:p w:rsidR="00F001EE" w:rsidRDefault="00F001EE" w:rsidP="00FA4DA9">
      <w:pPr>
        <w:spacing w:line="240" w:lineRule="auto"/>
        <w:jc w:val="both"/>
        <w:rPr>
          <w:rFonts w:ascii="Times New Roman" w:hAnsi="Times New Roman" w:cs="Times New Roman"/>
          <w:sz w:val="24"/>
          <w:szCs w:val="24"/>
        </w:rPr>
      </w:pPr>
      <w:r w:rsidRPr="00337D10">
        <w:rPr>
          <w:rFonts w:ascii="Times New Roman" w:hAnsi="Times New Roman" w:cs="Times New Roman"/>
          <w:noProof/>
          <w:sz w:val="24"/>
          <w:szCs w:val="24"/>
          <w:lang w:eastAsia="es-ES"/>
        </w:rPr>
        <w:drawing>
          <wp:inline distT="0" distB="0" distL="0" distR="0" wp14:anchorId="0FFFE89A" wp14:editId="678B0681">
            <wp:extent cx="5733113" cy="3511550"/>
            <wp:effectExtent l="0" t="0" r="1270"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6"/>
                    <a:stretch>
                      <a:fillRect/>
                    </a:stretch>
                  </pic:blipFill>
                  <pic:spPr>
                    <a:xfrm>
                      <a:off x="0" y="0"/>
                      <a:ext cx="5731510" cy="3510568"/>
                    </a:xfrm>
                    <a:prstGeom prst="rect">
                      <a:avLst/>
                    </a:prstGeom>
                  </pic:spPr>
                </pic:pic>
              </a:graphicData>
            </a:graphic>
          </wp:inline>
        </w:drawing>
      </w:r>
    </w:p>
    <w:p w:rsidR="004609CD" w:rsidRDefault="004609CD" w:rsidP="00FA4DA9">
      <w:pPr>
        <w:spacing w:line="240" w:lineRule="auto"/>
        <w:jc w:val="both"/>
        <w:rPr>
          <w:rFonts w:ascii="Times New Roman" w:hAnsi="Times New Roman" w:cs="Times New Roman"/>
          <w:sz w:val="24"/>
          <w:szCs w:val="24"/>
        </w:rPr>
      </w:pPr>
    </w:p>
    <w:p w:rsidR="00F001EE" w:rsidRPr="00EB7E03" w:rsidRDefault="00F001EE"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EB7E03">
        <w:rPr>
          <w:rFonts w:ascii="Times New Roman" w:hAnsi="Times New Roman" w:cs="Times New Roman"/>
          <w:sz w:val="24"/>
          <w:szCs w:val="24"/>
          <w:u w:val="single"/>
        </w:rPr>
        <w:t>Xi Jinping inaugura Davos como</w:t>
      </w:r>
      <w:r>
        <w:rPr>
          <w:rFonts w:ascii="Times New Roman" w:hAnsi="Times New Roman" w:cs="Times New Roman"/>
          <w:sz w:val="24"/>
          <w:szCs w:val="24"/>
          <w:u w:val="single"/>
        </w:rPr>
        <w:t xml:space="preserve"> invitado de honor y advierte: “</w:t>
      </w:r>
      <w:r w:rsidRPr="00EB7E03">
        <w:rPr>
          <w:rFonts w:ascii="Times New Roman" w:hAnsi="Times New Roman" w:cs="Times New Roman"/>
          <w:sz w:val="24"/>
          <w:szCs w:val="24"/>
          <w:u w:val="single"/>
        </w:rPr>
        <w:t>El mundo no volverá a ser como antes</w:t>
      </w:r>
      <w:r>
        <w:rPr>
          <w:rFonts w:ascii="Times New Roman" w:hAnsi="Times New Roman" w:cs="Times New Roman"/>
          <w:sz w:val="24"/>
          <w:szCs w:val="24"/>
        </w:rPr>
        <w:t xml:space="preserve">” (Libertad Digital - </w:t>
      </w:r>
      <w:r>
        <w:rPr>
          <w:rFonts w:ascii="Times New Roman" w:hAnsi="Times New Roman" w:cs="Times New Roman"/>
          <w:b/>
          <w:sz w:val="24"/>
          <w:szCs w:val="24"/>
        </w:rPr>
        <w:t>28</w:t>
      </w:r>
      <w:r w:rsidRPr="00EB7E03">
        <w:rPr>
          <w:rFonts w:ascii="Times New Roman" w:hAnsi="Times New Roman" w:cs="Times New Roman"/>
          <w:b/>
          <w:sz w:val="24"/>
          <w:szCs w:val="24"/>
        </w:rPr>
        <w:t>/1/21</w:t>
      </w:r>
      <w:r>
        <w:rPr>
          <w:rFonts w:ascii="Times New Roman" w:hAnsi="Times New Roman" w:cs="Times New Roman"/>
          <w:sz w:val="24"/>
          <w:szCs w:val="24"/>
        </w:rPr>
        <w:t>)</w:t>
      </w:r>
    </w:p>
    <w:p w:rsidR="00F001EE" w:rsidRDefault="00F001EE"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(Por Elena Berberana)</w:t>
      </w:r>
    </w:p>
    <w:p w:rsidR="00F001EE" w:rsidRPr="00EB7E03" w:rsidRDefault="00F001EE" w:rsidP="00FA4DA9">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Xi Jinping, presidente de la República Popular de China y secretario del Partido Comunista Chino (PCCh), ha sido el invitado de honor en la 51º Edición del Foro Económico Mundial, también conocido como Foro de Davos.</w:t>
      </w:r>
    </w:p>
    <w:p w:rsidR="00F001EE" w:rsidRPr="001976E6" w:rsidRDefault="00F001EE" w:rsidP="00FA4DA9">
      <w:pPr>
        <w:spacing w:line="240" w:lineRule="auto"/>
        <w:jc w:val="both"/>
        <w:rPr>
          <w:rFonts w:ascii="Times New Roman" w:hAnsi="Times New Roman" w:cs="Times New Roman"/>
          <w:b/>
          <w:color w:val="FF0000"/>
          <w:sz w:val="24"/>
          <w:szCs w:val="24"/>
          <w:u w:val="single"/>
        </w:rPr>
      </w:pPr>
      <w:r w:rsidRPr="001976E6">
        <w:rPr>
          <w:rFonts w:ascii="Times New Roman" w:hAnsi="Times New Roman" w:cs="Times New Roman"/>
          <w:b/>
          <w:color w:val="FF0000"/>
          <w:sz w:val="24"/>
          <w:szCs w:val="24"/>
          <w:u w:val="single"/>
        </w:rPr>
        <w:t>El mandatario comunista ha inaugurado la cumbre virtual con un discurso triunfalista y un manual de deberes y órdenes dirigidas a los líderes mundiales. El presidente chino ha presumido de ser la única economía que ha crecido en mitad de la pandemia del coronavirus y ha advertido que “el mundo ya no será como antes”.</w:t>
      </w:r>
    </w:p>
    <w:p w:rsidR="00F001EE" w:rsidRPr="001976E6" w:rsidRDefault="00F001EE" w:rsidP="00FA4DA9">
      <w:pPr>
        <w:spacing w:line="240" w:lineRule="auto"/>
        <w:jc w:val="both"/>
        <w:rPr>
          <w:rFonts w:ascii="Times New Roman" w:hAnsi="Times New Roman" w:cs="Times New Roman"/>
          <w:b/>
          <w:color w:val="FF0000"/>
          <w:sz w:val="24"/>
          <w:szCs w:val="24"/>
          <w:u w:val="single"/>
        </w:rPr>
      </w:pPr>
      <w:r w:rsidRPr="001976E6">
        <w:rPr>
          <w:rFonts w:ascii="Times New Roman" w:hAnsi="Times New Roman" w:cs="Times New Roman"/>
          <w:b/>
          <w:color w:val="FF0000"/>
          <w:sz w:val="24"/>
          <w:szCs w:val="24"/>
          <w:u w:val="single"/>
        </w:rPr>
        <w:t>Pese a que el gobierno chino ocultó el virus desde principios de enero de 2020 a la comunidad internacional, dejó que volarán aviones durante dos meses desde China al resto del mundo, transportando enfermos contagiados, y desabasteció de mascarillas a numerosos países europeos y americanos, mientras la covid-19 se expandía, ninguno de los líderes mundiales le ha recriminado nada a Xi Jinping. Es más, algunos casi se ponen de rodillas ante el presidente chino, como es el caso del fundador del Foro Económico Mundial, Klaus Schwab.</w:t>
      </w:r>
    </w:p>
    <w:p w:rsidR="00F001EE" w:rsidRPr="00EB7E03" w:rsidRDefault="00F001EE" w:rsidP="00FA4DA9">
      <w:pPr>
        <w:spacing w:line="240" w:lineRule="auto"/>
        <w:jc w:val="both"/>
        <w:rPr>
          <w:rFonts w:ascii="Times New Roman" w:hAnsi="Times New Roman" w:cs="Times New Roman"/>
          <w:sz w:val="24"/>
          <w:szCs w:val="24"/>
          <w:u w:val="single"/>
        </w:rPr>
      </w:pPr>
      <w:r w:rsidRPr="00EB7E03">
        <w:rPr>
          <w:rFonts w:ascii="Times New Roman" w:hAnsi="Times New Roman" w:cs="Times New Roman"/>
          <w:sz w:val="24"/>
          <w:szCs w:val="24"/>
          <w:u w:val="single"/>
        </w:rPr>
        <w:t>Este economista y empresario alemán de ideas izquierdistas ha alabado al secretario general del PCCh y, en su presentación, ha destacado las políticas económicas de China y su gestión del coronavirus. “Tenemos que comenzar una nueva era global y contamos con usted. Muchas gracias, señor presidente, por esta declaración de principios y por recordarnos que somos parte de una comunidad global que comparte el mismo futuro común”, ha señalado el fundador del Foro dirigiéndose a Jinping.</w:t>
      </w:r>
    </w:p>
    <w:p w:rsidR="00F001EE" w:rsidRPr="00EB7E03" w:rsidRDefault="00F001EE" w:rsidP="00FA4DA9">
      <w:pPr>
        <w:spacing w:line="240" w:lineRule="auto"/>
        <w:jc w:val="both"/>
        <w:rPr>
          <w:rFonts w:ascii="Times New Roman" w:hAnsi="Times New Roman" w:cs="Times New Roman"/>
          <w:color w:val="FF0000"/>
          <w:sz w:val="24"/>
          <w:szCs w:val="24"/>
          <w:u w:val="single"/>
        </w:rPr>
      </w:pPr>
      <w:r w:rsidRPr="00EB7E03">
        <w:rPr>
          <w:rFonts w:ascii="Times New Roman" w:hAnsi="Times New Roman" w:cs="Times New Roman"/>
          <w:color w:val="FF0000"/>
          <w:sz w:val="24"/>
          <w:szCs w:val="24"/>
          <w:u w:val="single"/>
        </w:rPr>
        <w:t>En un contexto tan favorable, el líder comunista ha dejado claro que China ha salido vencedora de la tragedia sanitaria mundial y ha instado a los países a seguir su ejemplo. “En China estamos siguiendo el camino hacia un país socialista moderno. Ahora, desempeñaremos un papel más activo para fomentar una globalización económica mundial que sea más abierta, inclusiva, equilibrada y beneficiosa para todos”, ha pronunciado el líder del PCCh desde su despacho en Pekín.</w:t>
      </w:r>
    </w:p>
    <w:p w:rsidR="00F001EE" w:rsidRPr="00EB7E03" w:rsidRDefault="00F001EE" w:rsidP="00FA4DA9">
      <w:pPr>
        <w:spacing w:line="240" w:lineRule="auto"/>
        <w:jc w:val="both"/>
        <w:rPr>
          <w:rFonts w:ascii="Times New Roman" w:hAnsi="Times New Roman" w:cs="Times New Roman"/>
          <w:sz w:val="24"/>
          <w:szCs w:val="24"/>
          <w:u w:val="single"/>
        </w:rPr>
      </w:pPr>
      <w:r w:rsidRPr="00EB7E03">
        <w:rPr>
          <w:rFonts w:ascii="Times New Roman" w:hAnsi="Times New Roman" w:cs="Times New Roman"/>
          <w:color w:val="FF0000"/>
          <w:sz w:val="24"/>
          <w:szCs w:val="24"/>
          <w:u w:val="single"/>
        </w:rPr>
        <w:t>China se declara victoriosa de una pandemia que se expandió por su ocultamiento y, no olvidemos, contó con el encubrimiento inicial de la Organización Mundial de la Salud (OMS), que se negó a escuchar el aviso de Taiwán el 31 de diciembre de 2019, tal y como afirma el gobierno de la isla</w:t>
      </w:r>
      <w:r w:rsidRPr="00EB7E03">
        <w:rPr>
          <w:rFonts w:ascii="Times New Roman" w:hAnsi="Times New Roman" w:cs="Times New Roman"/>
          <w:sz w:val="24"/>
          <w:szCs w:val="24"/>
        </w:rPr>
        <w:t xml:space="preserve">. </w:t>
      </w:r>
      <w:r w:rsidRPr="00EB7E03">
        <w:rPr>
          <w:rFonts w:ascii="Times New Roman" w:hAnsi="Times New Roman" w:cs="Times New Roman"/>
          <w:sz w:val="24"/>
          <w:szCs w:val="24"/>
          <w:u w:val="single"/>
        </w:rPr>
        <w:t>El propio embajador taiwanés en España, José María Liu, denunció esta situación a Libertad Digital en una video-entrevista.</w:t>
      </w:r>
    </w:p>
    <w:p w:rsidR="00F001EE" w:rsidRPr="00EB7E03" w:rsidRDefault="00F001EE" w:rsidP="00FA4DA9">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China se fortalece y eleva la represión</w:t>
      </w:r>
    </w:p>
    <w:p w:rsidR="00F001EE" w:rsidRPr="00EB7E03" w:rsidRDefault="00F001EE" w:rsidP="00FA4DA9">
      <w:pPr>
        <w:spacing w:line="240" w:lineRule="auto"/>
        <w:jc w:val="both"/>
        <w:rPr>
          <w:rFonts w:ascii="Times New Roman" w:hAnsi="Times New Roman" w:cs="Times New Roman"/>
          <w:color w:val="FF0000"/>
          <w:sz w:val="24"/>
          <w:szCs w:val="24"/>
          <w:u w:val="single"/>
        </w:rPr>
      </w:pPr>
      <w:r w:rsidRPr="00EB7E03">
        <w:rPr>
          <w:rFonts w:ascii="Times New Roman" w:hAnsi="Times New Roman" w:cs="Times New Roman"/>
          <w:color w:val="FF0000"/>
          <w:sz w:val="24"/>
          <w:szCs w:val="24"/>
          <w:u w:val="single"/>
        </w:rPr>
        <w:t xml:space="preserve">Y mientras Occidente ha visto sus economías desplomarse, el PIB del gigante asiático ha crecido un 2,3% en 2020, consolidándose como el único país del G-20 que ha visto su economía prosperar en medio de la pandemia. </w:t>
      </w:r>
      <w:r w:rsidRPr="00EB7E03">
        <w:rPr>
          <w:rFonts w:ascii="Times New Roman" w:hAnsi="Times New Roman" w:cs="Times New Roman"/>
          <w:b/>
          <w:color w:val="FF0000"/>
          <w:sz w:val="24"/>
          <w:szCs w:val="24"/>
          <w:u w:val="single"/>
        </w:rPr>
        <w:t>Su posición de fortaleza ha hecho que Xi Jinping haya l</w:t>
      </w:r>
      <w:r w:rsidR="001976E6">
        <w:rPr>
          <w:rFonts w:ascii="Times New Roman" w:hAnsi="Times New Roman" w:cs="Times New Roman"/>
          <w:b/>
          <w:color w:val="FF0000"/>
          <w:sz w:val="24"/>
          <w:szCs w:val="24"/>
          <w:u w:val="single"/>
        </w:rPr>
        <w:t>anzado un mensaje inquietante: “</w:t>
      </w:r>
      <w:r w:rsidRPr="00EB7E03">
        <w:rPr>
          <w:rFonts w:ascii="Times New Roman" w:hAnsi="Times New Roman" w:cs="Times New Roman"/>
          <w:b/>
          <w:color w:val="FF0000"/>
          <w:sz w:val="24"/>
          <w:szCs w:val="24"/>
          <w:u w:val="single"/>
        </w:rPr>
        <w:t>No debe haber países uno por encima del otro. No debe haber jerarquía. Ni debe haber un país que imponga sus normas sobre los demás. De lo contrario, volveremos a la ley de la selva. Debemos dejar de imponer unos sistemas sociales y culturales por encima de otros”, ha especificado</w:t>
      </w:r>
      <w:r w:rsidRPr="00EB7E03">
        <w:rPr>
          <w:rFonts w:ascii="Times New Roman" w:hAnsi="Times New Roman" w:cs="Times New Roman"/>
          <w:color w:val="FF0000"/>
          <w:sz w:val="24"/>
          <w:szCs w:val="24"/>
          <w:u w:val="single"/>
        </w:rPr>
        <w:t>. Sin embargo, China está lejos de ser un lugar que preserva las libertades de los ciudadanos.</w:t>
      </w:r>
    </w:p>
    <w:p w:rsidR="00F001EE" w:rsidRPr="00EB7E03" w:rsidRDefault="00F001EE" w:rsidP="00FA4DA9">
      <w:pPr>
        <w:spacing w:line="240" w:lineRule="auto"/>
        <w:jc w:val="both"/>
        <w:rPr>
          <w:rFonts w:ascii="Times New Roman" w:hAnsi="Times New Roman" w:cs="Times New Roman"/>
          <w:sz w:val="24"/>
          <w:szCs w:val="24"/>
          <w:u w:val="single"/>
        </w:rPr>
      </w:pPr>
      <w:r w:rsidRPr="00EB7E03">
        <w:rPr>
          <w:rFonts w:ascii="Times New Roman" w:hAnsi="Times New Roman" w:cs="Times New Roman"/>
          <w:sz w:val="24"/>
          <w:szCs w:val="24"/>
        </w:rPr>
        <w:lastRenderedPageBreak/>
        <w:t xml:space="preserve">Organismos como Amnistía Internacional denuncian que el gobierno de Xi Jinping ha elevado la represión y han aumentado las detenciones y encarcelamientos de los disidentes en Hong Kong. Igualmente, </w:t>
      </w:r>
      <w:r w:rsidRPr="00EB7E03">
        <w:rPr>
          <w:rFonts w:ascii="Times New Roman" w:hAnsi="Times New Roman" w:cs="Times New Roman"/>
          <w:sz w:val="24"/>
          <w:szCs w:val="24"/>
          <w:u w:val="single"/>
        </w:rPr>
        <w:t>numerosos médicos, científicos y periodistas huidos del régimen comunista han informado de los secuestros y muertes de aquellos que desafiaron al PCCh y hablaron sobre el origen del coronavirus. Según la agencia de noticias japonesa Kyodo, el mismo Jinping señaló públicamente que los doctores podrían ser acusados de espionaje e incluso condenados con la pena de muerte.</w:t>
      </w:r>
    </w:p>
    <w:p w:rsidR="00F001EE" w:rsidRPr="00EB7E03" w:rsidRDefault="00F001EE" w:rsidP="00FA4DA9">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En el mismo sentido, el gobierno de Taiwán también ha criticado duramente el desfile de aviones militares chinos que sobrevuelan amenazantes la isla, con el objetivo de tomar el control del país. Igualmente, varias ONG han reiterado en numerosas ocasiones el sometimiento y explotación de la minoría uigur. Este grupo étnico y religioso es perseguido en China e internado en campos denominados por el Par</w:t>
      </w:r>
      <w:r>
        <w:rPr>
          <w:rFonts w:ascii="Times New Roman" w:hAnsi="Times New Roman" w:cs="Times New Roman"/>
          <w:sz w:val="24"/>
          <w:szCs w:val="24"/>
        </w:rPr>
        <w:t>tido Comunista Chino como “</w:t>
      </w:r>
      <w:r w:rsidRPr="00EB7E03">
        <w:rPr>
          <w:rFonts w:ascii="Times New Roman" w:hAnsi="Times New Roman" w:cs="Times New Roman"/>
          <w:sz w:val="24"/>
          <w:szCs w:val="24"/>
        </w:rPr>
        <w:t>centros de educación ideológic</w:t>
      </w:r>
      <w:r>
        <w:rPr>
          <w:rFonts w:ascii="Times New Roman" w:hAnsi="Times New Roman" w:cs="Times New Roman"/>
          <w:sz w:val="24"/>
          <w:szCs w:val="24"/>
        </w:rPr>
        <w:t>a y entrenamiento profesional”.</w:t>
      </w:r>
    </w:p>
    <w:p w:rsidR="00F001EE" w:rsidRPr="00EB7E03" w:rsidRDefault="00F001EE" w:rsidP="00FA4DA9">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Nueva Guerra Fría</w:t>
      </w:r>
    </w:p>
    <w:p w:rsidR="00F001EE" w:rsidRPr="000C0316" w:rsidRDefault="00F001EE" w:rsidP="00FA4DA9">
      <w:pPr>
        <w:spacing w:line="240" w:lineRule="auto"/>
        <w:jc w:val="both"/>
        <w:rPr>
          <w:rFonts w:ascii="Times New Roman" w:hAnsi="Times New Roman" w:cs="Times New Roman"/>
          <w:sz w:val="24"/>
          <w:szCs w:val="24"/>
          <w:u w:val="single"/>
        </w:rPr>
      </w:pPr>
      <w:r w:rsidRPr="000C0316">
        <w:rPr>
          <w:rFonts w:ascii="Times New Roman" w:hAnsi="Times New Roman" w:cs="Times New Roman"/>
          <w:sz w:val="24"/>
          <w:szCs w:val="24"/>
          <w:u w:val="single"/>
        </w:rPr>
        <w:t>No obstante, ninguno de los líderes presentes en la primera sesión virtual del Foro Davos 2021, entre ellos la presidenta de la Comisión Europea, Ursula von der Leyen, la canciller alemana, Angela Merkel y el presidente de Francia, Emmanuel Macron, han mencionado estos asuntos</w:t>
      </w:r>
      <w:r w:rsidRPr="00EB7E03">
        <w:rPr>
          <w:rFonts w:ascii="Times New Roman" w:hAnsi="Times New Roman" w:cs="Times New Roman"/>
          <w:sz w:val="24"/>
          <w:szCs w:val="24"/>
        </w:rPr>
        <w:t xml:space="preserve">. </w:t>
      </w:r>
      <w:r w:rsidRPr="000C0316">
        <w:rPr>
          <w:rFonts w:ascii="Times New Roman" w:hAnsi="Times New Roman" w:cs="Times New Roman"/>
          <w:sz w:val="24"/>
          <w:szCs w:val="24"/>
          <w:u w:val="single"/>
        </w:rPr>
        <w:t>Tampoco lo ha hecho EEUU</w:t>
      </w:r>
      <w:r w:rsidRPr="00EB7E03">
        <w:rPr>
          <w:rFonts w:ascii="Times New Roman" w:hAnsi="Times New Roman" w:cs="Times New Roman"/>
          <w:sz w:val="24"/>
          <w:szCs w:val="24"/>
        </w:rPr>
        <w:t xml:space="preserve">, después de que Trump pusiera los puntos sobre las íes al Partido Comunista Chino. </w:t>
      </w:r>
      <w:r w:rsidRPr="000C0316">
        <w:rPr>
          <w:rFonts w:ascii="Times New Roman" w:hAnsi="Times New Roman" w:cs="Times New Roman"/>
          <w:sz w:val="24"/>
          <w:szCs w:val="24"/>
          <w:u w:val="single"/>
        </w:rPr>
        <w:t>La Administración de Joe Biden</w:t>
      </w:r>
      <w:r w:rsidRPr="00EB7E03">
        <w:rPr>
          <w:rFonts w:ascii="Times New Roman" w:hAnsi="Times New Roman" w:cs="Times New Roman"/>
          <w:sz w:val="24"/>
          <w:szCs w:val="24"/>
        </w:rPr>
        <w:t xml:space="preserve">, en cambio, </w:t>
      </w:r>
      <w:r w:rsidRPr="000C0316">
        <w:rPr>
          <w:rFonts w:ascii="Times New Roman" w:hAnsi="Times New Roman" w:cs="Times New Roman"/>
          <w:sz w:val="24"/>
          <w:szCs w:val="24"/>
          <w:u w:val="single"/>
        </w:rPr>
        <w:t>ha optado por no enviar al nuevo presidente al Foro de Davos. En su lugar, lo ha sustituido un representante especializado en “asuntos climáticos”.</w:t>
      </w:r>
    </w:p>
    <w:p w:rsidR="00F001EE" w:rsidRPr="000C0316" w:rsidRDefault="00F001EE" w:rsidP="00FA4DA9">
      <w:pPr>
        <w:spacing w:line="240" w:lineRule="auto"/>
        <w:jc w:val="both"/>
        <w:rPr>
          <w:rFonts w:ascii="Times New Roman" w:hAnsi="Times New Roman" w:cs="Times New Roman"/>
          <w:b/>
          <w:color w:val="FF0000"/>
          <w:sz w:val="24"/>
          <w:szCs w:val="24"/>
          <w:u w:val="single"/>
        </w:rPr>
      </w:pPr>
      <w:r w:rsidRPr="000C0316">
        <w:rPr>
          <w:rFonts w:ascii="Times New Roman" w:hAnsi="Times New Roman" w:cs="Times New Roman"/>
          <w:b/>
          <w:color w:val="FF0000"/>
          <w:sz w:val="24"/>
          <w:szCs w:val="24"/>
          <w:u w:val="single"/>
        </w:rPr>
        <w:t>De este modo, sin la presencia de EEUU, Xi Jinping ha hablado como si se fuera el nuevo líder mundial, que señaliza el camino político a seguir, y ha mencionado una nueva Guerra Fría si no se aceptan los cambios venideros. “El fuerte no puede imponerse al débil, de lo contrario, estaremos ante una nueva Guerra Fría. No se deben rechazar los cambios. El multilateralismo debe promoverse”, ha espetado.</w:t>
      </w:r>
    </w:p>
    <w:p w:rsidR="00F001EE" w:rsidRPr="000C0316" w:rsidRDefault="00F001EE" w:rsidP="00FA4DA9">
      <w:pPr>
        <w:spacing w:line="240" w:lineRule="auto"/>
        <w:jc w:val="both"/>
        <w:rPr>
          <w:rFonts w:ascii="Times New Roman" w:hAnsi="Times New Roman" w:cs="Times New Roman"/>
          <w:sz w:val="24"/>
          <w:szCs w:val="24"/>
          <w:u w:val="single"/>
        </w:rPr>
      </w:pPr>
      <w:r w:rsidRPr="000C0316">
        <w:rPr>
          <w:rFonts w:ascii="Times New Roman" w:hAnsi="Times New Roman" w:cs="Times New Roman"/>
          <w:sz w:val="24"/>
          <w:szCs w:val="24"/>
          <w:u w:val="single"/>
        </w:rPr>
        <w:t>Hay que recordar que China ha firmado un macro-acuerdo comercial con 15 países asiáticos. Justo esta pasada Navidad, el presidente chino se reunía con los líderes europeos para sellar grandes inversiones de la Unión Europea en China.</w:t>
      </w:r>
    </w:p>
    <w:p w:rsidR="00F001EE" w:rsidRPr="00EB7E03" w:rsidRDefault="00F001EE" w:rsidP="00FA4DA9">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Gobierno Mundial</w:t>
      </w:r>
    </w:p>
    <w:p w:rsidR="00F001EE" w:rsidRPr="00EB7E03" w:rsidRDefault="00F001EE" w:rsidP="00FA4DA9">
      <w:pPr>
        <w:spacing w:line="240" w:lineRule="auto"/>
        <w:jc w:val="both"/>
        <w:rPr>
          <w:rFonts w:ascii="Times New Roman" w:hAnsi="Times New Roman" w:cs="Times New Roman"/>
          <w:sz w:val="24"/>
          <w:szCs w:val="24"/>
        </w:rPr>
      </w:pPr>
      <w:r w:rsidRPr="001976E6">
        <w:rPr>
          <w:rFonts w:ascii="Times New Roman" w:hAnsi="Times New Roman" w:cs="Times New Roman"/>
          <w:b/>
          <w:color w:val="FF0000"/>
          <w:sz w:val="24"/>
          <w:szCs w:val="24"/>
          <w:u w:val="single"/>
        </w:rPr>
        <w:t>Por último, Xi Jinping ha concluido dando un aviso. La senda a seguir es un nuevo gobierno mundial en el que China tendrá un gran peso. El objetivo, marcado en la Agenda 2030 del Foro Económico Mundial es instaurar un socialismo global, tal y como apuntan las campañas propagandísticas del Foro: “En 2030 no poseerás nada y serás feliz”, reza uno de sus polémicos eslóganes bajo el título de “El Gran Reinicio”.</w:t>
      </w:r>
      <w:r w:rsidRPr="000C0316">
        <w:rPr>
          <w:rFonts w:ascii="Times New Roman" w:hAnsi="Times New Roman" w:cs="Times New Roman"/>
          <w:color w:val="FF0000"/>
          <w:sz w:val="24"/>
          <w:szCs w:val="24"/>
        </w:rPr>
        <w:t xml:space="preserve"> </w:t>
      </w:r>
      <w:r w:rsidRPr="00EB7E03">
        <w:rPr>
          <w:rFonts w:ascii="Times New Roman" w:hAnsi="Times New Roman" w:cs="Times New Roman"/>
          <w:sz w:val="24"/>
          <w:szCs w:val="24"/>
        </w:rPr>
        <w:t>En España, por ejemplo, la agenda 2030 está a cargo del vicepresidente comunista Pablo Iglesias.</w:t>
      </w:r>
    </w:p>
    <w:p w:rsidR="00F001EE" w:rsidRPr="00EB7E03" w:rsidRDefault="00F001EE" w:rsidP="00FA4DA9">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 xml:space="preserve">Klaus Schwab, el fundador marxista de Davos, trabaja para que estas directrices se cumplan y los países sigan un mismo </w:t>
      </w:r>
      <w:r w:rsidR="00324F4A" w:rsidRPr="00EB7E03">
        <w:rPr>
          <w:rFonts w:ascii="Times New Roman" w:hAnsi="Times New Roman" w:cs="Times New Roman"/>
          <w:sz w:val="24"/>
          <w:szCs w:val="24"/>
        </w:rPr>
        <w:t>guion</w:t>
      </w:r>
      <w:r w:rsidRPr="00EB7E03">
        <w:rPr>
          <w:rFonts w:ascii="Times New Roman" w:hAnsi="Times New Roman" w:cs="Times New Roman"/>
          <w:sz w:val="24"/>
          <w:szCs w:val="24"/>
        </w:rPr>
        <w:t>. No es de extrañar que el economista alemán muestre su simpatía por Xi Jinping y haya despreciado, junto a otros millonarios, como Bill Gates, y políticos colaboradores de Davo</w:t>
      </w:r>
      <w:r>
        <w:rPr>
          <w:rFonts w:ascii="Times New Roman" w:hAnsi="Times New Roman" w:cs="Times New Roman"/>
          <w:sz w:val="24"/>
          <w:szCs w:val="24"/>
        </w:rPr>
        <w:t>s, al gobierno de Donald Trump.</w:t>
      </w:r>
    </w:p>
    <w:p w:rsidR="00F001EE" w:rsidRDefault="00F001EE" w:rsidP="00FA4DA9">
      <w:pPr>
        <w:spacing w:line="240" w:lineRule="auto"/>
        <w:jc w:val="both"/>
        <w:rPr>
          <w:rFonts w:ascii="Times New Roman" w:hAnsi="Times New Roman" w:cs="Times New Roman"/>
          <w:b/>
          <w:color w:val="FF0000"/>
          <w:sz w:val="24"/>
          <w:szCs w:val="24"/>
          <w:u w:val="single"/>
        </w:rPr>
      </w:pPr>
      <w:r w:rsidRPr="000C0316">
        <w:rPr>
          <w:rFonts w:ascii="Times New Roman" w:hAnsi="Times New Roman" w:cs="Times New Roman"/>
          <w:b/>
          <w:color w:val="FF0000"/>
          <w:sz w:val="24"/>
          <w:szCs w:val="24"/>
          <w:u w:val="single"/>
        </w:rPr>
        <w:t xml:space="preserve">“La confrontación nos lleva por mal camino. No debemos volver al pasado. Debemos construir una economía mundial a través de acuerdos y debemos eliminar las barreras. </w:t>
      </w:r>
      <w:r w:rsidRPr="000C0316">
        <w:rPr>
          <w:rFonts w:ascii="Times New Roman" w:hAnsi="Times New Roman" w:cs="Times New Roman"/>
          <w:b/>
          <w:color w:val="FF0000"/>
          <w:sz w:val="24"/>
          <w:szCs w:val="24"/>
          <w:u w:val="single"/>
        </w:rPr>
        <w:lastRenderedPageBreak/>
        <w:t>Debemos reforzar el G-20 como un foro de Gobierno Mundial”, ha finalizado el secretario general del Partido Comunista Chino.</w:t>
      </w:r>
    </w:p>
    <w:p w:rsidR="00F001EE" w:rsidRPr="00EE714C" w:rsidRDefault="00F001EE"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1976E6">
        <w:rPr>
          <w:rFonts w:ascii="Times New Roman" w:hAnsi="Times New Roman" w:cs="Times New Roman"/>
          <w:sz w:val="24"/>
          <w:szCs w:val="24"/>
        </w:rPr>
        <w:t>“</w:t>
      </w:r>
      <w:r w:rsidRPr="00EE714C">
        <w:rPr>
          <w:rFonts w:ascii="Times New Roman" w:hAnsi="Times New Roman" w:cs="Times New Roman"/>
          <w:sz w:val="24"/>
          <w:szCs w:val="24"/>
          <w:u w:val="single"/>
        </w:rPr>
        <w:t>En 203</w:t>
      </w:r>
      <w:r w:rsidR="001976E6">
        <w:rPr>
          <w:rFonts w:ascii="Times New Roman" w:hAnsi="Times New Roman" w:cs="Times New Roman"/>
          <w:sz w:val="24"/>
          <w:szCs w:val="24"/>
          <w:u w:val="single"/>
        </w:rPr>
        <w:t>0 no tendrás nada y serás feliz”</w:t>
      </w:r>
      <w:r w:rsidRPr="00EE714C">
        <w:rPr>
          <w:rFonts w:ascii="Times New Roman" w:hAnsi="Times New Roman" w:cs="Times New Roman"/>
          <w:sz w:val="24"/>
          <w:szCs w:val="24"/>
          <w:u w:val="single"/>
        </w:rPr>
        <w:t>: el proyecto comunista mundial que aplauden Macron y Merkel en Davos</w:t>
      </w:r>
      <w:r>
        <w:rPr>
          <w:rFonts w:ascii="Times New Roman" w:hAnsi="Times New Roman" w:cs="Times New Roman"/>
          <w:sz w:val="24"/>
          <w:szCs w:val="24"/>
        </w:rPr>
        <w:t xml:space="preserve"> (Libertad Digital - </w:t>
      </w:r>
      <w:r w:rsidRPr="00EE714C">
        <w:rPr>
          <w:rFonts w:ascii="Times New Roman" w:hAnsi="Times New Roman" w:cs="Times New Roman"/>
          <w:b/>
          <w:sz w:val="24"/>
          <w:szCs w:val="24"/>
        </w:rPr>
        <w:t>31/1/21</w:t>
      </w:r>
      <w:r>
        <w:rPr>
          <w:rFonts w:ascii="Times New Roman" w:hAnsi="Times New Roman" w:cs="Times New Roman"/>
          <w:sz w:val="24"/>
          <w:szCs w:val="24"/>
        </w:rPr>
        <w:t>)</w:t>
      </w:r>
    </w:p>
    <w:p w:rsidR="00F001EE" w:rsidRPr="00EE714C" w:rsidRDefault="00F001EE" w:rsidP="00FA4DA9">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China ya no admitirá que ningún país, empezando por los USA, discuta su poder militar, ni económico, ni político, o sea, dictatorial.</w:t>
      </w:r>
    </w:p>
    <w:p w:rsidR="00F001EE" w:rsidRPr="00EE714C" w:rsidRDefault="00F001EE"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E714C">
        <w:rPr>
          <w:rFonts w:ascii="Times New Roman" w:hAnsi="Times New Roman" w:cs="Times New Roman"/>
          <w:sz w:val="24"/>
          <w:szCs w:val="24"/>
        </w:rPr>
        <w:t>Federico Jiménez Losantos</w:t>
      </w:r>
      <w:r>
        <w:rPr>
          <w:rFonts w:ascii="Times New Roman" w:hAnsi="Times New Roman" w:cs="Times New Roman"/>
          <w:sz w:val="24"/>
          <w:szCs w:val="24"/>
        </w:rPr>
        <w:t>)</w:t>
      </w:r>
    </w:p>
    <w:p w:rsidR="00F001EE" w:rsidRPr="00EE714C" w:rsidRDefault="00F001EE" w:rsidP="00FA4DA9">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China ya no admitirá que ningún país, empezando por los USA, discuta su poder militar, ni económico, ni político, o sea, di</w:t>
      </w:r>
      <w:r w:rsidR="001976E6">
        <w:rPr>
          <w:rFonts w:ascii="Times New Roman" w:hAnsi="Times New Roman" w:cs="Times New Roman"/>
          <w:sz w:val="24"/>
          <w:szCs w:val="24"/>
        </w:rPr>
        <w:t>ctatorial.</w:t>
      </w:r>
    </w:p>
    <w:p w:rsidR="00F001EE" w:rsidRPr="00EE714C" w:rsidRDefault="00F001EE" w:rsidP="00FA4DA9">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Ala dictadura en las redes proclamada por las Cinco Hermanas de Internet como colofón de las elecciones norteamericanas se ha añadido tan sólo un mes después un proyecto, lo que hoy llaman agenda, típicamente comunista y cuyo propósito es acabar con la libertad en el mundo mediante la prohibición de la propiedad. Y</w:t>
      </w:r>
      <w:r>
        <w:rPr>
          <w:rFonts w:ascii="Times New Roman" w:hAnsi="Times New Roman" w:cs="Times New Roman"/>
          <w:sz w:val="24"/>
          <w:szCs w:val="24"/>
        </w:rPr>
        <w:t xml:space="preserve"> con un límite brevísimo: 2030.</w:t>
      </w:r>
    </w:p>
    <w:p w:rsidR="00F001EE" w:rsidRPr="00EE714C" w:rsidRDefault="00F001EE" w:rsidP="00FA4DA9">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El resumen de lo sucedido en Davos lo hizo estupendamente Elena Berberana en LD. Fue prácticamente la única porque si los totalitarios están empeñados en anunciar su inmediato dominio mundial, en sólo nueve años, los demócratas están aún más empeñados en no oírlo, en hacer como que no ha pasado nada, o en hacernos creer que</w:t>
      </w:r>
      <w:r>
        <w:rPr>
          <w:rFonts w:ascii="Times New Roman" w:hAnsi="Times New Roman" w:cs="Times New Roman"/>
          <w:sz w:val="24"/>
          <w:szCs w:val="24"/>
        </w:rPr>
        <w:t>, si nada hacemos, nada pasará.</w:t>
      </w:r>
    </w:p>
    <w:p w:rsidR="00F001EE" w:rsidRPr="00EE714C" w:rsidRDefault="00F001EE" w:rsidP="00FA4DA9">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El eclipse de los USA de Biden</w:t>
      </w:r>
    </w:p>
    <w:p w:rsidR="00F001EE" w:rsidRPr="00EE714C" w:rsidRDefault="00F001EE" w:rsidP="00FA4DA9">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Pero vaya si ha pasado. El discurso de Xi Jinping no debe ser tomado a broma, ya que se proclama vencedor de la crisis mundial que su régimen ha creado el que sin duda lo es. Y si dice “nada volverá a ser como antes” debe entenderse que China ya no admitirá que ningún país, empezando por los USA, discuta su poder militar, ni económico, ni político, o sea, dictatorial. El flamante yacente Biden no envió a nadie a Davos, como era costumbre en presidentes anteriores, sobre todo del género obamita. Y más con el proyecto del WEF, que es como si Obama dijese que el “the pursuit of hapiness” de la constitución USA sólo se logrará aboliendo la propiedad. Sanders, más presidente fantasma que Harris</w:t>
      </w:r>
      <w:r>
        <w:rPr>
          <w:rFonts w:ascii="Times New Roman" w:hAnsi="Times New Roman" w:cs="Times New Roman"/>
          <w:sz w:val="24"/>
          <w:szCs w:val="24"/>
        </w:rPr>
        <w:t>, sí hubiera ido. Y coincidido.</w:t>
      </w:r>
    </w:p>
    <w:p w:rsidR="00F001EE" w:rsidRPr="00EE714C" w:rsidRDefault="00F001EE" w:rsidP="00FA4DA9">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Pero ahora sabemos -Trump ha sido tan tonto que no lo hizo saber oficialmente antes y Facebook lo censuró expulsando al New York Post por denunciarlo- que el hijo de Biden, apadrinado por su padre, vicepresidente de Obama, hacía negocios con Xi Jinping. Con su historial de alcoholismo y gusto por la prostitución, ¿qué grabaciones no tendrá Pekín del Bidenito? La nueva administración mandó a un dizque experto en Cambio Climático. Podía haber alquilado a Greta Thumberg, par</w:t>
      </w:r>
      <w:r>
        <w:rPr>
          <w:rFonts w:ascii="Times New Roman" w:hAnsi="Times New Roman" w:cs="Times New Roman"/>
          <w:sz w:val="24"/>
          <w:szCs w:val="24"/>
        </w:rPr>
        <w:t>a afianzar el multilateralismo.</w:t>
      </w:r>
    </w:p>
    <w:p w:rsidR="00F001EE" w:rsidRPr="00EE714C" w:rsidRDefault="00F001EE" w:rsidP="00FA4DA9">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Tres agentes siniestros</w:t>
      </w:r>
    </w:p>
    <w:p w:rsidR="00F001EE" w:rsidRPr="00EE714C" w:rsidRDefault="00F001EE" w:rsidP="00FA4DA9">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Yo creo que desde la caída de Sendero Luminoso en Perú no ha habido en ningún país democrático y en presencia de los máximos líderes occidentales una proclama comunista contra la libertad, una profecía totalitaria, como la proclamada en Davo</w:t>
      </w:r>
      <w:r>
        <w:rPr>
          <w:rFonts w:ascii="Times New Roman" w:hAnsi="Times New Roman" w:cs="Times New Roman"/>
          <w:sz w:val="24"/>
          <w:szCs w:val="24"/>
        </w:rPr>
        <w:t>s por tres agentes siniestros.</w:t>
      </w:r>
    </w:p>
    <w:p w:rsidR="00F001EE" w:rsidRPr="00EE714C" w:rsidRDefault="00F001EE" w:rsidP="00FA4DA9">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 xml:space="preserve">El primer criminal es el mayordomo: el Foro Económico Mundial, un coloquio de economistas progres convertido en la típica organización-pantalla comunista, como las que </w:t>
      </w:r>
      <w:r w:rsidRPr="00EE714C">
        <w:rPr>
          <w:rFonts w:ascii="Times New Roman" w:hAnsi="Times New Roman" w:cs="Times New Roman"/>
          <w:sz w:val="24"/>
          <w:szCs w:val="24"/>
        </w:rPr>
        <w:lastRenderedPageBreak/>
        <w:t xml:space="preserve">Münzenberg creó para Stalin, cuyo jefe actual Xi Jinping fue recibido así por el </w:t>
      </w:r>
      <w:r>
        <w:rPr>
          <w:rFonts w:ascii="Times New Roman" w:hAnsi="Times New Roman" w:cs="Times New Roman"/>
          <w:sz w:val="24"/>
          <w:szCs w:val="24"/>
        </w:rPr>
        <w:t>fundador del WEF Klaus Schwabb:</w:t>
      </w:r>
    </w:p>
    <w:p w:rsidR="00F001EE" w:rsidRPr="001976E6" w:rsidRDefault="001976E6" w:rsidP="00FA4DA9">
      <w:pPr>
        <w:spacing w:line="240" w:lineRule="auto"/>
        <w:jc w:val="both"/>
        <w:rPr>
          <w:rFonts w:ascii="Times New Roman" w:hAnsi="Times New Roman" w:cs="Times New Roman"/>
          <w:color w:val="FF0000"/>
          <w:sz w:val="24"/>
          <w:szCs w:val="24"/>
          <w:u w:val="single"/>
        </w:rPr>
      </w:pPr>
      <w:r w:rsidRPr="001976E6">
        <w:rPr>
          <w:rFonts w:ascii="Times New Roman" w:hAnsi="Times New Roman" w:cs="Times New Roman"/>
          <w:color w:val="FF0000"/>
          <w:sz w:val="24"/>
          <w:szCs w:val="24"/>
          <w:u w:val="single"/>
        </w:rPr>
        <w:t>“</w:t>
      </w:r>
      <w:r w:rsidR="00F001EE" w:rsidRPr="001976E6">
        <w:rPr>
          <w:rFonts w:ascii="Times New Roman" w:hAnsi="Times New Roman" w:cs="Times New Roman"/>
          <w:color w:val="FF0000"/>
          <w:sz w:val="24"/>
          <w:szCs w:val="24"/>
          <w:u w:val="single"/>
        </w:rPr>
        <w:t>Tenemos que comenzar una nueva era global y contamos con usted. Muchas gracias, señor presidente, por esta declaración de principios y por recordarnos que somos parte de una comunidad global que co</w:t>
      </w:r>
      <w:r w:rsidRPr="001976E6">
        <w:rPr>
          <w:rFonts w:ascii="Times New Roman" w:hAnsi="Times New Roman" w:cs="Times New Roman"/>
          <w:color w:val="FF0000"/>
          <w:sz w:val="24"/>
          <w:szCs w:val="24"/>
          <w:u w:val="single"/>
        </w:rPr>
        <w:t>mparte el mismo futuro común”.</w:t>
      </w:r>
    </w:p>
    <w:p w:rsidR="00F001EE" w:rsidRPr="001976E6" w:rsidRDefault="00F001EE" w:rsidP="00FA4DA9">
      <w:pPr>
        <w:spacing w:line="240" w:lineRule="auto"/>
        <w:jc w:val="both"/>
        <w:rPr>
          <w:rFonts w:ascii="Times New Roman" w:hAnsi="Times New Roman" w:cs="Times New Roman"/>
          <w:color w:val="FF0000"/>
          <w:sz w:val="24"/>
          <w:szCs w:val="24"/>
          <w:u w:val="single"/>
        </w:rPr>
      </w:pPr>
      <w:r w:rsidRPr="001976E6">
        <w:rPr>
          <w:rFonts w:ascii="Times New Roman" w:hAnsi="Times New Roman" w:cs="Times New Roman"/>
          <w:color w:val="FF0000"/>
          <w:sz w:val="24"/>
          <w:szCs w:val="24"/>
          <w:u w:val="single"/>
        </w:rPr>
        <w:t>Xi tiene a dos millones de presos en campos de concentración, ha decretado la pena de muerte para cualquiera que informe sobre el origen del covid19; de hecho, ha eliminado a bastantes de los que lo denunciaron. Protegido por su esbirro en la OMS Tetros, dejó propagarse el virus por todo el mundo nada menos que dos meses. Pero se proclama “vencedor de la crisis” y dice que “nada volverá a ser como antes”. Y ante su poder, sin límites y sin limitaciones, se arrodilla el Occidente servil, ciego, rastrero.</w:t>
      </w:r>
    </w:p>
    <w:p w:rsidR="00F001EE" w:rsidRPr="00EE714C" w:rsidRDefault="00F001EE" w:rsidP="00FA4DA9">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Porque el segundo agente y la verdadera estrella de Davos fue Xi Jinping. Su discurso, arrogante y falaz, f</w:t>
      </w:r>
      <w:r>
        <w:rPr>
          <w:rFonts w:ascii="Times New Roman" w:hAnsi="Times New Roman" w:cs="Times New Roman"/>
          <w:sz w:val="24"/>
          <w:szCs w:val="24"/>
        </w:rPr>
        <w:t>ue de puro autobombo comunista:</w:t>
      </w:r>
    </w:p>
    <w:p w:rsidR="00F001EE" w:rsidRPr="00EE714C" w:rsidRDefault="001976E6"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F001EE" w:rsidRPr="00EE714C">
        <w:rPr>
          <w:rFonts w:ascii="Times New Roman" w:hAnsi="Times New Roman" w:cs="Times New Roman"/>
          <w:sz w:val="24"/>
          <w:szCs w:val="24"/>
        </w:rPr>
        <w:t>En China estamos siguiendo el camino hacia un país socialista moderno. Ahora, desempeñaremos un papel más activo para fomentar una globalización económica mundial que sea más abierta, inclusiva, equilib</w:t>
      </w:r>
      <w:r w:rsidR="00F001EE">
        <w:rPr>
          <w:rFonts w:ascii="Times New Roman" w:hAnsi="Times New Roman" w:cs="Times New Roman"/>
          <w:sz w:val="24"/>
          <w:szCs w:val="24"/>
        </w:rPr>
        <w:t>rada y beneficiosa para todos”.</w:t>
      </w:r>
    </w:p>
    <w:p w:rsidR="00F001EE" w:rsidRPr="00EE714C" w:rsidRDefault="00F001EE" w:rsidP="00FA4DA9">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No hay más que ver lo inclusivo que este padrecito de los pueblos, como se proclamaba Stalin, es con los chinos que no le obedecen para ver que Xi es un Mao con dentífrico. Ahí están sus fechorías en Hong Kong. ¿Alguien puede creer, seniles izquierdistas millonarios aparte, que China piensa respetar en los demás países las libertades que proscribe en el suyo? ¿Alguien puede creer en que favorecerá un comercio internacional justo, es decir, con reglas respetadas por todos, don</w:t>
      </w:r>
      <w:r>
        <w:rPr>
          <w:rFonts w:ascii="Times New Roman" w:hAnsi="Times New Roman" w:cs="Times New Roman"/>
          <w:sz w:val="24"/>
          <w:szCs w:val="24"/>
        </w:rPr>
        <w:t>de no haga trampas, como suele?</w:t>
      </w:r>
    </w:p>
    <w:p w:rsidR="00F001EE" w:rsidRPr="00EE714C" w:rsidRDefault="00F001EE" w:rsidP="00FA4DA9">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Nadie. Y sin embargo, habla Xi, amenaza, relincha y todos se callan. Qué duda cabe de que el virus chino ha alumbrado una nueva época, la de la genuflexión ante el comunismo chino. Y eso, apenas meses después de llegar en Europa a la conclusión de que ni los USA ni la UE podían seguir dependiendo de los productos baratos, a menudo basura, “made in China”. Si se respeta a ese sistema, ¿cómo no s</w:t>
      </w:r>
      <w:r>
        <w:rPr>
          <w:rFonts w:ascii="Times New Roman" w:hAnsi="Times New Roman" w:cs="Times New Roman"/>
          <w:sz w:val="24"/>
          <w:szCs w:val="24"/>
        </w:rPr>
        <w:t>e van a respetar sus productos?</w:t>
      </w:r>
    </w:p>
    <w:p w:rsidR="00F001EE" w:rsidRPr="00EE714C" w:rsidRDefault="00F001EE" w:rsidP="00FA4DA9">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Macron resetea sus ideas y se hace rojo</w:t>
      </w:r>
    </w:p>
    <w:p w:rsidR="00F001EE" w:rsidRPr="00EE714C" w:rsidRDefault="00F001EE" w:rsidP="00FA4DA9">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Pero el mayor efecto de Davos no ha sido el silencio de Merkel, que se niega a apoyar a Navalny y los disidentes de Putin porque considera más importante los acuerdos con Rusia en materia energética. La monja progre que acogió a dos millones de “refugiados” como un gesto de “humanidad”, agotó sus reservas de sensibilidad. Traba</w:t>
      </w:r>
      <w:r>
        <w:rPr>
          <w:rFonts w:ascii="Times New Roman" w:hAnsi="Times New Roman" w:cs="Times New Roman"/>
          <w:sz w:val="24"/>
          <w:szCs w:val="24"/>
        </w:rPr>
        <w:t>jará como Schroeder en Gazprom.</w:t>
      </w:r>
    </w:p>
    <w:p w:rsidR="00F001EE" w:rsidRPr="00EE714C" w:rsidRDefault="00F001EE" w:rsidP="00FA4DA9">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Chapoteando en ese engendro maoísta y xinpingiano llamado “el gran reseteo”, la autocrítica y el lavado de cerebro comunistas de siempre, Macron, que viene de la Banca Rostchild, fue más allá. Y del covid19 ha deducido que el Kapital es malo: “saldremos de esta pandemia sólo con una economía que piense más en las desigualdades”; “El modelo capitalista, la economía abierta no pueden funcionar en este entorno”; “El capitalismo ha garantizado hasta ahora el crecimiento, pe</w:t>
      </w:r>
      <w:r>
        <w:rPr>
          <w:rFonts w:ascii="Times New Roman" w:hAnsi="Times New Roman" w:cs="Times New Roman"/>
          <w:sz w:val="24"/>
          <w:szCs w:val="24"/>
        </w:rPr>
        <w:t>ro al precio de la desigualdad”</w:t>
      </w:r>
    </w:p>
    <w:p w:rsidR="00F001EE" w:rsidRPr="00EE714C" w:rsidRDefault="00F001EE" w:rsidP="00FA4DA9">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 xml:space="preserve">Está a la vista que </w:t>
      </w:r>
      <w:r w:rsidR="00324F4A" w:rsidRPr="00EE714C">
        <w:rPr>
          <w:rFonts w:ascii="Times New Roman" w:hAnsi="Times New Roman" w:cs="Times New Roman"/>
          <w:sz w:val="24"/>
          <w:szCs w:val="24"/>
        </w:rPr>
        <w:t>Taiwán</w:t>
      </w:r>
      <w:r w:rsidRPr="00EE714C">
        <w:rPr>
          <w:rFonts w:ascii="Times New Roman" w:hAnsi="Times New Roman" w:cs="Times New Roman"/>
          <w:sz w:val="24"/>
          <w:szCs w:val="24"/>
        </w:rPr>
        <w:t xml:space="preserve"> y Corea del Sur, países capitalistas, han salido mejor que Francia o España de esta crisis, que aún no han salido. Y Venezuela es la prueba de cómo el comunismo empeora incluso las peores crisis, pero se ve que Macron, si baja en las encuestas, se resetea como sea. Y como es culto y redicho, utiliza esa mezcla almibarada y </w:t>
      </w:r>
      <w:r w:rsidRPr="00EE714C">
        <w:rPr>
          <w:rFonts w:ascii="Times New Roman" w:hAnsi="Times New Roman" w:cs="Times New Roman"/>
          <w:sz w:val="24"/>
          <w:szCs w:val="24"/>
        </w:rPr>
        <w:lastRenderedPageBreak/>
        <w:t>demagógica de condescendencia y buenos sentimientos típica de Hollywood y de Maduro. En una de las sesiones de autocrítica en el WEF, Macron añadió que el mundo “debe ir más allá de la hostilidad a la intervención estatal en la economía”, como si fuera poca la que hay en Francia, y él criticaba. Dijo también que las empresas se “limitaban a accionistas y consumidores” y “habían dejado fuera a los trabajadores”, como si los accionistas no fueran trabajadores ni los trabajadores consumieran. Y, sobre todo, concluyó, “el capitalism</w:t>
      </w:r>
      <w:r w:rsidR="001976E6">
        <w:rPr>
          <w:rFonts w:ascii="Times New Roman" w:hAnsi="Times New Roman" w:cs="Times New Roman"/>
          <w:sz w:val="24"/>
          <w:szCs w:val="24"/>
        </w:rPr>
        <w:t>o daña el medio ambiente”.</w:t>
      </w:r>
      <w:r w:rsidRPr="00EE714C">
        <w:rPr>
          <w:rFonts w:ascii="Times New Roman" w:hAnsi="Times New Roman" w:cs="Times New Roman"/>
          <w:sz w:val="24"/>
          <w:szCs w:val="24"/>
        </w:rPr>
        <w:t xml:space="preserve"> Gret</w:t>
      </w:r>
      <w:r>
        <w:rPr>
          <w:rFonts w:ascii="Times New Roman" w:hAnsi="Times New Roman" w:cs="Times New Roman"/>
          <w:sz w:val="24"/>
          <w:szCs w:val="24"/>
        </w:rPr>
        <w:t>a Zombi, en su jet, aplaudiría.</w:t>
      </w:r>
    </w:p>
    <w:p w:rsidR="00F001EE" w:rsidRPr="00EE714C" w:rsidRDefault="00F001EE" w:rsidP="00FA4DA9">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 xml:space="preserve">Ni el comunista más necio puede sostener esto sin estremecerse. La historia de los países comunistas es la de la destrucción del medio ambiente más salvaje que se recuerda. Los bosques de propiedad privada están más seguros que los de propiedad estatal en casi todo el mundo, y sólo donde existe el imperio de la Ley, en las democracias liberales, puede legislarse en serio y actuar contra los depredadores ecológicos. Nadie contamina más que la China comunista. Pero como hay que respetar ese sistema, nadie le va a poner pegas a la quema de carbón por Xi Jinping. Ni yo ni nadie sabe la parte en la actividad humana que realmente incide en el cambio climático, aunque sin duda es muy pequeña al lado de las causas naturales, pero el discurso político del clima daña a los países capitalistas mientras es ignorado por los comunistas. Pekín y Moscú </w:t>
      </w:r>
      <w:r>
        <w:rPr>
          <w:rFonts w:ascii="Times New Roman" w:hAnsi="Times New Roman" w:cs="Times New Roman"/>
          <w:sz w:val="24"/>
          <w:szCs w:val="24"/>
        </w:rPr>
        <w:t>lo prescriben, no lo practican.</w:t>
      </w:r>
    </w:p>
    <w:p w:rsidR="00F001EE" w:rsidRPr="001976E6" w:rsidRDefault="00F001EE" w:rsidP="00FA4DA9">
      <w:pPr>
        <w:spacing w:line="240" w:lineRule="auto"/>
        <w:jc w:val="both"/>
        <w:rPr>
          <w:rFonts w:ascii="Times New Roman" w:hAnsi="Times New Roman" w:cs="Times New Roman"/>
          <w:color w:val="FF0000"/>
          <w:sz w:val="24"/>
          <w:szCs w:val="24"/>
        </w:rPr>
      </w:pPr>
      <w:r w:rsidRPr="001976E6">
        <w:rPr>
          <w:rFonts w:ascii="Times New Roman" w:hAnsi="Times New Roman" w:cs="Times New Roman"/>
          <w:color w:val="FF0000"/>
          <w:sz w:val="24"/>
          <w:szCs w:val="24"/>
        </w:rPr>
        <w:t>Las frases de Davos que harán licuarse a Pablo Iglesias</w:t>
      </w:r>
    </w:p>
    <w:p w:rsidR="00F001EE" w:rsidRPr="00EE714C" w:rsidRDefault="00F001EE" w:rsidP="00FA4DA9">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El tinglado siniestro de Davos ha tenido el detalle de resumir en unas pocas frases y un vídeo el futuro que nos reserva el Gran Reseteo. Son una mezcla de criminalidad y estupidez francamente risible si detrás no tuviera las fuerzas poderosísimas que pretenden impulsar esa Agenda 2030, cuyo responsable en el Gobierno de España es, naturalmente, Pablo Iglesias. Veamos las más importantes, aunque todo el</w:t>
      </w:r>
      <w:r>
        <w:rPr>
          <w:rFonts w:ascii="Times New Roman" w:hAnsi="Times New Roman" w:cs="Times New Roman"/>
          <w:sz w:val="24"/>
          <w:szCs w:val="24"/>
        </w:rPr>
        <w:t xml:space="preserve"> vídeo es digno de ver y temer.</w:t>
      </w:r>
    </w:p>
    <w:p w:rsidR="00F001EE" w:rsidRPr="001976E6" w:rsidRDefault="00F001EE" w:rsidP="00FA4DA9">
      <w:pPr>
        <w:spacing w:line="240" w:lineRule="auto"/>
        <w:jc w:val="both"/>
        <w:rPr>
          <w:rFonts w:ascii="Times New Roman" w:hAnsi="Times New Roman" w:cs="Times New Roman"/>
          <w:color w:val="FF0000"/>
          <w:sz w:val="24"/>
          <w:szCs w:val="24"/>
        </w:rPr>
      </w:pPr>
      <w:r w:rsidRPr="001976E6">
        <w:rPr>
          <w:rFonts w:ascii="Times New Roman" w:hAnsi="Times New Roman" w:cs="Times New Roman"/>
          <w:color w:val="FF0000"/>
          <w:sz w:val="24"/>
          <w:szCs w:val="24"/>
        </w:rPr>
        <w:t>“</w:t>
      </w:r>
      <w:r w:rsidR="001976E6" w:rsidRPr="001976E6">
        <w:rPr>
          <w:rFonts w:ascii="Times New Roman" w:hAnsi="Times New Roman" w:cs="Times New Roman"/>
          <w:color w:val="FF0000"/>
          <w:sz w:val="24"/>
          <w:szCs w:val="24"/>
        </w:rPr>
        <w:t>No poseerás nada y serás feliz”</w:t>
      </w:r>
    </w:p>
    <w:p w:rsidR="00F001EE" w:rsidRPr="00EE714C" w:rsidRDefault="00F001EE" w:rsidP="00FA4DA9">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Un tipo con cara de idiota sonríe ante esta frase, sin saber que, para impedir la propiedad, siempre fue necesaria la más absoluta tiranía. La Ley existe para proteger de la arbitrariedad la propiedad, la vida y la libertad de todos. El comunismo, régimen que prohíbe la propiedad, salvo de los comunistas, ha creado sociedades tan felices que de ellas han huido los que han podido</w:t>
      </w:r>
      <w:r>
        <w:rPr>
          <w:rFonts w:ascii="Times New Roman" w:hAnsi="Times New Roman" w:cs="Times New Roman"/>
          <w:sz w:val="24"/>
          <w:szCs w:val="24"/>
        </w:rPr>
        <w:t>.</w:t>
      </w:r>
    </w:p>
    <w:p w:rsidR="00F001EE" w:rsidRPr="001976E6" w:rsidRDefault="00F001EE" w:rsidP="00FA4DA9">
      <w:pPr>
        <w:spacing w:line="240" w:lineRule="auto"/>
        <w:jc w:val="both"/>
        <w:rPr>
          <w:rFonts w:ascii="Times New Roman" w:hAnsi="Times New Roman" w:cs="Times New Roman"/>
          <w:color w:val="FF0000"/>
          <w:sz w:val="24"/>
          <w:szCs w:val="24"/>
        </w:rPr>
      </w:pPr>
      <w:r w:rsidRPr="001976E6">
        <w:rPr>
          <w:rFonts w:ascii="Times New Roman" w:hAnsi="Times New Roman" w:cs="Times New Roman"/>
          <w:color w:val="FF0000"/>
          <w:sz w:val="24"/>
          <w:szCs w:val="24"/>
        </w:rPr>
        <w:t>“Podrás alquilar cualquier cosa que necesites y te la llevará un dron a casa”</w:t>
      </w:r>
    </w:p>
    <w:p w:rsidR="00F001EE" w:rsidRPr="00EE714C" w:rsidRDefault="00F001EE" w:rsidP="00FA4DA9">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¿Cómo puedo alquilar nada si no tengo dinero ni casa en propiedad? ¿El Estado Comunista, el Gran Hermano deci</w:t>
      </w:r>
      <w:r>
        <w:rPr>
          <w:rFonts w:ascii="Times New Roman" w:hAnsi="Times New Roman" w:cs="Times New Roman"/>
          <w:sz w:val="24"/>
          <w:szCs w:val="24"/>
        </w:rPr>
        <w:t>dirá el dron que me abastecerá?</w:t>
      </w:r>
    </w:p>
    <w:p w:rsidR="00F001EE" w:rsidRPr="001976E6" w:rsidRDefault="00F001EE" w:rsidP="00FA4DA9">
      <w:pPr>
        <w:spacing w:line="240" w:lineRule="auto"/>
        <w:jc w:val="both"/>
        <w:rPr>
          <w:rFonts w:ascii="Times New Roman" w:hAnsi="Times New Roman" w:cs="Times New Roman"/>
          <w:color w:val="FF0000"/>
          <w:sz w:val="24"/>
          <w:szCs w:val="24"/>
        </w:rPr>
      </w:pPr>
      <w:r w:rsidRPr="001976E6">
        <w:rPr>
          <w:rFonts w:ascii="Times New Roman" w:hAnsi="Times New Roman" w:cs="Times New Roman"/>
          <w:color w:val="FF0000"/>
          <w:sz w:val="24"/>
          <w:szCs w:val="24"/>
        </w:rPr>
        <w:t>“Estados Unidos no será la primera potencia mundial. Un puñado de países lo sustituirán”</w:t>
      </w:r>
    </w:p>
    <w:p w:rsidR="00F001EE" w:rsidRPr="00EE714C" w:rsidRDefault="00F001EE" w:rsidP="00FA4DA9">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¿Qué puñado? ¿Y de quién será el puño: C</w:t>
      </w:r>
      <w:r>
        <w:rPr>
          <w:rFonts w:ascii="Times New Roman" w:hAnsi="Times New Roman" w:cs="Times New Roman"/>
          <w:sz w:val="24"/>
          <w:szCs w:val="24"/>
        </w:rPr>
        <w:t>hina, Rusia, Irán? ¡Mal cambio!</w:t>
      </w:r>
    </w:p>
    <w:p w:rsidR="00F001EE" w:rsidRPr="001976E6" w:rsidRDefault="00F001EE" w:rsidP="00FA4DA9">
      <w:pPr>
        <w:spacing w:line="240" w:lineRule="auto"/>
        <w:jc w:val="both"/>
        <w:rPr>
          <w:rFonts w:ascii="Times New Roman" w:hAnsi="Times New Roman" w:cs="Times New Roman"/>
          <w:color w:val="FF0000"/>
          <w:sz w:val="24"/>
          <w:szCs w:val="24"/>
        </w:rPr>
      </w:pPr>
      <w:r w:rsidRPr="001976E6">
        <w:rPr>
          <w:rFonts w:ascii="Times New Roman" w:hAnsi="Times New Roman" w:cs="Times New Roman"/>
          <w:color w:val="FF0000"/>
          <w:sz w:val="24"/>
          <w:szCs w:val="24"/>
        </w:rPr>
        <w:t>“No tendrás que esperar a un donante de órgano. No se harán trasplantes de órganos, sino que éstos se crearán.”</w:t>
      </w:r>
    </w:p>
    <w:p w:rsidR="00F001EE" w:rsidRPr="00EE714C" w:rsidRDefault="00F001EE" w:rsidP="00FA4DA9">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¿Se negará a los que quieran tener prop</w:t>
      </w:r>
      <w:r>
        <w:rPr>
          <w:rFonts w:ascii="Times New Roman" w:hAnsi="Times New Roman" w:cs="Times New Roman"/>
          <w:sz w:val="24"/>
          <w:szCs w:val="24"/>
        </w:rPr>
        <w:t>iedades? ¿Quién los adjudicará?</w:t>
      </w:r>
    </w:p>
    <w:p w:rsidR="00F001EE" w:rsidRPr="001976E6" w:rsidRDefault="00F001EE" w:rsidP="00FA4DA9">
      <w:pPr>
        <w:spacing w:line="240" w:lineRule="auto"/>
        <w:jc w:val="both"/>
        <w:rPr>
          <w:rFonts w:ascii="Times New Roman" w:hAnsi="Times New Roman" w:cs="Times New Roman"/>
          <w:color w:val="FF0000"/>
          <w:sz w:val="24"/>
          <w:szCs w:val="24"/>
        </w:rPr>
      </w:pPr>
      <w:r w:rsidRPr="001976E6">
        <w:rPr>
          <w:rFonts w:ascii="Times New Roman" w:hAnsi="Times New Roman" w:cs="Times New Roman"/>
          <w:color w:val="FF0000"/>
          <w:sz w:val="24"/>
          <w:szCs w:val="24"/>
        </w:rPr>
        <w:t>“Comerás menos carne. No será un alimento básico. Para el bien del medio ambiente y de tu propia salud”.</w:t>
      </w:r>
    </w:p>
    <w:p w:rsidR="00F001EE" w:rsidRPr="00EE714C" w:rsidRDefault="00F001EE" w:rsidP="00FA4DA9">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¡Oh, Gran Hermano Vegetariano! ¿Podre</w:t>
      </w:r>
      <w:r>
        <w:rPr>
          <w:rFonts w:ascii="Times New Roman" w:hAnsi="Times New Roman" w:cs="Times New Roman"/>
          <w:sz w:val="24"/>
          <w:szCs w:val="24"/>
        </w:rPr>
        <w:t>mos opinar sobre nuestra dieta?</w:t>
      </w:r>
    </w:p>
    <w:p w:rsidR="00F001EE" w:rsidRPr="001976E6" w:rsidRDefault="00F001EE" w:rsidP="00FA4DA9">
      <w:pPr>
        <w:spacing w:line="240" w:lineRule="auto"/>
        <w:jc w:val="both"/>
        <w:rPr>
          <w:rFonts w:ascii="Times New Roman" w:hAnsi="Times New Roman" w:cs="Times New Roman"/>
          <w:color w:val="FF0000"/>
          <w:sz w:val="24"/>
          <w:szCs w:val="24"/>
        </w:rPr>
      </w:pPr>
      <w:r w:rsidRPr="001976E6">
        <w:rPr>
          <w:rFonts w:ascii="Times New Roman" w:hAnsi="Times New Roman" w:cs="Times New Roman"/>
          <w:color w:val="FF0000"/>
          <w:sz w:val="24"/>
          <w:szCs w:val="24"/>
        </w:rPr>
        <w:lastRenderedPageBreak/>
        <w:t>“Mil millones de personas tendrán que desplazarse por el cambio climático. Tendremos que hacer un mejor trabajo de bienvenida e i</w:t>
      </w:r>
      <w:r w:rsidR="001976E6">
        <w:rPr>
          <w:rFonts w:ascii="Times New Roman" w:hAnsi="Times New Roman" w:cs="Times New Roman"/>
          <w:color w:val="FF0000"/>
          <w:sz w:val="24"/>
          <w:szCs w:val="24"/>
        </w:rPr>
        <w:t>ntegración de esos refugiados”.</w:t>
      </w:r>
    </w:p>
    <w:p w:rsidR="00F001EE" w:rsidRPr="00EE714C" w:rsidRDefault="00F001EE" w:rsidP="00FA4DA9">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¿Para qué gastar en el cambio climático, si se sabemos los que se van a desplazar? ¿Y quién dice que lo hacen o ha</w:t>
      </w:r>
      <w:r>
        <w:rPr>
          <w:rFonts w:ascii="Times New Roman" w:hAnsi="Times New Roman" w:cs="Times New Roman"/>
          <w:sz w:val="24"/>
          <w:szCs w:val="24"/>
        </w:rPr>
        <w:t>rán por el cambio climático?</w:t>
      </w:r>
    </w:p>
    <w:p w:rsidR="00F001EE" w:rsidRPr="001976E6" w:rsidRDefault="00F001EE" w:rsidP="00FA4DA9">
      <w:pPr>
        <w:spacing w:line="240" w:lineRule="auto"/>
        <w:jc w:val="both"/>
        <w:rPr>
          <w:rFonts w:ascii="Times New Roman" w:hAnsi="Times New Roman" w:cs="Times New Roman"/>
          <w:color w:val="FF0000"/>
          <w:sz w:val="24"/>
          <w:szCs w:val="24"/>
        </w:rPr>
      </w:pPr>
      <w:r w:rsidRPr="001976E6">
        <w:rPr>
          <w:rFonts w:ascii="Times New Roman" w:hAnsi="Times New Roman" w:cs="Times New Roman"/>
          <w:color w:val="FF0000"/>
          <w:sz w:val="24"/>
          <w:szCs w:val="24"/>
        </w:rPr>
        <w:t>“Las empresas pagan por el Dióxido de carbono. Habrá un precio global estandarizado para el carbón. Esto acelerará la desaparición de</w:t>
      </w:r>
      <w:r w:rsidR="001976E6">
        <w:rPr>
          <w:rFonts w:ascii="Times New Roman" w:hAnsi="Times New Roman" w:cs="Times New Roman"/>
          <w:color w:val="FF0000"/>
          <w:sz w:val="24"/>
          <w:szCs w:val="24"/>
        </w:rPr>
        <w:t>l uso de combustibles fósiles”.</w:t>
      </w:r>
    </w:p>
    <w:p w:rsidR="00F001EE" w:rsidRPr="00EE714C" w:rsidRDefault="00F001EE" w:rsidP="00FA4DA9">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 xml:space="preserve">Las empresas ya pagan, y los consumidores en la factura, los cambios de política energética. ¿Quién fijará el precio del carbón: el Soviet Supremo? </w:t>
      </w:r>
      <w:r>
        <w:rPr>
          <w:rFonts w:ascii="Times New Roman" w:hAnsi="Times New Roman" w:cs="Times New Roman"/>
          <w:sz w:val="24"/>
          <w:szCs w:val="24"/>
        </w:rPr>
        <w:t>¿Qué hay de la energía nuclear?</w:t>
      </w:r>
    </w:p>
    <w:p w:rsidR="00F001EE" w:rsidRPr="001976E6" w:rsidRDefault="00F001EE" w:rsidP="00FA4DA9">
      <w:pPr>
        <w:spacing w:line="240" w:lineRule="auto"/>
        <w:jc w:val="both"/>
        <w:rPr>
          <w:rFonts w:ascii="Times New Roman" w:hAnsi="Times New Roman" w:cs="Times New Roman"/>
          <w:color w:val="FF0000"/>
          <w:sz w:val="24"/>
          <w:szCs w:val="24"/>
        </w:rPr>
      </w:pPr>
      <w:r w:rsidRPr="001976E6">
        <w:rPr>
          <w:rFonts w:ascii="Times New Roman" w:hAnsi="Times New Roman" w:cs="Times New Roman"/>
          <w:color w:val="FF0000"/>
          <w:sz w:val="24"/>
          <w:szCs w:val="24"/>
        </w:rPr>
        <w:t>“La hu</w:t>
      </w:r>
      <w:r w:rsidR="001976E6" w:rsidRPr="001976E6">
        <w:rPr>
          <w:rFonts w:ascii="Times New Roman" w:hAnsi="Times New Roman" w:cs="Times New Roman"/>
          <w:color w:val="FF0000"/>
          <w:sz w:val="24"/>
          <w:szCs w:val="24"/>
        </w:rPr>
        <w:t>manidad podría viajar a Marte”.</w:t>
      </w:r>
    </w:p>
    <w:p w:rsidR="00F001EE" w:rsidRPr="00EE714C" w:rsidRDefault="00F001EE"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¿A qué?</w:t>
      </w:r>
    </w:p>
    <w:p w:rsidR="00F001EE" w:rsidRPr="001976E6" w:rsidRDefault="00F001EE" w:rsidP="00FA4DA9">
      <w:pPr>
        <w:spacing w:line="240" w:lineRule="auto"/>
        <w:jc w:val="both"/>
        <w:rPr>
          <w:rFonts w:ascii="Times New Roman" w:hAnsi="Times New Roman" w:cs="Times New Roman"/>
          <w:color w:val="FF0000"/>
          <w:sz w:val="24"/>
          <w:szCs w:val="24"/>
        </w:rPr>
      </w:pPr>
      <w:r w:rsidRPr="001976E6">
        <w:rPr>
          <w:rFonts w:ascii="Times New Roman" w:hAnsi="Times New Roman" w:cs="Times New Roman"/>
          <w:color w:val="FF0000"/>
          <w:sz w:val="24"/>
          <w:szCs w:val="24"/>
        </w:rPr>
        <w:t>“Los científicos están trabajando para hacer una estancia saludable en el espacio, lo cual pue</w:t>
      </w:r>
      <w:r w:rsidR="001976E6">
        <w:rPr>
          <w:rFonts w:ascii="Times New Roman" w:hAnsi="Times New Roman" w:cs="Times New Roman"/>
          <w:color w:val="FF0000"/>
          <w:sz w:val="24"/>
          <w:szCs w:val="24"/>
        </w:rPr>
        <w:t>de facilitar la investigación”.</w:t>
      </w:r>
    </w:p>
    <w:p w:rsidR="00F001EE" w:rsidRPr="00EE714C" w:rsidRDefault="00F001EE" w:rsidP="00FA4DA9">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¿Quién los paga, y para qué, si ya no ten</w:t>
      </w:r>
      <w:r>
        <w:rPr>
          <w:rFonts w:ascii="Times New Roman" w:hAnsi="Times New Roman" w:cs="Times New Roman"/>
          <w:sz w:val="24"/>
          <w:szCs w:val="24"/>
        </w:rPr>
        <w:t>emos nada y somos felices aquí?</w:t>
      </w:r>
    </w:p>
    <w:p w:rsidR="00F001EE" w:rsidRPr="001976E6" w:rsidRDefault="00F001EE" w:rsidP="00FA4DA9">
      <w:pPr>
        <w:spacing w:line="240" w:lineRule="auto"/>
        <w:jc w:val="both"/>
        <w:rPr>
          <w:rFonts w:ascii="Times New Roman" w:hAnsi="Times New Roman" w:cs="Times New Roman"/>
          <w:color w:val="FF0000"/>
          <w:sz w:val="24"/>
          <w:szCs w:val="24"/>
        </w:rPr>
      </w:pPr>
      <w:r w:rsidRPr="001976E6">
        <w:rPr>
          <w:rFonts w:ascii="Times New Roman" w:hAnsi="Times New Roman" w:cs="Times New Roman"/>
          <w:color w:val="FF0000"/>
          <w:sz w:val="24"/>
          <w:szCs w:val="24"/>
        </w:rPr>
        <w:t>“Los valores occidentales serán puestos a prueba”.</w:t>
      </w:r>
    </w:p>
    <w:p w:rsidR="00F001EE" w:rsidRPr="00EE714C" w:rsidRDefault="00F001EE" w:rsidP="00FA4DA9">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¿Por quién? ¿Y los no occidentales? ¿Y X</w:t>
      </w:r>
      <w:r>
        <w:rPr>
          <w:rFonts w:ascii="Times New Roman" w:hAnsi="Times New Roman" w:cs="Times New Roman"/>
          <w:sz w:val="24"/>
          <w:szCs w:val="24"/>
        </w:rPr>
        <w:t>i Jinping, Putin y Kim Jong Un?</w:t>
      </w:r>
    </w:p>
    <w:p w:rsidR="00F001EE" w:rsidRPr="001976E6" w:rsidRDefault="00F001EE" w:rsidP="00FA4DA9">
      <w:pPr>
        <w:spacing w:line="240" w:lineRule="auto"/>
        <w:jc w:val="both"/>
        <w:rPr>
          <w:rFonts w:ascii="Times New Roman" w:hAnsi="Times New Roman" w:cs="Times New Roman"/>
          <w:color w:val="FF0000"/>
          <w:sz w:val="24"/>
          <w:szCs w:val="24"/>
        </w:rPr>
      </w:pPr>
      <w:r w:rsidRPr="001976E6">
        <w:rPr>
          <w:rFonts w:ascii="Times New Roman" w:hAnsi="Times New Roman" w:cs="Times New Roman"/>
          <w:color w:val="FF0000"/>
          <w:sz w:val="24"/>
          <w:szCs w:val="24"/>
        </w:rPr>
        <w:t>“Los valores que sustentan nuestras democracias deben ser considerados”</w:t>
      </w:r>
      <w:r w:rsidR="001976E6">
        <w:rPr>
          <w:rFonts w:ascii="Times New Roman" w:hAnsi="Times New Roman" w:cs="Times New Roman"/>
          <w:color w:val="FF0000"/>
          <w:sz w:val="24"/>
          <w:szCs w:val="24"/>
        </w:rPr>
        <w:t>.</w:t>
      </w:r>
    </w:p>
    <w:p w:rsidR="00F001EE" w:rsidRPr="00EE714C" w:rsidRDefault="00F001EE" w:rsidP="00FA4DA9">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O sea, anulados. En eso coinciden comunistas como Iglesias, yihadistas y demás liberticidas.</w:t>
      </w:r>
    </w:p>
    <w:p w:rsidR="00F001EE" w:rsidRPr="001976E6" w:rsidRDefault="00F001EE" w:rsidP="00FA4DA9">
      <w:pPr>
        <w:spacing w:line="240" w:lineRule="auto"/>
        <w:jc w:val="both"/>
        <w:rPr>
          <w:rFonts w:ascii="Times New Roman" w:hAnsi="Times New Roman" w:cs="Times New Roman"/>
          <w:b/>
          <w:color w:val="FF0000"/>
          <w:sz w:val="24"/>
          <w:szCs w:val="24"/>
          <w:u w:val="single"/>
        </w:rPr>
      </w:pPr>
      <w:r w:rsidRPr="001976E6">
        <w:rPr>
          <w:rFonts w:ascii="Times New Roman" w:hAnsi="Times New Roman" w:cs="Times New Roman"/>
          <w:b/>
          <w:color w:val="FF0000"/>
          <w:sz w:val="24"/>
          <w:szCs w:val="24"/>
          <w:u w:val="single"/>
        </w:rPr>
        <w:t>La enseñanza de Davos es que el comunismo está más vivo que nunca y que cada vez hay más idiotas dispuestos a imponérnoslo.</w:t>
      </w:r>
    </w:p>
    <w:p w:rsidR="00F001EE" w:rsidRPr="00363C36" w:rsidRDefault="00363C36" w:rsidP="00FA4DA9">
      <w:pPr>
        <w:spacing w:line="240" w:lineRule="auto"/>
        <w:jc w:val="both"/>
        <w:rPr>
          <w:rFonts w:ascii="Times New Roman" w:hAnsi="Times New Roman" w:cs="Times New Roman"/>
          <w:sz w:val="24"/>
          <w:szCs w:val="24"/>
        </w:rPr>
      </w:pPr>
      <w:r w:rsidRPr="00363C36">
        <w:rPr>
          <w:rFonts w:ascii="Times New Roman" w:hAnsi="Times New Roman" w:cs="Times New Roman"/>
          <w:b/>
          <w:sz w:val="24"/>
          <w:szCs w:val="24"/>
        </w:rPr>
        <w:t>Nota</w:t>
      </w:r>
      <w:r w:rsidRPr="00363C36">
        <w:rPr>
          <w:rFonts w:ascii="Times New Roman" w:hAnsi="Times New Roman" w:cs="Times New Roman"/>
          <w:sz w:val="24"/>
          <w:szCs w:val="24"/>
        </w:rPr>
        <w:t xml:space="preserve">: </w:t>
      </w:r>
      <w:r w:rsidR="00DA27A0" w:rsidRPr="00363C36">
        <w:rPr>
          <w:rFonts w:ascii="Times New Roman" w:hAnsi="Times New Roman" w:cs="Times New Roman"/>
          <w:sz w:val="24"/>
          <w:szCs w:val="24"/>
        </w:rPr>
        <w:t>“</w:t>
      </w:r>
      <w:r w:rsidR="00F001EE" w:rsidRPr="00363C36">
        <w:rPr>
          <w:rFonts w:ascii="Times New Roman" w:hAnsi="Times New Roman" w:cs="Times New Roman"/>
          <w:sz w:val="24"/>
          <w:szCs w:val="24"/>
        </w:rPr>
        <w:t>Un mundo feliz</w:t>
      </w:r>
      <w:r w:rsidR="00DA27A0" w:rsidRPr="00363C36">
        <w:rPr>
          <w:rFonts w:ascii="Times New Roman" w:hAnsi="Times New Roman" w:cs="Times New Roman"/>
          <w:sz w:val="24"/>
          <w:szCs w:val="24"/>
        </w:rPr>
        <w:t>”</w:t>
      </w:r>
      <w:r w:rsidR="00F001EE" w:rsidRPr="00363C36">
        <w:rPr>
          <w:rFonts w:ascii="Times New Roman" w:hAnsi="Times New Roman" w:cs="Times New Roman"/>
          <w:sz w:val="24"/>
          <w:szCs w:val="24"/>
        </w:rPr>
        <w:t xml:space="preserve"> del escritor inglés </w:t>
      </w:r>
      <w:r w:rsidR="00DA27A0" w:rsidRPr="00363C36">
        <w:rPr>
          <w:rFonts w:ascii="Times New Roman" w:hAnsi="Times New Roman" w:cs="Times New Roman"/>
          <w:sz w:val="24"/>
          <w:szCs w:val="24"/>
        </w:rPr>
        <w:t>Aldous Leonard Huxley, publicado</w:t>
      </w:r>
      <w:r w:rsidR="00F001EE" w:rsidRPr="00363C36">
        <w:rPr>
          <w:rFonts w:ascii="Times New Roman" w:hAnsi="Times New Roman" w:cs="Times New Roman"/>
          <w:sz w:val="24"/>
          <w:szCs w:val="24"/>
        </w:rPr>
        <w:t xml:space="preserve"> por primera vez en 1932, forma parte de una tríada de obras de ciencia ficción (o, más correctamente, ficción científica) que iniciamos en 2013 con Fahrenheit 451 de Ray Bradbury y concluiremos con 1984 de George Orwell. </w:t>
      </w:r>
    </w:p>
    <w:p w:rsidR="00F001EE" w:rsidRPr="00363C36" w:rsidRDefault="00F001EE" w:rsidP="00FA4DA9">
      <w:pPr>
        <w:spacing w:line="240" w:lineRule="auto"/>
        <w:jc w:val="both"/>
        <w:rPr>
          <w:rFonts w:ascii="Times New Roman" w:hAnsi="Times New Roman" w:cs="Times New Roman"/>
          <w:sz w:val="24"/>
          <w:szCs w:val="24"/>
        </w:rPr>
      </w:pPr>
      <w:r w:rsidRPr="00363C36">
        <w:rPr>
          <w:rFonts w:ascii="Times New Roman" w:hAnsi="Times New Roman" w:cs="Times New Roman"/>
          <w:sz w:val="24"/>
          <w:szCs w:val="24"/>
        </w:rPr>
        <w:t xml:space="preserve">Mientras Bradbury nos presenta una sociedad futurista, donde un gobierno totalitario prohíbe los libros, ya que el conocimiento hace pensar y esto provoca infelicidad; y Orwell ve un mundo vigilado y aterrorizado por el Gran Hermano (Big Brother) que aparece a cada momento a través de telepantallas; Huxley nos describe un planeta en el que, finalmente, se han cumplido los peores vaticinios: triunfan los dioses del consumo y la comodidad; y el orbe se organiza en diez zonas seguras y estables. Ya no existen los valores humanos esenciales y los habitantes son procreados en frascos a semejanza de una cadena de montaje. </w:t>
      </w:r>
    </w:p>
    <w:p w:rsidR="00F001EE" w:rsidRPr="00363C36" w:rsidRDefault="00F001EE" w:rsidP="00FA4DA9">
      <w:pPr>
        <w:spacing w:line="240" w:lineRule="auto"/>
        <w:jc w:val="both"/>
        <w:rPr>
          <w:rFonts w:ascii="Times New Roman" w:hAnsi="Times New Roman" w:cs="Times New Roman"/>
          <w:sz w:val="24"/>
          <w:szCs w:val="24"/>
        </w:rPr>
      </w:pPr>
      <w:r w:rsidRPr="00363C36">
        <w:rPr>
          <w:rFonts w:ascii="Times New Roman" w:hAnsi="Times New Roman" w:cs="Times New Roman"/>
          <w:sz w:val="24"/>
          <w:szCs w:val="24"/>
        </w:rPr>
        <w:t>Ellos son genéticamente  condicionados para pertenecer a una de las cinco categorías de la  población, de la más inteligente a la más estúpida: Los Alfas (la  elite), los Betas (los ejecutantes), los Gammas (los empleados subalternos) y los Deltas y los Epsilones (destinados a trabajos rudos).</w:t>
      </w:r>
    </w:p>
    <w:p w:rsidR="00F001EE" w:rsidRPr="00363C36" w:rsidRDefault="00F001EE" w:rsidP="00FA4DA9">
      <w:pPr>
        <w:spacing w:line="240" w:lineRule="auto"/>
        <w:jc w:val="both"/>
        <w:rPr>
          <w:rFonts w:ascii="Times New Roman" w:hAnsi="Times New Roman" w:cs="Times New Roman"/>
          <w:sz w:val="24"/>
          <w:szCs w:val="24"/>
        </w:rPr>
      </w:pPr>
      <w:r w:rsidRPr="00363C36">
        <w:rPr>
          <w:rFonts w:ascii="Times New Roman" w:hAnsi="Times New Roman" w:cs="Times New Roman"/>
          <w:sz w:val="24"/>
          <w:szCs w:val="24"/>
        </w:rPr>
        <w:t>En la obra, se cuentan los años en el calendario a partir de 1908,  año en que Henry Ford creó la primera cadena de montaje, la del  automóvil Ford T, de manera que la historia transcurre en el año  632 d. F., que sería el 2540 d. C.</w:t>
      </w:r>
    </w:p>
    <w:p w:rsidR="00F001EE" w:rsidRPr="00363C36" w:rsidRDefault="00F001EE" w:rsidP="00FA4DA9">
      <w:pPr>
        <w:spacing w:line="240" w:lineRule="auto"/>
        <w:jc w:val="both"/>
        <w:rPr>
          <w:rFonts w:ascii="Times New Roman" w:hAnsi="Times New Roman" w:cs="Times New Roman"/>
          <w:sz w:val="24"/>
          <w:szCs w:val="24"/>
        </w:rPr>
      </w:pPr>
      <w:r w:rsidRPr="00363C36">
        <w:rPr>
          <w:rFonts w:ascii="Times New Roman" w:hAnsi="Times New Roman" w:cs="Times New Roman"/>
          <w:sz w:val="24"/>
          <w:szCs w:val="24"/>
        </w:rPr>
        <w:lastRenderedPageBreak/>
        <w:t>No se puede negar que Huxley fue un visionario ya que la sociedad  que creó hace más de ochenta años, nos describe el camino que vamos recorriendo en este mundo de consumismo voraz: transitamos a una dictadura universal con apariencia democrática, a una cárcel sin muros de la cual los prisioneros no podrán ni soñar en evadirse, a una esclavitud donde, gracias al sistema generalizado de consumo, al soma -la droga “perfecta” que no tiene ningún efecto negativo sobre las personas- y al condicionamiento general, ellos estarán agradecidos de su situación de siervos. El condicionamiento tiende a eso: lograr que la gente ame su inevitable destino social, gracias a una programación neuronal durante el sueño, al que todas las personas son sometidas desde la niñez, llamada hipnopedia.</w:t>
      </w:r>
    </w:p>
    <w:p w:rsidR="00F001EE" w:rsidRPr="00363C36" w:rsidRDefault="00F001EE" w:rsidP="00FA4DA9">
      <w:pPr>
        <w:spacing w:line="240" w:lineRule="auto"/>
        <w:jc w:val="both"/>
        <w:rPr>
          <w:rFonts w:ascii="Times New Roman" w:hAnsi="Times New Roman" w:cs="Times New Roman"/>
          <w:sz w:val="24"/>
          <w:szCs w:val="24"/>
        </w:rPr>
      </w:pPr>
      <w:r w:rsidRPr="00363C36">
        <w:rPr>
          <w:rFonts w:ascii="Times New Roman" w:hAnsi="Times New Roman" w:cs="Times New Roman"/>
          <w:sz w:val="24"/>
          <w:szCs w:val="24"/>
        </w:rPr>
        <w:t>Pero dejemos que Huxley nos opine sobre el futuro de nuestra sociedad, diez años después de la publicación de su obra:</w:t>
      </w:r>
    </w:p>
    <w:p w:rsidR="00F001EE" w:rsidRPr="00363C36" w:rsidRDefault="00F001EE" w:rsidP="00FA4DA9">
      <w:pPr>
        <w:spacing w:line="240" w:lineRule="auto"/>
        <w:jc w:val="both"/>
        <w:rPr>
          <w:rFonts w:ascii="Times New Roman" w:hAnsi="Times New Roman" w:cs="Times New Roman"/>
          <w:sz w:val="24"/>
          <w:szCs w:val="24"/>
        </w:rPr>
      </w:pPr>
      <w:r w:rsidRPr="00363C36">
        <w:rPr>
          <w:rFonts w:ascii="Times New Roman" w:hAnsi="Times New Roman" w:cs="Times New Roman"/>
          <w:sz w:val="24"/>
          <w:szCs w:val="24"/>
        </w:rPr>
        <w:t>“Todas las formas de vida humana actuales estarán en decadencia y será preciso improvisar otras nuevas formas adecuadas al hec</w:t>
      </w:r>
      <w:r w:rsidR="00363C36">
        <w:rPr>
          <w:rFonts w:ascii="Times New Roman" w:hAnsi="Times New Roman" w:cs="Times New Roman"/>
          <w:sz w:val="24"/>
          <w:szCs w:val="24"/>
        </w:rPr>
        <w:t>ho -no humano-</w:t>
      </w:r>
      <w:r w:rsidRPr="00363C36">
        <w:rPr>
          <w:rFonts w:ascii="Times New Roman" w:hAnsi="Times New Roman" w:cs="Times New Roman"/>
          <w:sz w:val="24"/>
          <w:szCs w:val="24"/>
        </w:rPr>
        <w:t xml:space="preserve"> de la energía atómica. Verdugo moderno, el científico nuclear preparará el lecho en el cual deberá yacer la Humanidad; y si la Humanidad no se adapta al mismo..., bueno, será una pena para la Humanidad. Habrá que forcejear un poco y practicar alguna amputación, la misma clase de forcejeos y de amputaciones que se están produciendo desde que la ciencia aplicada se lanzó a la carrera; sólo que esta vez, serán mucho más drásticos que en el pasado. Estas operaciones, muy lejos de ser indoloras, serán dirigidas por gobiernos totalitarios sumamente centralizados. Será inevitable; porque el futuro inmediato es probable que se parezca al pasado inmediato, y en el pasado inmediato los rápidos cambios tecnológicos, que se produjeron en una economía de producción masiva y entre una población predominantemente no propietaria, han tendido siempre a producir un confusionismo social y económico. Para luchar contra la confusión el poder ha sido centralizado y se han incrementado las prerrogativas del Gobierno. Es probable que todos los gobiernos del mundo sean más o menos enteramente totalitarios, incluso antes de que se logre domesticar la energía atómica; y parece casi seguro que lo serán durante el progreso de domesticación de dicha energía y después del mismo.</w:t>
      </w:r>
    </w:p>
    <w:p w:rsidR="00F001EE" w:rsidRPr="00363C36" w:rsidRDefault="00F001EE" w:rsidP="00FA4DA9">
      <w:pPr>
        <w:spacing w:line="240" w:lineRule="auto"/>
        <w:jc w:val="both"/>
        <w:rPr>
          <w:rFonts w:ascii="Times New Roman" w:hAnsi="Times New Roman" w:cs="Times New Roman"/>
          <w:sz w:val="24"/>
          <w:szCs w:val="24"/>
        </w:rPr>
      </w:pPr>
      <w:r w:rsidRPr="00363C36">
        <w:rPr>
          <w:rFonts w:ascii="Times New Roman" w:hAnsi="Times New Roman" w:cs="Times New Roman"/>
          <w:sz w:val="24"/>
          <w:szCs w:val="24"/>
        </w:rPr>
        <w:t xml:space="preserve">Desde luego, no hay razón alguna para que el nuevo totalitarismo se parezca al antiguo. El Gobierno, por medio de porras y piquetes de ejecución, hambre artificialmente provocada, encarcelamientos en masa y deportación también en masa no es solamente inhumano (a nadie, hoy día, le importa demasiado este hecho); se ha comprobado que es ineficaz, y en una época de tecnología avanzada la ineficacia es un pecado contra el Espíritu Santo. Un Estado totalitario realmente eficaz sería aquel en el cual los jefes políticos todopoderosos y su ejército de colaboradores pudieran gobernar una población de esclavos sobre los cuales no fuese necesario ejercer coerción alguna por cuanto amarían su servidumbre. Inducirles a amarla es la tarea asignada en los actuales estados totalitarios a los Ministerios de Propaganda, los directores de los periódicos y los maestros de escuela. Los mayores triunfos de la propaganda se han logrado, no haciendo algo, sino impidiendo que ese algo se haga. </w:t>
      </w:r>
    </w:p>
    <w:p w:rsidR="00F001EE" w:rsidRPr="00363C36" w:rsidRDefault="00F001EE" w:rsidP="00FA4DA9">
      <w:pPr>
        <w:spacing w:line="240" w:lineRule="auto"/>
        <w:jc w:val="both"/>
        <w:rPr>
          <w:rFonts w:ascii="Times New Roman" w:hAnsi="Times New Roman" w:cs="Times New Roman"/>
          <w:sz w:val="24"/>
          <w:szCs w:val="24"/>
        </w:rPr>
      </w:pPr>
      <w:r w:rsidRPr="00363C36">
        <w:rPr>
          <w:rFonts w:ascii="Times New Roman" w:hAnsi="Times New Roman" w:cs="Times New Roman"/>
          <w:sz w:val="24"/>
          <w:szCs w:val="24"/>
        </w:rPr>
        <w:t xml:space="preserve">Grande es la verdad, pero más grande todavía, desde un punto de vista práctico, el silencio sobre la verdad. Por el simple procedimiento de no mencionar ciertos temas, de bajar lo que Churchill llama “un telón de acero entre las masas” y los hechos o argumentos que los jefes políticos consideran indeseables, la propaganda totalitarista ha influido en la opinión de manera mucho más eficaz de lo que lo hubiese conseguido mediante las más elocuentes denuncias y las más convincentes refutaciones lógicas. Pero el silencio no basta. </w:t>
      </w:r>
    </w:p>
    <w:p w:rsidR="00F001EE" w:rsidRPr="00363C36" w:rsidRDefault="00F001EE" w:rsidP="00FA4DA9">
      <w:pPr>
        <w:spacing w:line="240" w:lineRule="auto"/>
        <w:jc w:val="both"/>
        <w:rPr>
          <w:rFonts w:ascii="Times New Roman" w:hAnsi="Times New Roman" w:cs="Times New Roman"/>
          <w:sz w:val="24"/>
          <w:szCs w:val="24"/>
        </w:rPr>
      </w:pPr>
      <w:r w:rsidRPr="00363C36">
        <w:rPr>
          <w:rFonts w:ascii="Times New Roman" w:hAnsi="Times New Roman" w:cs="Times New Roman"/>
          <w:sz w:val="24"/>
          <w:szCs w:val="24"/>
        </w:rPr>
        <w:t xml:space="preserve">Si se quiere evitar la persecución, la liquidación y otros síntomas de fricción social, es preciso que los aspectos positivos de la propaganda sean tan eficaces como los negativos. El amor a </w:t>
      </w:r>
      <w:r w:rsidRPr="00363C36">
        <w:rPr>
          <w:rFonts w:ascii="Times New Roman" w:hAnsi="Times New Roman" w:cs="Times New Roman"/>
          <w:sz w:val="24"/>
          <w:szCs w:val="24"/>
        </w:rPr>
        <w:lastRenderedPageBreak/>
        <w:t xml:space="preserve">la servidumbre sólo puede lograrse como resultado de una revolución profunda, personal, en las mentes y los cuerpos humanos. </w:t>
      </w:r>
    </w:p>
    <w:p w:rsidR="00F001EE" w:rsidRPr="00363C36" w:rsidRDefault="00F001EE" w:rsidP="00FA4DA9">
      <w:pPr>
        <w:spacing w:line="240" w:lineRule="auto"/>
        <w:jc w:val="both"/>
        <w:rPr>
          <w:rFonts w:ascii="Times New Roman" w:hAnsi="Times New Roman" w:cs="Times New Roman"/>
          <w:sz w:val="24"/>
          <w:szCs w:val="24"/>
        </w:rPr>
      </w:pPr>
      <w:r w:rsidRPr="00363C36">
        <w:rPr>
          <w:rFonts w:ascii="Times New Roman" w:hAnsi="Times New Roman" w:cs="Times New Roman"/>
          <w:sz w:val="24"/>
          <w:szCs w:val="24"/>
        </w:rPr>
        <w:t xml:space="preserve">Para llevar a cabo esta revolución necesitamos, entre otras cosas, los siguientes descubrimientos e inventos. En primer lugar, una técnica mucho más avanzada de la sugestión, mediante el condicionamiento de los infantes y, más adelante, con la ayuda de drogas, tales como la escopolamina (droga altamente tóxica). </w:t>
      </w:r>
    </w:p>
    <w:p w:rsidR="00F001EE" w:rsidRPr="00363C36" w:rsidRDefault="00F001EE" w:rsidP="00FA4DA9">
      <w:pPr>
        <w:spacing w:line="240" w:lineRule="auto"/>
        <w:jc w:val="both"/>
        <w:rPr>
          <w:rFonts w:ascii="Times New Roman" w:hAnsi="Times New Roman" w:cs="Times New Roman"/>
          <w:sz w:val="24"/>
          <w:szCs w:val="24"/>
        </w:rPr>
      </w:pPr>
      <w:r w:rsidRPr="00363C36">
        <w:rPr>
          <w:rFonts w:ascii="Times New Roman" w:hAnsi="Times New Roman" w:cs="Times New Roman"/>
          <w:sz w:val="24"/>
          <w:szCs w:val="24"/>
        </w:rPr>
        <w:t>En segundo lugar, una ciencia, plenamente desarrollada, de las diferencias humanas, que permita a los dirigentes gubernamentales destinar a cada individuo, su adecuado lugar en la jerarquía social y económica. (Las clavijas redondas en agujeros cuadrados tienden a alimentar pensamientos peligrosos sobre el sistema social y a contagiar su descontento a los demás). En tercer lugar (puesto que la realidad, por utópica que sea, es algo de lo cual la gente siente la necesidad de tomarse frecuentes vacaciones), un sustitutivo para el alcohol y los demás narcóticos, algo que sea al mismo tiempo menos dañino y más placentero que la ginebra o la heroína. Y finalmente (aunque éste sería un proyecto a largo plazo, que exigiría generaciones de dominio totalitario para llegar a una conclusión satisfactoria), un sistema de eugenesia a prueba de tontos, destinado a estandarizar el producto humano y a facilitar así la tarea de los dirigentes.</w:t>
      </w:r>
    </w:p>
    <w:p w:rsidR="00F001EE" w:rsidRPr="00363C36" w:rsidRDefault="00F001EE" w:rsidP="00FA4DA9">
      <w:pPr>
        <w:spacing w:line="240" w:lineRule="auto"/>
        <w:jc w:val="both"/>
        <w:rPr>
          <w:rFonts w:ascii="Times New Roman" w:hAnsi="Times New Roman" w:cs="Times New Roman"/>
          <w:sz w:val="24"/>
          <w:szCs w:val="24"/>
        </w:rPr>
      </w:pPr>
      <w:r w:rsidRPr="00363C36">
        <w:rPr>
          <w:rFonts w:ascii="Times New Roman" w:hAnsi="Times New Roman" w:cs="Times New Roman"/>
          <w:sz w:val="24"/>
          <w:szCs w:val="24"/>
        </w:rPr>
        <w:t>Sopesándolo todo bien, parece como si la Utopía se hallara más cerca de nosotros de lo que nadie hubiese podido imaginar hace sólo quince años. Entonces, la situé para dentro de seiscientos años en el futuro. Hoy parece posible que tal horror se implante entre nosotros en el plazo de un solo siglo. Es decir, en el supuesto de que sepamos reprimir nuestros impulsos de destruirnos en pedazos en el entretanto. Ciertamente, a menos que nos decidamos a descentralizar y emplear la ciencia aplicada, no como un fin para el cual los seres humanos deben ser tenidos como medios, sino como el medio para producir una raza de individuos libres, sólo podremos elegir entre dos alternativas: o cierto número de totalitarismos nacionales, militarizados, que tendrán sus raíces en el terror que suscita la bomba atómica, y, en consecuencia, la destrucción de la civilización (o, si la guerra es limitada, la perpetuación del militarismo); o bien un solo totalitarismo supranacional cuya existencia sería provocada por el caos social que resultaría del rápido progreso tecnológico en general y la revolución atómica en particular, que se desarrollaría, a causa de la necesidad de eficiencia y estabilidad, hasta convertirse en la benéfica tiranía de la Utopía. Usted es quien paga con su dinero, y puede elegir a su gusto”.</w:t>
      </w:r>
    </w:p>
    <w:p w:rsidR="00F001EE" w:rsidRPr="00363C36" w:rsidRDefault="00F001EE" w:rsidP="00FA4DA9">
      <w:pPr>
        <w:spacing w:line="240" w:lineRule="auto"/>
        <w:jc w:val="both"/>
        <w:rPr>
          <w:rFonts w:ascii="Times New Roman" w:hAnsi="Times New Roman" w:cs="Times New Roman"/>
          <w:sz w:val="24"/>
          <w:szCs w:val="24"/>
        </w:rPr>
      </w:pPr>
      <w:r w:rsidRPr="00363C36">
        <w:rPr>
          <w:rFonts w:ascii="Times New Roman" w:hAnsi="Times New Roman" w:cs="Times New Roman"/>
          <w:sz w:val="24"/>
          <w:szCs w:val="24"/>
        </w:rPr>
        <w:t>El título del libro se debe a una obra de William Shakespeare, La Tempestad, cuando en el acto V, Miranda dice: “¡Oh, qué maravilla! ¡Cuántas criaturas bellas hay aquí! ¡Cuán bella es la humanidad! ¡Oh, Mundo Feliz, en el q</w:t>
      </w:r>
      <w:r w:rsidR="00DA27A0" w:rsidRPr="00363C36">
        <w:rPr>
          <w:rFonts w:ascii="Times New Roman" w:hAnsi="Times New Roman" w:cs="Times New Roman"/>
          <w:sz w:val="24"/>
          <w:szCs w:val="24"/>
        </w:rPr>
        <w:t>ue vive gente así!”</w:t>
      </w:r>
    </w:p>
    <w:p w:rsidR="00F001EE" w:rsidRPr="00713A19" w:rsidRDefault="00F001EE"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13A19">
        <w:rPr>
          <w:rFonts w:ascii="Times New Roman" w:hAnsi="Times New Roman" w:cs="Times New Roman"/>
          <w:sz w:val="24"/>
          <w:szCs w:val="24"/>
          <w:u w:val="single"/>
        </w:rPr>
        <w:t>La histórica desconexión entre PIB y renta disponible que deja a EEUU muy vivo tras la crisis</w:t>
      </w:r>
      <w:r>
        <w:rPr>
          <w:rFonts w:ascii="Times New Roman" w:hAnsi="Times New Roman" w:cs="Times New Roman"/>
          <w:sz w:val="24"/>
          <w:szCs w:val="24"/>
        </w:rPr>
        <w:t xml:space="preserve"> (El Economista - </w:t>
      </w:r>
      <w:r w:rsidRPr="00713A19">
        <w:rPr>
          <w:rFonts w:ascii="Times New Roman" w:hAnsi="Times New Roman" w:cs="Times New Roman"/>
          <w:b/>
          <w:sz w:val="24"/>
          <w:szCs w:val="24"/>
        </w:rPr>
        <w:t>5/2/21</w:t>
      </w:r>
      <w:r>
        <w:rPr>
          <w:rFonts w:ascii="Times New Roman" w:hAnsi="Times New Roman" w:cs="Times New Roman"/>
          <w:sz w:val="24"/>
          <w:szCs w:val="24"/>
        </w:rPr>
        <w:t>)</w:t>
      </w:r>
    </w:p>
    <w:p w:rsidR="00F001EE" w:rsidRPr="00713A19" w:rsidRDefault="00F001EE"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713A19">
        <w:rPr>
          <w:rFonts w:ascii="Times New Roman" w:hAnsi="Times New Roman" w:cs="Times New Roman"/>
          <w:sz w:val="24"/>
          <w:szCs w:val="24"/>
        </w:rPr>
        <w:t>Vicente Nieves</w:t>
      </w:r>
      <w:r>
        <w:rPr>
          <w:rFonts w:ascii="Times New Roman" w:hAnsi="Times New Roman" w:cs="Times New Roman"/>
          <w:sz w:val="24"/>
          <w:szCs w:val="24"/>
        </w:rPr>
        <w:t>)</w:t>
      </w:r>
    </w:p>
    <w:p w:rsidR="00F001EE" w:rsidRPr="00DA27A0" w:rsidRDefault="00F001EE" w:rsidP="00FA4DA9">
      <w:pPr>
        <w:spacing w:line="240" w:lineRule="auto"/>
        <w:jc w:val="both"/>
        <w:rPr>
          <w:rFonts w:ascii="Times New Roman" w:hAnsi="Times New Roman" w:cs="Times New Roman"/>
          <w:color w:val="FF0000"/>
          <w:sz w:val="24"/>
          <w:szCs w:val="24"/>
          <w:u w:val="single"/>
        </w:rPr>
      </w:pPr>
      <w:r w:rsidRPr="00DA27A0">
        <w:rPr>
          <w:rFonts w:ascii="Times New Roman" w:hAnsi="Times New Roman" w:cs="Times New Roman"/>
          <w:color w:val="FF0000"/>
          <w:sz w:val="24"/>
          <w:szCs w:val="24"/>
          <w:u w:val="single"/>
        </w:rPr>
        <w:t>La economía de EEUU se ha contraído un 3,5% en 2020. La recesión ha sido la ma</w:t>
      </w:r>
      <w:r w:rsidR="000665FD" w:rsidRPr="00DA27A0">
        <w:rPr>
          <w:rFonts w:ascii="Times New Roman" w:hAnsi="Times New Roman" w:cs="Times New Roman"/>
          <w:color w:val="FF0000"/>
          <w:sz w:val="24"/>
          <w:szCs w:val="24"/>
          <w:u w:val="single"/>
        </w:rPr>
        <w:t>yor en décadas, sin embargo el “golpe”</w:t>
      </w:r>
      <w:r w:rsidRPr="00DA27A0">
        <w:rPr>
          <w:rFonts w:ascii="Times New Roman" w:hAnsi="Times New Roman" w:cs="Times New Roman"/>
          <w:color w:val="FF0000"/>
          <w:sz w:val="24"/>
          <w:szCs w:val="24"/>
          <w:u w:val="single"/>
        </w:rPr>
        <w:t xml:space="preserve"> ha terminado siendo mucho más pequeño de lo que se venía esperando durante la mayor parte del año. Esta crisis ha sido totalmente diferente y no solo por el componente sanitario, también por las herramientas usadas por gobiernos y bancos centrales para enfrentarse a ella. Las políticas contracíclicas de estas instituciones han logrado algo inédito: la renta disponible de los hogares americanos ha aumentado mientras que se desplomaba la actividad económica. Esta ha sido una de las claves para reducir el </w:t>
      </w:r>
      <w:r w:rsidRPr="00DA27A0">
        <w:rPr>
          <w:rFonts w:ascii="Times New Roman" w:hAnsi="Times New Roman" w:cs="Times New Roman"/>
          <w:color w:val="FF0000"/>
          <w:sz w:val="24"/>
          <w:szCs w:val="24"/>
          <w:u w:val="single"/>
        </w:rPr>
        <w:lastRenderedPageBreak/>
        <w:t>impacto de la crisis y dejar a la economía en la lanzadera para disparar su crecimiento este año.</w:t>
      </w:r>
    </w:p>
    <w:p w:rsidR="00F001EE" w:rsidRDefault="00F001EE" w:rsidP="00FA4DA9">
      <w:pPr>
        <w:spacing w:line="240" w:lineRule="auto"/>
        <w:jc w:val="both"/>
        <w:rPr>
          <w:rFonts w:ascii="Times New Roman" w:hAnsi="Times New Roman" w:cs="Times New Roman"/>
          <w:color w:val="FF0000"/>
          <w:sz w:val="24"/>
          <w:szCs w:val="24"/>
          <w:u w:val="single"/>
        </w:rPr>
      </w:pPr>
      <w:r w:rsidRPr="00DA27A0">
        <w:rPr>
          <w:rFonts w:ascii="Times New Roman" w:hAnsi="Times New Roman" w:cs="Times New Roman"/>
          <w:color w:val="FF0000"/>
          <w:sz w:val="24"/>
          <w:szCs w:val="24"/>
          <w:u w:val="single"/>
        </w:rPr>
        <w:t>En anteriores crisis, el descenso de la actividad económica había desembocado en una caída de la renta disponible de los hogares,</w:t>
      </w:r>
      <w:r w:rsidRPr="00DA27A0">
        <w:rPr>
          <w:rFonts w:ascii="Times New Roman" w:hAnsi="Times New Roman" w:cs="Times New Roman"/>
          <w:color w:val="FF0000"/>
          <w:sz w:val="24"/>
          <w:szCs w:val="24"/>
        </w:rPr>
        <w:t xml:space="preserve"> debido al desempleo, la reducción de las horas de trabajo, recortes de sueldo... </w:t>
      </w:r>
      <w:r w:rsidRPr="00DA27A0">
        <w:rPr>
          <w:rFonts w:ascii="Times New Roman" w:hAnsi="Times New Roman" w:cs="Times New Roman"/>
          <w:color w:val="FF0000"/>
          <w:sz w:val="24"/>
          <w:szCs w:val="24"/>
          <w:u w:val="single"/>
        </w:rPr>
        <w:t>Sin embargo</w:t>
      </w:r>
      <w:r w:rsidRPr="00DA27A0">
        <w:rPr>
          <w:rFonts w:ascii="Times New Roman" w:hAnsi="Times New Roman" w:cs="Times New Roman"/>
          <w:color w:val="FF0000"/>
          <w:sz w:val="24"/>
          <w:szCs w:val="24"/>
        </w:rPr>
        <w:t xml:space="preserve">, </w:t>
      </w:r>
      <w:r w:rsidRPr="00DA27A0">
        <w:rPr>
          <w:rFonts w:ascii="Times New Roman" w:hAnsi="Times New Roman" w:cs="Times New Roman"/>
          <w:color w:val="FF0000"/>
          <w:sz w:val="24"/>
          <w:szCs w:val="24"/>
          <w:u w:val="single"/>
        </w:rPr>
        <w:t>durante esta crisis ha ocurrido todo lo contrario pese a que la tasa de paro se disparó (por poco tiempo) a niveles no vistos casi desde la Gran Depresión. Los programas de ayudas directas y de subsidios han más que compensado la caída en la distribución primaria de la renta en EEUU (la distribución que realizan las empresas al retribuir a los factores de producción).</w:t>
      </w:r>
    </w:p>
    <w:p w:rsidR="00DA27A0" w:rsidRPr="00713A19" w:rsidRDefault="00DA27A0" w:rsidP="00FA4DA9">
      <w:pPr>
        <w:spacing w:line="240" w:lineRule="auto"/>
        <w:jc w:val="both"/>
        <w:rPr>
          <w:rFonts w:ascii="Times New Roman" w:hAnsi="Times New Roman" w:cs="Times New Roman"/>
          <w:sz w:val="24"/>
          <w:szCs w:val="24"/>
        </w:rPr>
      </w:pPr>
      <w:r w:rsidRPr="008E02FB">
        <w:rPr>
          <w:rFonts w:ascii="Times New Roman" w:hAnsi="Times New Roman" w:cs="Times New Roman"/>
          <w:sz w:val="24"/>
          <w:szCs w:val="24"/>
          <w:u w:val="single"/>
        </w:rPr>
        <w:t>Maria Solovieva y James Marple, economistas de TD Economics, exp</w:t>
      </w:r>
      <w:r>
        <w:rPr>
          <w:rFonts w:ascii="Times New Roman" w:hAnsi="Times New Roman" w:cs="Times New Roman"/>
          <w:sz w:val="24"/>
          <w:szCs w:val="24"/>
          <w:u w:val="single"/>
        </w:rPr>
        <w:t>lican en un informe “</w:t>
      </w:r>
      <w:r w:rsidRPr="008E02FB">
        <w:rPr>
          <w:rFonts w:ascii="Times New Roman" w:hAnsi="Times New Roman" w:cs="Times New Roman"/>
          <w:sz w:val="24"/>
          <w:szCs w:val="24"/>
          <w:u w:val="single"/>
        </w:rPr>
        <w:t>la naturaleza sin precedentes de la crisis y la respuesta política ha complicado la tarea de medir la salud financiera de los hogares estadounidenses. Quizás lo más notable es que la relación habitual entre la actividad económica (PIB) y la renta personal disponible (RPD) se ha roto.</w:t>
      </w:r>
      <w:r w:rsidRPr="00713A19">
        <w:rPr>
          <w:rFonts w:ascii="Times New Roman" w:hAnsi="Times New Roman" w:cs="Times New Roman"/>
          <w:sz w:val="24"/>
          <w:szCs w:val="24"/>
        </w:rPr>
        <w:t xml:space="preserve"> A medida que el PIB real se contrajo, la renta personal disponible hizo exactamente lo contrario, creci</w:t>
      </w:r>
      <w:r>
        <w:rPr>
          <w:rFonts w:ascii="Times New Roman" w:hAnsi="Times New Roman" w:cs="Times New Roman"/>
          <w:sz w:val="24"/>
          <w:szCs w:val="24"/>
        </w:rPr>
        <w:t>endo a un ritmo sin precedentes”</w:t>
      </w:r>
      <w:r w:rsidRPr="00713A19">
        <w:rPr>
          <w:rFonts w:ascii="Times New Roman" w:hAnsi="Times New Roman" w:cs="Times New Roman"/>
          <w:sz w:val="24"/>
          <w:szCs w:val="24"/>
        </w:rPr>
        <w:t>. La renta disponible es la cantidad de dinero que le queda a los hogares para gastar o ahorrar después de pagar impuestos. La fórmula es simple: los ingresos de cada uno tras pagar los impuestos de los mismos.</w:t>
      </w:r>
    </w:p>
    <w:p w:rsidR="00DA27A0" w:rsidRPr="00DA27A0" w:rsidRDefault="00DA27A0" w:rsidP="00FA4DA9">
      <w:pPr>
        <w:spacing w:line="240" w:lineRule="auto"/>
        <w:jc w:val="both"/>
        <w:rPr>
          <w:rFonts w:ascii="Times New Roman" w:hAnsi="Times New Roman" w:cs="Times New Roman"/>
          <w:color w:val="FF0000"/>
          <w:sz w:val="24"/>
          <w:szCs w:val="24"/>
          <w:u w:val="single"/>
        </w:rPr>
      </w:pPr>
    </w:p>
    <w:p w:rsidR="00F001EE" w:rsidRPr="00713A19" w:rsidRDefault="00F001EE" w:rsidP="00FA4DA9">
      <w:pPr>
        <w:spacing w:line="240" w:lineRule="auto"/>
        <w:jc w:val="both"/>
        <w:rPr>
          <w:rFonts w:ascii="Times New Roman" w:hAnsi="Times New Roman" w:cs="Times New Roman"/>
          <w:sz w:val="24"/>
          <w:szCs w:val="24"/>
        </w:rPr>
      </w:pPr>
      <w:r>
        <w:rPr>
          <w:noProof/>
          <w:lang w:eastAsia="es-ES"/>
        </w:rPr>
        <w:drawing>
          <wp:inline distT="0" distB="0" distL="0" distR="0" wp14:anchorId="5B85634B" wp14:editId="273F2BAF">
            <wp:extent cx="5731510" cy="3657249"/>
            <wp:effectExtent l="0" t="0" r="2540" b="635"/>
            <wp:docPr id="21" name="Imagen 21" descr="https://s03.s3c.es/imag/_v0/770x491/8/a/7/relacion-historica-renta-pi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s03.s3c.es/imag/_v0/770x491/8/a/7/relacion-historica-renta-pib.jpg"/>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5731510" cy="3657249"/>
                    </a:xfrm>
                    <a:prstGeom prst="rect">
                      <a:avLst/>
                    </a:prstGeom>
                    <a:noFill/>
                    <a:ln>
                      <a:noFill/>
                    </a:ln>
                  </pic:spPr>
                </pic:pic>
              </a:graphicData>
            </a:graphic>
          </wp:inline>
        </w:drawing>
      </w:r>
      <w:r w:rsidRPr="00713A19">
        <w:rPr>
          <w:rFonts w:ascii="Times New Roman" w:hAnsi="Times New Roman" w:cs="Times New Roman"/>
          <w:sz w:val="24"/>
          <w:szCs w:val="24"/>
        </w:rPr>
        <w:t>La renta disponible crece con fuerza en plena recesión</w:t>
      </w:r>
    </w:p>
    <w:p w:rsidR="00F001EE" w:rsidRPr="00713A19" w:rsidRDefault="00F001EE" w:rsidP="00FA4DA9">
      <w:pPr>
        <w:spacing w:line="240" w:lineRule="auto"/>
        <w:jc w:val="both"/>
        <w:rPr>
          <w:rFonts w:ascii="Times New Roman" w:hAnsi="Times New Roman" w:cs="Times New Roman"/>
          <w:sz w:val="24"/>
          <w:szCs w:val="24"/>
        </w:rPr>
      </w:pPr>
      <w:r w:rsidRPr="00713A19">
        <w:rPr>
          <w:rFonts w:ascii="Times New Roman" w:hAnsi="Times New Roman" w:cs="Times New Roman"/>
          <w:sz w:val="24"/>
          <w:szCs w:val="24"/>
        </w:rPr>
        <w:t>Los programas de apoyo a los hogares</w:t>
      </w:r>
    </w:p>
    <w:p w:rsidR="00F001EE" w:rsidRPr="008E02FB" w:rsidRDefault="00F001EE" w:rsidP="00FA4DA9">
      <w:pPr>
        <w:spacing w:line="240" w:lineRule="auto"/>
        <w:jc w:val="both"/>
        <w:rPr>
          <w:rFonts w:ascii="Times New Roman" w:hAnsi="Times New Roman" w:cs="Times New Roman"/>
          <w:sz w:val="24"/>
          <w:szCs w:val="24"/>
          <w:u w:val="single"/>
        </w:rPr>
      </w:pPr>
      <w:r w:rsidRPr="008E02FB">
        <w:rPr>
          <w:rFonts w:ascii="Times New Roman" w:hAnsi="Times New Roman" w:cs="Times New Roman"/>
          <w:sz w:val="24"/>
          <w:szCs w:val="24"/>
          <w:u w:val="single"/>
        </w:rPr>
        <w:t>El sustancial apoyo a las rentas derivado de la Ley de Ayuda, Alivio y Seguridad Económica por el Coronavirus (CARES por sus siglas en inglés) ha sido la principal razón para que se produzca esta desconexión entre la actividad económica y la renta de los hogares</w:t>
      </w:r>
      <w:r w:rsidR="000665FD">
        <w:rPr>
          <w:rFonts w:ascii="Times New Roman" w:hAnsi="Times New Roman" w:cs="Times New Roman"/>
          <w:sz w:val="24"/>
          <w:szCs w:val="24"/>
        </w:rPr>
        <w:t>. “</w:t>
      </w:r>
      <w:r w:rsidRPr="00713A19">
        <w:rPr>
          <w:rFonts w:ascii="Times New Roman" w:hAnsi="Times New Roman" w:cs="Times New Roman"/>
          <w:sz w:val="24"/>
          <w:szCs w:val="24"/>
        </w:rPr>
        <w:t xml:space="preserve">Al mismo tiempo, las moratorias sobre ciertos préstamos y los confinamientos (imposibilidad de gastar en muchas cosas) han reducido los gastos del hogar y han ayudado a aliviar la tensión </w:t>
      </w:r>
      <w:r w:rsidRPr="00713A19">
        <w:rPr>
          <w:rFonts w:ascii="Times New Roman" w:hAnsi="Times New Roman" w:cs="Times New Roman"/>
          <w:sz w:val="24"/>
          <w:szCs w:val="24"/>
        </w:rPr>
        <w:lastRenderedPageBreak/>
        <w:t>financier</w:t>
      </w:r>
      <w:r w:rsidR="000665FD">
        <w:rPr>
          <w:rFonts w:ascii="Times New Roman" w:hAnsi="Times New Roman" w:cs="Times New Roman"/>
          <w:sz w:val="24"/>
          <w:szCs w:val="24"/>
        </w:rPr>
        <w:t>a que aparece en las recesiones”</w:t>
      </w:r>
      <w:r w:rsidRPr="00713A19">
        <w:rPr>
          <w:rFonts w:ascii="Times New Roman" w:hAnsi="Times New Roman" w:cs="Times New Roman"/>
          <w:sz w:val="24"/>
          <w:szCs w:val="24"/>
        </w:rPr>
        <w:t xml:space="preserve">. Además, </w:t>
      </w:r>
      <w:r w:rsidRPr="008E02FB">
        <w:rPr>
          <w:rFonts w:ascii="Times New Roman" w:hAnsi="Times New Roman" w:cs="Times New Roman"/>
          <w:sz w:val="24"/>
          <w:szCs w:val="24"/>
          <w:u w:val="single"/>
        </w:rPr>
        <w:t>todo ello ha generado un ahorro total que los expertos de Blackrock valoran en 1,6 billones de dólares que podría disparar el consumo cuando la situación económica mejore.</w:t>
      </w:r>
    </w:p>
    <w:p w:rsidR="00F001EE" w:rsidRPr="00DA27A0" w:rsidRDefault="00F001EE" w:rsidP="00FA4DA9">
      <w:pPr>
        <w:spacing w:line="240" w:lineRule="auto"/>
        <w:jc w:val="both"/>
        <w:rPr>
          <w:rFonts w:ascii="Times New Roman" w:hAnsi="Times New Roman" w:cs="Times New Roman"/>
          <w:color w:val="FF0000"/>
          <w:sz w:val="24"/>
          <w:szCs w:val="24"/>
          <w:u w:val="single"/>
        </w:rPr>
      </w:pPr>
      <w:r w:rsidRPr="00DA27A0">
        <w:rPr>
          <w:rFonts w:ascii="Times New Roman" w:hAnsi="Times New Roman" w:cs="Times New Roman"/>
          <w:color w:val="FF0000"/>
          <w:sz w:val="24"/>
          <w:szCs w:val="24"/>
          <w:u w:val="single"/>
        </w:rPr>
        <w:t>Desde abril, el gobierno federal ha gastado unos 270.000 millones en medidas destinadas a reducir el impacto económico de la pandemia a través de créditos tributarios de 1.200 dólares por adulto y 500 dólares por niño (se van reduciendo progresivamente para los hogares con ingresos más altos). Ahora, el nuevo Gobierno de EEUU está negociando con los republicanos para entregar cheques de alrededor de 1.400 dólares dentro de su plan de estímulos de 1,9 billones de dólares.</w:t>
      </w:r>
    </w:p>
    <w:p w:rsidR="00F001EE" w:rsidRPr="00713A19" w:rsidRDefault="00F001EE" w:rsidP="00FA4DA9">
      <w:pPr>
        <w:spacing w:line="240" w:lineRule="auto"/>
        <w:jc w:val="both"/>
        <w:rPr>
          <w:rFonts w:ascii="Times New Roman" w:hAnsi="Times New Roman" w:cs="Times New Roman"/>
          <w:sz w:val="24"/>
          <w:szCs w:val="24"/>
        </w:rPr>
      </w:pPr>
      <w:r w:rsidRPr="00713A19">
        <w:rPr>
          <w:rFonts w:ascii="Times New Roman" w:hAnsi="Times New Roman" w:cs="Times New Roman"/>
          <w:sz w:val="24"/>
          <w:szCs w:val="24"/>
        </w:rPr>
        <w:t>Además, durante el mandato de Trump también se ampliaron los programas de subsidio por desempleo para apoyar a los trabajadores que normalmente no tenían acceso a esas prestaciones. Además, su duración se ha extendido sobremanera durante la pandemi</w:t>
      </w:r>
      <w:r w:rsidR="00DA27A0">
        <w:rPr>
          <w:rFonts w:ascii="Times New Roman" w:hAnsi="Times New Roman" w:cs="Times New Roman"/>
          <w:sz w:val="24"/>
          <w:szCs w:val="24"/>
        </w:rPr>
        <w:t>a. Con todo esto, desde abril, “</w:t>
      </w:r>
      <w:r w:rsidRPr="00713A19">
        <w:rPr>
          <w:rFonts w:ascii="Times New Roman" w:hAnsi="Times New Roman" w:cs="Times New Roman"/>
          <w:sz w:val="24"/>
          <w:szCs w:val="24"/>
        </w:rPr>
        <w:t>estos programas asignaron más de 370.000 millones a ayudar a aquellos que perdieron su</w:t>
      </w:r>
      <w:r w:rsidR="00DA27A0">
        <w:rPr>
          <w:rFonts w:ascii="Times New Roman" w:hAnsi="Times New Roman" w:cs="Times New Roman"/>
          <w:sz w:val="24"/>
          <w:szCs w:val="24"/>
        </w:rPr>
        <w:t>s trabajos debido a la pandemia”</w:t>
      </w:r>
      <w:r w:rsidRPr="00713A19">
        <w:rPr>
          <w:rFonts w:ascii="Times New Roman" w:hAnsi="Times New Roman" w:cs="Times New Roman"/>
          <w:sz w:val="24"/>
          <w:szCs w:val="24"/>
        </w:rPr>
        <w:t xml:space="preserve">, explican </w:t>
      </w:r>
      <w:r>
        <w:rPr>
          <w:rFonts w:ascii="Times New Roman" w:hAnsi="Times New Roman" w:cs="Times New Roman"/>
          <w:sz w:val="24"/>
          <w:szCs w:val="24"/>
        </w:rPr>
        <w:t>Maria Solovieva y James Marple.</w:t>
      </w:r>
    </w:p>
    <w:p w:rsidR="00F001EE" w:rsidRPr="00DA27A0" w:rsidRDefault="00F001EE" w:rsidP="00FA4DA9">
      <w:pPr>
        <w:spacing w:line="240" w:lineRule="auto"/>
        <w:jc w:val="both"/>
        <w:rPr>
          <w:rFonts w:ascii="Times New Roman" w:hAnsi="Times New Roman" w:cs="Times New Roman"/>
          <w:color w:val="FF0000"/>
          <w:sz w:val="24"/>
          <w:szCs w:val="24"/>
          <w:u w:val="single"/>
        </w:rPr>
      </w:pPr>
      <w:r w:rsidRPr="00DA27A0">
        <w:rPr>
          <w:rFonts w:ascii="Times New Roman" w:hAnsi="Times New Roman" w:cs="Times New Roman"/>
          <w:color w:val="FF0000"/>
          <w:sz w:val="24"/>
          <w:szCs w:val="24"/>
          <w:u w:val="single"/>
        </w:rPr>
        <w:t>Además, la nueva Ley CRRSA supone 120.000 millones más en beneficios por desempleo durante un período de casi tres meses. El proyecto de ley incluye un seguro de desempleo suplementario de 300 dólares por semana, más un nuevo extra que proporciona 100 dólares adicionales por semana a los trabajadores con ingresos mixtos (parecido a los autónomos), así como extensiones de los programas de asistencia por desempleo pandémico y de compensación por desempleo de emergencia pandémica hasta marzo y el 14 de febrero de 2021 respectivamente. Como resultado de estos apoyos al ingreso de los hogares, la mayoría de las familias mejoraron de lo que estaban antes de la pandemia, según explican los expertos de TD Securities.</w:t>
      </w:r>
    </w:p>
    <w:p w:rsidR="00F001EE" w:rsidRPr="00713A19" w:rsidRDefault="00F001EE" w:rsidP="00FA4DA9">
      <w:pPr>
        <w:spacing w:line="240" w:lineRule="auto"/>
        <w:jc w:val="both"/>
        <w:rPr>
          <w:rFonts w:ascii="Times New Roman" w:hAnsi="Times New Roman" w:cs="Times New Roman"/>
          <w:sz w:val="24"/>
          <w:szCs w:val="24"/>
        </w:rPr>
      </w:pPr>
      <w:r w:rsidRPr="008E02FB">
        <w:rPr>
          <w:rFonts w:ascii="Times New Roman" w:hAnsi="Times New Roman" w:cs="Times New Roman"/>
          <w:color w:val="FF0000"/>
          <w:sz w:val="24"/>
          <w:szCs w:val="24"/>
          <w:u w:val="single"/>
        </w:rPr>
        <w:t>Todas estas prestaciones y ayudas por desempleo han generado una tasa reemplazo del 121% respecto a los ingresos de una familia trabajadora media, en comparación con solo el 40% que ofrece el programa regular de seguro por desempleo</w:t>
      </w:r>
      <w:r w:rsidRPr="00713A19">
        <w:rPr>
          <w:rFonts w:ascii="Times New Roman" w:hAnsi="Times New Roman" w:cs="Times New Roman"/>
          <w:sz w:val="24"/>
          <w:szCs w:val="24"/>
        </w:rPr>
        <w:t>. El diseño del programa tambié</w:t>
      </w:r>
      <w:r w:rsidR="000665FD">
        <w:rPr>
          <w:rFonts w:ascii="Times New Roman" w:hAnsi="Times New Roman" w:cs="Times New Roman"/>
          <w:sz w:val="24"/>
          <w:szCs w:val="24"/>
        </w:rPr>
        <w:t>n es progresivo. De este modo, “</w:t>
      </w:r>
      <w:r w:rsidRPr="00713A19">
        <w:rPr>
          <w:rFonts w:ascii="Times New Roman" w:hAnsi="Times New Roman" w:cs="Times New Roman"/>
          <w:sz w:val="24"/>
          <w:szCs w:val="24"/>
        </w:rPr>
        <w:t xml:space="preserve">la renta persona disponibles experimentó su crecimiento anual más rápido desde 1984. Esto, junto con a unos tipos de interés bajos gracias a la Reserva Federal ha impulsado el gasto en viviendas nuevas, bienes recreativos y vehículos, compensando parcialmente la gran reducción en el gasto en servicios y la inversión </w:t>
      </w:r>
      <w:r w:rsidR="000665FD">
        <w:rPr>
          <w:rFonts w:ascii="Times New Roman" w:hAnsi="Times New Roman" w:cs="Times New Roman"/>
          <w:sz w:val="24"/>
          <w:szCs w:val="24"/>
        </w:rPr>
        <w:t>fija empresarial en estructuras”</w:t>
      </w:r>
      <w:r w:rsidRPr="00713A19">
        <w:rPr>
          <w:rFonts w:ascii="Times New Roman" w:hAnsi="Times New Roman" w:cs="Times New Roman"/>
          <w:sz w:val="24"/>
          <w:szCs w:val="24"/>
        </w:rPr>
        <w:t>, apuntan Jason Furman, investigador de Peterson Institute for Internactional Economics (PIIE) y Wilson Powel, profeso</w:t>
      </w:r>
      <w:r>
        <w:rPr>
          <w:rFonts w:ascii="Times New Roman" w:hAnsi="Times New Roman" w:cs="Times New Roman"/>
          <w:sz w:val="24"/>
          <w:szCs w:val="24"/>
        </w:rPr>
        <w:t>r de la Universidad de Harvard.</w:t>
      </w:r>
    </w:p>
    <w:p w:rsidR="00F001EE" w:rsidRPr="00713A19" w:rsidRDefault="00F001EE" w:rsidP="00FA4DA9">
      <w:pPr>
        <w:spacing w:line="240" w:lineRule="auto"/>
        <w:jc w:val="both"/>
        <w:rPr>
          <w:rFonts w:ascii="Times New Roman" w:hAnsi="Times New Roman" w:cs="Times New Roman"/>
          <w:sz w:val="24"/>
          <w:szCs w:val="24"/>
        </w:rPr>
      </w:pPr>
      <w:r w:rsidRPr="00713A19">
        <w:rPr>
          <w:rFonts w:ascii="Times New Roman" w:hAnsi="Times New Roman" w:cs="Times New Roman"/>
          <w:sz w:val="24"/>
          <w:szCs w:val="24"/>
        </w:rPr>
        <w:t>Estos expertos explican que pese a no haber datos exactos, todo hace indicar que los hogares con menores rentas se han beneficiado de media de un aumento mayor en sus ingresos. Estos hogares presentan una mayor propensión a consumir, es decir, gastan una mayor porción de cada dólar extra que ingresan, lo que ha podido apoyar el consumo durante el 2020 y prob</w:t>
      </w:r>
      <w:r>
        <w:rPr>
          <w:rFonts w:ascii="Times New Roman" w:hAnsi="Times New Roman" w:cs="Times New Roman"/>
          <w:sz w:val="24"/>
          <w:szCs w:val="24"/>
        </w:rPr>
        <w:t>ablemente lo impulsará en 2021.</w:t>
      </w:r>
    </w:p>
    <w:p w:rsidR="00F001EE" w:rsidRPr="00DA27A0" w:rsidRDefault="00F001EE" w:rsidP="00FA4DA9">
      <w:pPr>
        <w:spacing w:line="240" w:lineRule="auto"/>
        <w:jc w:val="both"/>
        <w:rPr>
          <w:rFonts w:ascii="Times New Roman" w:hAnsi="Times New Roman" w:cs="Times New Roman"/>
          <w:color w:val="FF0000"/>
          <w:sz w:val="24"/>
          <w:szCs w:val="24"/>
          <w:u w:val="single"/>
        </w:rPr>
      </w:pPr>
      <w:r w:rsidRPr="00DA27A0">
        <w:rPr>
          <w:rFonts w:ascii="Times New Roman" w:hAnsi="Times New Roman" w:cs="Times New Roman"/>
          <w:color w:val="FF0000"/>
          <w:sz w:val="24"/>
          <w:szCs w:val="24"/>
          <w:u w:val="single"/>
        </w:rPr>
        <w:t>El nuevo cheque de 1.400 dólares (aún no ha sido aprobado) y el programa de estímulos de 1,9 billones de dólares que tiene preparado Joe Biden y su equipo podrían impulsar la recuperación económico en EEUU. El consenso de expertos está revisando al alza las previsiones de crecimiento para EEUU en 2021 de igual forma que fueron reduciendo la profundidad la recesión a medida que avanzaba el año 2020.</w:t>
      </w:r>
    </w:p>
    <w:p w:rsidR="00F001EE" w:rsidRDefault="00F001EE" w:rsidP="00FA4DA9">
      <w:pPr>
        <w:spacing w:line="240" w:lineRule="auto"/>
        <w:jc w:val="both"/>
        <w:rPr>
          <w:rFonts w:ascii="Times New Roman" w:hAnsi="Times New Roman" w:cs="Times New Roman"/>
          <w:sz w:val="24"/>
          <w:szCs w:val="24"/>
        </w:rPr>
      </w:pPr>
      <w:r w:rsidRPr="00713A19">
        <w:rPr>
          <w:rFonts w:ascii="Times New Roman" w:hAnsi="Times New Roman" w:cs="Times New Roman"/>
          <w:sz w:val="24"/>
          <w:szCs w:val="24"/>
        </w:rPr>
        <w:t xml:space="preserve">El consumo es el motor de la economía de EEUU, la cuestión es si tantos estímulos podrían terminar generando una inflación más alta de la deseada. Por ahora ese riesgo parece lejano, </w:t>
      </w:r>
      <w:r w:rsidRPr="00713A19">
        <w:rPr>
          <w:rFonts w:ascii="Times New Roman" w:hAnsi="Times New Roman" w:cs="Times New Roman"/>
          <w:sz w:val="24"/>
          <w:szCs w:val="24"/>
        </w:rPr>
        <w:lastRenderedPageBreak/>
        <w:t>puesto que la economía de EEUU está aún muy lejos de su potencial. Pero una vez que el consumo coge velocidad y el dinero empieza a cambiar de manos de forma rápida, templar la economía sin causar un terremoto puede ser una misión muy compleja.</w:t>
      </w:r>
    </w:p>
    <w:p w:rsidR="00F001EE" w:rsidRDefault="00F001EE"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E64CF">
        <w:rPr>
          <w:rFonts w:ascii="Times New Roman" w:hAnsi="Times New Roman" w:cs="Times New Roman"/>
          <w:sz w:val="24"/>
          <w:szCs w:val="24"/>
          <w:u w:val="single"/>
        </w:rPr>
        <w:t>La gran brecha transatlántica: los motivos que están dejando a la economía de Europa muy por detrás de EEUU</w:t>
      </w:r>
      <w:r>
        <w:rPr>
          <w:rFonts w:ascii="Times New Roman" w:hAnsi="Times New Roman" w:cs="Times New Roman"/>
          <w:sz w:val="24"/>
          <w:szCs w:val="24"/>
        </w:rPr>
        <w:t xml:space="preserve"> (El Economista - </w:t>
      </w:r>
      <w:r w:rsidRPr="008E64CF">
        <w:rPr>
          <w:rFonts w:ascii="Times New Roman" w:hAnsi="Times New Roman" w:cs="Times New Roman"/>
          <w:b/>
          <w:sz w:val="24"/>
          <w:szCs w:val="24"/>
        </w:rPr>
        <w:t>10/2/21</w:t>
      </w:r>
      <w:r>
        <w:rPr>
          <w:rFonts w:ascii="Times New Roman" w:hAnsi="Times New Roman" w:cs="Times New Roman"/>
          <w:sz w:val="24"/>
          <w:szCs w:val="24"/>
        </w:rPr>
        <w:t>)</w:t>
      </w:r>
    </w:p>
    <w:p w:rsidR="00F001EE" w:rsidRPr="008E64CF" w:rsidRDefault="00F001EE"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(Por Vicente Nieves)</w:t>
      </w:r>
    </w:p>
    <w:p w:rsidR="00F001EE" w:rsidRPr="003F6DF5" w:rsidRDefault="00F001EE" w:rsidP="00FA4DA9">
      <w:pPr>
        <w:pStyle w:val="NormalWeb"/>
        <w:spacing w:before="0" w:beforeAutospacing="0" w:after="270" w:afterAutospacing="0"/>
        <w:jc w:val="both"/>
        <w:rPr>
          <w:spacing w:val="-1"/>
          <w:u w:val="single"/>
        </w:rPr>
      </w:pPr>
      <w:r w:rsidRPr="008E64CF">
        <w:rPr>
          <w:spacing w:val="-1"/>
        </w:rPr>
        <w:t>Antes de que los problemas de distribución y producción de la vacuna fueran patentes en Europa, ya se preveía una recuperación algo más rápida en EEUU respecto a la UE y a la zona euro. Sin embargo, </w:t>
      </w:r>
      <w:hyperlink r:id="rId258" w:history="1">
        <w:r w:rsidRPr="000665FD">
          <w:rPr>
            <w:rStyle w:val="Hipervnculo"/>
            <w:rFonts w:eastAsiaTheme="minorEastAsia"/>
            <w:color w:val="auto"/>
            <w:spacing w:val="-1"/>
          </w:rPr>
          <w:t>la dudosa gestión de Bruselas a la hora de comprar y distribuir las vacunas</w:t>
        </w:r>
      </w:hyperlink>
      <w:r w:rsidRPr="000665FD">
        <w:rPr>
          <w:spacing w:val="-1"/>
        </w:rPr>
        <w:t xml:space="preserve">, </w:t>
      </w:r>
      <w:r w:rsidRPr="003F6DF5">
        <w:rPr>
          <w:spacing w:val="-1"/>
          <w:u w:val="single"/>
        </w:rPr>
        <w:t>junto a un menor apoyo fiscal respecto a EEUU, va a incrementar sobremanera la brecha entre ambas economías, pudiendo llegar a generar</w:t>
      </w:r>
      <w:r w:rsidRPr="003F6DF5">
        <w:rPr>
          <w:b/>
          <w:bCs/>
          <w:spacing w:val="-1"/>
          <w:u w:val="single"/>
        </w:rPr>
        <w:t> una desincron</w:t>
      </w:r>
      <w:r w:rsidR="00324F4A">
        <w:rPr>
          <w:b/>
          <w:bCs/>
          <w:spacing w:val="-1"/>
          <w:u w:val="single"/>
        </w:rPr>
        <w:t>iz</w:t>
      </w:r>
      <w:r w:rsidRPr="003F6DF5">
        <w:rPr>
          <w:b/>
          <w:bCs/>
          <w:spacing w:val="-1"/>
          <w:u w:val="single"/>
        </w:rPr>
        <w:t>ación de los ciclos económicos</w:t>
      </w:r>
      <w:r w:rsidRPr="003F6DF5">
        <w:rPr>
          <w:spacing w:val="-1"/>
          <w:u w:val="single"/>
        </w:rPr>
        <w:t> y monetarios importante entre ambas regiones.</w:t>
      </w:r>
    </w:p>
    <w:p w:rsidR="00F001EE" w:rsidRPr="003F6DF5" w:rsidRDefault="00F001EE" w:rsidP="00FA4DA9">
      <w:pPr>
        <w:pStyle w:val="NormalWeb"/>
        <w:spacing w:before="0" w:beforeAutospacing="0" w:after="270" w:afterAutospacing="0"/>
        <w:jc w:val="both"/>
        <w:rPr>
          <w:spacing w:val="-1"/>
          <w:u w:val="single"/>
        </w:rPr>
      </w:pPr>
      <w:r w:rsidRPr="003F6DF5">
        <w:rPr>
          <w:spacing w:val="-1"/>
          <w:u w:val="single"/>
        </w:rPr>
        <w:t>EEUU crecerá con mucha más fuerza,</w:t>
      </w:r>
      <w:hyperlink r:id="rId259" w:history="1">
        <w:r w:rsidRPr="000665FD">
          <w:rPr>
            <w:rStyle w:val="Hipervnculo"/>
            <w:rFonts w:eastAsiaTheme="minorEastAsia"/>
            <w:color w:val="auto"/>
            <w:spacing w:val="-1"/>
          </w:rPr>
          <w:t> la inflación resurgirá con notable intensidad</w:t>
        </w:r>
      </w:hyperlink>
      <w:r w:rsidRPr="003F6DF5">
        <w:rPr>
          <w:spacing w:val="-1"/>
          <w:u w:val="single"/>
        </w:rPr>
        <w:t> y la Reserva Federal, probablemente, empezará a endurecer su política monetaria antes. La brecha entre EEUU y la UE está condenada a ensancharse.</w:t>
      </w:r>
    </w:p>
    <w:p w:rsidR="00F001EE" w:rsidRPr="008E64CF" w:rsidRDefault="00F001EE" w:rsidP="00FA4DA9">
      <w:pPr>
        <w:pStyle w:val="NormalWeb"/>
        <w:spacing w:before="0" w:beforeAutospacing="0" w:after="270" w:afterAutospacing="0"/>
        <w:jc w:val="both"/>
        <w:rPr>
          <w:spacing w:val="-1"/>
        </w:rPr>
      </w:pPr>
      <w:r w:rsidRPr="008E64CF">
        <w:rPr>
          <w:spacing w:val="-1"/>
        </w:rPr>
        <w:t>Hace unos pocos meses, el consenso del mercado (ponderado por</w:t>
      </w:r>
      <w:r w:rsidRPr="008E64CF">
        <w:rPr>
          <w:i/>
          <w:iCs/>
          <w:spacing w:val="-1"/>
        </w:rPr>
        <w:t> Bloomberg</w:t>
      </w:r>
      <w:r w:rsidRPr="008E64CF">
        <w:rPr>
          <w:spacing w:val="-1"/>
        </w:rPr>
        <w:t>) preveía un crecimiento más vigoroso de la economía en la Eurozona que en EEUU para 2021. En parte era lógico por </w:t>
      </w:r>
      <w:r w:rsidR="000665FD">
        <w:rPr>
          <w:bCs/>
          <w:spacing w:val="-1"/>
        </w:rPr>
        <w:t>un “efecto rebote”</w:t>
      </w:r>
      <w:r w:rsidRPr="008E64CF">
        <w:rPr>
          <w:spacing w:val="-1"/>
        </w:rPr>
        <w:t>, puesto que la zona euro ha sufrido una recesión en 2020 (-6,8%) que casi duplica a la de EEUU (-3,5%). Sin embargo, en lo poco que va de 2021 las previsiones han cambiado de forma notable por las diferencias a la hora de gestionar la vacunación y los estímulos para la recuperación económica.</w:t>
      </w:r>
    </w:p>
    <w:p w:rsidR="00F001EE" w:rsidRDefault="00F001EE" w:rsidP="00FA4DA9">
      <w:pPr>
        <w:spacing w:line="240" w:lineRule="auto"/>
        <w:jc w:val="both"/>
        <w:rPr>
          <w:rFonts w:ascii="Times New Roman" w:hAnsi="Times New Roman" w:cs="Times New Roman"/>
          <w:sz w:val="24"/>
          <w:szCs w:val="24"/>
        </w:rPr>
      </w:pPr>
      <w:r w:rsidRPr="008E64CF">
        <w:rPr>
          <w:rFonts w:ascii="Times New Roman" w:hAnsi="Times New Roman" w:cs="Times New Roman"/>
          <w:noProof/>
          <w:sz w:val="24"/>
          <w:szCs w:val="24"/>
          <w:lang w:eastAsia="es-ES"/>
        </w:rPr>
        <w:drawing>
          <wp:inline distT="0" distB="0" distL="0" distR="0" wp14:anchorId="3D7BA095" wp14:editId="4ACC3CF5">
            <wp:extent cx="5708650" cy="2857500"/>
            <wp:effectExtent l="0" t="0" r="6350" b="0"/>
            <wp:docPr id="23" name="Imagen 23" descr="https://s03.s3c.es/imag/_v0/770x590/b/c/e/previsiones-crecimiento-eeuu-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03.s3c.es/imag/_v0/770x590/b/c/e/previsiones-crecimiento-eeuu-ue.jpg"/>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5708650" cy="2857500"/>
                    </a:xfrm>
                    <a:prstGeom prst="rect">
                      <a:avLst/>
                    </a:prstGeom>
                    <a:noFill/>
                    <a:ln>
                      <a:noFill/>
                    </a:ln>
                  </pic:spPr>
                </pic:pic>
              </a:graphicData>
            </a:graphic>
          </wp:inline>
        </w:drawing>
      </w:r>
      <w:r w:rsidRPr="008E64CF">
        <w:rPr>
          <w:rFonts w:ascii="Times New Roman" w:hAnsi="Times New Roman" w:cs="Times New Roman"/>
          <w:sz w:val="24"/>
          <w:szCs w:val="24"/>
        </w:rPr>
        <w:t>EEUU crecerá con más fuerza en 2021 y 2022 tras haber sufrido una recesión muy inferior a la zona euro</w:t>
      </w:r>
    </w:p>
    <w:p w:rsidR="004609CD" w:rsidRPr="000665FD" w:rsidRDefault="004609CD" w:rsidP="004609CD">
      <w:pPr>
        <w:pStyle w:val="NormalWeb"/>
        <w:spacing w:before="0" w:beforeAutospacing="0" w:after="270" w:afterAutospacing="0"/>
        <w:jc w:val="both"/>
        <w:rPr>
          <w:spacing w:val="-1"/>
          <w:u w:val="single"/>
        </w:rPr>
      </w:pPr>
      <w:r w:rsidRPr="003F6DF5">
        <w:rPr>
          <w:spacing w:val="-1"/>
          <w:u w:val="single"/>
        </w:rPr>
        <w:t>El ritmo de vacunación está siendo mucho más rápido en EEUU (12,45% de la población a día de hoy) que en la UE (3,45%), lo que permitirá a la primera potencia del mundo recuperar parte de la normalidad antes que el Viejo Continente</w:t>
      </w:r>
      <w:r w:rsidRPr="008E64CF">
        <w:rPr>
          <w:spacing w:val="-1"/>
        </w:rPr>
        <w:t xml:space="preserve">. </w:t>
      </w:r>
      <w:r w:rsidRPr="003F6DF5">
        <w:rPr>
          <w:spacing w:val="-1"/>
          <w:u w:val="single"/>
        </w:rPr>
        <w:t>A esto hay que sumar el fuerte apoyo a la economía que prevé insuflar el gobierno americano, unos </w:t>
      </w:r>
      <w:hyperlink r:id="rId261" w:history="1">
        <w:r w:rsidRPr="000665FD">
          <w:rPr>
            <w:rStyle w:val="Hipervnculo"/>
            <w:rFonts w:eastAsiaTheme="minorEastAsia"/>
            <w:color w:val="auto"/>
            <w:spacing w:val="-1"/>
          </w:rPr>
          <w:t>1,9 billones de dólares (con apoyo directo a las familias)</w:t>
        </w:r>
      </w:hyperlink>
      <w:r w:rsidRPr="000665FD">
        <w:rPr>
          <w:spacing w:val="-1"/>
          <w:u w:val="single"/>
        </w:rPr>
        <w:t xml:space="preserve">, que pecan más de pasarse que de quedarse cortos. Ahora el debate </w:t>
      </w:r>
      <w:r w:rsidRPr="000665FD">
        <w:rPr>
          <w:spacing w:val="-1"/>
          <w:u w:val="single"/>
        </w:rPr>
        <w:lastRenderedPageBreak/>
        <w:t>en</w:t>
      </w:r>
      <w:hyperlink r:id="rId262" w:history="1">
        <w:r w:rsidRPr="000665FD">
          <w:rPr>
            <w:rStyle w:val="Hipervnculo"/>
            <w:rFonts w:eastAsiaTheme="minorEastAsia"/>
            <w:color w:val="auto"/>
            <w:spacing w:val="-1"/>
          </w:rPr>
          <w:t> EEUU gira en torno al potencial de ese estímulo</w:t>
        </w:r>
      </w:hyperlink>
      <w:r w:rsidRPr="000665FD">
        <w:rPr>
          <w:spacing w:val="-1"/>
          <w:u w:val="single"/>
        </w:rPr>
        <w:t>, que podría sobrecalentar la economía, generando desequilibrios, burbujas y mucha inflación.</w:t>
      </w:r>
    </w:p>
    <w:p w:rsidR="00F001EE" w:rsidRPr="00DA27A0" w:rsidRDefault="00F001EE" w:rsidP="00FA4DA9">
      <w:pPr>
        <w:pStyle w:val="NormalWeb"/>
        <w:spacing w:before="0" w:beforeAutospacing="0" w:after="270" w:afterAutospacing="0"/>
        <w:jc w:val="both"/>
        <w:rPr>
          <w:color w:val="FF0000"/>
          <w:spacing w:val="-1"/>
          <w:u w:val="single"/>
        </w:rPr>
      </w:pPr>
      <w:r w:rsidRPr="00DA27A0">
        <w:rPr>
          <w:color w:val="FF0000"/>
          <w:spacing w:val="-1"/>
          <w:u w:val="single"/>
        </w:rPr>
        <w:t>Los mercados anticipan también esta desconexión entre ambas economías, como queda reflejado en el creciente </w:t>
      </w:r>
      <w:hyperlink r:id="rId263" w:history="1">
        <w:r w:rsidR="000665FD" w:rsidRPr="00DA27A0">
          <w:rPr>
            <w:rStyle w:val="Hipervnculo"/>
            <w:rFonts w:eastAsiaTheme="minorEastAsia"/>
            <w:color w:val="FF0000"/>
            <w:spacing w:val="-1"/>
          </w:rPr>
          <w:t>diferencial entre el “bund”</w:t>
        </w:r>
        <w:r w:rsidRPr="00DA27A0">
          <w:rPr>
            <w:rStyle w:val="Hipervnculo"/>
            <w:rFonts w:eastAsiaTheme="minorEastAsia"/>
            <w:color w:val="FF0000"/>
            <w:spacing w:val="-1"/>
          </w:rPr>
          <w:t xml:space="preserve"> alemán y el bono del Tesoro </w:t>
        </w:r>
      </w:hyperlink>
      <w:r w:rsidRPr="00DA27A0">
        <w:rPr>
          <w:color w:val="FF0000"/>
          <w:spacing w:val="-1"/>
          <w:u w:val="single"/>
        </w:rPr>
        <w:t>de EEUU a 10 años. Los inversores esperan más inflación, crecimiento y mayores tipos de interés en EEUU. Des</w:t>
      </w:r>
      <w:r w:rsidR="000665FD" w:rsidRPr="00DA27A0">
        <w:rPr>
          <w:color w:val="FF0000"/>
          <w:spacing w:val="-1"/>
          <w:u w:val="single"/>
        </w:rPr>
        <w:t>de Unicredit lo dan por hecho: “</w:t>
      </w:r>
      <w:r w:rsidRPr="00DA27A0">
        <w:rPr>
          <w:color w:val="FF0000"/>
          <w:spacing w:val="-1"/>
          <w:u w:val="single"/>
        </w:rPr>
        <w:t>La brecha de crecimi</w:t>
      </w:r>
      <w:r w:rsidR="000665FD" w:rsidRPr="00DA27A0">
        <w:rPr>
          <w:color w:val="FF0000"/>
          <w:spacing w:val="-1"/>
          <w:u w:val="single"/>
        </w:rPr>
        <w:t>ento transatlántica se ampliará”</w:t>
      </w:r>
      <w:r w:rsidRPr="00DA27A0">
        <w:rPr>
          <w:color w:val="FF0000"/>
          <w:spacing w:val="-1"/>
          <w:u w:val="single"/>
        </w:rPr>
        <w:t>, aseguran sus economistas en la revisión de sus previsiones para 2021.</w:t>
      </w:r>
    </w:p>
    <w:p w:rsidR="00F001EE" w:rsidRPr="00B93243" w:rsidRDefault="00B93243" w:rsidP="00FA4DA9">
      <w:pPr>
        <w:pStyle w:val="NormalWeb"/>
        <w:spacing w:before="0" w:beforeAutospacing="0" w:after="270" w:afterAutospacing="0"/>
        <w:jc w:val="both"/>
        <w:rPr>
          <w:color w:val="FF0000"/>
          <w:spacing w:val="-1"/>
          <w:u w:val="single"/>
        </w:rPr>
      </w:pPr>
      <w:r>
        <w:rPr>
          <w:spacing w:val="-1"/>
        </w:rPr>
        <w:t>“</w:t>
      </w:r>
      <w:r w:rsidR="00F001EE" w:rsidRPr="008E64CF">
        <w:rPr>
          <w:spacing w:val="-1"/>
        </w:rPr>
        <w:t xml:space="preserve">El mayor cambio en las perspectivas se produce en EEUU, reflejo en gran medida de un mayor apoyo fiscal real y esperado. Hemos revisado al alza el crecimiento del PIB de EEUU para este año de manera significativa hasta el 4,8% desde 1,8% anterior. </w:t>
      </w:r>
      <w:r w:rsidR="00F001EE" w:rsidRPr="00B93243">
        <w:rPr>
          <w:color w:val="FF0000"/>
          <w:spacing w:val="-1"/>
          <w:u w:val="single"/>
        </w:rPr>
        <w:t xml:space="preserve">La Fed probablemente anunciará la reducción gradual de las compras de bonos en diciembre, aunque es probable que los tipos se </w:t>
      </w:r>
      <w:r w:rsidRPr="00B93243">
        <w:rPr>
          <w:color w:val="FF0000"/>
          <w:spacing w:val="-1"/>
          <w:u w:val="single"/>
        </w:rPr>
        <w:t>mantengan congelados hasta 2023”</w:t>
      </w:r>
      <w:r w:rsidR="00F001EE" w:rsidRPr="00B93243">
        <w:rPr>
          <w:color w:val="FF0000"/>
          <w:spacing w:val="-1"/>
          <w:u w:val="single"/>
        </w:rPr>
        <w:t>, aseguran los analistas de Unicredit.</w:t>
      </w:r>
    </w:p>
    <w:p w:rsidR="00F001EE" w:rsidRPr="008E64CF" w:rsidRDefault="000665FD" w:rsidP="00FA4DA9">
      <w:pPr>
        <w:pStyle w:val="NormalWeb"/>
        <w:spacing w:before="0" w:beforeAutospacing="0" w:after="270" w:afterAutospacing="0"/>
        <w:jc w:val="both"/>
        <w:rPr>
          <w:spacing w:val="-1"/>
        </w:rPr>
      </w:pPr>
      <w:r>
        <w:rPr>
          <w:spacing w:val="-1"/>
        </w:rPr>
        <w:t>Por el contrario, “</w:t>
      </w:r>
      <w:r w:rsidR="00F001EE" w:rsidRPr="008E64CF">
        <w:rPr>
          <w:spacing w:val="-1"/>
        </w:rPr>
        <w:t>nuestras proyecciones del PIB para la</w:t>
      </w:r>
      <w:r>
        <w:rPr>
          <w:spacing w:val="-1"/>
        </w:rPr>
        <w:t xml:space="preserve"> Eurozona no han cambiado mucho”</w:t>
      </w:r>
      <w:r w:rsidR="00F001EE" w:rsidRPr="008E64CF">
        <w:rPr>
          <w:spacing w:val="-1"/>
        </w:rPr>
        <w:t>. Para este año esperan </w:t>
      </w:r>
      <w:r w:rsidR="00F001EE" w:rsidRPr="000665FD">
        <w:rPr>
          <w:bCs/>
          <w:spacing w:val="-1"/>
        </w:rPr>
        <w:t>un crecimiento del 3,5</w:t>
      </w:r>
      <w:r w:rsidR="00F001EE" w:rsidRPr="008E64CF">
        <w:rPr>
          <w:spacing w:val="-1"/>
        </w:rPr>
        <w:t>%, mientras que para 2022 esper</w:t>
      </w:r>
      <w:r>
        <w:rPr>
          <w:spacing w:val="-1"/>
        </w:rPr>
        <w:t>an un rebote del PIB del 4,4%. “</w:t>
      </w:r>
      <w:r w:rsidR="00F001EE" w:rsidRPr="008E64CF">
        <w:rPr>
          <w:spacing w:val="-1"/>
        </w:rPr>
        <w:t>Todavía esperamos que el </w:t>
      </w:r>
      <w:hyperlink r:id="rId264" w:history="1">
        <w:r w:rsidR="00F001EE" w:rsidRPr="000665FD">
          <w:rPr>
            <w:rStyle w:val="Hipervnculo"/>
            <w:rFonts w:eastAsiaTheme="minorEastAsia"/>
            <w:color w:val="auto"/>
            <w:spacing w:val="-1"/>
            <w:u w:val="none"/>
          </w:rPr>
          <w:t>BCE extienda el PEPP más allá de marzo de 2022</w:t>
        </w:r>
      </w:hyperlink>
      <w:r>
        <w:rPr>
          <w:spacing w:val="-1"/>
        </w:rPr>
        <w:t>”</w:t>
      </w:r>
      <w:r w:rsidR="00F001EE" w:rsidRPr="008E64CF">
        <w:rPr>
          <w:spacing w:val="-1"/>
        </w:rPr>
        <w:t>. Estos expertos explican que el principal determinante del crecimiento económico del año pasado fue la prevalencia del virus, y lo mismo ocurrirá este año, razón por la cual el despliegue de vacunas es tan importante.</w:t>
      </w:r>
    </w:p>
    <w:p w:rsidR="00F001EE" w:rsidRPr="008E64CF" w:rsidRDefault="000665FD" w:rsidP="00FA4DA9">
      <w:pPr>
        <w:pStyle w:val="NormalWeb"/>
        <w:spacing w:before="0" w:beforeAutospacing="0" w:after="270" w:afterAutospacing="0"/>
        <w:jc w:val="both"/>
        <w:rPr>
          <w:spacing w:val="-1"/>
        </w:rPr>
      </w:pPr>
      <w:r>
        <w:rPr>
          <w:spacing w:val="-1"/>
        </w:rPr>
        <w:t>“</w:t>
      </w:r>
      <w:r w:rsidR="00F001EE" w:rsidRPr="008E64CF">
        <w:rPr>
          <w:spacing w:val="-1"/>
        </w:rPr>
        <w:t>Hasta ahora, el progreso ha sido desigual, con los países de la UE muy por detrás del Reino Unido y de EEUU, mientras que los principales mercados emergentes están aún más atrasados y, en varios casos, ni siqui</w:t>
      </w:r>
      <w:r>
        <w:rPr>
          <w:spacing w:val="-1"/>
        </w:rPr>
        <w:t>era han comenzado el despliegue”</w:t>
      </w:r>
      <w:r w:rsidR="00F001EE" w:rsidRPr="008E64CF">
        <w:rPr>
          <w:spacing w:val="-1"/>
        </w:rPr>
        <w:t>.</w:t>
      </w:r>
    </w:p>
    <w:p w:rsidR="00F001EE" w:rsidRPr="008E64CF" w:rsidRDefault="00F001EE" w:rsidP="00FA4DA9">
      <w:pPr>
        <w:pStyle w:val="NormalWeb"/>
        <w:spacing w:before="0" w:beforeAutospacing="0" w:after="270" w:afterAutospacing="0"/>
        <w:jc w:val="both"/>
        <w:rPr>
          <w:spacing w:val="-1"/>
        </w:rPr>
      </w:pPr>
      <w:r w:rsidRPr="008E64CF">
        <w:rPr>
          <w:spacing w:val="-1"/>
        </w:rPr>
        <w:t>Por otro lado, el segundo motivo de esta brecha de crecimiento es el apoyo político a la economía, en particular la política fiscal, que es más decisiva que la política monetaria en esta cri</w:t>
      </w:r>
      <w:r w:rsidR="000665FD">
        <w:rPr>
          <w:spacing w:val="-1"/>
        </w:rPr>
        <w:t>sis, aseguran desde Unicredit. “</w:t>
      </w:r>
      <w:r w:rsidRPr="008E64CF">
        <w:rPr>
          <w:spacing w:val="-1"/>
        </w:rPr>
        <w:t>Aquí, el principal cambio se produce en EEUU, donde ahora vemos </w:t>
      </w:r>
      <w:r w:rsidRPr="000665FD">
        <w:rPr>
          <w:bCs/>
          <w:spacing w:val="-1"/>
        </w:rPr>
        <w:t>una recuperación mucho más fuerte</w:t>
      </w:r>
      <w:r w:rsidRPr="008E64CF">
        <w:rPr>
          <w:spacing w:val="-1"/>
        </w:rPr>
        <w:t> este año gracias al enorme apoyo fiscal adicional, mientras que los miembros que en la Eurozona el riesgo es hacer demasi</w:t>
      </w:r>
      <w:r w:rsidR="000665FD">
        <w:rPr>
          <w:spacing w:val="-1"/>
        </w:rPr>
        <w:t>ado poco con la política fiscal”</w:t>
      </w:r>
      <w:r w:rsidRPr="008E64CF">
        <w:rPr>
          <w:spacing w:val="-1"/>
        </w:rPr>
        <w:t>. Además, estos expertos creen que la zona euro volverá a entrar en recesión técnica (dos trimestres consecutivos de contracción) antes de iniciar la recuperación económica.</w:t>
      </w:r>
    </w:p>
    <w:p w:rsidR="00B93243" w:rsidRDefault="00F001EE" w:rsidP="00FA4DA9">
      <w:pPr>
        <w:spacing w:line="240" w:lineRule="auto"/>
        <w:jc w:val="both"/>
        <w:rPr>
          <w:rFonts w:ascii="Times New Roman" w:hAnsi="Times New Roman" w:cs="Times New Roman"/>
          <w:sz w:val="24"/>
          <w:szCs w:val="24"/>
        </w:rPr>
      </w:pPr>
      <w:r w:rsidRPr="008E64CF">
        <w:rPr>
          <w:rFonts w:ascii="Times New Roman" w:hAnsi="Times New Roman" w:cs="Times New Roman"/>
          <w:noProof/>
          <w:sz w:val="24"/>
          <w:szCs w:val="24"/>
          <w:lang w:eastAsia="es-ES"/>
        </w:rPr>
        <w:drawing>
          <wp:inline distT="0" distB="0" distL="0" distR="0" wp14:anchorId="184B7220" wp14:editId="2165F76A">
            <wp:extent cx="5264150" cy="2565400"/>
            <wp:effectExtent l="0" t="0" r="0" b="6350"/>
            <wp:docPr id="24" name="Imagen 24" descr="https://s03.s3c.es/imag/_v0/770x596/d/6/7/evolucion-tasa-paro-eeuu-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s03.s3c.es/imag/_v0/770x596/d/6/7/evolucion-tasa-paro-eeuu-ue.jpg"/>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5264150" cy="2565400"/>
                    </a:xfrm>
                    <a:prstGeom prst="rect">
                      <a:avLst/>
                    </a:prstGeom>
                    <a:noFill/>
                    <a:ln>
                      <a:noFill/>
                    </a:ln>
                  </pic:spPr>
                </pic:pic>
              </a:graphicData>
            </a:graphic>
          </wp:inline>
        </w:drawing>
      </w:r>
    </w:p>
    <w:p w:rsidR="00F001EE" w:rsidRPr="008E64CF" w:rsidRDefault="00F001EE" w:rsidP="00FA4DA9">
      <w:pPr>
        <w:spacing w:line="240" w:lineRule="auto"/>
        <w:jc w:val="both"/>
        <w:rPr>
          <w:rFonts w:ascii="Times New Roman" w:hAnsi="Times New Roman" w:cs="Times New Roman"/>
          <w:sz w:val="24"/>
          <w:szCs w:val="24"/>
        </w:rPr>
      </w:pPr>
      <w:r w:rsidRPr="008E64CF">
        <w:rPr>
          <w:rFonts w:ascii="Times New Roman" w:hAnsi="Times New Roman" w:cs="Times New Roman"/>
          <w:sz w:val="24"/>
          <w:szCs w:val="24"/>
        </w:rPr>
        <w:lastRenderedPageBreak/>
        <w:t>La tasa de paro seguirá subiendo en la zona euro mientras cae a mínimos en EEUU</w:t>
      </w:r>
    </w:p>
    <w:p w:rsidR="00F001EE" w:rsidRPr="00B93243" w:rsidRDefault="00F001EE" w:rsidP="00FA4DA9">
      <w:pPr>
        <w:pStyle w:val="NormalWeb"/>
        <w:spacing w:before="0" w:beforeAutospacing="0" w:after="270" w:afterAutospacing="0"/>
        <w:jc w:val="both"/>
        <w:rPr>
          <w:color w:val="FF0000"/>
          <w:spacing w:val="-1"/>
          <w:u w:val="single"/>
        </w:rPr>
      </w:pPr>
      <w:r w:rsidRPr="00B93243">
        <w:rPr>
          <w:color w:val="FF0000"/>
          <w:spacing w:val="-1"/>
          <w:u w:val="single"/>
        </w:rPr>
        <w:t>Desde banco japonés Nomura también han revisado a la baja el crecimiento de la zona euro para 2021 (al 4,4%) y para 2022 (3,2%), mientras que la inflación promediará un aumento del 1,8% en 2021 y un 0,9% en 2022. Para EEUU las previsiones se han disparado: en 2021 crecerá un 5,2% y en 2022 un 5,4%, ensanchando la brecha de PIB con la zona euro. Además, </w:t>
      </w:r>
      <w:r w:rsidRPr="00B93243">
        <w:rPr>
          <w:bCs/>
          <w:color w:val="FF0000"/>
          <w:spacing w:val="-1"/>
          <w:u w:val="single"/>
        </w:rPr>
        <w:t>la inflación promediará este año el 2,4%</w:t>
      </w:r>
      <w:r w:rsidRPr="00B93243">
        <w:rPr>
          <w:color w:val="FF0000"/>
          <w:spacing w:val="-1"/>
          <w:u w:val="single"/>
        </w:rPr>
        <w:t> y el 2,1% en 2022, alcanzando de forma sostenida el objetivo que marca la Reserva Federal (2%).</w:t>
      </w:r>
    </w:p>
    <w:p w:rsidR="00F001EE" w:rsidRPr="008E64CF" w:rsidRDefault="00F001EE" w:rsidP="00FA4DA9">
      <w:pPr>
        <w:pStyle w:val="NormalWeb"/>
        <w:spacing w:before="0" w:beforeAutospacing="0" w:after="270" w:afterAutospacing="0"/>
        <w:jc w:val="both"/>
        <w:rPr>
          <w:spacing w:val="-1"/>
        </w:rPr>
      </w:pPr>
      <w:r w:rsidRPr="008E64CF">
        <w:rPr>
          <w:spacing w:val="-1"/>
        </w:rPr>
        <w:t>El banco japonés también anticipa la entrada en recesión del euro, con una caída trimestral del PIB del 0,9% en el primer trimestre de 2021. Por otro lado, el banco central se verá obligado a mantener los tipos en el -0,5% actual (tasa de depósito) durante todo el periodo que abarca la previsión. Además, la tasa de paro estará en el 9,8% en 2022, muy por encima del 7,3% que marcaba antes del covid-19. Por el contrario, para EEUU prevén que el crecimiento positivo continúe durante el primer trimestre, con un avance del 2,5%, que cogerá tracción en el segundo trimestre con un rebote del 7%. Por si esto fuera poco, la tasa de paro habrá caído al 3,5% en 2022, por debajo de los niveles previos al covid (</w:t>
      </w:r>
      <w:hyperlink r:id="rId266" w:history="1">
        <w:r w:rsidRPr="000665FD">
          <w:rPr>
            <w:rStyle w:val="Hipervnculo"/>
            <w:rFonts w:eastAsiaTheme="minorEastAsia"/>
            <w:color w:val="auto"/>
            <w:spacing w:val="-1"/>
            <w:u w:val="none"/>
          </w:rPr>
          <w:t>el desempleo lleva meses cayendo en EEUU</w:t>
        </w:r>
      </w:hyperlink>
      <w:r w:rsidRPr="008E64CF">
        <w:rPr>
          <w:spacing w:val="-1"/>
        </w:rPr>
        <w:t>).</w:t>
      </w:r>
    </w:p>
    <w:p w:rsidR="00F001EE" w:rsidRDefault="00F001EE" w:rsidP="00FA4DA9">
      <w:pPr>
        <w:pStyle w:val="NormalWeb"/>
        <w:spacing w:before="0" w:beforeAutospacing="0" w:after="270" w:afterAutospacing="0"/>
        <w:jc w:val="both"/>
        <w:rPr>
          <w:spacing w:val="-1"/>
        </w:rPr>
      </w:pPr>
      <w:r w:rsidRPr="003F6DF5">
        <w:rPr>
          <w:color w:val="FF0000"/>
          <w:spacing w:val="-1"/>
          <w:u w:val="single"/>
        </w:rPr>
        <w:t>Todo hace indicar que EEUU logrará recuperar los niveles de PIB previos a la pandemia en algún momento de 2021, mientras que a la zona euro le llevará uno o dos años más</w:t>
      </w:r>
      <w:r w:rsidRPr="008E64CF">
        <w:rPr>
          <w:spacing w:val="-1"/>
        </w:rPr>
        <w:t>. Pero lo que es peor, la tasa de paro en la zona euro se mantendrá elevada durante el periodo 2021-2022, cerca del 10% (algunos países como España tendrán tasas superiores al 15%). En EEUU, el desempleo caerá a niveles más bajos, incluso, que antes de la pandemia.</w:t>
      </w:r>
    </w:p>
    <w:p w:rsidR="00F001EE" w:rsidRPr="00D7775C" w:rsidRDefault="00F001EE"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7775C">
        <w:rPr>
          <w:rFonts w:ascii="Times New Roman" w:hAnsi="Times New Roman" w:cs="Times New Roman"/>
          <w:sz w:val="24"/>
          <w:szCs w:val="24"/>
          <w:u w:val="single"/>
        </w:rPr>
        <w:t>El indicador Buffett, capitalización/PIB, super</w:t>
      </w:r>
      <w:r>
        <w:rPr>
          <w:rFonts w:ascii="Times New Roman" w:hAnsi="Times New Roman" w:cs="Times New Roman"/>
          <w:sz w:val="24"/>
          <w:szCs w:val="24"/>
          <w:u w:val="single"/>
        </w:rPr>
        <w:t>a en 17 puntos al máximo de la “burbuja.com”</w:t>
      </w:r>
      <w:r>
        <w:rPr>
          <w:rFonts w:ascii="Times New Roman" w:hAnsi="Times New Roman" w:cs="Times New Roman"/>
          <w:sz w:val="24"/>
          <w:szCs w:val="24"/>
        </w:rPr>
        <w:t xml:space="preserve"> (El Economista - </w:t>
      </w:r>
      <w:r w:rsidRPr="00D7775C">
        <w:rPr>
          <w:rFonts w:ascii="Times New Roman" w:hAnsi="Times New Roman" w:cs="Times New Roman"/>
          <w:b/>
          <w:sz w:val="24"/>
          <w:szCs w:val="24"/>
        </w:rPr>
        <w:t>16/2/21</w:t>
      </w:r>
      <w:r>
        <w:rPr>
          <w:rFonts w:ascii="Times New Roman" w:hAnsi="Times New Roman" w:cs="Times New Roman"/>
          <w:sz w:val="24"/>
          <w:szCs w:val="24"/>
        </w:rPr>
        <w:t>)</w:t>
      </w:r>
    </w:p>
    <w:p w:rsidR="00F001EE" w:rsidRPr="00D7775C" w:rsidRDefault="00F001EE"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D7775C">
        <w:rPr>
          <w:rFonts w:ascii="Times New Roman" w:hAnsi="Times New Roman" w:cs="Times New Roman"/>
          <w:sz w:val="24"/>
          <w:szCs w:val="24"/>
        </w:rPr>
        <w:t>Daniel Yebra</w:t>
      </w:r>
      <w:r>
        <w:rPr>
          <w:rFonts w:ascii="Times New Roman" w:hAnsi="Times New Roman" w:cs="Times New Roman"/>
          <w:sz w:val="24"/>
          <w:szCs w:val="24"/>
        </w:rPr>
        <w:t>)</w:t>
      </w:r>
    </w:p>
    <w:p w:rsidR="00F001EE" w:rsidRPr="007A5FAD" w:rsidRDefault="00F001EE" w:rsidP="00FA4DA9">
      <w:pPr>
        <w:spacing w:line="240" w:lineRule="auto"/>
        <w:jc w:val="both"/>
        <w:rPr>
          <w:rFonts w:ascii="Times New Roman" w:hAnsi="Times New Roman" w:cs="Times New Roman"/>
          <w:color w:val="FF0000"/>
          <w:sz w:val="24"/>
          <w:szCs w:val="24"/>
          <w:u w:val="single"/>
        </w:rPr>
      </w:pPr>
      <w:r w:rsidRPr="007A5FAD">
        <w:rPr>
          <w:rFonts w:ascii="Times New Roman" w:hAnsi="Times New Roman" w:cs="Times New Roman"/>
          <w:color w:val="FF0000"/>
          <w:sz w:val="24"/>
          <w:szCs w:val="24"/>
          <w:u w:val="single"/>
        </w:rPr>
        <w:t>La relación del valor de la bolsa de Estados Unidos con la actividad económica del país alcanza un máximo histórico que ha encendido las alarmas de burbuja de inversores y analistas, y que solo se puede explicar por la contundente respuesta de las instituciones, sobre todo desde el punto de vista monetario, a la crisis del coronavirus.</w:t>
      </w:r>
    </w:p>
    <w:p w:rsidR="00F001EE" w:rsidRDefault="00F001EE" w:rsidP="00FA4DA9">
      <w:pPr>
        <w:spacing w:line="240" w:lineRule="auto"/>
        <w:jc w:val="both"/>
        <w:rPr>
          <w:rFonts w:ascii="Times New Roman" w:hAnsi="Times New Roman" w:cs="Times New Roman"/>
          <w:color w:val="FF0000"/>
          <w:sz w:val="24"/>
          <w:szCs w:val="24"/>
          <w:u w:val="single"/>
        </w:rPr>
      </w:pPr>
      <w:r w:rsidRPr="00580B0D">
        <w:rPr>
          <w:rFonts w:ascii="Times New Roman" w:hAnsi="Times New Roman" w:cs="Times New Roman"/>
          <w:color w:val="FF0000"/>
          <w:sz w:val="24"/>
          <w:szCs w:val="24"/>
          <w:u w:val="single"/>
        </w:rPr>
        <w:t>La ratio que mide la capitalización conjunta de todas las empresas cotizadas en Wall Street entre el PIB de Estados Unidos, y que se conoce como indicador Buffett, se sitúa en el 228%. Una extrema bursatilización de la economía que se ha acelerado en los últimos meses y que si se pondera respecto a la tendencia histórica de esta relación, que el inversor más famoso del mundo recomendó usar hace ya décadas como medida de la sobrevaloración del mercado de renta variable, llega al 88%, 17 puntos porcentuales por encima del pico de la burbuja.com.</w:t>
      </w:r>
    </w:p>
    <w:p w:rsidR="00B93243" w:rsidRPr="00580B0D" w:rsidRDefault="00B93243" w:rsidP="00FA4DA9">
      <w:pPr>
        <w:spacing w:line="240" w:lineRule="auto"/>
        <w:jc w:val="both"/>
        <w:rPr>
          <w:rFonts w:ascii="Times New Roman" w:hAnsi="Times New Roman" w:cs="Times New Roman"/>
          <w:color w:val="FF0000"/>
          <w:sz w:val="24"/>
          <w:szCs w:val="24"/>
          <w:u w:val="single"/>
        </w:rPr>
      </w:pPr>
      <w:r w:rsidRPr="00580B0D">
        <w:rPr>
          <w:rFonts w:ascii="Times New Roman" w:hAnsi="Times New Roman" w:cs="Times New Roman"/>
          <w:color w:val="FF0000"/>
          <w:sz w:val="24"/>
          <w:szCs w:val="24"/>
          <w:u w:val="single"/>
        </w:rPr>
        <w:t>Por supuesto, aquello, coincidiendo con el final del milenio, acabó en un crash brutal, al que solo se han asemejado el de la Gran Crisis Financiera y el de marzo del año pasado. Así, inevitablemente, los máximos que marcan actualmente los principales índices de Wall Street dan vértigo según el análisis de esta relación, y solo encuentran justificación sobre su sostenibilidad en el tiempo en distintos factores deriv</w:t>
      </w:r>
      <w:r>
        <w:rPr>
          <w:rFonts w:ascii="Times New Roman" w:hAnsi="Times New Roman" w:cs="Times New Roman"/>
          <w:color w:val="FF0000"/>
          <w:sz w:val="24"/>
          <w:szCs w:val="24"/>
          <w:u w:val="single"/>
        </w:rPr>
        <w:t>ados de la crisis del Covid-19.</w:t>
      </w:r>
    </w:p>
    <w:p w:rsidR="00B93243" w:rsidRPr="00580B0D" w:rsidRDefault="00B93243" w:rsidP="00FA4DA9">
      <w:pPr>
        <w:spacing w:line="240" w:lineRule="auto"/>
        <w:jc w:val="both"/>
        <w:rPr>
          <w:rFonts w:ascii="Times New Roman" w:hAnsi="Times New Roman" w:cs="Times New Roman"/>
          <w:sz w:val="24"/>
          <w:szCs w:val="24"/>
          <w:u w:val="single"/>
        </w:rPr>
      </w:pPr>
      <w:r w:rsidRPr="00580B0D">
        <w:rPr>
          <w:rFonts w:ascii="Times New Roman" w:hAnsi="Times New Roman" w:cs="Times New Roman"/>
          <w:sz w:val="24"/>
          <w:szCs w:val="24"/>
          <w:u w:val="single"/>
        </w:rPr>
        <w:t>La contundente y rápida reacción de la Reserva Federal (Fed) al impacto sin precedentes de la pandemia en la economía de Estados Unidos, y de todo el mundo, se ha traducido en unos mercados financieros inundados de liquidez, lo que implica una bursatilización de la economía difícilmente asumible si no se atiende al contexto.</w:t>
      </w:r>
    </w:p>
    <w:p w:rsidR="00B93243" w:rsidRPr="00D7775C" w:rsidRDefault="00B93243" w:rsidP="00FA4DA9">
      <w:pPr>
        <w:spacing w:line="240" w:lineRule="auto"/>
        <w:jc w:val="both"/>
        <w:rPr>
          <w:rFonts w:ascii="Times New Roman" w:hAnsi="Times New Roman" w:cs="Times New Roman"/>
          <w:sz w:val="24"/>
          <w:szCs w:val="24"/>
        </w:rPr>
      </w:pPr>
      <w:r w:rsidRPr="00D7775C">
        <w:rPr>
          <w:rFonts w:ascii="Times New Roman" w:hAnsi="Times New Roman" w:cs="Times New Roman"/>
          <w:sz w:val="24"/>
          <w:szCs w:val="24"/>
        </w:rPr>
        <w:lastRenderedPageBreak/>
        <w:t xml:space="preserve">La primera potencia del Planeta sufrió en 2020 la mayor recesión de su historia reciente y todavía tardará mínimo un año en recuperarse. Sin embargo, la respuesta de la Fed para evitar shocks de liquidez en los mercados y garantizar la vialidad de las empresas ante la paralización forzada de buena parte de la actividad ha derivado en una escalada del S&amp;P 500 del 75% desde el suelo de marzo, que es bastante más vertical incluso </w:t>
      </w:r>
      <w:r>
        <w:rPr>
          <w:rFonts w:ascii="Times New Roman" w:hAnsi="Times New Roman" w:cs="Times New Roman"/>
          <w:sz w:val="24"/>
          <w:szCs w:val="24"/>
        </w:rPr>
        <w:t>para el tecnológico Nasdaq 100.</w:t>
      </w:r>
    </w:p>
    <w:p w:rsidR="00B93243" w:rsidRPr="00D7775C" w:rsidRDefault="00B93243" w:rsidP="00FA4DA9">
      <w:pPr>
        <w:spacing w:line="240" w:lineRule="auto"/>
        <w:jc w:val="both"/>
        <w:rPr>
          <w:rFonts w:ascii="Times New Roman" w:hAnsi="Times New Roman" w:cs="Times New Roman"/>
          <w:sz w:val="24"/>
          <w:szCs w:val="24"/>
        </w:rPr>
      </w:pPr>
      <w:r w:rsidRPr="00D7775C">
        <w:rPr>
          <w:rFonts w:ascii="Times New Roman" w:hAnsi="Times New Roman" w:cs="Times New Roman"/>
          <w:sz w:val="24"/>
          <w:szCs w:val="24"/>
        </w:rPr>
        <w:t>Los programas de compras de activos de la institución monetaria, las refinanciaciones de deuda y los tipos de interés oficiales en el 0% han provocado movimientos en cadena del dinero en los mercados financieros que han acabado alimentando Wall Street, al no encontrar los inversores muchas alternativas rentables y fiables, ni en el mercado de bonos,</w:t>
      </w:r>
      <w:r>
        <w:rPr>
          <w:rFonts w:ascii="Times New Roman" w:hAnsi="Times New Roman" w:cs="Times New Roman"/>
          <w:sz w:val="24"/>
          <w:szCs w:val="24"/>
        </w:rPr>
        <w:t xml:space="preserve"> ni siquiera en otras regiones.</w:t>
      </w:r>
    </w:p>
    <w:p w:rsidR="00363C36" w:rsidRPr="00B93243" w:rsidRDefault="00B93243"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7775C">
        <w:rPr>
          <w:rFonts w:ascii="Times New Roman" w:hAnsi="Times New Roman" w:cs="Times New Roman"/>
          <w:sz w:val="24"/>
          <w:szCs w:val="24"/>
        </w:rPr>
        <w:t>Incluso si u</w:t>
      </w:r>
      <w:r>
        <w:rPr>
          <w:rFonts w:ascii="Times New Roman" w:hAnsi="Times New Roman" w:cs="Times New Roman"/>
          <w:sz w:val="24"/>
          <w:szCs w:val="24"/>
        </w:rPr>
        <w:t>no esperara que esas políticas (de la Fed)</w:t>
      </w:r>
      <w:r w:rsidRPr="00D7775C">
        <w:rPr>
          <w:rFonts w:ascii="Times New Roman" w:hAnsi="Times New Roman" w:cs="Times New Roman"/>
          <w:sz w:val="24"/>
          <w:szCs w:val="24"/>
        </w:rPr>
        <w:t xml:space="preserve"> fueran permanentes, lo que no debería ser, todavía no justificaría la sobrev</w:t>
      </w:r>
      <w:r>
        <w:rPr>
          <w:rFonts w:ascii="Times New Roman" w:hAnsi="Times New Roman" w:cs="Times New Roman"/>
          <w:sz w:val="24"/>
          <w:szCs w:val="24"/>
        </w:rPr>
        <w:t>aloración”</w:t>
      </w:r>
      <w:r w:rsidRPr="00D7775C">
        <w:rPr>
          <w:rFonts w:ascii="Times New Roman" w:hAnsi="Times New Roman" w:cs="Times New Roman"/>
          <w:sz w:val="24"/>
          <w:szCs w:val="24"/>
        </w:rPr>
        <w:t>, advierte Michael O'Rourke, estratega jefe de mercado de JonesTrading, en declara</w:t>
      </w:r>
      <w:r w:rsidR="004609CD">
        <w:rPr>
          <w:rFonts w:ascii="Times New Roman" w:hAnsi="Times New Roman" w:cs="Times New Roman"/>
          <w:sz w:val="24"/>
          <w:szCs w:val="24"/>
        </w:rPr>
        <w:t>ciones recogidas por Bloomberg.</w:t>
      </w:r>
    </w:p>
    <w:p w:rsidR="00A90CE7" w:rsidRPr="00580B0D" w:rsidRDefault="004609CD" w:rsidP="00FA4DA9">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rPr>
        <w:t xml:space="preserve">       </w:t>
      </w:r>
      <w:r w:rsidR="00A90CE7">
        <w:rPr>
          <w:noProof/>
          <w:lang w:eastAsia="es-ES"/>
        </w:rPr>
        <w:drawing>
          <wp:inline distT="0" distB="0" distL="0" distR="0" wp14:anchorId="5FD1636A" wp14:editId="7EDFC567">
            <wp:extent cx="5143500" cy="6019800"/>
            <wp:effectExtent l="0" t="0" r="0" b="0"/>
            <wp:docPr id="77" name="Imagen 77" descr="https://s03.s3c.es/imag/_v0/770x1401/f/7/8/160221-buffet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03.s3c.es/imag/_v0/770x1401/f/7/8/160221-buffett.jpg"/>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5142930" cy="6019133"/>
                    </a:xfrm>
                    <a:prstGeom prst="rect">
                      <a:avLst/>
                    </a:prstGeom>
                    <a:noFill/>
                    <a:ln>
                      <a:noFill/>
                    </a:ln>
                  </pic:spPr>
                </pic:pic>
              </a:graphicData>
            </a:graphic>
          </wp:inline>
        </w:drawing>
      </w:r>
    </w:p>
    <w:p w:rsidR="00F001EE" w:rsidRPr="00D7775C" w:rsidRDefault="00F001EE" w:rsidP="00FA4DA9">
      <w:pPr>
        <w:spacing w:line="240" w:lineRule="auto"/>
        <w:jc w:val="both"/>
        <w:rPr>
          <w:rFonts w:ascii="Times New Roman" w:hAnsi="Times New Roman" w:cs="Times New Roman"/>
          <w:sz w:val="24"/>
          <w:szCs w:val="24"/>
        </w:rPr>
      </w:pPr>
      <w:r w:rsidRPr="00D7775C">
        <w:rPr>
          <w:rFonts w:ascii="Times New Roman" w:hAnsi="Times New Roman" w:cs="Times New Roman"/>
          <w:sz w:val="24"/>
          <w:szCs w:val="24"/>
        </w:rPr>
        <w:lastRenderedPageBreak/>
        <w:t>Es imposible precisar hasta dónde llegará el indicador Buffett, con la recuperación económica en marcha y pendiente de los planes de estímulo fiscal, del ritmo de vacunación y las nuevas cepas de coronavirus, lo que adelanta un apoyo monetario por más tiempo, como reconoció este mismo fin de semana el presidente de la Fed, Jerome P</w:t>
      </w:r>
      <w:r>
        <w:rPr>
          <w:rFonts w:ascii="Times New Roman" w:hAnsi="Times New Roman" w:cs="Times New Roman"/>
          <w:sz w:val="24"/>
          <w:szCs w:val="24"/>
        </w:rPr>
        <w:t>owell.</w:t>
      </w:r>
    </w:p>
    <w:p w:rsidR="00F001EE" w:rsidRPr="00D7775C" w:rsidRDefault="00F001EE" w:rsidP="00FA4DA9">
      <w:pPr>
        <w:spacing w:line="240" w:lineRule="auto"/>
        <w:jc w:val="both"/>
        <w:rPr>
          <w:rFonts w:ascii="Times New Roman" w:hAnsi="Times New Roman" w:cs="Times New Roman"/>
          <w:sz w:val="24"/>
          <w:szCs w:val="24"/>
        </w:rPr>
      </w:pPr>
      <w:r w:rsidRPr="00D7775C">
        <w:rPr>
          <w:rFonts w:ascii="Times New Roman" w:hAnsi="Times New Roman" w:cs="Times New Roman"/>
          <w:sz w:val="24"/>
          <w:szCs w:val="24"/>
        </w:rPr>
        <w:t>La Fed mantiene el apoyo</w:t>
      </w:r>
    </w:p>
    <w:p w:rsidR="00F001EE" w:rsidRPr="00D7775C" w:rsidRDefault="00F001EE"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7775C">
        <w:rPr>
          <w:rFonts w:ascii="Times New Roman" w:hAnsi="Times New Roman" w:cs="Times New Roman"/>
          <w:sz w:val="24"/>
          <w:szCs w:val="24"/>
        </w:rPr>
        <w:t>La complacencia es pel</w:t>
      </w:r>
      <w:r>
        <w:rPr>
          <w:rFonts w:ascii="Times New Roman" w:hAnsi="Times New Roman" w:cs="Times New Roman"/>
          <w:sz w:val="24"/>
          <w:szCs w:val="24"/>
        </w:rPr>
        <w:t>igrosa”</w:t>
      </w:r>
      <w:r w:rsidRPr="00D7775C">
        <w:rPr>
          <w:rFonts w:ascii="Times New Roman" w:hAnsi="Times New Roman" w:cs="Times New Roman"/>
          <w:sz w:val="24"/>
          <w:szCs w:val="24"/>
        </w:rPr>
        <w:t>, incide Chris Iggo, estratega jefe de Axa IM, quien admite, eso sí, que la evolución de los beneficios empresariales respalda al mercado de acciones, a pesar de la subida de</w:t>
      </w:r>
      <w:r>
        <w:rPr>
          <w:rFonts w:ascii="Times New Roman" w:hAnsi="Times New Roman" w:cs="Times New Roman"/>
          <w:sz w:val="24"/>
          <w:szCs w:val="24"/>
        </w:rPr>
        <w:t>l rendimiento de los bonos que “</w:t>
      </w:r>
      <w:r w:rsidRPr="00D7775C">
        <w:rPr>
          <w:rFonts w:ascii="Times New Roman" w:hAnsi="Times New Roman" w:cs="Times New Roman"/>
          <w:sz w:val="24"/>
          <w:szCs w:val="24"/>
        </w:rPr>
        <w:t>ha sido impulsado por el aumento</w:t>
      </w:r>
      <w:r>
        <w:rPr>
          <w:rFonts w:ascii="Times New Roman" w:hAnsi="Times New Roman" w:cs="Times New Roman"/>
          <w:sz w:val="24"/>
          <w:szCs w:val="24"/>
        </w:rPr>
        <w:t xml:space="preserve"> de expectativas de inflación”.</w:t>
      </w:r>
    </w:p>
    <w:p w:rsidR="00F001EE" w:rsidRPr="00D7775C" w:rsidRDefault="00F001EE"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7775C">
        <w:rPr>
          <w:rFonts w:ascii="Times New Roman" w:hAnsi="Times New Roman" w:cs="Times New Roman"/>
          <w:sz w:val="24"/>
          <w:szCs w:val="24"/>
        </w:rPr>
        <w:t>La Reserva Federal necesita asegurar a los mercados que está al tanto de todo. El mensaje tiene que ser que la inflación tendría que ser más alta durante más tiempo par</w:t>
      </w:r>
      <w:r>
        <w:rPr>
          <w:rFonts w:ascii="Times New Roman" w:hAnsi="Times New Roman" w:cs="Times New Roman"/>
          <w:sz w:val="24"/>
          <w:szCs w:val="24"/>
        </w:rPr>
        <w:t>a alterar la política monetaria”</w:t>
      </w:r>
      <w:r w:rsidRPr="00D7775C">
        <w:rPr>
          <w:rFonts w:ascii="Times New Roman" w:hAnsi="Times New Roman" w:cs="Times New Roman"/>
          <w:sz w:val="24"/>
          <w:szCs w:val="24"/>
        </w:rPr>
        <w:t>, concluye el expe</w:t>
      </w:r>
      <w:r>
        <w:rPr>
          <w:rFonts w:ascii="Times New Roman" w:hAnsi="Times New Roman" w:cs="Times New Roman"/>
          <w:sz w:val="24"/>
          <w:szCs w:val="24"/>
        </w:rPr>
        <w:t>rto de la aseguradora francesa.</w:t>
      </w:r>
    </w:p>
    <w:p w:rsidR="00F001EE" w:rsidRPr="00D7775C" w:rsidRDefault="00F001EE" w:rsidP="00FA4DA9">
      <w:pPr>
        <w:spacing w:line="240" w:lineRule="auto"/>
        <w:jc w:val="both"/>
        <w:rPr>
          <w:rFonts w:ascii="Times New Roman" w:hAnsi="Times New Roman" w:cs="Times New Roman"/>
          <w:sz w:val="24"/>
          <w:szCs w:val="24"/>
        </w:rPr>
      </w:pPr>
      <w:r w:rsidRPr="00D7775C">
        <w:rPr>
          <w:rFonts w:ascii="Times New Roman" w:hAnsi="Times New Roman" w:cs="Times New Roman"/>
          <w:sz w:val="24"/>
          <w:szCs w:val="24"/>
        </w:rPr>
        <w:t>Respaldo en el crecimiento de beneficios</w:t>
      </w:r>
    </w:p>
    <w:p w:rsidR="00F001EE" w:rsidRPr="00D7775C" w:rsidRDefault="00F001EE" w:rsidP="00FA4DA9">
      <w:pPr>
        <w:spacing w:line="240" w:lineRule="auto"/>
        <w:jc w:val="both"/>
        <w:rPr>
          <w:rFonts w:ascii="Times New Roman" w:hAnsi="Times New Roman" w:cs="Times New Roman"/>
          <w:sz w:val="24"/>
          <w:szCs w:val="24"/>
        </w:rPr>
      </w:pPr>
      <w:r w:rsidRPr="00D7775C">
        <w:rPr>
          <w:rFonts w:ascii="Times New Roman" w:hAnsi="Times New Roman" w:cs="Times New Roman"/>
          <w:sz w:val="24"/>
          <w:szCs w:val="24"/>
        </w:rPr>
        <w:t>Dos impulsores cíclicos claves en los mercados financieros y en la confianza de los inversores son los tipos de interés a largo plazo y el crecimiento de</w:t>
      </w:r>
      <w:r>
        <w:rPr>
          <w:rFonts w:ascii="Times New Roman" w:hAnsi="Times New Roman" w:cs="Times New Roman"/>
          <w:sz w:val="24"/>
          <w:szCs w:val="24"/>
        </w:rPr>
        <w:t xml:space="preserve"> los beneficios empresariales. “</w:t>
      </w:r>
      <w:r w:rsidRPr="00D7775C">
        <w:rPr>
          <w:rFonts w:ascii="Times New Roman" w:hAnsi="Times New Roman" w:cs="Times New Roman"/>
          <w:sz w:val="24"/>
          <w:szCs w:val="24"/>
        </w:rPr>
        <w:t xml:space="preserve">En los últimos meses la evolución de ambos factores ha </w:t>
      </w:r>
      <w:r>
        <w:rPr>
          <w:rFonts w:ascii="Times New Roman" w:hAnsi="Times New Roman" w:cs="Times New Roman"/>
          <w:sz w:val="24"/>
          <w:szCs w:val="24"/>
        </w:rPr>
        <w:t>apoyado la idea de la reflación”</w:t>
      </w:r>
      <w:r w:rsidRPr="00D7775C">
        <w:rPr>
          <w:rFonts w:ascii="Times New Roman" w:hAnsi="Times New Roman" w:cs="Times New Roman"/>
          <w:sz w:val="24"/>
          <w:szCs w:val="24"/>
        </w:rPr>
        <w:t>, apunta Chris Iggo</w:t>
      </w:r>
      <w:r>
        <w:rPr>
          <w:rFonts w:ascii="Times New Roman" w:hAnsi="Times New Roman" w:cs="Times New Roman"/>
          <w:sz w:val="24"/>
          <w:szCs w:val="24"/>
        </w:rPr>
        <w:t>, de Axa IM, quien explica que “</w:t>
      </w:r>
      <w:r w:rsidRPr="00D7775C">
        <w:rPr>
          <w:rFonts w:ascii="Times New Roman" w:hAnsi="Times New Roman" w:cs="Times New Roman"/>
          <w:sz w:val="24"/>
          <w:szCs w:val="24"/>
        </w:rPr>
        <w:t>la modesta subida de la curva de tipos de Estados Unidos y la mejor racha en los informes de los resultados empresariales de lo que se esperaba han sido, hasta ahora, positivos para los activos de riesgo, no obstante, se habla cada vez más sobre la inflación y la preocupación de que los tipos de interés a largo plazo puedan alcanzar un nivel en el que se vuelvan negativos para la deuda</w:t>
      </w:r>
      <w:r>
        <w:rPr>
          <w:rFonts w:ascii="Times New Roman" w:hAnsi="Times New Roman" w:cs="Times New Roman"/>
          <w:sz w:val="24"/>
          <w:szCs w:val="24"/>
        </w:rPr>
        <w:t xml:space="preserve"> y las acciones”</w:t>
      </w:r>
      <w:r w:rsidRPr="00D7775C">
        <w:rPr>
          <w:rFonts w:ascii="Times New Roman" w:hAnsi="Times New Roman" w:cs="Times New Roman"/>
          <w:sz w:val="24"/>
          <w:szCs w:val="24"/>
        </w:rPr>
        <w:t>.</w:t>
      </w:r>
    </w:p>
    <w:p w:rsidR="00F001EE" w:rsidRPr="00B95B80" w:rsidRDefault="00F001EE"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95B80">
        <w:rPr>
          <w:rFonts w:ascii="Times New Roman" w:hAnsi="Times New Roman" w:cs="Times New Roman"/>
          <w:sz w:val="24"/>
          <w:szCs w:val="24"/>
          <w:u w:val="single"/>
        </w:rPr>
        <w:t>EEUU duplica en gasto a Europa para salvar su economía de la pandemia</w:t>
      </w:r>
      <w:r>
        <w:rPr>
          <w:rFonts w:ascii="Times New Roman" w:hAnsi="Times New Roman" w:cs="Times New Roman"/>
          <w:sz w:val="24"/>
          <w:szCs w:val="24"/>
        </w:rPr>
        <w:t xml:space="preserve"> (El Economista - </w:t>
      </w:r>
      <w:r w:rsidRPr="00B95B80">
        <w:rPr>
          <w:rFonts w:ascii="Times New Roman" w:hAnsi="Times New Roman" w:cs="Times New Roman"/>
          <w:b/>
          <w:sz w:val="24"/>
          <w:szCs w:val="24"/>
        </w:rPr>
        <w:t>14/3/21</w:t>
      </w:r>
      <w:r>
        <w:rPr>
          <w:rFonts w:ascii="Times New Roman" w:hAnsi="Times New Roman" w:cs="Times New Roman"/>
          <w:sz w:val="24"/>
          <w:szCs w:val="24"/>
        </w:rPr>
        <w:t>)</w:t>
      </w:r>
    </w:p>
    <w:p w:rsidR="00F001EE" w:rsidRPr="00B95B80" w:rsidRDefault="00F001EE"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B95B80">
        <w:rPr>
          <w:rFonts w:ascii="Times New Roman" w:hAnsi="Times New Roman" w:cs="Times New Roman"/>
          <w:sz w:val="24"/>
          <w:szCs w:val="24"/>
        </w:rPr>
        <w:t>José Luis de Haro</w:t>
      </w:r>
      <w:r>
        <w:rPr>
          <w:rFonts w:ascii="Times New Roman" w:hAnsi="Times New Roman" w:cs="Times New Roman"/>
          <w:sz w:val="24"/>
          <w:szCs w:val="24"/>
        </w:rPr>
        <w:t>)</w:t>
      </w:r>
    </w:p>
    <w:p w:rsidR="00F001EE" w:rsidRPr="00B93243" w:rsidRDefault="00F001EE" w:rsidP="00FA4DA9">
      <w:pPr>
        <w:spacing w:line="240" w:lineRule="auto"/>
        <w:jc w:val="both"/>
        <w:rPr>
          <w:rFonts w:ascii="Times New Roman" w:hAnsi="Times New Roman" w:cs="Times New Roman"/>
          <w:b/>
          <w:color w:val="FF0000"/>
          <w:sz w:val="24"/>
          <w:szCs w:val="24"/>
          <w:u w:val="single"/>
        </w:rPr>
      </w:pPr>
      <w:r w:rsidRPr="00B93243">
        <w:rPr>
          <w:rFonts w:ascii="Times New Roman" w:hAnsi="Times New Roman" w:cs="Times New Roman"/>
          <w:b/>
          <w:color w:val="FF0000"/>
          <w:sz w:val="24"/>
          <w:szCs w:val="24"/>
          <w:u w:val="single"/>
        </w:rPr>
        <w:t>Cuando se cumple un año de la pandemia del Covid-19, el mismo virus ha generado respuestas sin precedentes a la par que dispares a ambos lados del Atlántico. Si bien es cierto que la idiosincrasia y el tejido productivo de la economía estadounidense y la europea difiere, a Washington no le ha temblado la mano a la hora de activar el mayor desembolso público desde la II Guerra Mundial, que asciende ya al 32% del PIB, según las últimas estimaciones, lo que supone duplicar la inyección fiscal europea, de dos billones de euros en este capítulo. En ambos casos, estadounidense y europeo, existen inyecciones monetarias y/o garantías adicionales al desembolso para apuntalar la demanda.</w:t>
      </w:r>
    </w:p>
    <w:p w:rsidR="00F001EE" w:rsidRPr="00B93243" w:rsidRDefault="00F001EE" w:rsidP="00FA4DA9">
      <w:pPr>
        <w:spacing w:line="240" w:lineRule="auto"/>
        <w:jc w:val="both"/>
        <w:rPr>
          <w:rFonts w:ascii="Times New Roman" w:hAnsi="Times New Roman" w:cs="Times New Roman"/>
          <w:color w:val="FF0000"/>
          <w:sz w:val="24"/>
          <w:szCs w:val="24"/>
          <w:u w:val="single"/>
        </w:rPr>
      </w:pPr>
      <w:r w:rsidRPr="00B93243">
        <w:rPr>
          <w:rFonts w:ascii="Times New Roman" w:hAnsi="Times New Roman" w:cs="Times New Roman"/>
          <w:color w:val="FF0000"/>
          <w:sz w:val="24"/>
          <w:szCs w:val="24"/>
          <w:u w:val="single"/>
        </w:rPr>
        <w:t>Tanto la Casa Blanca como los legisladores han recetado un gasto de más de 4,5 billones de euros que no solo ataja la crisis sanitaria, sino que afianza que el consumo garantice la recuperación más rápida desde finales de la década de 1950. En Europa, si bien las ayudas sientan un hito histórico a nivel comunitario, la falta de tino a la hora de anticipar contratiempos, como observamos actualmente con el suministro y distribución de las vacunas, vuelve a dejar a la economía a la cola de la recuperación entre los países avanzados.</w:t>
      </w:r>
    </w:p>
    <w:p w:rsidR="00F001EE" w:rsidRPr="00B95B80" w:rsidRDefault="00F001EE" w:rsidP="00FA4DA9">
      <w:pPr>
        <w:spacing w:line="240" w:lineRule="auto"/>
        <w:jc w:val="both"/>
        <w:rPr>
          <w:rFonts w:ascii="Times New Roman" w:hAnsi="Times New Roman" w:cs="Times New Roman"/>
          <w:sz w:val="24"/>
          <w:szCs w:val="24"/>
        </w:rPr>
      </w:pPr>
      <w:r w:rsidRPr="00B95B80">
        <w:rPr>
          <w:rFonts w:ascii="Times New Roman" w:hAnsi="Times New Roman" w:cs="Times New Roman"/>
          <w:sz w:val="24"/>
          <w:szCs w:val="24"/>
        </w:rPr>
        <w:t>En Estados Unidos, la batalla contra el enemigo invisible que ha infectado a más de 29 millones de personas ha instigado lo que múltiples expertos califican de economía de guerra. Y no es para menos: la pandemia se ha cobrado ya 529.469 víctimas en el país, más que todas las muertes estadounidenses en la II Guerra Mundial.</w:t>
      </w:r>
    </w:p>
    <w:p w:rsidR="00F001EE" w:rsidRPr="00A90CE7" w:rsidRDefault="00F001EE" w:rsidP="00FA4DA9">
      <w:pPr>
        <w:spacing w:line="240" w:lineRule="auto"/>
        <w:jc w:val="both"/>
        <w:rPr>
          <w:rFonts w:ascii="Times New Roman" w:hAnsi="Times New Roman" w:cs="Times New Roman"/>
          <w:b/>
          <w:color w:val="FF0000"/>
          <w:sz w:val="24"/>
          <w:szCs w:val="24"/>
          <w:u w:val="single"/>
        </w:rPr>
      </w:pPr>
      <w:r w:rsidRPr="00A90CE7">
        <w:rPr>
          <w:rFonts w:ascii="Times New Roman" w:hAnsi="Times New Roman" w:cs="Times New Roman"/>
          <w:b/>
          <w:color w:val="FF0000"/>
          <w:sz w:val="24"/>
          <w:szCs w:val="24"/>
          <w:u w:val="single"/>
        </w:rPr>
        <w:lastRenderedPageBreak/>
        <w:t>Del lado fiscal, el flotador supera ya los 5,6 billones de dólares (unos 4,5 billones de euros), alrededor del 32% del PIB si incluimos el Plan de Recuperación Americana que rubricó este jueves el presidente de EEUU, Joe Biden, según datos de Bank of America. Esta cifra es casi cuatro veces mayor a la aplicada en respuesta a la crisis financiera de 2008 y dobla la inyección actual de la UE. No obstante, las comparaciones concretas son complicadas dado que el estado de bienestar europeo ha servido como amortiguador del gasto.</w:t>
      </w:r>
    </w:p>
    <w:p w:rsidR="00F001EE" w:rsidRPr="00A90CE7" w:rsidRDefault="00F001EE" w:rsidP="00FA4DA9">
      <w:pPr>
        <w:spacing w:line="240" w:lineRule="auto"/>
        <w:jc w:val="both"/>
        <w:rPr>
          <w:rFonts w:ascii="Times New Roman" w:hAnsi="Times New Roman" w:cs="Times New Roman"/>
          <w:color w:val="FF0000"/>
          <w:sz w:val="24"/>
          <w:szCs w:val="24"/>
          <w:u w:val="single"/>
        </w:rPr>
      </w:pPr>
      <w:r w:rsidRPr="00A90CE7">
        <w:rPr>
          <w:rFonts w:ascii="Times New Roman" w:hAnsi="Times New Roman" w:cs="Times New Roman"/>
          <w:color w:val="FF0000"/>
          <w:sz w:val="24"/>
          <w:szCs w:val="24"/>
          <w:u w:val="single"/>
        </w:rPr>
        <w:t>Esto explica la composición de los tres grandes paquetes de alivio estadounidenses en el último año. El primero, la Ley de Ayuda, Socorro y Seguridad Económica contra el Coronavirus (Cares), con 2,2 billones de dólares (unos 1,8 billones de euros), cimentó la base de las partidas que básicamente emularon tanto la Ley de Asignaciones Consolidadas aprobada en diciembre (900.000 millones de dólares, 750.000 millones de euros) y la Ley de Recuperación Americana de Biden (1,9 billones de dólares, 1,5 billones de euros).</w:t>
      </w:r>
    </w:p>
    <w:p w:rsidR="00F001EE" w:rsidRPr="00B95B80" w:rsidRDefault="00F001EE" w:rsidP="00FA4DA9">
      <w:pPr>
        <w:spacing w:line="240" w:lineRule="auto"/>
        <w:jc w:val="both"/>
        <w:rPr>
          <w:rFonts w:ascii="Times New Roman" w:hAnsi="Times New Roman" w:cs="Times New Roman"/>
          <w:sz w:val="24"/>
          <w:szCs w:val="24"/>
        </w:rPr>
      </w:pPr>
      <w:r w:rsidRPr="00B95B80">
        <w:rPr>
          <w:rFonts w:ascii="Times New Roman" w:hAnsi="Times New Roman" w:cs="Times New Roman"/>
          <w:sz w:val="24"/>
          <w:szCs w:val="24"/>
        </w:rPr>
        <w:t>Nexo de unión</w:t>
      </w:r>
    </w:p>
    <w:p w:rsidR="00F001EE" w:rsidRPr="00B95B80" w:rsidRDefault="00F001EE" w:rsidP="00FA4DA9">
      <w:pPr>
        <w:spacing w:line="240" w:lineRule="auto"/>
        <w:jc w:val="both"/>
        <w:rPr>
          <w:rFonts w:ascii="Times New Roman" w:hAnsi="Times New Roman" w:cs="Times New Roman"/>
          <w:sz w:val="24"/>
          <w:szCs w:val="24"/>
        </w:rPr>
      </w:pPr>
      <w:r w:rsidRPr="00B95B80">
        <w:rPr>
          <w:rFonts w:ascii="Times New Roman" w:hAnsi="Times New Roman" w:cs="Times New Roman"/>
          <w:sz w:val="24"/>
          <w:szCs w:val="24"/>
        </w:rPr>
        <w:t>El nexo de unión ha virado alrededor de pagos directos a los contribuyentes en forma de cheques, que sumando los tres paquetes acumularían un total de 3.200 dólares por individuo que ingrese hasta 75.000 dólares al año. A ello habría que sumar los subsidios por desempleo adicionales a cuenta del Gobierno federal. La primera ronda ofreció hasta 600 dólares extra a la semana hasta julio y se ha reducido a la mitad desde comienzos de año. El plan de Biden extiende</w:t>
      </w:r>
      <w:r>
        <w:rPr>
          <w:rFonts w:ascii="Times New Roman" w:hAnsi="Times New Roman" w:cs="Times New Roman"/>
          <w:sz w:val="24"/>
          <w:szCs w:val="24"/>
        </w:rPr>
        <w:t xml:space="preserve"> estas ayudas hasta septiembre.</w:t>
      </w:r>
    </w:p>
    <w:p w:rsidR="00F001EE" w:rsidRPr="00B93243" w:rsidRDefault="00F001EE" w:rsidP="00FA4DA9">
      <w:pPr>
        <w:spacing w:line="240" w:lineRule="auto"/>
        <w:jc w:val="both"/>
        <w:rPr>
          <w:rFonts w:ascii="Times New Roman" w:hAnsi="Times New Roman" w:cs="Times New Roman"/>
          <w:sz w:val="24"/>
          <w:szCs w:val="24"/>
          <w:u w:val="single"/>
        </w:rPr>
      </w:pPr>
      <w:r w:rsidRPr="00B93243">
        <w:rPr>
          <w:rFonts w:ascii="Times New Roman" w:hAnsi="Times New Roman" w:cs="Times New Roman"/>
          <w:sz w:val="24"/>
          <w:szCs w:val="24"/>
          <w:u w:val="single"/>
        </w:rPr>
        <w:t>Una inyección del lado de la demanda que ha llevado la tasa de ahorro a alcanzar récords: los estadounidenses han guardado aproximadamente 2,5 billones de dólares y su patrimonio creció un 10% en 2020 hasta un máximo de 130,2 billones de dólares, según la Fed. Se espera que buena parte esta cantidad fluya de nuevo a la economía a través del consumo algo que avivan los temores sobre la inflación.</w:t>
      </w:r>
    </w:p>
    <w:p w:rsidR="00F001EE" w:rsidRPr="00B95B80" w:rsidRDefault="00F001EE" w:rsidP="00FA4DA9">
      <w:pPr>
        <w:spacing w:line="240" w:lineRule="auto"/>
        <w:jc w:val="both"/>
        <w:rPr>
          <w:rFonts w:ascii="Times New Roman" w:hAnsi="Times New Roman" w:cs="Times New Roman"/>
          <w:sz w:val="24"/>
          <w:szCs w:val="24"/>
        </w:rPr>
      </w:pPr>
      <w:r w:rsidRPr="00B95B80">
        <w:rPr>
          <w:rFonts w:ascii="Times New Roman" w:hAnsi="Times New Roman" w:cs="Times New Roman"/>
          <w:sz w:val="24"/>
          <w:szCs w:val="24"/>
        </w:rPr>
        <w:t>Todo ello dependerá en buena parte de las vacunaciones. A través de la Operación Warp Speed orquestada por la Administración Trump, Washington invirtió más de 18.000 millones de dólares en el rápido desarrollo y la distri</w:t>
      </w:r>
      <w:r>
        <w:rPr>
          <w:rFonts w:ascii="Times New Roman" w:hAnsi="Times New Roman" w:cs="Times New Roman"/>
          <w:sz w:val="24"/>
          <w:szCs w:val="24"/>
        </w:rPr>
        <w:t>bución nacional de las vacunas.</w:t>
      </w:r>
    </w:p>
    <w:p w:rsidR="00F001EE" w:rsidRPr="00B95B80" w:rsidRDefault="00F001EE" w:rsidP="00FA4DA9">
      <w:pPr>
        <w:spacing w:line="240" w:lineRule="auto"/>
        <w:jc w:val="both"/>
        <w:rPr>
          <w:rFonts w:ascii="Times New Roman" w:hAnsi="Times New Roman" w:cs="Times New Roman"/>
          <w:sz w:val="24"/>
          <w:szCs w:val="24"/>
        </w:rPr>
      </w:pPr>
      <w:r w:rsidRPr="00B95B80">
        <w:rPr>
          <w:rFonts w:ascii="Times New Roman" w:hAnsi="Times New Roman" w:cs="Times New Roman"/>
          <w:sz w:val="24"/>
          <w:szCs w:val="24"/>
        </w:rPr>
        <w:t>Al mismo tiempo, los tres flotadores fiscales han destinado 206.000 millones de dólares a medidas para paliar los efectos sanitarios del Covid. A día de hoy, casi un 20% de la población ha recibido al menos una dosis y el 10,2% estaría ya inmunizado. De hecho, Biden ha pedido ya casi suficientes dosis para vacunar po</w:t>
      </w:r>
      <w:r>
        <w:rPr>
          <w:rFonts w:ascii="Times New Roman" w:hAnsi="Times New Roman" w:cs="Times New Roman"/>
          <w:sz w:val="24"/>
          <w:szCs w:val="24"/>
        </w:rPr>
        <w:t>r partida doble a la población.</w:t>
      </w:r>
    </w:p>
    <w:p w:rsidR="00F001EE" w:rsidRPr="00B95B80" w:rsidRDefault="00F001EE" w:rsidP="00FA4DA9">
      <w:pPr>
        <w:spacing w:line="240" w:lineRule="auto"/>
        <w:jc w:val="both"/>
        <w:rPr>
          <w:rFonts w:ascii="Times New Roman" w:hAnsi="Times New Roman" w:cs="Times New Roman"/>
          <w:sz w:val="24"/>
          <w:szCs w:val="24"/>
        </w:rPr>
      </w:pPr>
      <w:r w:rsidRPr="00B95B80">
        <w:rPr>
          <w:rFonts w:ascii="Times New Roman" w:hAnsi="Times New Roman" w:cs="Times New Roman"/>
          <w:sz w:val="24"/>
          <w:szCs w:val="24"/>
        </w:rPr>
        <w:t>Desde el comienzo de la pandemia, se han destinado 950.250 millones de dólares al Programa de Protección de Nóminas (PPP) para pymes. Solo este año se han aprobado 2,4 millones de préstamos por un total de casi 165.000 millones de dólares. Ahora se busca extender su duración más allá del próximo 31 de marzo. Por su parte, los gobiernos estatales y locales han recibi</w:t>
      </w:r>
      <w:r>
        <w:rPr>
          <w:rFonts w:ascii="Times New Roman" w:hAnsi="Times New Roman" w:cs="Times New Roman"/>
          <w:sz w:val="24"/>
          <w:szCs w:val="24"/>
        </w:rPr>
        <w:t>do casi medio billón de fondos.</w:t>
      </w:r>
    </w:p>
    <w:p w:rsidR="00F001EE" w:rsidRPr="00B93243" w:rsidRDefault="00F001EE" w:rsidP="00FA4DA9">
      <w:pPr>
        <w:spacing w:line="240" w:lineRule="auto"/>
        <w:jc w:val="both"/>
        <w:rPr>
          <w:rFonts w:ascii="Times New Roman" w:hAnsi="Times New Roman" w:cs="Times New Roman"/>
          <w:b/>
          <w:color w:val="FF0000"/>
          <w:sz w:val="24"/>
          <w:szCs w:val="24"/>
          <w:u w:val="single"/>
        </w:rPr>
      </w:pPr>
      <w:r w:rsidRPr="00B93243">
        <w:rPr>
          <w:rFonts w:ascii="Times New Roman" w:hAnsi="Times New Roman" w:cs="Times New Roman"/>
          <w:b/>
          <w:color w:val="FF0000"/>
          <w:sz w:val="24"/>
          <w:szCs w:val="24"/>
          <w:u w:val="single"/>
        </w:rPr>
        <w:t>Además del estímulo fiscal, la Reserva Federal también ha hecho su tarea. Después de rebajar los tipos de interés en 150 puntos porcentuales hasta llevar de nuevo el precio del dinero a un rango de entre el 0 y el 0,25% ha aumentado su capacidad de imprimir dinero llegando casi a duplicar su balance hasta más de 7,5 billones de dólares.</w:t>
      </w:r>
    </w:p>
    <w:p w:rsidR="00F001EE" w:rsidRPr="00B95B80" w:rsidRDefault="00F001EE" w:rsidP="00FA4DA9">
      <w:pPr>
        <w:spacing w:line="240" w:lineRule="auto"/>
        <w:jc w:val="both"/>
        <w:rPr>
          <w:rFonts w:ascii="Times New Roman" w:hAnsi="Times New Roman" w:cs="Times New Roman"/>
          <w:sz w:val="24"/>
          <w:szCs w:val="24"/>
        </w:rPr>
      </w:pPr>
      <w:r w:rsidRPr="00B95B80">
        <w:rPr>
          <w:rFonts w:ascii="Times New Roman" w:hAnsi="Times New Roman" w:cs="Times New Roman"/>
          <w:sz w:val="24"/>
          <w:szCs w:val="24"/>
        </w:rPr>
        <w:t xml:space="preserve">A pesar de que en EEUU la tasa de desempleo ha caído hasta el 6,2% en febrero, desde máximos del 14,7% en abril de 2020, todavía hay 9,5 millones de puestos de trabajo menos que hace un año. En general, la economía ha recuperado tres cuartas partes de la fuerte caída </w:t>
      </w:r>
      <w:r w:rsidRPr="00B95B80">
        <w:rPr>
          <w:rFonts w:ascii="Times New Roman" w:hAnsi="Times New Roman" w:cs="Times New Roman"/>
          <w:sz w:val="24"/>
          <w:szCs w:val="24"/>
        </w:rPr>
        <w:lastRenderedPageBreak/>
        <w:t>de la producción al comienzo y tras la aprobación del plan de Biden se prevé que dicha brecha se cierre por completo en el trimestre en curso.</w:t>
      </w:r>
    </w:p>
    <w:p w:rsidR="00F001EE" w:rsidRPr="00B95B80" w:rsidRDefault="00F001EE" w:rsidP="00FA4DA9">
      <w:pPr>
        <w:spacing w:line="240" w:lineRule="auto"/>
        <w:jc w:val="both"/>
        <w:rPr>
          <w:rFonts w:ascii="Times New Roman" w:hAnsi="Times New Roman" w:cs="Times New Roman"/>
          <w:sz w:val="24"/>
          <w:szCs w:val="24"/>
        </w:rPr>
      </w:pPr>
      <w:r w:rsidRPr="00B93243">
        <w:rPr>
          <w:rFonts w:ascii="Times New Roman" w:hAnsi="Times New Roman" w:cs="Times New Roman"/>
          <w:color w:val="FF0000"/>
          <w:sz w:val="24"/>
          <w:szCs w:val="24"/>
          <w:u w:val="single"/>
        </w:rPr>
        <w:t>Se espera que la economía de EEUU crezca muy por encima de su potencial en 2021, por encima del 7%, superando incluso a China, según algunas mesas de inversión</w:t>
      </w:r>
      <w:r w:rsidRPr="00B95B80">
        <w:rPr>
          <w:rFonts w:ascii="Times New Roman" w:hAnsi="Times New Roman" w:cs="Times New Roman"/>
          <w:sz w:val="24"/>
          <w:szCs w:val="24"/>
        </w:rPr>
        <w:t>. Sin embargo, las expectativas de un posible boom económico reflejan el impacto desigual de la pandemia, ya que algunas personas y empresas han prosperado enormemente y otras han visto desaparecer sus ingresos de la noche a la mañana. Ahora la Administración Biden debe evitar que la temida recuperació</w:t>
      </w:r>
      <w:r>
        <w:rPr>
          <w:rFonts w:ascii="Times New Roman" w:hAnsi="Times New Roman" w:cs="Times New Roman"/>
          <w:sz w:val="24"/>
          <w:szCs w:val="24"/>
        </w:rPr>
        <w:t>n en forma de K se materialice.</w:t>
      </w:r>
    </w:p>
    <w:p w:rsidR="00F001EE" w:rsidRPr="00B95B80" w:rsidRDefault="00F001EE" w:rsidP="00FA4DA9">
      <w:pPr>
        <w:spacing w:line="240" w:lineRule="auto"/>
        <w:jc w:val="both"/>
        <w:rPr>
          <w:rFonts w:ascii="Times New Roman" w:hAnsi="Times New Roman" w:cs="Times New Roman"/>
          <w:sz w:val="24"/>
          <w:szCs w:val="24"/>
        </w:rPr>
      </w:pPr>
      <w:r w:rsidRPr="00B93243">
        <w:rPr>
          <w:rFonts w:ascii="Times New Roman" w:hAnsi="Times New Roman" w:cs="Times New Roman"/>
          <w:color w:val="FF0000"/>
          <w:sz w:val="24"/>
          <w:szCs w:val="24"/>
          <w:u w:val="single"/>
        </w:rPr>
        <w:t>Europa y EEUU, los dos grandes socios comerciales del planeta y potencias económicas, mantienen un pulso en la salida de la crisis causada por el Covid-19.</w:t>
      </w:r>
      <w:r w:rsidRPr="00B93243">
        <w:rPr>
          <w:rFonts w:ascii="Times New Roman" w:hAnsi="Times New Roman" w:cs="Times New Roman"/>
          <w:color w:val="FF0000"/>
          <w:sz w:val="24"/>
          <w:szCs w:val="24"/>
        </w:rPr>
        <w:t xml:space="preserve"> </w:t>
      </w:r>
      <w:r w:rsidRPr="00B95B80">
        <w:rPr>
          <w:rFonts w:ascii="Times New Roman" w:hAnsi="Times New Roman" w:cs="Times New Roman"/>
          <w:sz w:val="24"/>
          <w:szCs w:val="24"/>
        </w:rPr>
        <w:t xml:space="preserve">Ambos se miran de reojo, ya sea por el volumen y posibles consecuencias de cada estímulo que aprueban o por los progresos en la accidentada carrera de vacunas. Perviven rivalidades, como en el campo tecnológico y, sobre todo, intentan asegurarse una buena posición en el tablero geopolítico que resultará tras </w:t>
      </w:r>
      <w:r>
        <w:rPr>
          <w:rFonts w:ascii="Times New Roman" w:hAnsi="Times New Roman" w:cs="Times New Roman"/>
          <w:sz w:val="24"/>
          <w:szCs w:val="24"/>
        </w:rPr>
        <w:t>el oscuro túnel de la pandemia.</w:t>
      </w:r>
    </w:p>
    <w:p w:rsidR="00F001EE" w:rsidRPr="00A90CE7" w:rsidRDefault="00F001EE" w:rsidP="00FA4DA9">
      <w:pPr>
        <w:spacing w:line="240" w:lineRule="auto"/>
        <w:jc w:val="both"/>
        <w:rPr>
          <w:rFonts w:ascii="Times New Roman" w:hAnsi="Times New Roman" w:cs="Times New Roman"/>
          <w:b/>
          <w:color w:val="FF0000"/>
          <w:sz w:val="24"/>
          <w:szCs w:val="24"/>
          <w:u w:val="single"/>
        </w:rPr>
      </w:pPr>
      <w:r w:rsidRPr="00A90CE7">
        <w:rPr>
          <w:rFonts w:ascii="Times New Roman" w:hAnsi="Times New Roman" w:cs="Times New Roman"/>
          <w:b/>
          <w:color w:val="FF0000"/>
          <w:sz w:val="24"/>
          <w:szCs w:val="24"/>
          <w:u w:val="single"/>
        </w:rPr>
        <w:t>Europa se está quedando atrás en esta carrera por ser el primero en recuperar la velocidad de crucero económica y normalizar la vida social. Hasta ahora, los recursos fiscales aprobados por los europeos, tanto por los Estados miembros como por las instituciones comunitarias (excluyendo medida de liquidez nacionales), no llegan a la mitad de los tres paquetes aprobados por EEUU. Las compras extraordinarias de bonos del BCE frente a la pandemia también empequeñecen frente a la respuesta de la Fed.</w:t>
      </w:r>
    </w:p>
    <w:p w:rsidR="00F001EE" w:rsidRPr="00B93243" w:rsidRDefault="00F001EE" w:rsidP="00FA4DA9">
      <w:pPr>
        <w:spacing w:line="240" w:lineRule="auto"/>
        <w:jc w:val="both"/>
        <w:rPr>
          <w:rFonts w:ascii="Times New Roman" w:hAnsi="Times New Roman" w:cs="Times New Roman"/>
          <w:color w:val="FF0000"/>
          <w:sz w:val="24"/>
          <w:szCs w:val="24"/>
          <w:u w:val="single"/>
        </w:rPr>
      </w:pPr>
      <w:r w:rsidRPr="00B93243">
        <w:rPr>
          <w:rFonts w:ascii="Times New Roman" w:hAnsi="Times New Roman" w:cs="Times New Roman"/>
          <w:color w:val="FF0000"/>
          <w:sz w:val="24"/>
          <w:szCs w:val="24"/>
          <w:u w:val="single"/>
        </w:rPr>
        <w:t>El despegue estadounidense será mayor no solo por contar con un impulso más robusto, sino también por partir de una posición más aventajada. El PIB de la eurozona se hundió el año pasado un 6,8%, frente al 3,5% en EEUU.</w:t>
      </w:r>
    </w:p>
    <w:p w:rsidR="00F001EE" w:rsidRPr="00B95B80" w:rsidRDefault="00F001EE" w:rsidP="00FA4DA9">
      <w:pPr>
        <w:spacing w:line="240" w:lineRule="auto"/>
        <w:jc w:val="both"/>
        <w:rPr>
          <w:rFonts w:ascii="Times New Roman" w:hAnsi="Times New Roman" w:cs="Times New Roman"/>
          <w:sz w:val="24"/>
          <w:szCs w:val="24"/>
        </w:rPr>
      </w:pPr>
      <w:r w:rsidRPr="00B95B80">
        <w:rPr>
          <w:rFonts w:ascii="Times New Roman" w:hAnsi="Times New Roman" w:cs="Times New Roman"/>
          <w:sz w:val="24"/>
          <w:szCs w:val="24"/>
        </w:rPr>
        <w:t>La recuperación además se verá torpedeada en Europa por una vuelta a la normalidad probablemente más lenta, dados los problemas con los suministros de vacunas y el ritmo de vacunación. En EEUU, casi el 20% de la población ya ha recibido una dosis, mientras que el 10,2% está completamente inmunizado. En Europa, esas cifras se reducen a 6,9% y 3,1%, respectivamente.</w:t>
      </w:r>
    </w:p>
    <w:p w:rsidR="00F001EE" w:rsidRPr="00B95B80" w:rsidRDefault="00F001EE" w:rsidP="00FA4DA9">
      <w:pPr>
        <w:spacing w:line="240" w:lineRule="auto"/>
        <w:jc w:val="both"/>
        <w:rPr>
          <w:rFonts w:ascii="Times New Roman" w:hAnsi="Times New Roman" w:cs="Times New Roman"/>
          <w:sz w:val="24"/>
          <w:szCs w:val="24"/>
        </w:rPr>
      </w:pPr>
      <w:r w:rsidRPr="00B95B80">
        <w:rPr>
          <w:rFonts w:ascii="Times New Roman" w:hAnsi="Times New Roman" w:cs="Times New Roman"/>
          <w:sz w:val="24"/>
          <w:szCs w:val="24"/>
        </w:rPr>
        <w:t>Estímulo europeo</w:t>
      </w:r>
    </w:p>
    <w:p w:rsidR="00F001EE" w:rsidRPr="00A90CE7" w:rsidRDefault="00F001EE" w:rsidP="00FA4DA9">
      <w:pPr>
        <w:spacing w:line="240" w:lineRule="auto"/>
        <w:jc w:val="both"/>
        <w:rPr>
          <w:rFonts w:ascii="Times New Roman" w:hAnsi="Times New Roman" w:cs="Times New Roman"/>
          <w:b/>
          <w:color w:val="FF0000"/>
          <w:sz w:val="24"/>
          <w:szCs w:val="24"/>
          <w:u w:val="single"/>
        </w:rPr>
      </w:pPr>
      <w:r w:rsidRPr="00A90CE7">
        <w:rPr>
          <w:rFonts w:ascii="Times New Roman" w:hAnsi="Times New Roman" w:cs="Times New Roman"/>
          <w:b/>
          <w:color w:val="FF0000"/>
          <w:sz w:val="24"/>
          <w:szCs w:val="24"/>
          <w:u w:val="single"/>
        </w:rPr>
        <w:t>El punto de inflexión llegó con el acuerdo de los líderes europeos el pasado julio, para crear el fondo de recuperación de la UE, que se financiará con la emisión sin precedentes de 800.000 millones de euros de deuda comunitaria. Como reconocen fuentes europeas, representa de facto la creación de los eurobonos, por la enorme cantidad de deuda comunitaria que inundará los mercados. Además, el fondo de recuperación, de momento activo hasta 2026, puede terminar por convertirse en la capacidad fiscal central permanente tanto tiempo ansiada, como ya piden desde el BCE y el FMI.</w:t>
      </w:r>
    </w:p>
    <w:p w:rsidR="00F001EE" w:rsidRPr="00A90CE7" w:rsidRDefault="00F001EE" w:rsidP="00FA4DA9">
      <w:pPr>
        <w:spacing w:line="240" w:lineRule="auto"/>
        <w:jc w:val="both"/>
        <w:rPr>
          <w:rFonts w:ascii="Times New Roman" w:hAnsi="Times New Roman" w:cs="Times New Roman"/>
          <w:b/>
          <w:color w:val="FF0000"/>
          <w:sz w:val="24"/>
          <w:szCs w:val="24"/>
          <w:u w:val="single"/>
        </w:rPr>
      </w:pPr>
      <w:r w:rsidRPr="00A90CE7">
        <w:rPr>
          <w:rFonts w:ascii="Times New Roman" w:hAnsi="Times New Roman" w:cs="Times New Roman"/>
          <w:b/>
          <w:color w:val="FF0000"/>
          <w:sz w:val="24"/>
          <w:szCs w:val="24"/>
          <w:u w:val="single"/>
        </w:rPr>
        <w:t>Los 800.000 millones son la punta de lanza de la respuesta europea. Sin embargo, su impacto no tendrá la misma fuerza que los paquetes estadounidense. Primero porque solo algo menos de la mitad (312.000 millones de euros, con precios de 2018) serán ayudas no reembolsables, mientras que la otra parte serán préstamos en condiciones ventajosas, que aumentarán la deuda nacional. No está claro que todos los países vayan a solicitar estos préstamos. Además, el estímulo se dosificará durante seis años.</w:t>
      </w:r>
    </w:p>
    <w:p w:rsidR="00F001EE" w:rsidRPr="00B95B80" w:rsidRDefault="00F001EE" w:rsidP="00FA4DA9">
      <w:pPr>
        <w:spacing w:line="240" w:lineRule="auto"/>
        <w:jc w:val="both"/>
        <w:rPr>
          <w:rFonts w:ascii="Times New Roman" w:hAnsi="Times New Roman" w:cs="Times New Roman"/>
          <w:sz w:val="24"/>
          <w:szCs w:val="24"/>
        </w:rPr>
      </w:pPr>
      <w:r w:rsidRPr="00B95B80">
        <w:rPr>
          <w:rFonts w:ascii="Times New Roman" w:hAnsi="Times New Roman" w:cs="Times New Roman"/>
          <w:sz w:val="24"/>
          <w:szCs w:val="24"/>
        </w:rPr>
        <w:lastRenderedPageBreak/>
        <w:t>El dinero empezará a llegar a las capitales a partir de junio. Para entonces, la Comisión Europea ya habrá aprobado los primeros planes nacionales de inversiones y reformas que darán acceso al primer desembolso de un 13% de los fondos. Esta prefinanciación, antes del cumplimiento de los hitos y objetivos de cada plan nacional, asciende a 10.000 millones de euros en el caso de España, de los 140.000 millones que nos corresponden del fondo, repartidos a partes iguales entre ayudas no reembolsables y préstamos.</w:t>
      </w:r>
    </w:p>
    <w:p w:rsidR="00F001EE" w:rsidRPr="00A90CE7" w:rsidRDefault="00F001EE" w:rsidP="00FA4DA9">
      <w:pPr>
        <w:spacing w:line="240" w:lineRule="auto"/>
        <w:jc w:val="both"/>
        <w:rPr>
          <w:rFonts w:ascii="Times New Roman" w:hAnsi="Times New Roman" w:cs="Times New Roman"/>
          <w:color w:val="FF0000"/>
          <w:sz w:val="24"/>
          <w:szCs w:val="24"/>
          <w:u w:val="single"/>
        </w:rPr>
      </w:pPr>
      <w:r w:rsidRPr="00A90CE7">
        <w:rPr>
          <w:rFonts w:ascii="Times New Roman" w:hAnsi="Times New Roman" w:cs="Times New Roman"/>
          <w:color w:val="FF0000"/>
          <w:sz w:val="24"/>
          <w:szCs w:val="24"/>
          <w:u w:val="single"/>
        </w:rPr>
        <w:t>Antes del acuerdo de los líderes para crear el fondo el pasado verano, la UE había creado una triple red para inyectar liquidez en los Estados miembros, y las empresas. El Mecanismo Europeo de Estabilidad creó una línea de créditos blandos para la pandemia de hasta 240.000 millones de euros. Sin embargo, ningún país ha solicitado la ayuda por el estigma que carga el mecanismo de rescate tras la pasada crisis.</w:t>
      </w:r>
    </w:p>
    <w:p w:rsidR="00F001EE" w:rsidRPr="00B00D65" w:rsidRDefault="00F001EE" w:rsidP="00FA4DA9">
      <w:pPr>
        <w:spacing w:line="240" w:lineRule="auto"/>
        <w:jc w:val="both"/>
        <w:rPr>
          <w:rFonts w:ascii="Times New Roman" w:hAnsi="Times New Roman" w:cs="Times New Roman"/>
          <w:color w:val="FF0000"/>
          <w:sz w:val="24"/>
          <w:szCs w:val="24"/>
          <w:u w:val="single"/>
        </w:rPr>
      </w:pPr>
      <w:r w:rsidRPr="00A90CE7">
        <w:rPr>
          <w:rFonts w:ascii="Times New Roman" w:hAnsi="Times New Roman" w:cs="Times New Roman"/>
          <w:color w:val="FF0000"/>
          <w:sz w:val="24"/>
          <w:szCs w:val="24"/>
          <w:u w:val="single"/>
        </w:rPr>
        <w:t>La Comisión Europea además puso en marcha el instrumento SURE para financiar los Ertes y otros sistemas temporales de ayuda a los trabajadores en los países. Bruselas ofrece 100.000 millones de euros en préstamos ventajosos, de los cuales ya ha adjudicado 90.300 millones,</w:t>
      </w:r>
      <w:r w:rsidRPr="00A90CE7">
        <w:rPr>
          <w:rFonts w:ascii="Times New Roman" w:hAnsi="Times New Roman" w:cs="Times New Roman"/>
          <w:color w:val="FF0000"/>
          <w:sz w:val="24"/>
          <w:szCs w:val="24"/>
        </w:rPr>
        <w:t xml:space="preserve"> </w:t>
      </w:r>
      <w:r w:rsidRPr="00B00D65">
        <w:rPr>
          <w:rFonts w:ascii="Times New Roman" w:hAnsi="Times New Roman" w:cs="Times New Roman"/>
          <w:color w:val="FF0000"/>
          <w:sz w:val="24"/>
          <w:szCs w:val="24"/>
          <w:u w:val="single"/>
        </w:rPr>
        <w:t>siendo 21.300 millones para España. Por último, el Banco Europeo de Inversiones ofreció garantías por valor de 25.000 millones de euros para ayudar a las empresas, sobre todo a las pymes, con las que prevé movilizar 200.000 millones de euros en inversiones.</w:t>
      </w:r>
    </w:p>
    <w:p w:rsidR="00F001EE" w:rsidRPr="00B00D65" w:rsidRDefault="00F001EE" w:rsidP="00FA4DA9">
      <w:pPr>
        <w:spacing w:line="240" w:lineRule="auto"/>
        <w:jc w:val="both"/>
        <w:rPr>
          <w:rFonts w:ascii="Times New Roman" w:hAnsi="Times New Roman" w:cs="Times New Roman"/>
          <w:color w:val="FF0000"/>
          <w:sz w:val="24"/>
          <w:szCs w:val="24"/>
          <w:u w:val="single"/>
        </w:rPr>
      </w:pPr>
      <w:r w:rsidRPr="00B00D65">
        <w:rPr>
          <w:rFonts w:ascii="Times New Roman" w:hAnsi="Times New Roman" w:cs="Times New Roman"/>
          <w:color w:val="FF0000"/>
          <w:sz w:val="24"/>
          <w:szCs w:val="24"/>
          <w:u w:val="single"/>
        </w:rPr>
        <w:t>La respuesta europea se completó con la reasignación de recursos dentro del presupuesto comunitario y otras partidas por valor de 70.000 millones de euros. Además, Bruselas suspendió por primera vez en su historia el Pacto de Estabilidad y Crecimiento y flexibilizó las normas que controlan las ayudas de Estado, para que los socios pudieran ayudar a su tejido productivo.</w:t>
      </w:r>
    </w:p>
    <w:p w:rsidR="00F001EE" w:rsidRPr="00B00D65" w:rsidRDefault="00F001EE" w:rsidP="00FA4DA9">
      <w:pPr>
        <w:spacing w:line="240" w:lineRule="auto"/>
        <w:jc w:val="both"/>
        <w:rPr>
          <w:rFonts w:ascii="Times New Roman" w:hAnsi="Times New Roman" w:cs="Times New Roman"/>
          <w:b/>
          <w:color w:val="FF0000"/>
          <w:sz w:val="24"/>
          <w:szCs w:val="24"/>
          <w:u w:val="single"/>
        </w:rPr>
      </w:pPr>
      <w:r w:rsidRPr="00B00D65">
        <w:rPr>
          <w:rFonts w:ascii="Times New Roman" w:hAnsi="Times New Roman" w:cs="Times New Roman"/>
          <w:b/>
          <w:color w:val="FF0000"/>
          <w:sz w:val="24"/>
          <w:szCs w:val="24"/>
          <w:u w:val="single"/>
        </w:rPr>
        <w:t>Estas decisiones facilitaron el esfuerzo sin precedentes de las capitales. En total, los 27 gastaron el pasado año 575.000 millones de euros en estímulos presupuestarios. Además, aprobaron medidas de liquidez nacionales para sus empresas por algo más de tres billones de euros, incluyendo garantías.</w:t>
      </w:r>
    </w:p>
    <w:p w:rsidR="00F001EE" w:rsidRDefault="00F001EE" w:rsidP="00FA4DA9">
      <w:pPr>
        <w:spacing w:line="240" w:lineRule="auto"/>
        <w:jc w:val="both"/>
        <w:rPr>
          <w:rFonts w:ascii="Times New Roman" w:hAnsi="Times New Roman" w:cs="Times New Roman"/>
          <w:b/>
          <w:color w:val="FF0000"/>
          <w:sz w:val="24"/>
          <w:szCs w:val="24"/>
          <w:u w:val="single"/>
        </w:rPr>
      </w:pPr>
      <w:r w:rsidRPr="00B00D65">
        <w:rPr>
          <w:rFonts w:ascii="Times New Roman" w:hAnsi="Times New Roman" w:cs="Times New Roman"/>
          <w:b/>
          <w:color w:val="FF0000"/>
          <w:sz w:val="24"/>
          <w:szCs w:val="24"/>
          <w:u w:val="single"/>
        </w:rPr>
        <w:t>Este estímulo fiscal se suma al empuje decidido del BCE para sacar a la economía europea de la peor recesión de su historia. La institución fue la primera en aprobar medidas excepcionales el pasado marzo con la compra de bonos frente a la pandemia. La cantidad inicial de 750.000 millones de euros fue ampliada en dos ocasiones hasta los 1,85 billones de euros.</w:t>
      </w:r>
    </w:p>
    <w:p w:rsidR="004609CD" w:rsidRDefault="004609CD" w:rsidP="00FA4DA9">
      <w:pPr>
        <w:spacing w:line="240" w:lineRule="auto"/>
        <w:jc w:val="both"/>
        <w:rPr>
          <w:rFonts w:ascii="Times New Roman" w:hAnsi="Times New Roman" w:cs="Times New Roman"/>
          <w:b/>
          <w:color w:val="FF0000"/>
          <w:sz w:val="24"/>
          <w:szCs w:val="24"/>
          <w:u w:val="single"/>
        </w:rPr>
      </w:pPr>
      <w:r>
        <w:rPr>
          <w:noProof/>
          <w:lang w:eastAsia="es-ES"/>
        </w:rPr>
        <w:drawing>
          <wp:inline distT="0" distB="0" distL="0" distR="0" wp14:anchorId="515C83D2" wp14:editId="6539F291">
            <wp:extent cx="5732780" cy="2578100"/>
            <wp:effectExtent l="0" t="0" r="1270" b="0"/>
            <wp:docPr id="71" name="Imagen 71" descr="Deuda y déficit F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uda y déficit FMI"/>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5732780" cy="2578100"/>
                    </a:xfrm>
                    <a:prstGeom prst="rect">
                      <a:avLst/>
                    </a:prstGeom>
                    <a:noFill/>
                    <a:ln>
                      <a:noFill/>
                    </a:ln>
                  </pic:spPr>
                </pic:pic>
              </a:graphicData>
            </a:graphic>
          </wp:inline>
        </w:drawing>
      </w:r>
    </w:p>
    <w:p w:rsidR="00B00D65" w:rsidRPr="00B00D65" w:rsidRDefault="00B00D65" w:rsidP="00FA4DA9">
      <w:pPr>
        <w:spacing w:line="240" w:lineRule="auto"/>
        <w:jc w:val="both"/>
        <w:rPr>
          <w:rFonts w:ascii="Times New Roman" w:hAnsi="Times New Roman" w:cs="Times New Roman"/>
          <w:b/>
          <w:color w:val="FF0000"/>
          <w:sz w:val="24"/>
          <w:szCs w:val="24"/>
          <w:u w:val="single"/>
        </w:rPr>
      </w:pPr>
    </w:p>
    <w:p w:rsidR="00F001EE" w:rsidRDefault="00F001EE" w:rsidP="00FA4DA9">
      <w:pPr>
        <w:spacing w:line="240" w:lineRule="auto"/>
        <w:jc w:val="both"/>
        <w:rPr>
          <w:rFonts w:ascii="Times New Roman" w:hAnsi="Times New Roman" w:cs="Times New Roman"/>
          <w:sz w:val="24"/>
          <w:szCs w:val="24"/>
        </w:rPr>
      </w:pPr>
      <w:r>
        <w:rPr>
          <w:noProof/>
          <w:lang w:eastAsia="es-ES"/>
        </w:rPr>
        <w:drawing>
          <wp:inline distT="0" distB="0" distL="0" distR="0" wp14:anchorId="69A4EFD6" wp14:editId="7791C279">
            <wp:extent cx="5734049" cy="4165600"/>
            <wp:effectExtent l="0" t="0" r="635" b="6350"/>
            <wp:docPr id="17" name="Imagen 17" descr="La OCDE constata que España fue la economía desarrollada más golpeada por la crisis en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 OCDE constata que España fue la economía desarrollada más golpeada por la crisis en 2020"/>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5731510" cy="4163756"/>
                    </a:xfrm>
                    <a:prstGeom prst="rect">
                      <a:avLst/>
                    </a:prstGeom>
                    <a:noFill/>
                    <a:ln>
                      <a:noFill/>
                    </a:ln>
                  </pic:spPr>
                </pic:pic>
              </a:graphicData>
            </a:graphic>
          </wp:inline>
        </w:drawing>
      </w:r>
    </w:p>
    <w:p w:rsidR="00B93243" w:rsidRDefault="00B93243" w:rsidP="00FA4DA9">
      <w:pPr>
        <w:spacing w:line="240" w:lineRule="auto"/>
        <w:jc w:val="both"/>
        <w:rPr>
          <w:rFonts w:ascii="Times New Roman" w:hAnsi="Times New Roman" w:cs="Times New Roman"/>
          <w:sz w:val="24"/>
          <w:szCs w:val="24"/>
        </w:rPr>
      </w:pPr>
    </w:p>
    <w:p w:rsidR="005B4A18" w:rsidRPr="00314D0A" w:rsidRDefault="005B4A18"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14D0A">
        <w:rPr>
          <w:rFonts w:ascii="Times New Roman" w:hAnsi="Times New Roman" w:cs="Times New Roman"/>
          <w:sz w:val="24"/>
          <w:szCs w:val="24"/>
          <w:u w:val="single"/>
        </w:rPr>
        <w:t>Los estímulos fiscales de</w:t>
      </w:r>
      <w:r w:rsidR="00B00D65">
        <w:rPr>
          <w:rFonts w:ascii="Times New Roman" w:hAnsi="Times New Roman" w:cs="Times New Roman"/>
          <w:sz w:val="24"/>
          <w:szCs w:val="24"/>
          <w:u w:val="single"/>
        </w:rPr>
        <w:t xml:space="preserve"> la UE palidecen ante los de EE</w:t>
      </w:r>
      <w:r w:rsidRPr="00314D0A">
        <w:rPr>
          <w:rFonts w:ascii="Times New Roman" w:hAnsi="Times New Roman" w:cs="Times New Roman"/>
          <w:sz w:val="24"/>
          <w:szCs w:val="24"/>
          <w:u w:val="single"/>
        </w:rPr>
        <w:t>UU y Reino Unido</w:t>
      </w:r>
      <w:r>
        <w:rPr>
          <w:rFonts w:ascii="Times New Roman" w:hAnsi="Times New Roman" w:cs="Times New Roman"/>
          <w:sz w:val="24"/>
          <w:szCs w:val="24"/>
        </w:rPr>
        <w:t xml:space="preserve"> (Cinco Días - </w:t>
      </w:r>
      <w:r>
        <w:rPr>
          <w:rFonts w:ascii="Times New Roman" w:hAnsi="Times New Roman" w:cs="Times New Roman"/>
          <w:b/>
          <w:sz w:val="24"/>
          <w:szCs w:val="24"/>
        </w:rPr>
        <w:t>22</w:t>
      </w:r>
      <w:r w:rsidRPr="00314D0A">
        <w:rPr>
          <w:rFonts w:ascii="Times New Roman" w:hAnsi="Times New Roman" w:cs="Times New Roman"/>
          <w:b/>
          <w:sz w:val="24"/>
          <w:szCs w:val="24"/>
        </w:rPr>
        <w:t>/4/21</w:t>
      </w:r>
      <w:r>
        <w:rPr>
          <w:rFonts w:ascii="Times New Roman" w:hAnsi="Times New Roman" w:cs="Times New Roman"/>
          <w:sz w:val="24"/>
          <w:szCs w:val="24"/>
        </w:rPr>
        <w:t>)</w:t>
      </w:r>
    </w:p>
    <w:p w:rsidR="005B4A18" w:rsidRDefault="005B4A18"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(Por Juande Portillo)</w:t>
      </w:r>
    </w:p>
    <w:p w:rsidR="005B4A18" w:rsidRDefault="005B4A18" w:rsidP="00FA4DA9">
      <w:pPr>
        <w:spacing w:line="240" w:lineRule="auto"/>
        <w:jc w:val="both"/>
        <w:rPr>
          <w:rFonts w:ascii="Times New Roman" w:hAnsi="Times New Roman" w:cs="Times New Roman"/>
          <w:sz w:val="24"/>
          <w:szCs w:val="24"/>
        </w:rPr>
      </w:pPr>
      <w:r>
        <w:rPr>
          <w:noProof/>
          <w:lang w:eastAsia="es-ES"/>
        </w:rPr>
        <w:drawing>
          <wp:inline distT="0" distB="0" distL="0" distR="0" wp14:anchorId="453F66CC" wp14:editId="2C576C50">
            <wp:extent cx="5731510" cy="2873553"/>
            <wp:effectExtent l="0" t="0" r="2540" b="3175"/>
            <wp:docPr id="12" name="Imagen 12" descr="Ayudas fiscales direc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yudas fiscales directas"/>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5731510" cy="2873553"/>
                    </a:xfrm>
                    <a:prstGeom prst="rect">
                      <a:avLst/>
                    </a:prstGeom>
                    <a:noFill/>
                    <a:ln>
                      <a:noFill/>
                    </a:ln>
                  </pic:spPr>
                </pic:pic>
              </a:graphicData>
            </a:graphic>
          </wp:inline>
        </w:drawing>
      </w:r>
    </w:p>
    <w:p w:rsidR="005B4A18" w:rsidRPr="00B93243" w:rsidRDefault="005B4A18" w:rsidP="00FA4DA9">
      <w:pPr>
        <w:spacing w:line="240" w:lineRule="auto"/>
        <w:jc w:val="both"/>
        <w:rPr>
          <w:rFonts w:ascii="Times New Roman" w:hAnsi="Times New Roman" w:cs="Times New Roman"/>
          <w:b/>
          <w:color w:val="FF0000"/>
          <w:sz w:val="24"/>
          <w:szCs w:val="24"/>
          <w:u w:val="single"/>
        </w:rPr>
      </w:pPr>
      <w:r w:rsidRPr="00B93243">
        <w:rPr>
          <w:rFonts w:ascii="Times New Roman" w:hAnsi="Times New Roman" w:cs="Times New Roman"/>
          <w:b/>
          <w:color w:val="FF0000"/>
          <w:sz w:val="24"/>
          <w:szCs w:val="24"/>
          <w:u w:val="single"/>
        </w:rPr>
        <w:lastRenderedPageBreak/>
        <w:t>La Unión Europa ha reaccionado a la crisis del Covid-19 dando un giro copernicano a las políticas de austeridad con las que afrontó la Gran Recesión y aprobando un paquete de estímulos fiscales sin precedentes. La importancia de estos apoyos directos a la economía palidece, sin embargo, frente a las movilizadas por uniones más consolidadas en lo político, además de en lo fiscal y lo monetario, como es el caso de Reino Unido o, sobre todo, Estados Unidos.</w:t>
      </w:r>
    </w:p>
    <w:p w:rsidR="005B4A18" w:rsidRPr="00B00D65" w:rsidRDefault="005B4A18" w:rsidP="00FA4DA9">
      <w:pPr>
        <w:spacing w:line="240" w:lineRule="auto"/>
        <w:jc w:val="both"/>
        <w:rPr>
          <w:rFonts w:ascii="Times New Roman" w:hAnsi="Times New Roman" w:cs="Times New Roman"/>
          <w:sz w:val="24"/>
          <w:szCs w:val="24"/>
          <w:u w:val="single"/>
        </w:rPr>
      </w:pPr>
      <w:r w:rsidRPr="00B93243">
        <w:rPr>
          <w:rFonts w:ascii="Times New Roman" w:hAnsi="Times New Roman" w:cs="Times New Roman"/>
          <w:color w:val="FF0000"/>
          <w:sz w:val="24"/>
          <w:szCs w:val="24"/>
          <w:u w:val="single"/>
        </w:rPr>
        <w:t>Esta es una de las principales conclusiones del informe presentado ayer por el grupo de opinión y reflexión en economía política EuropeG</w:t>
      </w:r>
      <w:r w:rsidRPr="00314D0A">
        <w:rPr>
          <w:rFonts w:ascii="Times New Roman" w:hAnsi="Times New Roman" w:cs="Times New Roman"/>
          <w:sz w:val="24"/>
          <w:szCs w:val="24"/>
        </w:rPr>
        <w:t xml:space="preserve">, presentado ante la prensa por su director, el doctor en Economía y catedrático de Hacienda Pública de la Universidad de Barcelona, Antoni Castells, que fue consejero de economía catalán con los Gobiernos del tripartito (2003-2010). “Ha sido una respuesta rápida, contundente y, a diferencia de lo que ocurrió en la Gran Recesión, de orientación integracionista, favorable a la intervención de los poderes públicos y contraria a las políticas de austeridad”, valora Castells, </w:t>
      </w:r>
      <w:r w:rsidRPr="00B00D65">
        <w:rPr>
          <w:rFonts w:ascii="Times New Roman" w:hAnsi="Times New Roman" w:cs="Times New Roman"/>
          <w:sz w:val="24"/>
          <w:szCs w:val="24"/>
          <w:u w:val="single"/>
        </w:rPr>
        <w:t>que considera la movilización de 750.000 millones de euros en ayudas en el marco del Next GenereationEU “una apuesta mayúscula”.</w:t>
      </w:r>
    </w:p>
    <w:p w:rsidR="005B4A18" w:rsidRPr="00B00D65" w:rsidRDefault="005B4A18" w:rsidP="00FA4DA9">
      <w:pPr>
        <w:spacing w:line="240" w:lineRule="auto"/>
        <w:jc w:val="both"/>
        <w:rPr>
          <w:rFonts w:ascii="Times New Roman" w:hAnsi="Times New Roman" w:cs="Times New Roman"/>
          <w:sz w:val="24"/>
          <w:szCs w:val="24"/>
          <w:u w:val="single"/>
        </w:rPr>
      </w:pPr>
      <w:r w:rsidRPr="00B00D65">
        <w:rPr>
          <w:rFonts w:ascii="Times New Roman" w:hAnsi="Times New Roman" w:cs="Times New Roman"/>
          <w:sz w:val="24"/>
          <w:szCs w:val="24"/>
          <w:u w:val="single"/>
        </w:rPr>
        <w:t>Pese a ello, matizó durante un acto organizado por la Asociación de Periodistas de Información Económica (APIE), económicamente “su impacto será importante, pero no desmesurado si se compara con otros países”.</w:t>
      </w:r>
    </w:p>
    <w:p w:rsidR="005B4A18" w:rsidRPr="00B00D65" w:rsidRDefault="005B4A18" w:rsidP="00FA4DA9">
      <w:pPr>
        <w:spacing w:line="240" w:lineRule="auto"/>
        <w:jc w:val="both"/>
        <w:rPr>
          <w:rFonts w:ascii="Times New Roman" w:hAnsi="Times New Roman" w:cs="Times New Roman"/>
          <w:b/>
          <w:color w:val="FF0000"/>
          <w:sz w:val="24"/>
          <w:szCs w:val="24"/>
          <w:u w:val="single"/>
        </w:rPr>
      </w:pPr>
      <w:r w:rsidRPr="00B00D65">
        <w:rPr>
          <w:rFonts w:ascii="Times New Roman" w:hAnsi="Times New Roman" w:cs="Times New Roman"/>
          <w:b/>
          <w:color w:val="FF0000"/>
          <w:sz w:val="24"/>
          <w:szCs w:val="24"/>
          <w:u w:val="single"/>
        </w:rPr>
        <w:t xml:space="preserve">Así, detalle el informe, España habría impulsado estímulos fiscales directos por el equivalente al 4,2% anual de su PIB, y alcanzará el 6,2% con las ayudas europeas. Alemania, el país comunitario más decidido, ha movilizado un 9,7%, o hasta un 10% con el apoyo comunitario. Por su parte, Reino Unido ha dado estímulos por el 12,5% de su PIB, en </w:t>
      </w:r>
      <w:r w:rsidR="00B93243">
        <w:rPr>
          <w:rFonts w:ascii="Times New Roman" w:hAnsi="Times New Roman" w:cs="Times New Roman"/>
          <w:b/>
          <w:color w:val="FF0000"/>
          <w:sz w:val="24"/>
          <w:szCs w:val="24"/>
          <w:u w:val="single"/>
        </w:rPr>
        <w:t>línea con el plan inicial de EE</w:t>
      </w:r>
      <w:r w:rsidRPr="00B00D65">
        <w:rPr>
          <w:rFonts w:ascii="Times New Roman" w:hAnsi="Times New Roman" w:cs="Times New Roman"/>
          <w:b/>
          <w:color w:val="FF0000"/>
          <w:sz w:val="24"/>
          <w:szCs w:val="24"/>
          <w:u w:val="single"/>
        </w:rPr>
        <w:t>UU. “Esto quiere decir que, en conjunto, estos países sumando las dos” palancas (nacional y comunitaria) de estímulos “se quedan prácticamente en la mitad de lo</w:t>
      </w:r>
      <w:r w:rsidR="00B93243">
        <w:rPr>
          <w:rFonts w:ascii="Times New Roman" w:hAnsi="Times New Roman" w:cs="Times New Roman"/>
          <w:b/>
          <w:color w:val="FF0000"/>
          <w:sz w:val="24"/>
          <w:szCs w:val="24"/>
          <w:u w:val="single"/>
        </w:rPr>
        <w:t xml:space="preserve"> que han hecho Reino Unido o EE</w:t>
      </w:r>
      <w:r w:rsidRPr="00B00D65">
        <w:rPr>
          <w:rFonts w:ascii="Times New Roman" w:hAnsi="Times New Roman" w:cs="Times New Roman"/>
          <w:b/>
          <w:color w:val="FF0000"/>
          <w:sz w:val="24"/>
          <w:szCs w:val="24"/>
          <w:u w:val="single"/>
        </w:rPr>
        <w:t>UU”.</w:t>
      </w:r>
    </w:p>
    <w:p w:rsidR="005B4A18" w:rsidRPr="00B00D65" w:rsidRDefault="005B4A18" w:rsidP="00FA4DA9">
      <w:pPr>
        <w:spacing w:line="240" w:lineRule="auto"/>
        <w:jc w:val="both"/>
        <w:rPr>
          <w:rFonts w:ascii="Times New Roman" w:hAnsi="Times New Roman" w:cs="Times New Roman"/>
          <w:b/>
          <w:color w:val="FF0000"/>
          <w:sz w:val="24"/>
          <w:szCs w:val="24"/>
          <w:u w:val="single"/>
        </w:rPr>
      </w:pPr>
      <w:r w:rsidRPr="00B00D65">
        <w:rPr>
          <w:rFonts w:ascii="Times New Roman" w:hAnsi="Times New Roman" w:cs="Times New Roman"/>
          <w:b/>
          <w:color w:val="FF0000"/>
          <w:sz w:val="24"/>
          <w:szCs w:val="24"/>
          <w:u w:val="single"/>
        </w:rPr>
        <w:t>Y es más, si sumamos los planes fiscales recientemente impulsados por el nuevo presidente estadounidense, Joe Biden, la importancia de su política fiscal superaría “el 25% del PIB” frente al esfuerzo españo</w:t>
      </w:r>
      <w:r w:rsidR="00B00D65">
        <w:rPr>
          <w:rFonts w:ascii="Times New Roman" w:hAnsi="Times New Roman" w:cs="Times New Roman"/>
          <w:b/>
          <w:color w:val="FF0000"/>
          <w:sz w:val="24"/>
          <w:szCs w:val="24"/>
          <w:u w:val="single"/>
        </w:rPr>
        <w:t>l que -</w:t>
      </w:r>
      <w:r w:rsidRPr="00B00D65">
        <w:rPr>
          <w:rFonts w:ascii="Times New Roman" w:hAnsi="Times New Roman" w:cs="Times New Roman"/>
          <w:b/>
          <w:color w:val="FF0000"/>
          <w:sz w:val="24"/>
          <w:szCs w:val="24"/>
          <w:u w:val="single"/>
        </w:rPr>
        <w:t>inclus</w:t>
      </w:r>
      <w:r w:rsidR="00B00D65">
        <w:rPr>
          <w:rFonts w:ascii="Times New Roman" w:hAnsi="Times New Roman" w:cs="Times New Roman"/>
          <w:b/>
          <w:color w:val="FF0000"/>
          <w:sz w:val="24"/>
          <w:szCs w:val="24"/>
          <w:u w:val="single"/>
        </w:rPr>
        <w:t>o con la aportación comunitaria-</w:t>
      </w:r>
      <w:r w:rsidRPr="00B00D65">
        <w:rPr>
          <w:rFonts w:ascii="Times New Roman" w:hAnsi="Times New Roman" w:cs="Times New Roman"/>
          <w:b/>
          <w:color w:val="FF0000"/>
          <w:sz w:val="24"/>
          <w:szCs w:val="24"/>
          <w:u w:val="single"/>
        </w:rPr>
        <w:t xml:space="preserve"> supone una cuarta parte.</w:t>
      </w:r>
    </w:p>
    <w:p w:rsidR="005B4A18" w:rsidRPr="00314D0A" w:rsidRDefault="005B4A18" w:rsidP="00FA4DA9">
      <w:pPr>
        <w:spacing w:line="240" w:lineRule="auto"/>
        <w:jc w:val="both"/>
        <w:rPr>
          <w:rFonts w:ascii="Times New Roman" w:hAnsi="Times New Roman" w:cs="Times New Roman"/>
          <w:sz w:val="24"/>
          <w:szCs w:val="24"/>
        </w:rPr>
      </w:pPr>
      <w:r w:rsidRPr="00314D0A">
        <w:rPr>
          <w:rFonts w:ascii="Times New Roman" w:hAnsi="Times New Roman" w:cs="Times New Roman"/>
          <w:sz w:val="24"/>
          <w:szCs w:val="24"/>
        </w:rPr>
        <w:t>Además, agrega Castells, la ausencia de un Ejecutivo comunitario electo resta legitimidad a las reformas que se exigen a cambio de las ayudas y demora el proceso por el pulso entre los 27 Gobiernos nacionales. Y un riesgo añadido es que los fondos acaben en manos de grandes grupos cercanos al poder local en lugar d</w:t>
      </w:r>
      <w:r>
        <w:rPr>
          <w:rFonts w:ascii="Times New Roman" w:hAnsi="Times New Roman" w:cs="Times New Roman"/>
          <w:sz w:val="24"/>
          <w:szCs w:val="24"/>
        </w:rPr>
        <w:t>e apoyar la recuperación, dice.</w:t>
      </w:r>
    </w:p>
    <w:p w:rsidR="005B4A18" w:rsidRPr="00314D0A" w:rsidRDefault="005B4A18" w:rsidP="00FA4DA9">
      <w:pPr>
        <w:spacing w:line="240" w:lineRule="auto"/>
        <w:jc w:val="both"/>
        <w:rPr>
          <w:rFonts w:ascii="Times New Roman" w:hAnsi="Times New Roman" w:cs="Times New Roman"/>
          <w:sz w:val="24"/>
          <w:szCs w:val="24"/>
        </w:rPr>
      </w:pPr>
      <w:r w:rsidRPr="00314D0A">
        <w:rPr>
          <w:rFonts w:ascii="Times New Roman" w:hAnsi="Times New Roman" w:cs="Times New Roman"/>
          <w:sz w:val="24"/>
          <w:szCs w:val="24"/>
        </w:rPr>
        <w:t>Desde Europe G consideran, sin embargo, que el proceso está ayudando a consolidar el proyecto europeo, que se dispone a emitir deuda conjunta por primera vez, y que “da el prim</w:t>
      </w:r>
      <w:r>
        <w:rPr>
          <w:rFonts w:ascii="Times New Roman" w:hAnsi="Times New Roman" w:cs="Times New Roman"/>
          <w:sz w:val="24"/>
          <w:szCs w:val="24"/>
        </w:rPr>
        <w:t>er paso hacia la unión fiscal”.</w:t>
      </w:r>
    </w:p>
    <w:p w:rsidR="005B4A18" w:rsidRPr="00314D0A" w:rsidRDefault="005B4A18" w:rsidP="00FA4DA9">
      <w:pPr>
        <w:spacing w:line="240" w:lineRule="auto"/>
        <w:jc w:val="both"/>
        <w:rPr>
          <w:rFonts w:ascii="Times New Roman" w:hAnsi="Times New Roman" w:cs="Times New Roman"/>
          <w:sz w:val="24"/>
          <w:szCs w:val="24"/>
        </w:rPr>
      </w:pPr>
      <w:r w:rsidRPr="00314D0A">
        <w:rPr>
          <w:rFonts w:ascii="Times New Roman" w:hAnsi="Times New Roman" w:cs="Times New Roman"/>
          <w:sz w:val="24"/>
          <w:szCs w:val="24"/>
        </w:rPr>
        <w:t>Nuevos impuestos</w:t>
      </w:r>
    </w:p>
    <w:p w:rsidR="005B4A18" w:rsidRPr="00B00D65" w:rsidRDefault="005B4A18" w:rsidP="00FA4DA9">
      <w:pPr>
        <w:spacing w:line="240" w:lineRule="auto"/>
        <w:jc w:val="both"/>
        <w:rPr>
          <w:rFonts w:ascii="Times New Roman" w:hAnsi="Times New Roman" w:cs="Times New Roman"/>
          <w:color w:val="FF0000"/>
          <w:sz w:val="24"/>
          <w:szCs w:val="24"/>
          <w:u w:val="single"/>
        </w:rPr>
      </w:pPr>
      <w:r w:rsidRPr="00B00D65">
        <w:rPr>
          <w:rFonts w:ascii="Times New Roman" w:hAnsi="Times New Roman" w:cs="Times New Roman"/>
          <w:color w:val="FF0000"/>
          <w:sz w:val="24"/>
          <w:szCs w:val="24"/>
          <w:u w:val="single"/>
        </w:rPr>
        <w:t>Los 360.000 millones en ayudas directas se van a financiar con emisiones de deuda a 38 años (con seis ejercicios de carencia), lo que supone una carga financiera de alrededor del 9% del Presupuesto europeo (y el 1% de su PIB). Una magnitud, a devolver hasta 2058, que se busca costear creando cuatro nuevos tributos comunitarios: a las actividades digitales (tasa Google), financieras (tasa Tobin); al carbono en frontera y a las emisiones contaminantes. Un objetivo que Castells considera optimista.</w:t>
      </w:r>
    </w:p>
    <w:p w:rsidR="005B4A18" w:rsidRDefault="005B4A18" w:rsidP="00FA4DA9">
      <w:pPr>
        <w:spacing w:line="240" w:lineRule="auto"/>
        <w:jc w:val="both"/>
        <w:rPr>
          <w:rFonts w:ascii="Times New Roman" w:hAnsi="Times New Roman" w:cs="Times New Roman"/>
          <w:sz w:val="24"/>
          <w:szCs w:val="24"/>
        </w:rPr>
      </w:pPr>
      <w:r w:rsidRPr="00314D0A">
        <w:rPr>
          <w:rFonts w:ascii="Times New Roman" w:hAnsi="Times New Roman" w:cs="Times New Roman"/>
          <w:sz w:val="24"/>
          <w:szCs w:val="24"/>
        </w:rPr>
        <w:lastRenderedPageBreak/>
        <w:t>“Son impuestos menores” que, aunque se logren pactar con los países frugales, expone asumiendo que ahí será clave la posición alemana, “tendrán que completarse con otros impuestos de mayor potencia recaudatoria”. Aunque una opción de partida es endurecer el IVA, expone, cree que aquí puede jugar un papel clave el nuevo impuesto de Sociedades global que venía debatiendo la OCDE y defiende ahora Biden.</w:t>
      </w:r>
    </w:p>
    <w:p w:rsidR="005B4A18" w:rsidRPr="003109DA" w:rsidRDefault="005B4A18"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109DA">
        <w:rPr>
          <w:rFonts w:ascii="Times New Roman" w:hAnsi="Times New Roman" w:cs="Times New Roman"/>
          <w:sz w:val="24"/>
          <w:szCs w:val="24"/>
          <w:u w:val="single"/>
        </w:rPr>
        <w:t>El índice del dolor que deja a España como la economía más castigada del mundo por el covid</w:t>
      </w:r>
      <w:r>
        <w:rPr>
          <w:rFonts w:ascii="Times New Roman" w:hAnsi="Times New Roman" w:cs="Times New Roman"/>
          <w:sz w:val="24"/>
          <w:szCs w:val="24"/>
        </w:rPr>
        <w:t xml:space="preserve"> (El Economista - </w:t>
      </w:r>
      <w:r w:rsidRPr="003109DA">
        <w:rPr>
          <w:rFonts w:ascii="Times New Roman" w:hAnsi="Times New Roman" w:cs="Times New Roman"/>
          <w:b/>
          <w:sz w:val="24"/>
          <w:szCs w:val="24"/>
        </w:rPr>
        <w:t>29/4/21</w:t>
      </w:r>
      <w:r>
        <w:rPr>
          <w:rFonts w:ascii="Times New Roman" w:hAnsi="Times New Roman" w:cs="Times New Roman"/>
          <w:sz w:val="24"/>
          <w:szCs w:val="24"/>
        </w:rPr>
        <w:t>)</w:t>
      </w:r>
    </w:p>
    <w:p w:rsidR="005B4A18" w:rsidRPr="003109DA" w:rsidRDefault="005B4A18"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Mario Becedas y </w:t>
      </w:r>
      <w:r w:rsidRPr="003109DA">
        <w:rPr>
          <w:rFonts w:ascii="Times New Roman" w:hAnsi="Times New Roman" w:cs="Times New Roman"/>
          <w:sz w:val="24"/>
          <w:szCs w:val="24"/>
        </w:rPr>
        <w:t>Vicente Nieves</w:t>
      </w:r>
      <w:r>
        <w:rPr>
          <w:rFonts w:ascii="Times New Roman" w:hAnsi="Times New Roman" w:cs="Times New Roman"/>
          <w:sz w:val="24"/>
          <w:szCs w:val="24"/>
        </w:rPr>
        <w:t>)</w:t>
      </w:r>
    </w:p>
    <w:p w:rsidR="005B4A18" w:rsidRDefault="005B4A18" w:rsidP="00FA4DA9">
      <w:pPr>
        <w:spacing w:line="240" w:lineRule="auto"/>
        <w:jc w:val="both"/>
        <w:rPr>
          <w:rFonts w:ascii="Times New Roman" w:hAnsi="Times New Roman" w:cs="Times New Roman"/>
          <w:sz w:val="24"/>
          <w:szCs w:val="24"/>
        </w:rPr>
      </w:pPr>
      <w:r w:rsidRPr="003109DA">
        <w:rPr>
          <w:rFonts w:ascii="Times New Roman" w:hAnsi="Times New Roman" w:cs="Times New Roman"/>
          <w:sz w:val="24"/>
          <w:szCs w:val="24"/>
        </w:rPr>
        <w:t xml:space="preserve">No es la que peor nota tiene en cada asignatura, pero su media final es la peor de la clase. Eso le ocurre a España con </w:t>
      </w:r>
      <w:r w:rsidRPr="00B00D65">
        <w:rPr>
          <w:rFonts w:ascii="Times New Roman" w:hAnsi="Times New Roman" w:cs="Times New Roman"/>
          <w:color w:val="FF0000"/>
          <w:sz w:val="24"/>
          <w:szCs w:val="24"/>
          <w:u w:val="single"/>
        </w:rPr>
        <w:t>el indicador elaborado por Oxford Economics</w:t>
      </w:r>
      <w:r w:rsidRPr="00B00D65">
        <w:rPr>
          <w:rFonts w:ascii="Times New Roman" w:hAnsi="Times New Roman" w:cs="Times New Roman"/>
          <w:color w:val="FF0000"/>
          <w:sz w:val="24"/>
          <w:szCs w:val="24"/>
        </w:rPr>
        <w:t xml:space="preserve"> </w:t>
      </w:r>
      <w:r w:rsidRPr="003109DA">
        <w:rPr>
          <w:rFonts w:ascii="Times New Roman" w:hAnsi="Times New Roman" w:cs="Times New Roman"/>
          <w:sz w:val="24"/>
          <w:szCs w:val="24"/>
        </w:rPr>
        <w:t>en el que nuestro país queda como el más dañado tras el paso del covid-19 de entre las 48 principales economías av</w:t>
      </w:r>
      <w:r>
        <w:rPr>
          <w:rFonts w:ascii="Times New Roman" w:hAnsi="Times New Roman" w:cs="Times New Roman"/>
          <w:sz w:val="24"/>
          <w:szCs w:val="24"/>
        </w:rPr>
        <w:t>anzadas y emergentes del mundo.</w:t>
      </w:r>
    </w:p>
    <w:p w:rsidR="00B06032" w:rsidRPr="003109DA" w:rsidRDefault="00B06032" w:rsidP="00FA4DA9">
      <w:pPr>
        <w:spacing w:line="240" w:lineRule="auto"/>
        <w:jc w:val="both"/>
        <w:rPr>
          <w:rFonts w:ascii="Times New Roman" w:hAnsi="Times New Roman" w:cs="Times New Roman"/>
          <w:sz w:val="24"/>
          <w:szCs w:val="24"/>
        </w:rPr>
      </w:pPr>
      <w:r>
        <w:rPr>
          <w:noProof/>
          <w:lang w:eastAsia="es-ES"/>
        </w:rPr>
        <w:drawing>
          <wp:inline distT="0" distB="0" distL="0" distR="0" wp14:anchorId="47D59B8B" wp14:editId="68BCF205">
            <wp:extent cx="5727700" cy="5511800"/>
            <wp:effectExtent l="0" t="0" r="6350" b="0"/>
            <wp:docPr id="72" name="Imagen 72" descr="https://s03.s3c.es/imag/_v0/2310x2550/d/1/f/indice_dolo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2310x2550/d/1/f/indice_dolor.gif"/>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5731510" cy="5515466"/>
                    </a:xfrm>
                    <a:prstGeom prst="rect">
                      <a:avLst/>
                    </a:prstGeom>
                    <a:noFill/>
                    <a:ln>
                      <a:noFill/>
                    </a:ln>
                  </pic:spPr>
                </pic:pic>
              </a:graphicData>
            </a:graphic>
          </wp:inline>
        </w:drawing>
      </w:r>
    </w:p>
    <w:p w:rsidR="005B4A18" w:rsidRPr="00B00D65" w:rsidRDefault="005B4A18" w:rsidP="00FA4DA9">
      <w:pPr>
        <w:spacing w:line="240" w:lineRule="auto"/>
        <w:jc w:val="both"/>
        <w:rPr>
          <w:rFonts w:ascii="Times New Roman" w:hAnsi="Times New Roman" w:cs="Times New Roman"/>
          <w:color w:val="FF0000"/>
          <w:sz w:val="24"/>
          <w:szCs w:val="24"/>
          <w:u w:val="single"/>
        </w:rPr>
      </w:pPr>
      <w:r w:rsidRPr="00B00D65">
        <w:rPr>
          <w:rFonts w:ascii="Times New Roman" w:hAnsi="Times New Roman" w:cs="Times New Roman"/>
          <w:color w:val="FF0000"/>
          <w:sz w:val="24"/>
          <w:szCs w:val="24"/>
          <w:u w:val="single"/>
        </w:rPr>
        <w:t>Para e</w:t>
      </w:r>
      <w:r w:rsidR="00B00D65" w:rsidRPr="00B00D65">
        <w:rPr>
          <w:rFonts w:ascii="Times New Roman" w:hAnsi="Times New Roman" w:cs="Times New Roman"/>
          <w:color w:val="FF0000"/>
          <w:sz w:val="24"/>
          <w:szCs w:val="24"/>
          <w:u w:val="single"/>
        </w:rPr>
        <w:t>laborar lo que ellos llaman el “índice del dolor”</w:t>
      </w:r>
      <w:r w:rsidRPr="00B00D65">
        <w:rPr>
          <w:rFonts w:ascii="Times New Roman" w:hAnsi="Times New Roman" w:cs="Times New Roman"/>
          <w:color w:val="FF0000"/>
          <w:sz w:val="24"/>
          <w:szCs w:val="24"/>
          <w:u w:val="single"/>
        </w:rPr>
        <w:t xml:space="preserve">, los analistas de Oxford utilizan cuatro métricas claves en cada economía: tasas de mortalidad durante la pandemia (pondera un 20%), los cambios en las proyecciones de PIB hasta 2021 (30%), los cambios en la </w:t>
      </w:r>
      <w:r w:rsidRPr="00B00D65">
        <w:rPr>
          <w:rFonts w:ascii="Times New Roman" w:hAnsi="Times New Roman" w:cs="Times New Roman"/>
          <w:color w:val="FF0000"/>
          <w:sz w:val="24"/>
          <w:szCs w:val="24"/>
          <w:u w:val="single"/>
        </w:rPr>
        <w:lastRenderedPageBreak/>
        <w:t>proyección de deuda pública desde que la pandemia estalló (30%) y el rendimiento de su mercado de valores junto a la evolución del tipo efectivo de cambio real (20%).</w:t>
      </w:r>
    </w:p>
    <w:p w:rsidR="005B4A18" w:rsidRPr="003109DA" w:rsidRDefault="005B4A18" w:rsidP="00FA4DA9">
      <w:pPr>
        <w:spacing w:line="240" w:lineRule="auto"/>
        <w:jc w:val="both"/>
        <w:rPr>
          <w:rFonts w:ascii="Times New Roman" w:hAnsi="Times New Roman" w:cs="Times New Roman"/>
          <w:sz w:val="24"/>
          <w:szCs w:val="24"/>
        </w:rPr>
      </w:pPr>
      <w:r w:rsidRPr="003109DA">
        <w:rPr>
          <w:rFonts w:ascii="Times New Roman" w:hAnsi="Times New Roman" w:cs="Times New Roman"/>
          <w:sz w:val="24"/>
          <w:szCs w:val="24"/>
        </w:rPr>
        <w:t>Sin llegar España, como se ha dicho, a presentar el peor dato en cada métrica, su mala posición en cada una le confiere una media final de 7,8, siendo 10 el peor nivel. Por comparar, Reino Unido y Brasil, que han sufrido amplias tasas de fallecidos y un importante daño económico, son los otros dos países peor situados, con un 7,5 y un 7,2 respectivamente. Muy lejos quedan economías como China, que obtiene un 1</w:t>
      </w:r>
      <w:r>
        <w:rPr>
          <w:rFonts w:ascii="Times New Roman" w:hAnsi="Times New Roman" w:cs="Times New Roman"/>
          <w:sz w:val="24"/>
          <w:szCs w:val="24"/>
        </w:rPr>
        <w:t>,2 o Corea del Sur, con un 1,6.</w:t>
      </w:r>
    </w:p>
    <w:p w:rsidR="005B4A18" w:rsidRPr="003109DA" w:rsidRDefault="005B4A18" w:rsidP="00FA4DA9">
      <w:pPr>
        <w:spacing w:line="240" w:lineRule="auto"/>
        <w:jc w:val="both"/>
        <w:rPr>
          <w:rFonts w:ascii="Times New Roman" w:hAnsi="Times New Roman" w:cs="Times New Roman"/>
          <w:sz w:val="24"/>
          <w:szCs w:val="24"/>
        </w:rPr>
      </w:pPr>
      <w:r w:rsidRPr="003109DA">
        <w:rPr>
          <w:rFonts w:ascii="Times New Roman" w:hAnsi="Times New Roman" w:cs="Times New Roman"/>
          <w:sz w:val="24"/>
          <w:szCs w:val="24"/>
        </w:rPr>
        <w:t>De las cuatro métricas, España presenta la peor en mortalidad por coronavirus. Su tasa de fallecidos a causa de la enfermedad por cada 100.000 habitantes se sitúa entre las más altas del mundo y le hace obtener un 9,8 en ese apartado. Con todo, otros países como Reino Unido, Italia, Bélgica, EEUU, República Checa, Polonia, Perú y Brasil presentan peores niveles mientras Portug</w:t>
      </w:r>
      <w:r>
        <w:rPr>
          <w:rFonts w:ascii="Times New Roman" w:hAnsi="Times New Roman" w:cs="Times New Roman"/>
          <w:sz w:val="24"/>
          <w:szCs w:val="24"/>
        </w:rPr>
        <w:t>al y México se sitúan a la par.</w:t>
      </w:r>
    </w:p>
    <w:p w:rsidR="005B4A18" w:rsidRPr="003109DA" w:rsidRDefault="005B4A18" w:rsidP="00FA4DA9">
      <w:pPr>
        <w:spacing w:line="240" w:lineRule="auto"/>
        <w:jc w:val="both"/>
        <w:rPr>
          <w:rFonts w:ascii="Times New Roman" w:hAnsi="Times New Roman" w:cs="Times New Roman"/>
          <w:sz w:val="24"/>
          <w:szCs w:val="24"/>
        </w:rPr>
      </w:pPr>
      <w:r w:rsidRPr="003109DA">
        <w:rPr>
          <w:rFonts w:ascii="Times New Roman" w:hAnsi="Times New Roman" w:cs="Times New Roman"/>
          <w:sz w:val="24"/>
          <w:szCs w:val="24"/>
        </w:rPr>
        <w:t xml:space="preserve">La siguiente pata de la que más cojea España es el aumento de la deuda pública en relación al PIB. Nuestra economía saca un 9,3, demasiado cerca del fatídico 10 y solo por 'debajo' de Francia, Filipinas, Canadá y Venezuela (todas obtienen el 10), Reino Unido y Australia (9,9) y Japón (9,6). </w:t>
      </w:r>
      <w:r>
        <w:rPr>
          <w:rFonts w:ascii="Times New Roman" w:hAnsi="Times New Roman" w:cs="Times New Roman"/>
          <w:sz w:val="24"/>
          <w:szCs w:val="24"/>
        </w:rPr>
        <w:t>Portugal también recibe un 9,3.</w:t>
      </w:r>
    </w:p>
    <w:p w:rsidR="005B4A18" w:rsidRPr="003109DA" w:rsidRDefault="005B4A18" w:rsidP="00FA4DA9">
      <w:pPr>
        <w:spacing w:line="240" w:lineRule="auto"/>
        <w:jc w:val="both"/>
        <w:rPr>
          <w:rFonts w:ascii="Times New Roman" w:hAnsi="Times New Roman" w:cs="Times New Roman"/>
          <w:sz w:val="24"/>
          <w:szCs w:val="24"/>
        </w:rPr>
      </w:pPr>
      <w:r w:rsidRPr="003109DA">
        <w:rPr>
          <w:rFonts w:ascii="Times New Roman" w:hAnsi="Times New Roman" w:cs="Times New Roman"/>
          <w:sz w:val="24"/>
          <w:szCs w:val="24"/>
        </w:rPr>
        <w:t>La deuda pública de España se ha incrementado en 150.000 millones durante el año 2020, hasta rozar los 1,35 billones de euros (que ya han sido superados en 2021). Esto supone que la deuda pública ronda el 120% del PIB, el ratio más alto desde 1902. La propia Comisión Europea cree que la deuda puede alcanzar el 140% del PIB en 2030, por lo que ha puesto en duda la sostenibilidad de la deuda e</w:t>
      </w:r>
      <w:r>
        <w:rPr>
          <w:rFonts w:ascii="Times New Roman" w:hAnsi="Times New Roman" w:cs="Times New Roman"/>
          <w:sz w:val="24"/>
          <w:szCs w:val="24"/>
        </w:rPr>
        <w:t>n el corto y medio plazo.</w:t>
      </w:r>
    </w:p>
    <w:p w:rsidR="005B4A18" w:rsidRPr="003109DA" w:rsidRDefault="005B4A18" w:rsidP="00FA4DA9">
      <w:pPr>
        <w:spacing w:line="240" w:lineRule="auto"/>
        <w:jc w:val="both"/>
        <w:rPr>
          <w:rFonts w:ascii="Times New Roman" w:hAnsi="Times New Roman" w:cs="Times New Roman"/>
          <w:sz w:val="24"/>
          <w:szCs w:val="24"/>
        </w:rPr>
      </w:pPr>
      <w:r w:rsidRPr="003109DA">
        <w:rPr>
          <w:rFonts w:ascii="Times New Roman" w:hAnsi="Times New Roman" w:cs="Times New Roman"/>
          <w:sz w:val="24"/>
          <w:szCs w:val="24"/>
        </w:rPr>
        <w:t>Tampoco aparece España bien situada en lo que al rendimiento de su mercado de valores se refiere. En la comparativa con el índice MSCI mundial desde febrero de 2020, la bolsa española obtiene un 7.8. De las otras economías avanzadas, solo los selectivos de Bélgica (10) y Reino Unido (8,6) lo han hecho peor. Entre los emergentes sí hay un carrusel de países con un peor desempeño: Arabia Saudí, Turquía, Egipto, Rusia, Qatar, Indonesia, Polonia, Tailandia, Emiratos Árabes Unidos, Filipinas, Perú, Colombia, Venezuela y Brasil.</w:t>
      </w:r>
    </w:p>
    <w:p w:rsidR="005B4A18" w:rsidRPr="003109DA" w:rsidRDefault="005B4A18" w:rsidP="00FA4DA9">
      <w:pPr>
        <w:spacing w:line="240" w:lineRule="auto"/>
        <w:jc w:val="both"/>
        <w:rPr>
          <w:rFonts w:ascii="Times New Roman" w:hAnsi="Times New Roman" w:cs="Times New Roman"/>
          <w:sz w:val="24"/>
          <w:szCs w:val="24"/>
        </w:rPr>
      </w:pPr>
      <w:r w:rsidRPr="003109DA">
        <w:rPr>
          <w:rFonts w:ascii="Times New Roman" w:hAnsi="Times New Roman" w:cs="Times New Roman"/>
          <w:sz w:val="24"/>
          <w:szCs w:val="24"/>
        </w:rPr>
        <w:t>En este caso, el fuerte peso de la banca, las aerolíneas y el sector turístico en los principales índices españoles ha jugado claramente en contra. El Ibex 35 no ha empezado a asegurar su senda alcista hasta noviembre de 2020, con la publicación de los primeros resultados sobre las vacunas. Otras bolsas como la de China o la de EEUU comenzaron a subir durante la primera parte de 2020 una vez asimilado el sh</w:t>
      </w:r>
      <w:r>
        <w:rPr>
          <w:rFonts w:ascii="Times New Roman" w:hAnsi="Times New Roman" w:cs="Times New Roman"/>
          <w:sz w:val="24"/>
          <w:szCs w:val="24"/>
        </w:rPr>
        <w:t>ock inicial por el coronavirus.</w:t>
      </w:r>
    </w:p>
    <w:p w:rsidR="005B4A18" w:rsidRPr="003109DA" w:rsidRDefault="005B4A18" w:rsidP="00FA4DA9">
      <w:pPr>
        <w:spacing w:line="240" w:lineRule="auto"/>
        <w:jc w:val="both"/>
        <w:rPr>
          <w:rFonts w:ascii="Times New Roman" w:hAnsi="Times New Roman" w:cs="Times New Roman"/>
          <w:sz w:val="24"/>
          <w:szCs w:val="24"/>
        </w:rPr>
      </w:pPr>
      <w:r w:rsidRPr="003109DA">
        <w:rPr>
          <w:rFonts w:ascii="Times New Roman" w:hAnsi="Times New Roman" w:cs="Times New Roman"/>
          <w:sz w:val="24"/>
          <w:szCs w:val="24"/>
        </w:rPr>
        <w:t>En lo referente a las malas previsiones de PIB, la nota de España (6,5) se aleja más del 10, lo que no quita que sea la peor de todas las economías avanzadas (Reino Unido se sitúa penúltima con un 4,5). De entre las economías emergentes, solo Emiratos Árabes, Filipinas, Venezuela e Ind</w:t>
      </w:r>
      <w:r>
        <w:rPr>
          <w:rFonts w:ascii="Times New Roman" w:hAnsi="Times New Roman" w:cs="Times New Roman"/>
          <w:sz w:val="24"/>
          <w:szCs w:val="24"/>
        </w:rPr>
        <w:t>ia presentan un escenario peor.</w:t>
      </w:r>
    </w:p>
    <w:p w:rsidR="005B4A18" w:rsidRPr="003109DA" w:rsidRDefault="005B4A18" w:rsidP="00FA4DA9">
      <w:pPr>
        <w:spacing w:line="240" w:lineRule="auto"/>
        <w:jc w:val="both"/>
        <w:rPr>
          <w:rFonts w:ascii="Times New Roman" w:hAnsi="Times New Roman" w:cs="Times New Roman"/>
          <w:sz w:val="24"/>
          <w:szCs w:val="24"/>
        </w:rPr>
      </w:pPr>
      <w:r w:rsidRPr="003109DA">
        <w:rPr>
          <w:rFonts w:ascii="Times New Roman" w:hAnsi="Times New Roman" w:cs="Times New Roman"/>
          <w:sz w:val="24"/>
          <w:szCs w:val="24"/>
        </w:rPr>
        <w:t xml:space="preserve">La pandemia ha afectado sobremanera a la economía española, que sufrió la peor recesión de la zona euro y una de las más graves del mundo tras un desplome del PIB del 10,8%. Además, los analistas de Oxford también valoran los cambios en las proyecciones para este año, que tampoco han sido favorables para España. Durante buena parte de 2020 se estuvo previendo que la economía nacional rebotase con fuerza este año a medida que la población quedaba inmunizada y la economía volvía a la normalidad. Nada más lejos de la realidad. La lenta distribución de las vacunas en Europa y el miedo de los consumidores al futuro (de la </w:t>
      </w:r>
      <w:r w:rsidRPr="003109DA">
        <w:rPr>
          <w:rFonts w:ascii="Times New Roman" w:hAnsi="Times New Roman" w:cs="Times New Roman"/>
          <w:sz w:val="24"/>
          <w:szCs w:val="24"/>
        </w:rPr>
        <w:lastRenderedPageBreak/>
        <w:t xml:space="preserve">economía) han ido reduciendo las perspectivas de crecimiento de España hasta dejarlas entre un 5 o 6%, </w:t>
      </w:r>
      <w:r>
        <w:rPr>
          <w:rFonts w:ascii="Times New Roman" w:hAnsi="Times New Roman" w:cs="Times New Roman"/>
          <w:sz w:val="24"/>
          <w:szCs w:val="24"/>
        </w:rPr>
        <w:t>según el consenso de Bloomberg.</w:t>
      </w:r>
    </w:p>
    <w:p w:rsidR="005B4A18" w:rsidRDefault="005B4A18" w:rsidP="00FA4DA9">
      <w:pPr>
        <w:spacing w:line="240" w:lineRule="auto"/>
        <w:jc w:val="both"/>
        <w:rPr>
          <w:rFonts w:ascii="Times New Roman" w:hAnsi="Times New Roman" w:cs="Times New Roman"/>
          <w:sz w:val="24"/>
          <w:szCs w:val="24"/>
        </w:rPr>
      </w:pPr>
      <w:r w:rsidRPr="003109DA">
        <w:rPr>
          <w:rFonts w:ascii="Times New Roman" w:hAnsi="Times New Roman" w:cs="Times New Roman"/>
          <w:sz w:val="24"/>
          <w:szCs w:val="24"/>
        </w:rPr>
        <w:t>Sumando todos los indicadores que han escogido los expertos de Oxford Economics, España queda como el país más castigado por la pandemia. La crisis sanitaria y la económica han impactado con violencia en una economía que ya presentaba serias vulnerabilidades antes del covid. Ahora, todas esas vulnerabilidades se han convertido en amplificadores de la crisis y obstáculos para la recuperación. A las puertas de la recuperación, España lidera el 'índice del dolor'.</w:t>
      </w:r>
    </w:p>
    <w:p w:rsidR="005B4A18" w:rsidRPr="00395B83" w:rsidRDefault="005B4A18"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95B83">
        <w:rPr>
          <w:rFonts w:ascii="Times New Roman" w:hAnsi="Times New Roman" w:cs="Times New Roman"/>
          <w:sz w:val="24"/>
          <w:szCs w:val="24"/>
          <w:u w:val="single"/>
        </w:rPr>
        <w:t>El cambio que imp</w:t>
      </w:r>
      <w:r w:rsidR="008127D8">
        <w:rPr>
          <w:rFonts w:ascii="Times New Roman" w:hAnsi="Times New Roman" w:cs="Times New Roman"/>
          <w:sz w:val="24"/>
          <w:szCs w:val="24"/>
          <w:u w:val="single"/>
        </w:rPr>
        <w:t>ulsa Biden en la economía de EEUU supone “</w:t>
      </w:r>
      <w:r w:rsidRPr="00395B83">
        <w:rPr>
          <w:rFonts w:ascii="Times New Roman" w:hAnsi="Times New Roman" w:cs="Times New Roman"/>
          <w:sz w:val="24"/>
          <w:szCs w:val="24"/>
          <w:u w:val="single"/>
        </w:rPr>
        <w:t>una ruptura con el neoliberalismo</w:t>
      </w:r>
      <w:r w:rsidR="008127D8">
        <w:rPr>
          <w:rFonts w:ascii="Times New Roman" w:hAnsi="Times New Roman" w:cs="Times New Roman"/>
          <w:sz w:val="24"/>
          <w:szCs w:val="24"/>
        </w:rPr>
        <w:t>”</w:t>
      </w:r>
      <w:r>
        <w:rPr>
          <w:rFonts w:ascii="Times New Roman" w:hAnsi="Times New Roman" w:cs="Times New Roman"/>
          <w:sz w:val="24"/>
          <w:szCs w:val="24"/>
        </w:rPr>
        <w:t xml:space="preserve"> (BBCMundo - </w:t>
      </w:r>
      <w:r w:rsidRPr="00395B83">
        <w:rPr>
          <w:rFonts w:ascii="Times New Roman" w:hAnsi="Times New Roman" w:cs="Times New Roman"/>
          <w:b/>
          <w:sz w:val="24"/>
          <w:szCs w:val="24"/>
        </w:rPr>
        <w:t>29/4/21</w:t>
      </w:r>
      <w:r>
        <w:rPr>
          <w:rFonts w:ascii="Times New Roman" w:hAnsi="Times New Roman" w:cs="Times New Roman"/>
          <w:sz w:val="24"/>
          <w:szCs w:val="24"/>
        </w:rPr>
        <w:t>)</w:t>
      </w:r>
    </w:p>
    <w:p w:rsidR="005B4A18" w:rsidRPr="00395B83" w:rsidRDefault="005B4A18"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395B83">
        <w:rPr>
          <w:rFonts w:ascii="Times New Roman" w:hAnsi="Times New Roman" w:cs="Times New Roman"/>
          <w:sz w:val="24"/>
          <w:szCs w:val="24"/>
        </w:rPr>
        <w:t>Gerardo Lissardy</w:t>
      </w:r>
      <w:r>
        <w:rPr>
          <w:rFonts w:ascii="Times New Roman" w:hAnsi="Times New Roman" w:cs="Times New Roman"/>
          <w:sz w:val="24"/>
          <w:szCs w:val="24"/>
        </w:rPr>
        <w:t>)</w:t>
      </w:r>
    </w:p>
    <w:p w:rsidR="005B4A18" w:rsidRPr="00395B83" w:rsidRDefault="005B4A18" w:rsidP="00FA4DA9">
      <w:pPr>
        <w:spacing w:line="240" w:lineRule="auto"/>
        <w:jc w:val="both"/>
        <w:rPr>
          <w:rFonts w:ascii="Times New Roman" w:hAnsi="Times New Roman" w:cs="Times New Roman"/>
          <w:sz w:val="24"/>
          <w:szCs w:val="24"/>
        </w:rPr>
      </w:pPr>
      <w:r w:rsidRPr="00395B83">
        <w:rPr>
          <w:rFonts w:ascii="Times New Roman" w:hAnsi="Times New Roman" w:cs="Times New Roman"/>
          <w:sz w:val="24"/>
          <w:szCs w:val="24"/>
        </w:rPr>
        <w:t>El primer discurso formal del presidente de Estados Unidos, Joe Biden, ante el Congreso será recordado por varias razones, y una de ellas es sin dudas su propuesta de cambiar la relación entre el gobierno y la socieda</w:t>
      </w:r>
      <w:r>
        <w:rPr>
          <w:rFonts w:ascii="Times New Roman" w:hAnsi="Times New Roman" w:cs="Times New Roman"/>
          <w:sz w:val="24"/>
          <w:szCs w:val="24"/>
        </w:rPr>
        <w:t>d.</w:t>
      </w:r>
    </w:p>
    <w:p w:rsidR="005B4A18" w:rsidRPr="008127D8" w:rsidRDefault="005B4A18" w:rsidP="00FA4DA9">
      <w:pPr>
        <w:spacing w:line="240" w:lineRule="auto"/>
        <w:jc w:val="both"/>
        <w:rPr>
          <w:rFonts w:ascii="Times New Roman" w:hAnsi="Times New Roman" w:cs="Times New Roman"/>
          <w:b/>
          <w:color w:val="FF0000"/>
          <w:sz w:val="24"/>
          <w:szCs w:val="24"/>
          <w:u w:val="single"/>
        </w:rPr>
      </w:pPr>
      <w:r w:rsidRPr="008127D8">
        <w:rPr>
          <w:rFonts w:ascii="Times New Roman" w:hAnsi="Times New Roman" w:cs="Times New Roman"/>
          <w:b/>
          <w:color w:val="FF0000"/>
          <w:sz w:val="24"/>
          <w:szCs w:val="24"/>
          <w:u w:val="single"/>
        </w:rPr>
        <w:t>Biden detalló en su mensaje del miércoles frente a los legisladores un programa económico que suma US$4 billones en ayudas sociales e inversiones públicas para generar trabajo, poniendo al Estado en el centro de los esfuerzos de reactivación.</w:t>
      </w:r>
    </w:p>
    <w:p w:rsidR="005B4A18" w:rsidRPr="008127D8" w:rsidRDefault="008127D8" w:rsidP="00FA4DA9">
      <w:pPr>
        <w:spacing w:line="240" w:lineRule="auto"/>
        <w:jc w:val="both"/>
        <w:rPr>
          <w:rFonts w:ascii="Times New Roman" w:hAnsi="Times New Roman" w:cs="Times New Roman"/>
          <w:b/>
          <w:color w:val="FF0000"/>
          <w:sz w:val="24"/>
          <w:szCs w:val="24"/>
          <w:u w:val="single"/>
        </w:rPr>
      </w:pPr>
      <w:r w:rsidRPr="008127D8">
        <w:rPr>
          <w:rFonts w:ascii="Times New Roman" w:hAnsi="Times New Roman" w:cs="Times New Roman"/>
          <w:b/>
          <w:color w:val="FF0000"/>
          <w:sz w:val="24"/>
          <w:szCs w:val="24"/>
          <w:u w:val="single"/>
        </w:rPr>
        <w:t>Las propuestas incluyen un “Plan de Empleo”</w:t>
      </w:r>
      <w:r w:rsidR="005B4A18" w:rsidRPr="008127D8">
        <w:rPr>
          <w:rFonts w:ascii="Times New Roman" w:hAnsi="Times New Roman" w:cs="Times New Roman"/>
          <w:b/>
          <w:color w:val="FF0000"/>
          <w:sz w:val="24"/>
          <w:szCs w:val="24"/>
          <w:u w:val="single"/>
        </w:rPr>
        <w:t xml:space="preserve"> por US$2,3 billones para construir desde carreteras hasta aeropuertos y mejorar el acceso al agua potable, entre otras medidas.</w:t>
      </w:r>
    </w:p>
    <w:p w:rsidR="005B4A18" w:rsidRPr="008127D8" w:rsidRDefault="005B4A18" w:rsidP="00FA4DA9">
      <w:pPr>
        <w:spacing w:line="240" w:lineRule="auto"/>
        <w:jc w:val="both"/>
        <w:rPr>
          <w:rFonts w:ascii="Times New Roman" w:hAnsi="Times New Roman" w:cs="Times New Roman"/>
          <w:b/>
          <w:color w:val="FF0000"/>
          <w:sz w:val="24"/>
          <w:szCs w:val="24"/>
          <w:u w:val="single"/>
        </w:rPr>
      </w:pPr>
      <w:r w:rsidRPr="008127D8">
        <w:rPr>
          <w:rFonts w:ascii="Times New Roman" w:hAnsi="Times New Roman" w:cs="Times New Roman"/>
          <w:b/>
          <w:color w:val="FF0000"/>
          <w:sz w:val="24"/>
          <w:szCs w:val="24"/>
          <w:u w:val="single"/>
        </w:rPr>
        <w:t>El man</w:t>
      </w:r>
      <w:r w:rsidR="008127D8" w:rsidRPr="008127D8">
        <w:rPr>
          <w:rFonts w:ascii="Times New Roman" w:hAnsi="Times New Roman" w:cs="Times New Roman"/>
          <w:b/>
          <w:color w:val="FF0000"/>
          <w:sz w:val="24"/>
          <w:szCs w:val="24"/>
          <w:u w:val="single"/>
        </w:rPr>
        <w:t>datario ha planteado además un “Plan de Familias”</w:t>
      </w:r>
      <w:r w:rsidRPr="008127D8">
        <w:rPr>
          <w:rFonts w:ascii="Times New Roman" w:hAnsi="Times New Roman" w:cs="Times New Roman"/>
          <w:b/>
          <w:color w:val="FF0000"/>
          <w:sz w:val="24"/>
          <w:szCs w:val="24"/>
          <w:u w:val="single"/>
        </w:rPr>
        <w:t xml:space="preserve"> por US$1,8 billones para ampliar el acceso a programas de educación y cuidado infantil.</w:t>
      </w:r>
    </w:p>
    <w:p w:rsidR="005B4A18" w:rsidRPr="008127D8" w:rsidRDefault="005B4A18" w:rsidP="00FA4DA9">
      <w:pPr>
        <w:spacing w:line="240" w:lineRule="auto"/>
        <w:jc w:val="both"/>
        <w:rPr>
          <w:rFonts w:ascii="Times New Roman" w:hAnsi="Times New Roman" w:cs="Times New Roman"/>
          <w:b/>
          <w:color w:val="FF0000"/>
          <w:sz w:val="24"/>
          <w:szCs w:val="24"/>
          <w:u w:val="single"/>
        </w:rPr>
      </w:pPr>
      <w:r w:rsidRPr="008127D8">
        <w:rPr>
          <w:rFonts w:ascii="Times New Roman" w:hAnsi="Times New Roman" w:cs="Times New Roman"/>
          <w:b/>
          <w:color w:val="FF0000"/>
          <w:sz w:val="24"/>
          <w:szCs w:val="24"/>
          <w:u w:val="single"/>
        </w:rPr>
        <w:t>Ambas iniciativas se financiarían con un aumento de impuestos a las corporaciones y</w:t>
      </w:r>
      <w:r w:rsidR="008127D8" w:rsidRPr="008127D8">
        <w:rPr>
          <w:rFonts w:ascii="Times New Roman" w:hAnsi="Times New Roman" w:cs="Times New Roman"/>
          <w:b/>
          <w:color w:val="FF0000"/>
          <w:sz w:val="24"/>
          <w:szCs w:val="24"/>
          <w:u w:val="single"/>
        </w:rPr>
        <w:t xml:space="preserve"> los más ricos, y se suman al “Plan de Rescate”</w:t>
      </w:r>
      <w:r w:rsidRPr="008127D8">
        <w:rPr>
          <w:rFonts w:ascii="Times New Roman" w:hAnsi="Times New Roman" w:cs="Times New Roman"/>
          <w:b/>
          <w:color w:val="FF0000"/>
          <w:sz w:val="24"/>
          <w:szCs w:val="24"/>
          <w:u w:val="single"/>
        </w:rPr>
        <w:t xml:space="preserve"> por US$1,9 billones aprobado en marzo, que contempla pagos directos a los estadounidenses y beneficios adicionales de desempleo.</w:t>
      </w:r>
    </w:p>
    <w:p w:rsidR="005B4A18" w:rsidRPr="00266783" w:rsidRDefault="005B4A18" w:rsidP="00FA4DA9">
      <w:pPr>
        <w:spacing w:line="240" w:lineRule="auto"/>
        <w:jc w:val="both"/>
        <w:rPr>
          <w:rFonts w:ascii="Times New Roman" w:hAnsi="Times New Roman" w:cs="Times New Roman"/>
          <w:b/>
          <w:color w:val="FF0000"/>
          <w:sz w:val="24"/>
          <w:szCs w:val="24"/>
          <w:u w:val="single"/>
        </w:rPr>
      </w:pPr>
      <w:r w:rsidRPr="00266783">
        <w:rPr>
          <w:rFonts w:ascii="Times New Roman" w:hAnsi="Times New Roman" w:cs="Times New Roman"/>
          <w:b/>
          <w:color w:val="FF0000"/>
          <w:sz w:val="24"/>
          <w:szCs w:val="24"/>
          <w:u w:val="single"/>
        </w:rPr>
        <w:t>Un programa económico de estas características habría sido impensable hasta poc</w:t>
      </w:r>
      <w:r w:rsidR="008127D8">
        <w:rPr>
          <w:rFonts w:ascii="Times New Roman" w:hAnsi="Times New Roman" w:cs="Times New Roman"/>
          <w:b/>
          <w:color w:val="FF0000"/>
          <w:sz w:val="24"/>
          <w:szCs w:val="24"/>
          <w:u w:val="single"/>
        </w:rPr>
        <w:t>o tiempo atrás en EEUU</w:t>
      </w:r>
      <w:r w:rsidRPr="00266783">
        <w:rPr>
          <w:rFonts w:ascii="Times New Roman" w:hAnsi="Times New Roman" w:cs="Times New Roman"/>
          <w:b/>
          <w:color w:val="FF0000"/>
          <w:sz w:val="24"/>
          <w:szCs w:val="24"/>
          <w:u w:val="single"/>
        </w:rPr>
        <w:t>, donde el sector privado -y no el Estado- suele ser el motor clave de la economía.</w:t>
      </w:r>
    </w:p>
    <w:p w:rsidR="005B4A18" w:rsidRPr="00266783" w:rsidRDefault="008127D8" w:rsidP="00FA4DA9">
      <w:pPr>
        <w:spacing w:line="240" w:lineRule="auto"/>
        <w:jc w:val="both"/>
        <w:rPr>
          <w:rFonts w:ascii="Times New Roman" w:hAnsi="Times New Roman" w:cs="Times New Roman"/>
          <w:b/>
          <w:color w:val="FF0000"/>
          <w:sz w:val="24"/>
          <w:szCs w:val="24"/>
          <w:u w:val="single"/>
        </w:rPr>
      </w:pPr>
      <w:r>
        <w:rPr>
          <w:rFonts w:ascii="Times New Roman" w:hAnsi="Times New Roman" w:cs="Times New Roman"/>
          <w:b/>
          <w:color w:val="FF0000"/>
          <w:sz w:val="24"/>
          <w:szCs w:val="24"/>
          <w:u w:val="single"/>
        </w:rPr>
        <w:t>“</w:t>
      </w:r>
      <w:r w:rsidR="005B4A18" w:rsidRPr="00266783">
        <w:rPr>
          <w:rFonts w:ascii="Times New Roman" w:hAnsi="Times New Roman" w:cs="Times New Roman"/>
          <w:b/>
          <w:color w:val="FF0000"/>
          <w:sz w:val="24"/>
          <w:szCs w:val="24"/>
          <w:u w:val="single"/>
        </w:rPr>
        <w:t>El cambio es lo suficientemente grande como para describirlo como un</w:t>
      </w:r>
      <w:r>
        <w:rPr>
          <w:rFonts w:ascii="Times New Roman" w:hAnsi="Times New Roman" w:cs="Times New Roman"/>
          <w:b/>
          <w:color w:val="FF0000"/>
          <w:sz w:val="24"/>
          <w:szCs w:val="24"/>
          <w:u w:val="single"/>
        </w:rPr>
        <w:t>a ruptura con el neoliberalismo”</w:t>
      </w:r>
      <w:r w:rsidR="005B4A18" w:rsidRPr="00266783">
        <w:rPr>
          <w:rFonts w:ascii="Times New Roman" w:hAnsi="Times New Roman" w:cs="Times New Roman"/>
          <w:b/>
          <w:color w:val="FF0000"/>
          <w:sz w:val="24"/>
          <w:szCs w:val="24"/>
          <w:u w:val="single"/>
        </w:rPr>
        <w:t>, sostiene J.W. Mason, un profesor de economía en el John Jay College de Nueva York y miembro del Instituto Roosevelt, en</w:t>
      </w:r>
      <w:r w:rsidR="00324F4A">
        <w:rPr>
          <w:rFonts w:ascii="Times New Roman" w:hAnsi="Times New Roman" w:cs="Times New Roman"/>
          <w:b/>
          <w:color w:val="FF0000"/>
          <w:sz w:val="24"/>
          <w:szCs w:val="24"/>
          <w:u w:val="single"/>
        </w:rPr>
        <w:t xml:space="preserve"> </w:t>
      </w:r>
      <w:r w:rsidR="005B4A18" w:rsidRPr="00266783">
        <w:rPr>
          <w:rFonts w:ascii="Times New Roman" w:hAnsi="Times New Roman" w:cs="Times New Roman"/>
          <w:b/>
          <w:color w:val="FF0000"/>
          <w:sz w:val="24"/>
          <w:szCs w:val="24"/>
          <w:u w:val="single"/>
        </w:rPr>
        <w:t>una entrevista con BBC Mundo.</w:t>
      </w:r>
    </w:p>
    <w:p w:rsidR="005B4A18" w:rsidRPr="00395B83" w:rsidRDefault="005B4A18" w:rsidP="00FA4DA9">
      <w:pPr>
        <w:spacing w:line="240" w:lineRule="auto"/>
        <w:jc w:val="both"/>
        <w:rPr>
          <w:rFonts w:ascii="Times New Roman" w:hAnsi="Times New Roman" w:cs="Times New Roman"/>
          <w:sz w:val="24"/>
          <w:szCs w:val="24"/>
        </w:rPr>
      </w:pPr>
      <w:r w:rsidRPr="00395B83">
        <w:rPr>
          <w:rFonts w:ascii="Times New Roman" w:hAnsi="Times New Roman" w:cs="Times New Roman"/>
          <w:sz w:val="24"/>
          <w:szCs w:val="24"/>
        </w:rPr>
        <w:t>A su juicio, estas medidas son proporcionales a la magnitu</w:t>
      </w:r>
      <w:r w:rsidR="008127D8">
        <w:rPr>
          <w:rFonts w:ascii="Times New Roman" w:hAnsi="Times New Roman" w:cs="Times New Roman"/>
          <w:sz w:val="24"/>
          <w:szCs w:val="24"/>
        </w:rPr>
        <w:t>d de la crisis que atraviesa EEUU</w:t>
      </w:r>
      <w:r w:rsidRPr="00395B83">
        <w:rPr>
          <w:rFonts w:ascii="Times New Roman" w:hAnsi="Times New Roman" w:cs="Times New Roman"/>
          <w:sz w:val="24"/>
          <w:szCs w:val="24"/>
        </w:rPr>
        <w:t xml:space="preserve"> tras la pandemia de coronavirus y el colapso económico con </w:t>
      </w:r>
      <w:r>
        <w:rPr>
          <w:rFonts w:ascii="Times New Roman" w:hAnsi="Times New Roman" w:cs="Times New Roman"/>
          <w:sz w:val="24"/>
          <w:szCs w:val="24"/>
        </w:rPr>
        <w:t>millones de empleos perdidos.</w:t>
      </w:r>
    </w:p>
    <w:p w:rsidR="005B4A18" w:rsidRPr="00395B83" w:rsidRDefault="005B4A18" w:rsidP="00FA4DA9">
      <w:pPr>
        <w:spacing w:line="240" w:lineRule="auto"/>
        <w:jc w:val="both"/>
        <w:rPr>
          <w:rFonts w:ascii="Times New Roman" w:hAnsi="Times New Roman" w:cs="Times New Roman"/>
          <w:sz w:val="24"/>
          <w:szCs w:val="24"/>
        </w:rPr>
      </w:pPr>
      <w:r w:rsidRPr="00395B83">
        <w:rPr>
          <w:rFonts w:ascii="Times New Roman" w:hAnsi="Times New Roman" w:cs="Times New Roman"/>
          <w:sz w:val="24"/>
          <w:szCs w:val="24"/>
        </w:rPr>
        <w:t>Lo que sigue es una síntesis del diálogo telefónico con Mason, e</w:t>
      </w:r>
      <w:r>
        <w:rPr>
          <w:rFonts w:ascii="Times New Roman" w:hAnsi="Times New Roman" w:cs="Times New Roman"/>
          <w:sz w:val="24"/>
          <w:szCs w:val="24"/>
        </w:rPr>
        <w:t>ditada por motivos de claridad:</w:t>
      </w:r>
    </w:p>
    <w:p w:rsidR="005B4A18" w:rsidRPr="00395B83" w:rsidRDefault="005B4A18" w:rsidP="00FA4DA9">
      <w:pPr>
        <w:spacing w:line="240" w:lineRule="auto"/>
        <w:jc w:val="both"/>
        <w:rPr>
          <w:rFonts w:ascii="Times New Roman" w:hAnsi="Times New Roman" w:cs="Times New Roman"/>
          <w:sz w:val="24"/>
          <w:szCs w:val="24"/>
        </w:rPr>
      </w:pPr>
      <w:r w:rsidRPr="00395B83">
        <w:rPr>
          <w:rFonts w:ascii="Times New Roman" w:hAnsi="Times New Roman" w:cs="Times New Roman"/>
          <w:sz w:val="24"/>
          <w:szCs w:val="24"/>
        </w:rPr>
        <w:t>¿Cuál es el cambio más significativo que Biden produjo en sus primeros 100 días como presidente des</w:t>
      </w:r>
      <w:r>
        <w:rPr>
          <w:rFonts w:ascii="Times New Roman" w:hAnsi="Times New Roman" w:cs="Times New Roman"/>
          <w:sz w:val="24"/>
          <w:szCs w:val="24"/>
        </w:rPr>
        <w:t>de un punto de vista económico?</w:t>
      </w:r>
    </w:p>
    <w:p w:rsidR="005B4A18" w:rsidRPr="008127D8" w:rsidRDefault="005B4A18" w:rsidP="00FA4DA9">
      <w:pPr>
        <w:spacing w:line="240" w:lineRule="auto"/>
        <w:jc w:val="both"/>
        <w:rPr>
          <w:rFonts w:ascii="Times New Roman" w:hAnsi="Times New Roman" w:cs="Times New Roman"/>
          <w:color w:val="FF0000"/>
          <w:sz w:val="24"/>
          <w:szCs w:val="24"/>
          <w:u w:val="single"/>
        </w:rPr>
      </w:pPr>
      <w:r w:rsidRPr="008127D8">
        <w:rPr>
          <w:rFonts w:ascii="Times New Roman" w:hAnsi="Times New Roman" w:cs="Times New Roman"/>
          <w:color w:val="FF0000"/>
          <w:sz w:val="24"/>
          <w:szCs w:val="24"/>
          <w:u w:val="single"/>
        </w:rPr>
        <w:t>Lo que ha cambiado fundamentalmente es la voluntad de tener un grado de gasto público proporcional al nivel de crisis que enfrentamos.</w:t>
      </w:r>
    </w:p>
    <w:p w:rsidR="005B4A18" w:rsidRPr="00395B83" w:rsidRDefault="005B4A18" w:rsidP="00FA4DA9">
      <w:pPr>
        <w:spacing w:line="240" w:lineRule="auto"/>
        <w:jc w:val="both"/>
        <w:rPr>
          <w:rFonts w:ascii="Times New Roman" w:hAnsi="Times New Roman" w:cs="Times New Roman"/>
          <w:sz w:val="24"/>
          <w:szCs w:val="24"/>
        </w:rPr>
      </w:pPr>
      <w:r w:rsidRPr="00395B83">
        <w:rPr>
          <w:rFonts w:ascii="Times New Roman" w:hAnsi="Times New Roman" w:cs="Times New Roman"/>
          <w:sz w:val="24"/>
          <w:szCs w:val="24"/>
        </w:rPr>
        <w:lastRenderedPageBreak/>
        <w:t>En la última generación hubo una vacilación en hacer que el sector público hiciera lo que requería la situación en la que nos encontrábamos, debido a temores a la deuda pública, a dañar el incentivo de las personas par</w:t>
      </w:r>
      <w:r>
        <w:rPr>
          <w:rFonts w:ascii="Times New Roman" w:hAnsi="Times New Roman" w:cs="Times New Roman"/>
          <w:sz w:val="24"/>
          <w:szCs w:val="24"/>
        </w:rPr>
        <w:t>a trabajar o por otras razones.</w:t>
      </w:r>
    </w:p>
    <w:p w:rsidR="005B4A18" w:rsidRPr="00395B83" w:rsidRDefault="005B4A18"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Y esta vez no se ve eso.</w:t>
      </w:r>
    </w:p>
    <w:p w:rsidR="005B4A18" w:rsidRPr="00395B83" w:rsidRDefault="005B4A18" w:rsidP="00FA4DA9">
      <w:pPr>
        <w:spacing w:line="240" w:lineRule="auto"/>
        <w:jc w:val="both"/>
        <w:rPr>
          <w:rFonts w:ascii="Times New Roman" w:hAnsi="Times New Roman" w:cs="Times New Roman"/>
          <w:sz w:val="24"/>
          <w:szCs w:val="24"/>
        </w:rPr>
      </w:pPr>
      <w:r w:rsidRPr="00395B83">
        <w:rPr>
          <w:rFonts w:ascii="Times New Roman" w:hAnsi="Times New Roman" w:cs="Times New Roman"/>
          <w:sz w:val="24"/>
          <w:szCs w:val="24"/>
        </w:rPr>
        <w:t xml:space="preserve">¿Esto marca un cambio de paradigma en términos de pensamiento </w:t>
      </w:r>
      <w:r>
        <w:rPr>
          <w:rFonts w:ascii="Times New Roman" w:hAnsi="Times New Roman" w:cs="Times New Roman"/>
          <w:sz w:val="24"/>
          <w:szCs w:val="24"/>
        </w:rPr>
        <w:t>económico desde la Casa Blanca?</w:t>
      </w:r>
    </w:p>
    <w:p w:rsidR="005B4A18" w:rsidRPr="00266783" w:rsidRDefault="005B4A18" w:rsidP="00FA4DA9">
      <w:pPr>
        <w:spacing w:line="240" w:lineRule="auto"/>
        <w:jc w:val="both"/>
        <w:rPr>
          <w:rFonts w:ascii="Times New Roman" w:hAnsi="Times New Roman" w:cs="Times New Roman"/>
          <w:sz w:val="24"/>
          <w:szCs w:val="24"/>
          <w:u w:val="single"/>
        </w:rPr>
      </w:pPr>
      <w:r w:rsidRPr="00266783">
        <w:rPr>
          <w:rFonts w:ascii="Times New Roman" w:hAnsi="Times New Roman" w:cs="Times New Roman"/>
          <w:sz w:val="24"/>
          <w:szCs w:val="24"/>
          <w:u w:val="single"/>
        </w:rPr>
        <w:t>Absolutamente. La otra cara de eso es una expansión en las ideas de la gente sobre lo que el gobierno es capaz de hacer.</w:t>
      </w:r>
    </w:p>
    <w:p w:rsidR="005B4A18" w:rsidRPr="00395B83" w:rsidRDefault="005B4A18" w:rsidP="00FA4DA9">
      <w:pPr>
        <w:spacing w:line="240" w:lineRule="auto"/>
        <w:jc w:val="both"/>
        <w:rPr>
          <w:rFonts w:ascii="Times New Roman" w:hAnsi="Times New Roman" w:cs="Times New Roman"/>
          <w:sz w:val="24"/>
          <w:szCs w:val="24"/>
        </w:rPr>
      </w:pPr>
      <w:r w:rsidRPr="00395B83">
        <w:rPr>
          <w:rFonts w:ascii="Times New Roman" w:hAnsi="Times New Roman" w:cs="Times New Roman"/>
          <w:sz w:val="24"/>
          <w:szCs w:val="24"/>
        </w:rPr>
        <w:t>Algo de esto lo hemos visto con la respuesta al covid, que por supuesto fue muy mala al inicio, pero con la financiación pública al desarrollo de las vacunas y la velocidad con la que se han implementado, es una especie de ejemplo de lo que puede hacer el</w:t>
      </w:r>
      <w:r>
        <w:rPr>
          <w:rFonts w:ascii="Times New Roman" w:hAnsi="Times New Roman" w:cs="Times New Roman"/>
          <w:sz w:val="24"/>
          <w:szCs w:val="24"/>
        </w:rPr>
        <w:t xml:space="preserve"> gobierno cuando funciona bien.</w:t>
      </w:r>
    </w:p>
    <w:p w:rsidR="005B4A18" w:rsidRPr="00266783" w:rsidRDefault="005B4A18" w:rsidP="00FA4DA9">
      <w:pPr>
        <w:spacing w:line="240" w:lineRule="auto"/>
        <w:jc w:val="both"/>
        <w:rPr>
          <w:rFonts w:ascii="Times New Roman" w:hAnsi="Times New Roman" w:cs="Times New Roman"/>
          <w:sz w:val="24"/>
          <w:szCs w:val="24"/>
          <w:u w:val="single"/>
        </w:rPr>
      </w:pPr>
      <w:r w:rsidRPr="00266783">
        <w:rPr>
          <w:rFonts w:ascii="Times New Roman" w:hAnsi="Times New Roman" w:cs="Times New Roman"/>
          <w:sz w:val="24"/>
          <w:szCs w:val="24"/>
          <w:u w:val="single"/>
        </w:rPr>
        <w:t>Y creo que hay una voluntad de mirar cosas como la política climática y ver un papel mucho más importante y directo para el sector público de lo que la gente hablaba hace unos años.</w:t>
      </w:r>
    </w:p>
    <w:p w:rsidR="005B4A18" w:rsidRPr="00395B83" w:rsidRDefault="005B4A18" w:rsidP="00FA4DA9">
      <w:pPr>
        <w:spacing w:line="240" w:lineRule="auto"/>
        <w:jc w:val="both"/>
        <w:rPr>
          <w:rFonts w:ascii="Times New Roman" w:hAnsi="Times New Roman" w:cs="Times New Roman"/>
          <w:sz w:val="24"/>
          <w:szCs w:val="24"/>
        </w:rPr>
      </w:pPr>
      <w:r w:rsidRPr="00395B83">
        <w:rPr>
          <w:rFonts w:ascii="Times New Roman" w:hAnsi="Times New Roman" w:cs="Times New Roman"/>
          <w:sz w:val="24"/>
          <w:szCs w:val="24"/>
        </w:rPr>
        <w:t>¿Diría que hay una ruptura con el neoliberalismo d</w:t>
      </w:r>
      <w:r w:rsidR="00B93243">
        <w:rPr>
          <w:rFonts w:ascii="Times New Roman" w:hAnsi="Times New Roman" w:cs="Times New Roman"/>
          <w:sz w:val="24"/>
          <w:szCs w:val="24"/>
        </w:rPr>
        <w:t>e parte del gobierno de EEUU</w:t>
      </w:r>
      <w:r>
        <w:rPr>
          <w:rFonts w:ascii="Times New Roman" w:hAnsi="Times New Roman" w:cs="Times New Roman"/>
          <w:sz w:val="24"/>
          <w:szCs w:val="24"/>
        </w:rPr>
        <w:t>?</w:t>
      </w:r>
    </w:p>
    <w:p w:rsidR="005B4A18" w:rsidRPr="00266783" w:rsidRDefault="005B4A18" w:rsidP="00FA4DA9">
      <w:pPr>
        <w:spacing w:line="240" w:lineRule="auto"/>
        <w:jc w:val="both"/>
        <w:rPr>
          <w:rFonts w:ascii="Times New Roman" w:hAnsi="Times New Roman" w:cs="Times New Roman"/>
          <w:color w:val="FF0000"/>
          <w:sz w:val="24"/>
          <w:szCs w:val="24"/>
          <w:u w:val="single"/>
        </w:rPr>
      </w:pPr>
      <w:r w:rsidRPr="00266783">
        <w:rPr>
          <w:rFonts w:ascii="Times New Roman" w:hAnsi="Times New Roman" w:cs="Times New Roman"/>
          <w:color w:val="FF0000"/>
          <w:sz w:val="24"/>
          <w:szCs w:val="24"/>
          <w:u w:val="single"/>
        </w:rPr>
        <w:t>Sí, diría eso. Por supuesto que no es 100%, nunca es día y noche, y puedes señalar continuidades.</w:t>
      </w:r>
    </w:p>
    <w:p w:rsidR="005B4A18" w:rsidRPr="00266783" w:rsidRDefault="005B4A18" w:rsidP="00FA4DA9">
      <w:pPr>
        <w:spacing w:line="240" w:lineRule="auto"/>
        <w:jc w:val="both"/>
        <w:rPr>
          <w:rFonts w:ascii="Times New Roman" w:hAnsi="Times New Roman" w:cs="Times New Roman"/>
          <w:color w:val="FF0000"/>
          <w:sz w:val="24"/>
          <w:szCs w:val="24"/>
          <w:u w:val="single"/>
        </w:rPr>
      </w:pPr>
      <w:r w:rsidRPr="00266783">
        <w:rPr>
          <w:rFonts w:ascii="Times New Roman" w:hAnsi="Times New Roman" w:cs="Times New Roman"/>
          <w:color w:val="FF0000"/>
          <w:sz w:val="24"/>
          <w:szCs w:val="24"/>
          <w:u w:val="single"/>
        </w:rPr>
        <w:t>Pero creo que el cambio es lo suficientemente grande como para describirlo como una ruptura con el neoliberalismo.</w:t>
      </w:r>
    </w:p>
    <w:p w:rsidR="005B4A18" w:rsidRPr="00395B83" w:rsidRDefault="005B4A18" w:rsidP="00FA4DA9">
      <w:pPr>
        <w:spacing w:line="240" w:lineRule="auto"/>
        <w:jc w:val="both"/>
        <w:rPr>
          <w:rFonts w:ascii="Times New Roman" w:hAnsi="Times New Roman" w:cs="Times New Roman"/>
          <w:sz w:val="24"/>
          <w:szCs w:val="24"/>
        </w:rPr>
      </w:pPr>
      <w:r w:rsidRPr="00395B83">
        <w:rPr>
          <w:rFonts w:ascii="Times New Roman" w:hAnsi="Times New Roman" w:cs="Times New Roman"/>
          <w:sz w:val="24"/>
          <w:szCs w:val="24"/>
        </w:rPr>
        <w:t>¿Puede dar algunos ejemplos de lo que señal</w:t>
      </w:r>
      <w:r>
        <w:rPr>
          <w:rFonts w:ascii="Times New Roman" w:hAnsi="Times New Roman" w:cs="Times New Roman"/>
          <w:sz w:val="24"/>
          <w:szCs w:val="24"/>
        </w:rPr>
        <w:t>a en términos de gasto público?</w:t>
      </w:r>
    </w:p>
    <w:p w:rsidR="005B4A18" w:rsidRPr="00395B83" w:rsidRDefault="005B4A18" w:rsidP="00FA4DA9">
      <w:pPr>
        <w:spacing w:line="240" w:lineRule="auto"/>
        <w:jc w:val="both"/>
        <w:rPr>
          <w:rFonts w:ascii="Times New Roman" w:hAnsi="Times New Roman" w:cs="Times New Roman"/>
          <w:sz w:val="24"/>
          <w:szCs w:val="24"/>
        </w:rPr>
      </w:pPr>
      <w:r w:rsidRPr="00395B83">
        <w:rPr>
          <w:rFonts w:ascii="Times New Roman" w:hAnsi="Times New Roman" w:cs="Times New Roman"/>
          <w:sz w:val="24"/>
          <w:szCs w:val="24"/>
        </w:rPr>
        <w:t>Hace unos años, el consenso sobre la política climática en una suerte de élite de Washington y el Partido Demócrata era que la solución básica pasaba por el precio del carbono: si ponías un impuesto lo suficientemente alto al carbono, el sector privado sab</w:t>
      </w:r>
      <w:r>
        <w:rPr>
          <w:rFonts w:ascii="Times New Roman" w:hAnsi="Times New Roman" w:cs="Times New Roman"/>
          <w:sz w:val="24"/>
          <w:szCs w:val="24"/>
        </w:rPr>
        <w:t>ría qué hacer.</w:t>
      </w:r>
    </w:p>
    <w:p w:rsidR="005B4A18" w:rsidRPr="00395B83" w:rsidRDefault="005B4A18" w:rsidP="00FA4DA9">
      <w:pPr>
        <w:spacing w:line="240" w:lineRule="auto"/>
        <w:jc w:val="both"/>
        <w:rPr>
          <w:rFonts w:ascii="Times New Roman" w:hAnsi="Times New Roman" w:cs="Times New Roman"/>
          <w:sz w:val="24"/>
          <w:szCs w:val="24"/>
        </w:rPr>
      </w:pPr>
      <w:r w:rsidRPr="00395B83">
        <w:rPr>
          <w:rFonts w:ascii="Times New Roman" w:hAnsi="Times New Roman" w:cs="Times New Roman"/>
          <w:sz w:val="24"/>
          <w:szCs w:val="24"/>
        </w:rPr>
        <w:t>Si vemos lo que se propone ahora sobre el clima, el precio del carbono ni siquiera es parte de la conversación. Se trat</w:t>
      </w:r>
      <w:r>
        <w:rPr>
          <w:rFonts w:ascii="Times New Roman" w:hAnsi="Times New Roman" w:cs="Times New Roman"/>
          <w:sz w:val="24"/>
          <w:szCs w:val="24"/>
        </w:rPr>
        <w:t>a de inversión pública directa.</w:t>
      </w:r>
    </w:p>
    <w:p w:rsidR="005B4A18" w:rsidRPr="00266783" w:rsidRDefault="005B4A18" w:rsidP="00FA4DA9">
      <w:pPr>
        <w:spacing w:line="240" w:lineRule="auto"/>
        <w:jc w:val="both"/>
        <w:rPr>
          <w:rFonts w:ascii="Times New Roman" w:hAnsi="Times New Roman" w:cs="Times New Roman"/>
          <w:sz w:val="24"/>
          <w:szCs w:val="24"/>
          <w:u w:val="single"/>
        </w:rPr>
      </w:pPr>
      <w:r w:rsidRPr="00266783">
        <w:rPr>
          <w:rFonts w:ascii="Times New Roman" w:hAnsi="Times New Roman" w:cs="Times New Roman"/>
          <w:sz w:val="24"/>
          <w:szCs w:val="24"/>
          <w:u w:val="single"/>
        </w:rPr>
        <w:t>Y hay un reconocimiento de que en realidad los precios no son suficientes, que hay problemas de coordinación que el mercado privado no resuelve muy bien.</w:t>
      </w:r>
    </w:p>
    <w:p w:rsidR="005B4A18" w:rsidRPr="00266783" w:rsidRDefault="005B4A18" w:rsidP="00FA4DA9">
      <w:pPr>
        <w:spacing w:line="240" w:lineRule="auto"/>
        <w:jc w:val="both"/>
        <w:rPr>
          <w:rFonts w:ascii="Times New Roman" w:hAnsi="Times New Roman" w:cs="Times New Roman"/>
          <w:sz w:val="24"/>
          <w:szCs w:val="24"/>
          <w:u w:val="single"/>
        </w:rPr>
      </w:pPr>
      <w:r w:rsidRPr="00266783">
        <w:rPr>
          <w:rFonts w:ascii="Times New Roman" w:hAnsi="Times New Roman" w:cs="Times New Roman"/>
          <w:sz w:val="24"/>
          <w:szCs w:val="24"/>
          <w:u w:val="single"/>
        </w:rPr>
        <w:t>Otro ejemplo: los cambios que se hicieron al seguro de desempleo en el último año y al crédito tributario por hijos que está en el plan de rescate, que con suerte se convertirán en permanentes.</w:t>
      </w:r>
    </w:p>
    <w:p w:rsidR="005B4A18" w:rsidRPr="00266783" w:rsidRDefault="005B4A18" w:rsidP="00FA4DA9">
      <w:pPr>
        <w:spacing w:line="240" w:lineRule="auto"/>
        <w:jc w:val="both"/>
        <w:rPr>
          <w:rFonts w:ascii="Times New Roman" w:hAnsi="Times New Roman" w:cs="Times New Roman"/>
          <w:sz w:val="24"/>
          <w:szCs w:val="24"/>
          <w:u w:val="single"/>
        </w:rPr>
      </w:pPr>
      <w:r w:rsidRPr="00266783">
        <w:rPr>
          <w:rFonts w:ascii="Times New Roman" w:hAnsi="Times New Roman" w:cs="Times New Roman"/>
          <w:sz w:val="24"/>
          <w:szCs w:val="24"/>
          <w:u w:val="single"/>
        </w:rPr>
        <w:t>Eso es un alejamiento de la noción de que siempre tenemos que preocuparnos por si alguien que no lo merece va a obtener beneficios, que siempre tenemos que preservar los incentivos laborales.</w:t>
      </w:r>
    </w:p>
    <w:p w:rsidR="005B4A18" w:rsidRPr="00266783" w:rsidRDefault="005B4A18" w:rsidP="00FA4DA9">
      <w:pPr>
        <w:spacing w:line="240" w:lineRule="auto"/>
        <w:jc w:val="both"/>
        <w:rPr>
          <w:rFonts w:ascii="Times New Roman" w:hAnsi="Times New Roman" w:cs="Times New Roman"/>
          <w:sz w:val="24"/>
          <w:szCs w:val="24"/>
          <w:u w:val="single"/>
        </w:rPr>
      </w:pPr>
      <w:r w:rsidRPr="00266783">
        <w:rPr>
          <w:rFonts w:ascii="Times New Roman" w:hAnsi="Times New Roman" w:cs="Times New Roman"/>
          <w:sz w:val="24"/>
          <w:szCs w:val="24"/>
          <w:u w:val="single"/>
        </w:rPr>
        <w:t>Teníamos una estructura loca donde si no ganas dinero y, por lo tanto, estás entre las personas más pobres de la sociedad, tampoco obtienes ningún beneficio porque eso no recompensaría el trabajo.</w:t>
      </w:r>
    </w:p>
    <w:p w:rsidR="005B4A18" w:rsidRPr="00266783" w:rsidRDefault="005B4A18" w:rsidP="00FA4DA9">
      <w:pPr>
        <w:spacing w:line="240" w:lineRule="auto"/>
        <w:jc w:val="both"/>
        <w:rPr>
          <w:rFonts w:ascii="Times New Roman" w:hAnsi="Times New Roman" w:cs="Times New Roman"/>
          <w:sz w:val="24"/>
          <w:szCs w:val="24"/>
          <w:u w:val="single"/>
        </w:rPr>
      </w:pPr>
      <w:r w:rsidRPr="00266783">
        <w:rPr>
          <w:rFonts w:ascii="Times New Roman" w:hAnsi="Times New Roman" w:cs="Times New Roman"/>
          <w:sz w:val="24"/>
          <w:szCs w:val="24"/>
          <w:u w:val="single"/>
        </w:rPr>
        <w:t>Hay un reconocimiento de que eso es tonto, contraproducente y dañino, que se debería estar dando un crédito incluso a personas sin ingresos laborales.</w:t>
      </w:r>
    </w:p>
    <w:p w:rsidR="005B4A18" w:rsidRPr="00395B83" w:rsidRDefault="005B4A18" w:rsidP="00FA4DA9">
      <w:pPr>
        <w:spacing w:line="240" w:lineRule="auto"/>
        <w:jc w:val="both"/>
        <w:rPr>
          <w:rFonts w:ascii="Times New Roman" w:hAnsi="Times New Roman" w:cs="Times New Roman"/>
          <w:sz w:val="24"/>
          <w:szCs w:val="24"/>
        </w:rPr>
      </w:pPr>
      <w:r w:rsidRPr="00395B83">
        <w:rPr>
          <w:rFonts w:ascii="Times New Roman" w:hAnsi="Times New Roman" w:cs="Times New Roman"/>
          <w:sz w:val="24"/>
          <w:szCs w:val="24"/>
        </w:rPr>
        <w:lastRenderedPageBreak/>
        <w:t>Eso es un giro real porque parte del modelo neoliberal era pensar en cómo obligamos a la gente a trabajar, cómo evitamos que la gente se aproveche del sistema. Ahora se reconoce que eso no es lo m</w:t>
      </w:r>
      <w:r>
        <w:rPr>
          <w:rFonts w:ascii="Times New Roman" w:hAnsi="Times New Roman" w:cs="Times New Roman"/>
          <w:sz w:val="24"/>
          <w:szCs w:val="24"/>
        </w:rPr>
        <w:t>ás importante para preocuparse.</w:t>
      </w:r>
    </w:p>
    <w:p w:rsidR="005B4A18" w:rsidRPr="00395B83" w:rsidRDefault="005B4A18" w:rsidP="00FA4DA9">
      <w:pPr>
        <w:spacing w:line="240" w:lineRule="auto"/>
        <w:jc w:val="both"/>
        <w:rPr>
          <w:rFonts w:ascii="Times New Roman" w:hAnsi="Times New Roman" w:cs="Times New Roman"/>
          <w:sz w:val="24"/>
          <w:szCs w:val="24"/>
        </w:rPr>
      </w:pPr>
      <w:r w:rsidRPr="00395B83">
        <w:rPr>
          <w:rFonts w:ascii="Times New Roman" w:hAnsi="Times New Roman" w:cs="Times New Roman"/>
          <w:sz w:val="24"/>
          <w:szCs w:val="24"/>
        </w:rPr>
        <w:t>Usted menciona ejemplos co</w:t>
      </w:r>
      <w:r w:rsidR="008127D8">
        <w:rPr>
          <w:rFonts w:ascii="Times New Roman" w:hAnsi="Times New Roman" w:cs="Times New Roman"/>
          <w:sz w:val="24"/>
          <w:szCs w:val="24"/>
        </w:rPr>
        <w:t>mo la ley Plan de Rescate de EEUU</w:t>
      </w:r>
      <w:r w:rsidRPr="00395B83">
        <w:rPr>
          <w:rFonts w:ascii="Times New Roman" w:hAnsi="Times New Roman" w:cs="Times New Roman"/>
          <w:sz w:val="24"/>
          <w:szCs w:val="24"/>
        </w:rPr>
        <w:t xml:space="preserve"> por US$1,9 billones, que incluye pagos directos a familias con hijos. Pero algunas ideas, como la asignación universal por hijo, podrían verse como normales en otros países. Entonces, ¿qué alcance tiene e</w:t>
      </w:r>
      <w:r w:rsidR="008127D8">
        <w:rPr>
          <w:rFonts w:ascii="Times New Roman" w:hAnsi="Times New Roman" w:cs="Times New Roman"/>
          <w:sz w:val="24"/>
          <w:szCs w:val="24"/>
        </w:rPr>
        <w:t>l cambio propuesto para EEUU</w:t>
      </w:r>
      <w:r>
        <w:rPr>
          <w:rFonts w:ascii="Times New Roman" w:hAnsi="Times New Roman" w:cs="Times New Roman"/>
          <w:sz w:val="24"/>
          <w:szCs w:val="24"/>
        </w:rPr>
        <w:t>?</w:t>
      </w:r>
    </w:p>
    <w:p w:rsidR="005B4A18" w:rsidRPr="00266783" w:rsidRDefault="005B4A18" w:rsidP="00FA4DA9">
      <w:pPr>
        <w:spacing w:line="240" w:lineRule="auto"/>
        <w:jc w:val="both"/>
        <w:rPr>
          <w:rFonts w:ascii="Times New Roman" w:hAnsi="Times New Roman" w:cs="Times New Roman"/>
          <w:sz w:val="24"/>
          <w:szCs w:val="24"/>
          <w:u w:val="single"/>
        </w:rPr>
      </w:pPr>
      <w:r w:rsidRPr="00266783">
        <w:rPr>
          <w:rFonts w:ascii="Times New Roman" w:hAnsi="Times New Roman" w:cs="Times New Roman"/>
          <w:sz w:val="24"/>
          <w:szCs w:val="24"/>
          <w:u w:val="single"/>
        </w:rPr>
        <w:t>Aunque ciertamente hay áreas como el apoyo a las familias donde los países de Europa y otras partes del mundo</w:t>
      </w:r>
      <w:r w:rsidR="008127D8">
        <w:rPr>
          <w:rFonts w:ascii="Times New Roman" w:hAnsi="Times New Roman" w:cs="Times New Roman"/>
          <w:sz w:val="24"/>
          <w:szCs w:val="24"/>
          <w:u w:val="single"/>
        </w:rPr>
        <w:t xml:space="preserve"> lo hicieron mucho mejor que EEUU, en algunas áreas EEUU</w:t>
      </w:r>
      <w:r w:rsidRPr="00266783">
        <w:rPr>
          <w:rFonts w:ascii="Times New Roman" w:hAnsi="Times New Roman" w:cs="Times New Roman"/>
          <w:sz w:val="24"/>
          <w:szCs w:val="24"/>
          <w:u w:val="single"/>
        </w:rPr>
        <w:t xml:space="preserve"> está avanzando.</w:t>
      </w:r>
    </w:p>
    <w:p w:rsidR="005B4A18" w:rsidRPr="00395B83" w:rsidRDefault="005B4A18" w:rsidP="00FA4DA9">
      <w:pPr>
        <w:spacing w:line="240" w:lineRule="auto"/>
        <w:jc w:val="both"/>
        <w:rPr>
          <w:rFonts w:ascii="Times New Roman" w:hAnsi="Times New Roman" w:cs="Times New Roman"/>
          <w:sz w:val="24"/>
          <w:szCs w:val="24"/>
        </w:rPr>
      </w:pPr>
      <w:r w:rsidRPr="00395B83">
        <w:rPr>
          <w:rFonts w:ascii="Times New Roman" w:hAnsi="Times New Roman" w:cs="Times New Roman"/>
          <w:sz w:val="24"/>
          <w:szCs w:val="24"/>
        </w:rPr>
        <w:t>Por ejemplo, en política climática creo que la atención en Europa sigue en el precio del carbono</w:t>
      </w:r>
      <w:r w:rsidR="008127D8">
        <w:rPr>
          <w:rFonts w:ascii="Times New Roman" w:hAnsi="Times New Roman" w:cs="Times New Roman"/>
          <w:sz w:val="24"/>
          <w:szCs w:val="24"/>
        </w:rPr>
        <w:t>. El gobierno de EEUU</w:t>
      </w:r>
      <w:r w:rsidRPr="00395B83">
        <w:rPr>
          <w:rFonts w:ascii="Times New Roman" w:hAnsi="Times New Roman" w:cs="Times New Roman"/>
          <w:sz w:val="24"/>
          <w:szCs w:val="24"/>
        </w:rPr>
        <w:t xml:space="preserve"> está liderando al cambiar el enfoque de su pensamiento hacia la inversión pública y la descarbonización.</w:t>
      </w:r>
    </w:p>
    <w:p w:rsidR="005B4A18" w:rsidRPr="00266783" w:rsidRDefault="005B4A18" w:rsidP="00FA4DA9">
      <w:pPr>
        <w:spacing w:line="240" w:lineRule="auto"/>
        <w:jc w:val="both"/>
        <w:rPr>
          <w:rFonts w:ascii="Times New Roman" w:hAnsi="Times New Roman" w:cs="Times New Roman"/>
          <w:sz w:val="24"/>
          <w:szCs w:val="24"/>
          <w:u w:val="single"/>
        </w:rPr>
      </w:pPr>
      <w:r w:rsidRPr="00266783">
        <w:rPr>
          <w:rFonts w:ascii="Times New Roman" w:hAnsi="Times New Roman" w:cs="Times New Roman"/>
          <w:sz w:val="24"/>
          <w:szCs w:val="24"/>
          <w:u w:val="single"/>
        </w:rPr>
        <w:t>Tiene razón, una asignación universal por hijo es básica en muchas partes del mundo. Pero si el crédito tributario por hijos se</w:t>
      </w:r>
      <w:r w:rsidR="008127D8">
        <w:rPr>
          <w:rFonts w:ascii="Times New Roman" w:hAnsi="Times New Roman" w:cs="Times New Roman"/>
          <w:sz w:val="24"/>
          <w:szCs w:val="24"/>
          <w:u w:val="single"/>
        </w:rPr>
        <w:t xml:space="preserve"> hace permanente (en EEUU</w:t>
      </w:r>
      <w:r w:rsidRPr="00266783">
        <w:rPr>
          <w:rFonts w:ascii="Times New Roman" w:hAnsi="Times New Roman" w:cs="Times New Roman"/>
          <w:sz w:val="24"/>
          <w:szCs w:val="24"/>
          <w:u w:val="single"/>
        </w:rPr>
        <w:t>), se acerca bastante a una asignación universal por hijo.</w:t>
      </w:r>
    </w:p>
    <w:p w:rsidR="005B4A18" w:rsidRPr="00266783" w:rsidRDefault="005B4A18" w:rsidP="00FA4DA9">
      <w:pPr>
        <w:spacing w:line="240" w:lineRule="auto"/>
        <w:jc w:val="both"/>
        <w:rPr>
          <w:rFonts w:ascii="Times New Roman" w:hAnsi="Times New Roman" w:cs="Times New Roman"/>
          <w:sz w:val="24"/>
          <w:szCs w:val="24"/>
          <w:u w:val="single"/>
        </w:rPr>
      </w:pPr>
      <w:r w:rsidRPr="00266783">
        <w:rPr>
          <w:rFonts w:ascii="Times New Roman" w:hAnsi="Times New Roman" w:cs="Times New Roman"/>
          <w:sz w:val="24"/>
          <w:szCs w:val="24"/>
          <w:u w:val="single"/>
        </w:rPr>
        <w:t>Eso es algo que otros países han tenido durante mucho tiempo, pero es una ruptura real con lo que históricamen</w:t>
      </w:r>
      <w:r w:rsidR="008127D8">
        <w:rPr>
          <w:rFonts w:ascii="Times New Roman" w:hAnsi="Times New Roman" w:cs="Times New Roman"/>
          <w:sz w:val="24"/>
          <w:szCs w:val="24"/>
          <w:u w:val="single"/>
        </w:rPr>
        <w:t>te se consideró razonable en EE</w:t>
      </w:r>
      <w:r w:rsidRPr="00266783">
        <w:rPr>
          <w:rFonts w:ascii="Times New Roman" w:hAnsi="Times New Roman" w:cs="Times New Roman"/>
          <w:sz w:val="24"/>
          <w:szCs w:val="24"/>
          <w:u w:val="single"/>
        </w:rPr>
        <w:t>UU.</w:t>
      </w:r>
    </w:p>
    <w:p w:rsidR="005B4A18" w:rsidRPr="00395B83" w:rsidRDefault="005B4A18" w:rsidP="00FA4DA9">
      <w:pPr>
        <w:spacing w:line="240" w:lineRule="auto"/>
        <w:jc w:val="both"/>
        <w:rPr>
          <w:rFonts w:ascii="Times New Roman" w:hAnsi="Times New Roman" w:cs="Times New Roman"/>
          <w:sz w:val="24"/>
          <w:szCs w:val="24"/>
        </w:rPr>
      </w:pPr>
      <w:r w:rsidRPr="00395B83">
        <w:rPr>
          <w:rFonts w:ascii="Times New Roman" w:hAnsi="Times New Roman" w:cs="Times New Roman"/>
          <w:sz w:val="24"/>
          <w:szCs w:val="24"/>
        </w:rPr>
        <w:t>Estas medidas tienen que pasar por el Congreso y aún está por verse si se aprueba la propuesta de la Casa Blanca de ampliar el acceso a la educación y programas de cuidado infantil. ¿Hasta dónde puede ir este movimiento a la izqu</w:t>
      </w:r>
      <w:r>
        <w:rPr>
          <w:rFonts w:ascii="Times New Roman" w:hAnsi="Times New Roman" w:cs="Times New Roman"/>
          <w:sz w:val="24"/>
          <w:szCs w:val="24"/>
        </w:rPr>
        <w:t>ierda en la política económica?</w:t>
      </w:r>
    </w:p>
    <w:p w:rsidR="005B4A18" w:rsidRPr="00395B83" w:rsidRDefault="005B4A18" w:rsidP="00FA4DA9">
      <w:pPr>
        <w:spacing w:line="240" w:lineRule="auto"/>
        <w:jc w:val="both"/>
        <w:rPr>
          <w:rFonts w:ascii="Times New Roman" w:hAnsi="Times New Roman" w:cs="Times New Roman"/>
          <w:sz w:val="24"/>
          <w:szCs w:val="24"/>
        </w:rPr>
      </w:pPr>
      <w:r w:rsidRPr="00395B83">
        <w:rPr>
          <w:rFonts w:ascii="Times New Roman" w:hAnsi="Times New Roman" w:cs="Times New Roman"/>
          <w:sz w:val="24"/>
          <w:szCs w:val="24"/>
        </w:rPr>
        <w:t>Hay muchas preguntas políticas cuyas respuestas desconocemos. Alguien en el Senado podría enfermarse mañana, no votar y eso podr</w:t>
      </w:r>
      <w:r>
        <w:rPr>
          <w:rFonts w:ascii="Times New Roman" w:hAnsi="Times New Roman" w:cs="Times New Roman"/>
          <w:sz w:val="24"/>
          <w:szCs w:val="24"/>
        </w:rPr>
        <w:t>ía cambiar el cálculo de todos.</w:t>
      </w:r>
    </w:p>
    <w:p w:rsidR="005B4A18" w:rsidRPr="00BA3A20" w:rsidRDefault="005B4A18" w:rsidP="00FA4DA9">
      <w:pPr>
        <w:spacing w:line="240" w:lineRule="auto"/>
        <w:jc w:val="both"/>
        <w:rPr>
          <w:rFonts w:ascii="Times New Roman" w:hAnsi="Times New Roman" w:cs="Times New Roman"/>
          <w:color w:val="FF0000"/>
          <w:sz w:val="24"/>
          <w:szCs w:val="24"/>
          <w:u w:val="single"/>
        </w:rPr>
      </w:pPr>
      <w:r w:rsidRPr="00BA3A20">
        <w:rPr>
          <w:rFonts w:ascii="Times New Roman" w:hAnsi="Times New Roman" w:cs="Times New Roman"/>
          <w:color w:val="FF0000"/>
          <w:sz w:val="24"/>
          <w:szCs w:val="24"/>
          <w:u w:val="single"/>
        </w:rPr>
        <w:t>Pero creo que uno de los cambios reales que estamos viendo es el reconocimiento de que cuando haces cosas a gran escala que son visibles e impactan directamente en la vida de las personas, eso es popular y crea espacio para más acción.</w:t>
      </w:r>
    </w:p>
    <w:p w:rsidR="005B4A18" w:rsidRPr="00BA3A20" w:rsidRDefault="005B4A18" w:rsidP="00FA4DA9">
      <w:pPr>
        <w:spacing w:line="240" w:lineRule="auto"/>
        <w:jc w:val="both"/>
        <w:rPr>
          <w:rFonts w:ascii="Times New Roman" w:hAnsi="Times New Roman" w:cs="Times New Roman"/>
          <w:sz w:val="24"/>
          <w:szCs w:val="24"/>
          <w:u w:val="single"/>
        </w:rPr>
      </w:pPr>
      <w:r w:rsidRPr="00BA3A20">
        <w:rPr>
          <w:rFonts w:ascii="Times New Roman" w:hAnsi="Times New Roman" w:cs="Times New Roman"/>
          <w:sz w:val="24"/>
          <w:szCs w:val="24"/>
          <w:u w:val="single"/>
        </w:rPr>
        <w:t>Creo que durante muchos años tuvimos esta idea de un capital político que tienes que gastar con mucho cuidado porque si gastas en una cosa, no estará disponible para otra.</w:t>
      </w:r>
    </w:p>
    <w:p w:rsidR="005B4A18" w:rsidRPr="00BA3A20" w:rsidRDefault="005B4A18" w:rsidP="00FA4DA9">
      <w:pPr>
        <w:spacing w:line="240" w:lineRule="auto"/>
        <w:jc w:val="both"/>
        <w:rPr>
          <w:rFonts w:ascii="Times New Roman" w:hAnsi="Times New Roman" w:cs="Times New Roman"/>
          <w:sz w:val="24"/>
          <w:szCs w:val="24"/>
          <w:u w:val="single"/>
        </w:rPr>
      </w:pPr>
      <w:r w:rsidRPr="00BA3A20">
        <w:rPr>
          <w:rFonts w:ascii="Times New Roman" w:hAnsi="Times New Roman" w:cs="Times New Roman"/>
          <w:sz w:val="24"/>
          <w:szCs w:val="24"/>
          <w:u w:val="single"/>
        </w:rPr>
        <w:t>Y nos estamos dando cuenta de que el apoyo político no es así, o tal vez es como un capital en el sentido de que hay que invertirlo para obtener un rendimiento. Entonces, hay un reconocimiento de que si realmente haces cosas a gran escala, eso generará apoyo para hacer aún más.</w:t>
      </w:r>
    </w:p>
    <w:p w:rsidR="005B4A18" w:rsidRPr="00BA3A20" w:rsidRDefault="005B4A18" w:rsidP="00FA4DA9">
      <w:pPr>
        <w:spacing w:line="240" w:lineRule="auto"/>
        <w:jc w:val="both"/>
        <w:rPr>
          <w:rFonts w:ascii="Times New Roman" w:hAnsi="Times New Roman" w:cs="Times New Roman"/>
          <w:sz w:val="24"/>
          <w:szCs w:val="24"/>
          <w:u w:val="single"/>
        </w:rPr>
      </w:pPr>
      <w:r w:rsidRPr="00BA3A20">
        <w:rPr>
          <w:rFonts w:ascii="Times New Roman" w:hAnsi="Times New Roman" w:cs="Times New Roman"/>
          <w:sz w:val="24"/>
          <w:szCs w:val="24"/>
          <w:u w:val="single"/>
        </w:rPr>
        <w:t>Creo que hay potencial para un cambio mayor del que hemos visto hasta ahora.</w:t>
      </w:r>
    </w:p>
    <w:p w:rsidR="005B4A18" w:rsidRPr="008127D8" w:rsidRDefault="005B4A18" w:rsidP="00FA4DA9">
      <w:pPr>
        <w:spacing w:line="240" w:lineRule="auto"/>
        <w:jc w:val="both"/>
        <w:rPr>
          <w:rFonts w:ascii="Times New Roman" w:hAnsi="Times New Roman" w:cs="Times New Roman"/>
          <w:color w:val="FF0000"/>
          <w:sz w:val="24"/>
          <w:szCs w:val="24"/>
          <w:u w:val="single"/>
        </w:rPr>
      </w:pPr>
      <w:r w:rsidRPr="008127D8">
        <w:rPr>
          <w:rFonts w:ascii="Times New Roman" w:hAnsi="Times New Roman" w:cs="Times New Roman"/>
          <w:color w:val="FF0000"/>
          <w:sz w:val="24"/>
          <w:szCs w:val="24"/>
          <w:u w:val="single"/>
        </w:rPr>
        <w:t>Los críticos dicen que todo esto minimiza las limitaciones de los déficits fiscales, la deuda pública o la inflación, pero tarde o temprano será necesario reconocerlas y ajustar la política económica a objetivos específicos, por ejemplo, para evitar un riesgo de sobrecalentamiento de la economía y mayor inflación. ¿No es esto un problema para las políticas del presidente Biden?</w:t>
      </w:r>
    </w:p>
    <w:p w:rsidR="005B4A18" w:rsidRPr="008127D8" w:rsidRDefault="005B4A18" w:rsidP="00FA4DA9">
      <w:pPr>
        <w:spacing w:line="240" w:lineRule="auto"/>
        <w:jc w:val="both"/>
        <w:rPr>
          <w:rFonts w:ascii="Times New Roman" w:hAnsi="Times New Roman" w:cs="Times New Roman"/>
          <w:color w:val="FF0000"/>
          <w:sz w:val="24"/>
          <w:szCs w:val="24"/>
          <w:u w:val="single"/>
        </w:rPr>
      </w:pPr>
      <w:r w:rsidRPr="008127D8">
        <w:rPr>
          <w:rFonts w:ascii="Times New Roman" w:hAnsi="Times New Roman" w:cs="Times New Roman"/>
          <w:color w:val="FF0000"/>
          <w:sz w:val="24"/>
          <w:szCs w:val="24"/>
          <w:u w:val="single"/>
        </w:rPr>
        <w:t>Si algo realmente aprendimos durante los últimos 12 o 15 años en términos de deuda pública, es que los temores fueron simplemente exagerados.</w:t>
      </w:r>
    </w:p>
    <w:p w:rsidR="005B4A18" w:rsidRPr="008127D8" w:rsidRDefault="005B4A18" w:rsidP="00FA4DA9">
      <w:pPr>
        <w:spacing w:line="240" w:lineRule="auto"/>
        <w:jc w:val="both"/>
        <w:rPr>
          <w:rFonts w:ascii="Times New Roman" w:hAnsi="Times New Roman" w:cs="Times New Roman"/>
          <w:color w:val="FF0000"/>
          <w:sz w:val="24"/>
          <w:szCs w:val="24"/>
          <w:u w:val="single"/>
        </w:rPr>
      </w:pPr>
      <w:r w:rsidRPr="008127D8">
        <w:rPr>
          <w:rFonts w:ascii="Times New Roman" w:hAnsi="Times New Roman" w:cs="Times New Roman"/>
          <w:color w:val="FF0000"/>
          <w:sz w:val="24"/>
          <w:szCs w:val="24"/>
          <w:u w:val="single"/>
        </w:rPr>
        <w:lastRenderedPageBreak/>
        <w:t>Un país como Japón, que ha duplicado la relación deuda pública-PIB que tenemos, no ha visto ninguno de los problemas que se supone que eso causa: están luchando contra la deflación, desearían tener algo de inflación, sus tipos de interés son extremadamente bajos...</w:t>
      </w:r>
    </w:p>
    <w:p w:rsidR="005B4A18" w:rsidRPr="008127D8" w:rsidRDefault="005B4A18" w:rsidP="00FA4DA9">
      <w:pPr>
        <w:spacing w:line="240" w:lineRule="auto"/>
        <w:jc w:val="both"/>
        <w:rPr>
          <w:rFonts w:ascii="Times New Roman" w:hAnsi="Times New Roman" w:cs="Times New Roman"/>
          <w:color w:val="FF0000"/>
          <w:sz w:val="24"/>
          <w:szCs w:val="24"/>
          <w:u w:val="single"/>
        </w:rPr>
      </w:pPr>
      <w:r w:rsidRPr="008127D8">
        <w:rPr>
          <w:rFonts w:ascii="Times New Roman" w:hAnsi="Times New Roman" w:cs="Times New Roman"/>
          <w:color w:val="FF0000"/>
          <w:sz w:val="24"/>
          <w:szCs w:val="24"/>
          <w:u w:val="single"/>
        </w:rPr>
        <w:t>Se demostró que es falsa la teoría de que la deuda pública genera costos económicos, al menos para</w:t>
      </w:r>
      <w:r w:rsidR="008127D8" w:rsidRPr="008127D8">
        <w:rPr>
          <w:rFonts w:ascii="Times New Roman" w:hAnsi="Times New Roman" w:cs="Times New Roman"/>
          <w:color w:val="FF0000"/>
          <w:sz w:val="24"/>
          <w:szCs w:val="24"/>
          <w:u w:val="single"/>
        </w:rPr>
        <w:t xml:space="preserve"> países como EEUU</w:t>
      </w:r>
      <w:r w:rsidRPr="008127D8">
        <w:rPr>
          <w:rFonts w:ascii="Times New Roman" w:hAnsi="Times New Roman" w:cs="Times New Roman"/>
          <w:color w:val="FF0000"/>
          <w:sz w:val="24"/>
          <w:szCs w:val="24"/>
          <w:u w:val="single"/>
        </w:rPr>
        <w:t xml:space="preserve"> o Japón.</w:t>
      </w:r>
    </w:p>
    <w:p w:rsidR="005B4A18" w:rsidRPr="008127D8" w:rsidRDefault="005B4A18" w:rsidP="00FA4DA9">
      <w:pPr>
        <w:spacing w:line="240" w:lineRule="auto"/>
        <w:jc w:val="both"/>
        <w:rPr>
          <w:rFonts w:ascii="Times New Roman" w:hAnsi="Times New Roman" w:cs="Times New Roman"/>
          <w:color w:val="FF0000"/>
          <w:sz w:val="24"/>
          <w:szCs w:val="24"/>
          <w:u w:val="single"/>
        </w:rPr>
      </w:pPr>
      <w:r w:rsidRPr="008127D8">
        <w:rPr>
          <w:rFonts w:ascii="Times New Roman" w:hAnsi="Times New Roman" w:cs="Times New Roman"/>
          <w:color w:val="FF0000"/>
          <w:sz w:val="24"/>
          <w:szCs w:val="24"/>
          <w:u w:val="single"/>
        </w:rPr>
        <w:t>Sí podemos ver algo de inflación si tenemos un</w:t>
      </w:r>
      <w:r w:rsidR="008127D8" w:rsidRPr="008127D8">
        <w:rPr>
          <w:rFonts w:ascii="Times New Roman" w:hAnsi="Times New Roman" w:cs="Times New Roman"/>
          <w:color w:val="FF0000"/>
          <w:sz w:val="24"/>
          <w:szCs w:val="24"/>
          <w:u w:val="single"/>
        </w:rPr>
        <w:t xml:space="preserve"> auge real en la economía de EEUU</w:t>
      </w:r>
      <w:r w:rsidRPr="008127D8">
        <w:rPr>
          <w:rFonts w:ascii="Times New Roman" w:hAnsi="Times New Roman" w:cs="Times New Roman"/>
          <w:color w:val="FF0000"/>
          <w:sz w:val="24"/>
          <w:szCs w:val="24"/>
          <w:u w:val="single"/>
        </w:rPr>
        <w:t>, y espero que lo veamos en los próximos años.</w:t>
      </w:r>
    </w:p>
    <w:p w:rsidR="005B4A18" w:rsidRPr="008127D8" w:rsidRDefault="005B4A18" w:rsidP="00FA4DA9">
      <w:pPr>
        <w:spacing w:line="240" w:lineRule="auto"/>
        <w:jc w:val="both"/>
        <w:rPr>
          <w:rFonts w:ascii="Times New Roman" w:hAnsi="Times New Roman" w:cs="Times New Roman"/>
          <w:color w:val="FF0000"/>
          <w:sz w:val="24"/>
          <w:szCs w:val="24"/>
          <w:u w:val="single"/>
        </w:rPr>
      </w:pPr>
      <w:r w:rsidRPr="008127D8">
        <w:rPr>
          <w:rFonts w:ascii="Times New Roman" w:hAnsi="Times New Roman" w:cs="Times New Roman"/>
          <w:color w:val="FF0000"/>
          <w:sz w:val="24"/>
          <w:szCs w:val="24"/>
          <w:u w:val="single"/>
        </w:rPr>
        <w:t>Podríamos ver que la inflación aumenta un poco y creo que deberíamos pensar en cómo lidiar con eso.</w:t>
      </w:r>
      <w:r w:rsidR="008127D8" w:rsidRPr="008127D8">
        <w:rPr>
          <w:rFonts w:ascii="Times New Roman" w:hAnsi="Times New Roman" w:cs="Times New Roman"/>
          <w:color w:val="FF0000"/>
          <w:sz w:val="24"/>
          <w:szCs w:val="24"/>
          <w:u w:val="single"/>
        </w:rPr>
        <w:t xml:space="preserve"> Pero sería incorrecto decir: “</w:t>
      </w:r>
      <w:r w:rsidRPr="008127D8">
        <w:rPr>
          <w:rFonts w:ascii="Times New Roman" w:hAnsi="Times New Roman" w:cs="Times New Roman"/>
          <w:color w:val="FF0000"/>
          <w:sz w:val="24"/>
          <w:szCs w:val="24"/>
          <w:u w:val="single"/>
        </w:rPr>
        <w:t xml:space="preserve">Oh no, aumentará la inflación, así que tenemos que cancelar todos nuestros planes, no podemos tener universidad gratuita, atención médica universal, un plan de vivienda, ni hacer frente a la emergencia climática, porque la inflación ha subido un par de </w:t>
      </w:r>
      <w:r w:rsidR="008127D8" w:rsidRPr="008127D8">
        <w:rPr>
          <w:rFonts w:ascii="Times New Roman" w:hAnsi="Times New Roman" w:cs="Times New Roman"/>
          <w:color w:val="FF0000"/>
          <w:sz w:val="24"/>
          <w:szCs w:val="24"/>
          <w:u w:val="single"/>
        </w:rPr>
        <w:t>puntos”</w:t>
      </w:r>
      <w:r w:rsidRPr="008127D8">
        <w:rPr>
          <w:rFonts w:ascii="Times New Roman" w:hAnsi="Times New Roman" w:cs="Times New Roman"/>
          <w:color w:val="FF0000"/>
          <w:sz w:val="24"/>
          <w:szCs w:val="24"/>
          <w:u w:val="single"/>
        </w:rPr>
        <w:t>.</w:t>
      </w:r>
    </w:p>
    <w:p w:rsidR="005B4A18" w:rsidRPr="00395B83" w:rsidRDefault="005B4A18" w:rsidP="00FA4DA9">
      <w:pPr>
        <w:spacing w:line="240" w:lineRule="auto"/>
        <w:jc w:val="both"/>
        <w:rPr>
          <w:rFonts w:ascii="Times New Roman" w:hAnsi="Times New Roman" w:cs="Times New Roman"/>
          <w:sz w:val="24"/>
          <w:szCs w:val="24"/>
        </w:rPr>
      </w:pPr>
      <w:r w:rsidRPr="00395B83">
        <w:rPr>
          <w:rFonts w:ascii="Times New Roman" w:hAnsi="Times New Roman" w:cs="Times New Roman"/>
          <w:sz w:val="24"/>
          <w:szCs w:val="24"/>
        </w:rPr>
        <w:t>¿Pod</w:t>
      </w:r>
      <w:r w:rsidR="008127D8">
        <w:rPr>
          <w:rFonts w:ascii="Times New Roman" w:hAnsi="Times New Roman" w:cs="Times New Roman"/>
          <w:sz w:val="24"/>
          <w:szCs w:val="24"/>
        </w:rPr>
        <w:t>ría este cambio económico en EEUU</w:t>
      </w:r>
      <w:r w:rsidRPr="00395B83">
        <w:rPr>
          <w:rFonts w:ascii="Times New Roman" w:hAnsi="Times New Roman" w:cs="Times New Roman"/>
          <w:sz w:val="24"/>
          <w:szCs w:val="24"/>
        </w:rPr>
        <w:t xml:space="preserve"> abrir espacio para un nuevo consenso que por ejemplo infl</w:t>
      </w:r>
      <w:r>
        <w:rPr>
          <w:rFonts w:ascii="Times New Roman" w:hAnsi="Times New Roman" w:cs="Times New Roman"/>
          <w:sz w:val="24"/>
          <w:szCs w:val="24"/>
        </w:rPr>
        <w:t>uya a países de América Latina?</w:t>
      </w:r>
    </w:p>
    <w:p w:rsidR="005B4A18" w:rsidRPr="00395B83" w:rsidRDefault="005B4A18" w:rsidP="00FA4DA9">
      <w:pPr>
        <w:spacing w:line="240" w:lineRule="auto"/>
        <w:jc w:val="both"/>
        <w:rPr>
          <w:rFonts w:ascii="Times New Roman" w:hAnsi="Times New Roman" w:cs="Times New Roman"/>
          <w:sz w:val="24"/>
          <w:szCs w:val="24"/>
        </w:rPr>
      </w:pPr>
      <w:r w:rsidRPr="00395B83">
        <w:rPr>
          <w:rFonts w:ascii="Times New Roman" w:hAnsi="Times New Roman" w:cs="Times New Roman"/>
          <w:sz w:val="24"/>
          <w:szCs w:val="24"/>
        </w:rPr>
        <w:t>Eso espero. Hasta ahora ha sido un poco decepcionante, con todo el cambio que está ocurriendo en política económica, ver muy pocos cambios en la postura de la administración Biden hacia</w:t>
      </w:r>
      <w:r>
        <w:rPr>
          <w:rFonts w:ascii="Times New Roman" w:hAnsi="Times New Roman" w:cs="Times New Roman"/>
          <w:sz w:val="24"/>
          <w:szCs w:val="24"/>
        </w:rPr>
        <w:t xml:space="preserve"> gobiernos del resto del mundo.</w:t>
      </w:r>
    </w:p>
    <w:p w:rsidR="005B4A18" w:rsidRPr="00BA3A20" w:rsidRDefault="005B4A18" w:rsidP="00FA4DA9">
      <w:pPr>
        <w:spacing w:line="240" w:lineRule="auto"/>
        <w:jc w:val="both"/>
        <w:rPr>
          <w:rFonts w:ascii="Times New Roman" w:hAnsi="Times New Roman" w:cs="Times New Roman"/>
          <w:color w:val="FF0000"/>
          <w:sz w:val="24"/>
          <w:szCs w:val="24"/>
          <w:u w:val="single"/>
        </w:rPr>
      </w:pPr>
      <w:r w:rsidRPr="00395B83">
        <w:rPr>
          <w:rFonts w:ascii="Times New Roman" w:hAnsi="Times New Roman" w:cs="Times New Roman"/>
          <w:sz w:val="24"/>
          <w:szCs w:val="24"/>
        </w:rPr>
        <w:t xml:space="preserve">Dicho esto, </w:t>
      </w:r>
      <w:r w:rsidR="008127D8">
        <w:rPr>
          <w:rFonts w:ascii="Times New Roman" w:hAnsi="Times New Roman" w:cs="Times New Roman"/>
          <w:color w:val="FF0000"/>
          <w:sz w:val="24"/>
          <w:szCs w:val="24"/>
          <w:u w:val="single"/>
        </w:rPr>
        <w:t>creo que si EEUU</w:t>
      </w:r>
      <w:r w:rsidRPr="00BA3A20">
        <w:rPr>
          <w:rFonts w:ascii="Times New Roman" w:hAnsi="Times New Roman" w:cs="Times New Roman"/>
          <w:color w:val="FF0000"/>
          <w:sz w:val="24"/>
          <w:szCs w:val="24"/>
          <w:u w:val="single"/>
        </w:rPr>
        <w:t xml:space="preserve"> da un ejemplo de un gran sector público activo que gasta dinero a una escala acorde con los problemas que enfrenta, si eso es políticamente popular, viable y no tiene los costos que la gente ha dicho que tendría, creo que será un ejemplo que el resto del mundo va a querer seguir.</w:t>
      </w:r>
    </w:p>
    <w:p w:rsidR="005B4A18" w:rsidRPr="00E35867" w:rsidRDefault="005B4A18"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D53E4">
        <w:rPr>
          <w:rFonts w:ascii="Times New Roman" w:hAnsi="Times New Roman" w:cs="Times New Roman"/>
          <w:sz w:val="24"/>
          <w:szCs w:val="24"/>
          <w:u w:val="single"/>
        </w:rPr>
        <w:t>Bill Gates acelera la venta d</w:t>
      </w:r>
      <w:r w:rsidR="008127D8">
        <w:rPr>
          <w:rFonts w:ascii="Times New Roman" w:hAnsi="Times New Roman" w:cs="Times New Roman"/>
          <w:sz w:val="24"/>
          <w:szCs w:val="24"/>
          <w:u w:val="single"/>
        </w:rPr>
        <w:t>e sus acciones y alerta de que “</w:t>
      </w:r>
      <w:r w:rsidRPr="009D53E4">
        <w:rPr>
          <w:rFonts w:ascii="Times New Roman" w:hAnsi="Times New Roman" w:cs="Times New Roman"/>
          <w:sz w:val="24"/>
          <w:szCs w:val="24"/>
          <w:u w:val="single"/>
        </w:rPr>
        <w:t>habrá una gran crisis como la de 2008</w:t>
      </w:r>
      <w:r w:rsidR="008127D8">
        <w:rPr>
          <w:rFonts w:ascii="Times New Roman" w:hAnsi="Times New Roman" w:cs="Times New Roman"/>
          <w:sz w:val="24"/>
          <w:szCs w:val="24"/>
        </w:rPr>
        <w:t>”</w:t>
      </w:r>
      <w:r>
        <w:rPr>
          <w:rFonts w:ascii="Times New Roman" w:hAnsi="Times New Roman" w:cs="Times New Roman"/>
          <w:sz w:val="24"/>
          <w:szCs w:val="24"/>
        </w:rPr>
        <w:t xml:space="preserve"> (Libertad Digital - </w:t>
      </w:r>
      <w:r w:rsidRPr="009D53E4">
        <w:rPr>
          <w:rFonts w:ascii="Times New Roman" w:hAnsi="Times New Roman" w:cs="Times New Roman"/>
          <w:b/>
          <w:sz w:val="24"/>
          <w:szCs w:val="24"/>
        </w:rPr>
        <w:t>4/5/21</w:t>
      </w:r>
      <w:r>
        <w:rPr>
          <w:rFonts w:ascii="Times New Roman" w:hAnsi="Times New Roman" w:cs="Times New Roman"/>
          <w:sz w:val="24"/>
          <w:szCs w:val="24"/>
        </w:rPr>
        <w:t>)</w:t>
      </w:r>
    </w:p>
    <w:p w:rsidR="005B4A18" w:rsidRPr="00E35867" w:rsidRDefault="005B4A18"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(Por Elena Berberana)</w:t>
      </w:r>
    </w:p>
    <w:p w:rsidR="005B4A18" w:rsidRPr="008127D8" w:rsidRDefault="005B4A18" w:rsidP="00FA4DA9">
      <w:pPr>
        <w:spacing w:line="240" w:lineRule="auto"/>
        <w:jc w:val="both"/>
        <w:rPr>
          <w:rFonts w:ascii="Times New Roman" w:hAnsi="Times New Roman" w:cs="Times New Roman"/>
          <w:color w:val="FF0000"/>
          <w:sz w:val="24"/>
          <w:szCs w:val="24"/>
          <w:u w:val="single"/>
        </w:rPr>
      </w:pPr>
      <w:r w:rsidRPr="00E35867">
        <w:rPr>
          <w:rFonts w:ascii="Times New Roman" w:hAnsi="Times New Roman" w:cs="Times New Roman"/>
          <w:sz w:val="24"/>
          <w:szCs w:val="24"/>
        </w:rPr>
        <w:t xml:space="preserve">Bill Gates sorprende nuevamente dando un giro total a sus inversiones, algo que ha pillado por sorpresa a muchos accionistas que no entienden estos nuevos movimientos del magnate norteamericano. </w:t>
      </w:r>
      <w:r w:rsidRPr="008127D8">
        <w:rPr>
          <w:rFonts w:ascii="Times New Roman" w:hAnsi="Times New Roman" w:cs="Times New Roman"/>
          <w:color w:val="FF0000"/>
          <w:sz w:val="24"/>
          <w:szCs w:val="24"/>
          <w:u w:val="single"/>
        </w:rPr>
        <w:t>El fundador de Microsoft ha decidido desprenderse de las acciones de AliBaba y Uber, así que, de este modo, estas participaciones han desaparecido de la cartera de la Fundación Bill y Melisa Gates.</w:t>
      </w:r>
    </w:p>
    <w:p w:rsidR="005B4A18" w:rsidRPr="008127D8" w:rsidRDefault="005B4A18" w:rsidP="00FA4DA9">
      <w:pPr>
        <w:spacing w:line="240" w:lineRule="auto"/>
        <w:jc w:val="both"/>
        <w:rPr>
          <w:rFonts w:ascii="Times New Roman" w:hAnsi="Times New Roman" w:cs="Times New Roman"/>
          <w:color w:val="FF0000"/>
          <w:sz w:val="24"/>
          <w:szCs w:val="24"/>
          <w:u w:val="single"/>
        </w:rPr>
      </w:pPr>
      <w:r w:rsidRPr="008127D8">
        <w:rPr>
          <w:rFonts w:ascii="Times New Roman" w:hAnsi="Times New Roman" w:cs="Times New Roman"/>
          <w:color w:val="FF0000"/>
          <w:sz w:val="24"/>
          <w:szCs w:val="24"/>
          <w:u w:val="single"/>
        </w:rPr>
        <w:t>Además, el multimillonario también ha vendido el 50% de las participaciones en Apple, Amazon y Alphabet, las tecnológicas estas últimas semana en caída en la bolsa. Asimismo existen importantes descensos en compañías tan populares como Tesla, Spotify, Zoom, Baidu, Teladoc o Shopify, entre otras.</w:t>
      </w:r>
    </w:p>
    <w:p w:rsidR="005B4A18" w:rsidRPr="008127D8" w:rsidRDefault="005B4A18" w:rsidP="00FA4DA9">
      <w:pPr>
        <w:spacing w:line="240" w:lineRule="auto"/>
        <w:jc w:val="both"/>
        <w:rPr>
          <w:rFonts w:ascii="Times New Roman" w:hAnsi="Times New Roman" w:cs="Times New Roman"/>
          <w:b/>
          <w:color w:val="FF0000"/>
          <w:sz w:val="24"/>
          <w:szCs w:val="24"/>
          <w:u w:val="single"/>
        </w:rPr>
      </w:pPr>
      <w:r w:rsidRPr="008127D8">
        <w:rPr>
          <w:rFonts w:ascii="Times New Roman" w:hAnsi="Times New Roman" w:cs="Times New Roman"/>
          <w:b/>
          <w:color w:val="FF0000"/>
          <w:sz w:val="24"/>
          <w:szCs w:val="24"/>
          <w:u w:val="single"/>
        </w:rPr>
        <w:t>Bill Gates dice estar preparándose para una gran crisis económica mundial que llegará a finales de 2022. Durante la presentación de su libro sobre el c</w:t>
      </w:r>
      <w:r w:rsidR="008127D8" w:rsidRPr="008127D8">
        <w:rPr>
          <w:rFonts w:ascii="Times New Roman" w:hAnsi="Times New Roman" w:cs="Times New Roman"/>
          <w:b/>
          <w:color w:val="FF0000"/>
          <w:sz w:val="24"/>
          <w:szCs w:val="24"/>
          <w:u w:val="single"/>
        </w:rPr>
        <w:t>ambio climático especificó que “</w:t>
      </w:r>
      <w:r w:rsidRPr="008127D8">
        <w:rPr>
          <w:rFonts w:ascii="Times New Roman" w:hAnsi="Times New Roman" w:cs="Times New Roman"/>
          <w:b/>
          <w:color w:val="FF0000"/>
          <w:sz w:val="24"/>
          <w:szCs w:val="24"/>
          <w:u w:val="single"/>
        </w:rPr>
        <w:t xml:space="preserve">habrá </w:t>
      </w:r>
      <w:r w:rsidR="008127D8" w:rsidRPr="008127D8">
        <w:rPr>
          <w:rFonts w:ascii="Times New Roman" w:hAnsi="Times New Roman" w:cs="Times New Roman"/>
          <w:b/>
          <w:color w:val="FF0000"/>
          <w:sz w:val="24"/>
          <w:szCs w:val="24"/>
          <w:u w:val="single"/>
        </w:rPr>
        <w:t>una crisis similar a la de 2008” y que será algo “inevitable”</w:t>
      </w:r>
      <w:r w:rsidRPr="008127D8">
        <w:rPr>
          <w:rFonts w:ascii="Times New Roman" w:hAnsi="Times New Roman" w:cs="Times New Roman"/>
          <w:b/>
          <w:color w:val="FF0000"/>
          <w:sz w:val="24"/>
          <w:szCs w:val="24"/>
          <w:u w:val="single"/>
        </w:rPr>
        <w:t>, aunque no se atreve a dar la fecha exacta de ese crack económico.</w:t>
      </w:r>
    </w:p>
    <w:p w:rsidR="005B4A18" w:rsidRPr="00E35867" w:rsidRDefault="005B4A18" w:rsidP="00FA4DA9">
      <w:pPr>
        <w:spacing w:line="240" w:lineRule="auto"/>
        <w:jc w:val="both"/>
        <w:rPr>
          <w:rFonts w:ascii="Times New Roman" w:hAnsi="Times New Roman" w:cs="Times New Roman"/>
          <w:sz w:val="24"/>
          <w:szCs w:val="24"/>
        </w:rPr>
      </w:pPr>
      <w:r w:rsidRPr="00E35867">
        <w:rPr>
          <w:rFonts w:ascii="Times New Roman" w:hAnsi="Times New Roman" w:cs="Times New Roman"/>
          <w:sz w:val="24"/>
          <w:szCs w:val="24"/>
        </w:rPr>
        <w:t>Este espaldarazo a las tecnológicas vendría motivado por la apues</w:t>
      </w:r>
      <w:r w:rsidR="008127D8">
        <w:rPr>
          <w:rFonts w:ascii="Times New Roman" w:hAnsi="Times New Roman" w:cs="Times New Roman"/>
          <w:sz w:val="24"/>
          <w:szCs w:val="24"/>
        </w:rPr>
        <w:t>ta por “</w:t>
      </w:r>
      <w:r w:rsidRPr="00E35867">
        <w:rPr>
          <w:rFonts w:ascii="Times New Roman" w:hAnsi="Times New Roman" w:cs="Times New Roman"/>
          <w:sz w:val="24"/>
          <w:szCs w:val="24"/>
        </w:rPr>
        <w:t>los</w:t>
      </w:r>
      <w:r w:rsidR="008127D8">
        <w:rPr>
          <w:rFonts w:ascii="Times New Roman" w:hAnsi="Times New Roman" w:cs="Times New Roman"/>
          <w:sz w:val="24"/>
          <w:szCs w:val="24"/>
        </w:rPr>
        <w:t xml:space="preserve"> mandamientos de la Agenda 2030”</w:t>
      </w:r>
      <w:r w:rsidRPr="00E35867">
        <w:rPr>
          <w:rFonts w:ascii="Times New Roman" w:hAnsi="Times New Roman" w:cs="Times New Roman"/>
          <w:sz w:val="24"/>
          <w:szCs w:val="24"/>
        </w:rPr>
        <w:t>, acordados en el Foro Económico Mundial y plasmados en la Agenda de Davos. Gobiernos y multinacionales han trazado una hoja de ruta en estos próximos diez años para forzar cambios en el mercado, promoviéndose así</w:t>
      </w:r>
      <w:r w:rsidR="008127D8">
        <w:rPr>
          <w:rFonts w:ascii="Times New Roman" w:hAnsi="Times New Roman" w:cs="Times New Roman"/>
          <w:sz w:val="24"/>
          <w:szCs w:val="24"/>
        </w:rPr>
        <w:t xml:space="preserve"> un nuevo “socialcorporativismo”</w:t>
      </w:r>
      <w:r w:rsidRPr="00E35867">
        <w:rPr>
          <w:rFonts w:ascii="Times New Roman" w:hAnsi="Times New Roman" w:cs="Times New Roman"/>
          <w:sz w:val="24"/>
          <w:szCs w:val="24"/>
        </w:rPr>
        <w:t xml:space="preserve"> que </w:t>
      </w:r>
      <w:r w:rsidRPr="00E35867">
        <w:rPr>
          <w:rFonts w:ascii="Times New Roman" w:hAnsi="Times New Roman" w:cs="Times New Roman"/>
          <w:sz w:val="24"/>
          <w:szCs w:val="24"/>
        </w:rPr>
        <w:lastRenderedPageBreak/>
        <w:t>socava los principios de libertad de mercado y es idéntico al modelo chino del Partido Comunista de Xi Jinping. En este sentido, Gates trabaja en consonancia con líderes políticos europeos y norteamericanos para que sus nuevas inversiones prosperen en el mercado.</w:t>
      </w:r>
    </w:p>
    <w:p w:rsidR="005B4A18" w:rsidRPr="00E35867" w:rsidRDefault="005B4A18" w:rsidP="00FA4DA9">
      <w:pPr>
        <w:spacing w:line="240" w:lineRule="auto"/>
        <w:jc w:val="both"/>
        <w:rPr>
          <w:rFonts w:ascii="Times New Roman" w:hAnsi="Times New Roman" w:cs="Times New Roman"/>
          <w:sz w:val="24"/>
          <w:szCs w:val="24"/>
        </w:rPr>
      </w:pPr>
      <w:r w:rsidRPr="00E35867">
        <w:rPr>
          <w:rFonts w:ascii="Times New Roman" w:hAnsi="Times New Roman" w:cs="Times New Roman"/>
          <w:sz w:val="24"/>
          <w:szCs w:val="24"/>
        </w:rPr>
        <w:t>El mismo magnate ha decl</w:t>
      </w:r>
      <w:r w:rsidR="008127D8">
        <w:rPr>
          <w:rFonts w:ascii="Times New Roman" w:hAnsi="Times New Roman" w:cs="Times New Roman"/>
          <w:sz w:val="24"/>
          <w:szCs w:val="24"/>
        </w:rPr>
        <w:t>arado que está llevando a cabo “la gran rotación de capital”</w:t>
      </w:r>
      <w:r w:rsidRPr="00E35867">
        <w:rPr>
          <w:rFonts w:ascii="Times New Roman" w:hAnsi="Times New Roman" w:cs="Times New Roman"/>
          <w:sz w:val="24"/>
          <w:szCs w:val="24"/>
        </w:rPr>
        <w:t>, es decir, cambiando las inversiones de tecnológicas a compañías tradicionales que cuadran con los intereses de la Agenda Davos y que el mismo Bil</w:t>
      </w:r>
      <w:r>
        <w:rPr>
          <w:rFonts w:ascii="Times New Roman" w:hAnsi="Times New Roman" w:cs="Times New Roman"/>
          <w:sz w:val="24"/>
          <w:szCs w:val="24"/>
        </w:rPr>
        <w:t>l Gates lleva promoviendo años.</w:t>
      </w:r>
    </w:p>
    <w:p w:rsidR="005B4A18" w:rsidRPr="00E35867" w:rsidRDefault="005B4A18" w:rsidP="00FA4DA9">
      <w:pPr>
        <w:spacing w:line="240" w:lineRule="auto"/>
        <w:jc w:val="both"/>
        <w:rPr>
          <w:rFonts w:ascii="Times New Roman" w:hAnsi="Times New Roman" w:cs="Times New Roman"/>
          <w:sz w:val="24"/>
          <w:szCs w:val="24"/>
        </w:rPr>
      </w:pPr>
      <w:r w:rsidRPr="00E35867">
        <w:rPr>
          <w:rFonts w:ascii="Times New Roman" w:hAnsi="Times New Roman" w:cs="Times New Roman"/>
          <w:sz w:val="24"/>
          <w:szCs w:val="24"/>
        </w:rPr>
        <w:t>Cabe decir que, en estos momentos, la mayor participación en la cartera de la Fundación de Gates es Berkshire Hathaway, holding empresarial de su gran amigo Warren Buffett, con una ponderación de cartera cercana al 44%. El segundo activo más grande es Waste Management, una de las multinacionales de reciclaj</w:t>
      </w:r>
      <w:r>
        <w:rPr>
          <w:rFonts w:ascii="Times New Roman" w:hAnsi="Times New Roman" w:cs="Times New Roman"/>
          <w:sz w:val="24"/>
          <w:szCs w:val="24"/>
        </w:rPr>
        <w:t>e más grande de Estados Unidos.</w:t>
      </w:r>
    </w:p>
    <w:p w:rsidR="005B4A18" w:rsidRPr="00E35867" w:rsidRDefault="005B4A18" w:rsidP="00FA4DA9">
      <w:pPr>
        <w:spacing w:line="240" w:lineRule="auto"/>
        <w:jc w:val="both"/>
        <w:rPr>
          <w:rFonts w:ascii="Times New Roman" w:hAnsi="Times New Roman" w:cs="Times New Roman"/>
          <w:sz w:val="24"/>
          <w:szCs w:val="24"/>
        </w:rPr>
      </w:pPr>
      <w:r w:rsidRPr="00E35867">
        <w:rPr>
          <w:rFonts w:ascii="Times New Roman" w:hAnsi="Times New Roman" w:cs="Times New Roman"/>
          <w:sz w:val="24"/>
          <w:szCs w:val="24"/>
        </w:rPr>
        <w:t>Dicha empresa medioambiental responde a los principios de la ya religión climática. El multimillonario lleva años vaticinando el apocalipsis del planeta y sus inversiones van encaminadas a obtener grandes beneficios a través de las imposiciones y exigencias de los gobiernos, afines a la ideología de la eco-niña Greta Thunberg. De hecho, Waste Management ya obtiene grandes beneficios y ha registrado una rentabilidad media sobre el capital empleado del 12% en los últimos cinco años y una rentabilidad sobre el capital de alrededor del 29%, según la pági</w:t>
      </w:r>
      <w:r>
        <w:rPr>
          <w:rFonts w:ascii="Times New Roman" w:hAnsi="Times New Roman" w:cs="Times New Roman"/>
          <w:sz w:val="24"/>
          <w:szCs w:val="24"/>
        </w:rPr>
        <w:t>na especializada Insider Monkey</w:t>
      </w:r>
      <w:r w:rsidRPr="00E35867">
        <w:rPr>
          <w:rFonts w:ascii="Times New Roman" w:hAnsi="Times New Roman" w:cs="Times New Roman"/>
          <w:sz w:val="24"/>
          <w:szCs w:val="24"/>
        </w:rPr>
        <w:t>.</w:t>
      </w:r>
    </w:p>
    <w:p w:rsidR="005B4A18" w:rsidRPr="00E35867" w:rsidRDefault="005B4A18" w:rsidP="00FA4DA9">
      <w:pPr>
        <w:spacing w:line="240" w:lineRule="auto"/>
        <w:jc w:val="both"/>
        <w:rPr>
          <w:rFonts w:ascii="Times New Roman" w:hAnsi="Times New Roman" w:cs="Times New Roman"/>
          <w:sz w:val="24"/>
          <w:szCs w:val="24"/>
        </w:rPr>
      </w:pPr>
      <w:r w:rsidRPr="00E35867">
        <w:rPr>
          <w:rFonts w:ascii="Times New Roman" w:hAnsi="Times New Roman" w:cs="Times New Roman"/>
          <w:sz w:val="24"/>
          <w:szCs w:val="24"/>
        </w:rPr>
        <w:t>Igualmente, la gran cadena internacional de supermercados Waltmart, ha pasado a ser el 9% del total de la cartera de Gates. El magnate tiene intención de rentabilizar su carne cultivada y la multinacional sería su</w:t>
      </w:r>
      <w:r>
        <w:rPr>
          <w:rFonts w:ascii="Times New Roman" w:hAnsi="Times New Roman" w:cs="Times New Roman"/>
          <w:sz w:val="24"/>
          <w:szCs w:val="24"/>
        </w:rPr>
        <w:t xml:space="preserve"> soporte de distribución ideal.</w:t>
      </w:r>
    </w:p>
    <w:p w:rsidR="005B4A18" w:rsidRPr="00E35867" w:rsidRDefault="008127D8"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A este respecto, otro de los “</w:t>
      </w:r>
      <w:r w:rsidR="005B4A18" w:rsidRPr="00E35867">
        <w:rPr>
          <w:rFonts w:ascii="Times New Roman" w:hAnsi="Times New Roman" w:cs="Times New Roman"/>
          <w:sz w:val="24"/>
          <w:szCs w:val="24"/>
        </w:rPr>
        <w:t>mandamientos de la Agend</w:t>
      </w:r>
      <w:r>
        <w:rPr>
          <w:rFonts w:ascii="Times New Roman" w:hAnsi="Times New Roman" w:cs="Times New Roman"/>
          <w:sz w:val="24"/>
          <w:szCs w:val="24"/>
        </w:rPr>
        <w:t>a 2030”</w:t>
      </w:r>
      <w:r w:rsidR="005B4A18" w:rsidRPr="00E35867">
        <w:rPr>
          <w:rFonts w:ascii="Times New Roman" w:hAnsi="Times New Roman" w:cs="Times New Roman"/>
          <w:sz w:val="24"/>
          <w:szCs w:val="24"/>
        </w:rPr>
        <w:t xml:space="preserve"> es </w:t>
      </w:r>
      <w:r>
        <w:rPr>
          <w:rFonts w:ascii="Times New Roman" w:hAnsi="Times New Roman" w:cs="Times New Roman"/>
          <w:sz w:val="24"/>
          <w:szCs w:val="24"/>
        </w:rPr>
        <w:t>que ya no se viajará en avión, “el tren lo sustituirá”</w:t>
      </w:r>
      <w:r w:rsidR="005B4A18" w:rsidRPr="00E35867">
        <w:rPr>
          <w:rFonts w:ascii="Times New Roman" w:hAnsi="Times New Roman" w:cs="Times New Roman"/>
          <w:sz w:val="24"/>
          <w:szCs w:val="24"/>
        </w:rPr>
        <w:t xml:space="preserve"> en diez años. En Francia, este Gran Reseteo ya ha comenzado, como adelantó Libertad Digital, y están a un paso de prohibir definitivamente los vuelos domésticos de menos de tres horas. No en vano, Gates ha invertido en la compañía Canadian National Railway, una empresa de ferrocarriles. Justo el pasado 4 de febrero la Fundación Gates aumentó en un 2,08% su participación en Canadian National Railway, que ha crecido en</w:t>
      </w:r>
      <w:r w:rsidR="005B4A18">
        <w:rPr>
          <w:rFonts w:ascii="Times New Roman" w:hAnsi="Times New Roman" w:cs="Times New Roman"/>
          <w:sz w:val="24"/>
          <w:szCs w:val="24"/>
        </w:rPr>
        <w:t xml:space="preserve"> bolsa un 17% en el último año.</w:t>
      </w:r>
    </w:p>
    <w:p w:rsidR="005B4A18" w:rsidRPr="005B3834" w:rsidRDefault="005B4A18" w:rsidP="00FA4DA9">
      <w:pPr>
        <w:spacing w:line="240" w:lineRule="auto"/>
        <w:jc w:val="both"/>
        <w:rPr>
          <w:rFonts w:ascii="Times New Roman" w:hAnsi="Times New Roman" w:cs="Times New Roman"/>
          <w:sz w:val="24"/>
          <w:szCs w:val="24"/>
        </w:rPr>
      </w:pPr>
      <w:r w:rsidRPr="00E35867">
        <w:rPr>
          <w:rFonts w:ascii="Times New Roman" w:hAnsi="Times New Roman" w:cs="Times New Roman"/>
          <w:sz w:val="24"/>
          <w:szCs w:val="24"/>
        </w:rPr>
        <w:t>Pero el objetivo de influir en la política e intervenir el mercado para que reme a su favor es un hecho que ni Gates ni su esposa ocultan. Ellos mismo desvelaron</w:t>
      </w:r>
      <w:r w:rsidR="008127D8">
        <w:rPr>
          <w:rFonts w:ascii="Times New Roman" w:hAnsi="Times New Roman" w:cs="Times New Roman"/>
          <w:sz w:val="24"/>
          <w:szCs w:val="24"/>
        </w:rPr>
        <w:t xml:space="preserve"> que su deseo estaba basado en “</w:t>
      </w:r>
      <w:r w:rsidRPr="00E35867">
        <w:rPr>
          <w:rFonts w:ascii="Times New Roman" w:hAnsi="Times New Roman" w:cs="Times New Roman"/>
          <w:sz w:val="24"/>
          <w:szCs w:val="24"/>
        </w:rPr>
        <w:t>generar cambio</w:t>
      </w:r>
      <w:r w:rsidR="008127D8">
        <w:rPr>
          <w:rFonts w:ascii="Times New Roman" w:hAnsi="Times New Roman" w:cs="Times New Roman"/>
          <w:sz w:val="24"/>
          <w:szCs w:val="24"/>
        </w:rPr>
        <w:t>s para quienes más lo necesitan”</w:t>
      </w:r>
      <w:r w:rsidRPr="00E35867">
        <w:rPr>
          <w:rFonts w:ascii="Times New Roman" w:hAnsi="Times New Roman" w:cs="Times New Roman"/>
          <w:sz w:val="24"/>
          <w:szCs w:val="24"/>
        </w:rPr>
        <w:t>, porque lo</w:t>
      </w:r>
      <w:r w:rsidR="008127D8">
        <w:rPr>
          <w:rFonts w:ascii="Times New Roman" w:hAnsi="Times New Roman" w:cs="Times New Roman"/>
          <w:sz w:val="24"/>
          <w:szCs w:val="24"/>
        </w:rPr>
        <w:t>s mercados “</w:t>
      </w:r>
      <w:r w:rsidRPr="00E35867">
        <w:rPr>
          <w:rFonts w:ascii="Times New Roman" w:hAnsi="Times New Roman" w:cs="Times New Roman"/>
          <w:sz w:val="24"/>
          <w:szCs w:val="24"/>
        </w:rPr>
        <w:t xml:space="preserve">no siempre funcionan bien para los pobres, ya que las empresas tienen pocos incentivos para desarrollar productos para </w:t>
      </w:r>
      <w:r w:rsidR="008127D8">
        <w:rPr>
          <w:rFonts w:ascii="Times New Roman" w:hAnsi="Times New Roman" w:cs="Times New Roman"/>
          <w:sz w:val="24"/>
          <w:szCs w:val="24"/>
        </w:rPr>
        <w:t>personas que no pueden pagarlos”. La cuestión es que “esos cambios”</w:t>
      </w:r>
      <w:r w:rsidRPr="00E35867">
        <w:rPr>
          <w:rFonts w:ascii="Times New Roman" w:hAnsi="Times New Roman" w:cs="Times New Roman"/>
          <w:sz w:val="24"/>
          <w:szCs w:val="24"/>
        </w:rPr>
        <w:t xml:space="preserve"> siempre engordan los bolsillos del matrimonio multimillonario. </w:t>
      </w:r>
      <w:r w:rsidRPr="005B3834">
        <w:rPr>
          <w:rFonts w:ascii="Times New Roman" w:hAnsi="Times New Roman" w:cs="Times New Roman"/>
          <w:sz w:val="24"/>
          <w:szCs w:val="24"/>
        </w:rPr>
        <w:t>Qué casualidad.</w:t>
      </w:r>
    </w:p>
    <w:p w:rsidR="005B4A18" w:rsidRPr="00322055" w:rsidRDefault="005B4A18"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22055">
        <w:rPr>
          <w:rFonts w:ascii="Times New Roman" w:hAnsi="Times New Roman" w:cs="Times New Roman"/>
          <w:sz w:val="24"/>
          <w:szCs w:val="24"/>
        </w:rPr>
        <w:t>¿</w:t>
      </w:r>
      <w:r w:rsidRPr="00322055">
        <w:rPr>
          <w:rFonts w:ascii="Times New Roman" w:hAnsi="Times New Roman" w:cs="Times New Roman"/>
          <w:sz w:val="24"/>
          <w:szCs w:val="24"/>
          <w:u w:val="single"/>
        </w:rPr>
        <w:t>Se repetirá la historia? BofA ve similitudes entre el mercado actual y el previo al estallido de las puntocom y de la crisis de 2008</w:t>
      </w:r>
      <w:r>
        <w:rPr>
          <w:rFonts w:ascii="Times New Roman" w:hAnsi="Times New Roman" w:cs="Times New Roman"/>
          <w:sz w:val="24"/>
          <w:szCs w:val="24"/>
        </w:rPr>
        <w:t xml:space="preserve"> (El Economista - </w:t>
      </w:r>
      <w:r w:rsidRPr="00322055">
        <w:rPr>
          <w:rFonts w:ascii="Times New Roman" w:hAnsi="Times New Roman" w:cs="Times New Roman"/>
          <w:b/>
          <w:sz w:val="24"/>
          <w:szCs w:val="24"/>
        </w:rPr>
        <w:t>6/5/21</w:t>
      </w:r>
      <w:r>
        <w:rPr>
          <w:rFonts w:ascii="Times New Roman" w:hAnsi="Times New Roman" w:cs="Times New Roman"/>
          <w:sz w:val="24"/>
          <w:szCs w:val="24"/>
        </w:rPr>
        <w:t>)</w:t>
      </w:r>
    </w:p>
    <w:p w:rsidR="005B4A18" w:rsidRPr="00322055" w:rsidRDefault="005B4A18"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322055">
        <w:rPr>
          <w:rFonts w:ascii="Times New Roman" w:hAnsi="Times New Roman" w:cs="Times New Roman"/>
          <w:sz w:val="24"/>
          <w:szCs w:val="24"/>
        </w:rPr>
        <w:t>Letizia Aragüés Cortés</w:t>
      </w:r>
      <w:r>
        <w:rPr>
          <w:rFonts w:ascii="Times New Roman" w:hAnsi="Times New Roman" w:cs="Times New Roman"/>
          <w:sz w:val="24"/>
          <w:szCs w:val="24"/>
        </w:rPr>
        <w:t>)</w:t>
      </w:r>
    </w:p>
    <w:p w:rsidR="005B4A18" w:rsidRDefault="005B4A18" w:rsidP="00FA4DA9">
      <w:pPr>
        <w:spacing w:line="240" w:lineRule="auto"/>
        <w:jc w:val="both"/>
        <w:rPr>
          <w:rFonts w:ascii="Times New Roman" w:hAnsi="Times New Roman" w:cs="Times New Roman"/>
          <w:b/>
          <w:color w:val="FF0000"/>
          <w:sz w:val="24"/>
          <w:szCs w:val="24"/>
          <w:u w:val="single"/>
        </w:rPr>
      </w:pPr>
      <w:r w:rsidRPr="00D316A1">
        <w:rPr>
          <w:rFonts w:ascii="Times New Roman" w:hAnsi="Times New Roman" w:cs="Times New Roman"/>
          <w:sz w:val="24"/>
          <w:szCs w:val="24"/>
          <w:u w:val="single"/>
        </w:rPr>
        <w:t>Con los selectivos marcando recientemente máximos históricos cuando aún la pandemia no está derrotada, muchos expertos se preguntan si detrás de las alzas de las bolsas hay una burbuja que no tardará en explotar</w:t>
      </w:r>
      <w:r w:rsidRPr="00322055">
        <w:rPr>
          <w:rFonts w:ascii="Times New Roman" w:hAnsi="Times New Roman" w:cs="Times New Roman"/>
          <w:sz w:val="24"/>
          <w:szCs w:val="24"/>
        </w:rPr>
        <w:t xml:space="preserve">. </w:t>
      </w:r>
      <w:r w:rsidRPr="008127D8">
        <w:rPr>
          <w:rFonts w:ascii="Times New Roman" w:hAnsi="Times New Roman" w:cs="Times New Roman"/>
          <w:b/>
          <w:color w:val="FF0000"/>
          <w:sz w:val="24"/>
          <w:szCs w:val="24"/>
          <w:u w:val="single"/>
        </w:rPr>
        <w:t>Los analistas de Bank of America han publicado un informe en el que señalan algunos parámetros de la renta variable estadounidense que se encuentran actualmente en niveles semejantes a los vistos antes del estallido del mercado bajista que siguió al crash de las puntocom y a la crisis financiera de 2008.</w:t>
      </w:r>
    </w:p>
    <w:p w:rsidR="00602784" w:rsidRPr="008127D8" w:rsidRDefault="00602784" w:rsidP="00FA4DA9">
      <w:pPr>
        <w:spacing w:line="240" w:lineRule="auto"/>
        <w:jc w:val="both"/>
        <w:rPr>
          <w:rFonts w:ascii="Times New Roman" w:hAnsi="Times New Roman" w:cs="Times New Roman"/>
          <w:b/>
          <w:color w:val="FF0000"/>
          <w:sz w:val="24"/>
          <w:szCs w:val="24"/>
          <w:u w:val="single"/>
        </w:rPr>
      </w:pPr>
      <w:r>
        <w:rPr>
          <w:noProof/>
          <w:lang w:eastAsia="es-ES"/>
        </w:rPr>
        <w:lastRenderedPageBreak/>
        <w:drawing>
          <wp:inline distT="0" distB="0" distL="0" distR="0" wp14:anchorId="1A307072" wp14:editId="4F5685ED">
            <wp:extent cx="5734050" cy="2254250"/>
            <wp:effectExtent l="0" t="0" r="0" b="0"/>
            <wp:docPr id="110" name="Imagen 110" descr="https://s03.s3c.es/imag/_v0/2310x1320/0/8/8/letizia_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2310x1320/0/8/8/letizia_2-2.gif"/>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5731510" cy="2253251"/>
                    </a:xfrm>
                    <a:prstGeom prst="rect">
                      <a:avLst/>
                    </a:prstGeom>
                    <a:noFill/>
                    <a:ln>
                      <a:noFill/>
                    </a:ln>
                  </pic:spPr>
                </pic:pic>
              </a:graphicData>
            </a:graphic>
          </wp:inline>
        </w:drawing>
      </w:r>
    </w:p>
    <w:p w:rsidR="005B4A18" w:rsidRPr="00602784" w:rsidRDefault="005B4A18" w:rsidP="00FA4DA9">
      <w:pPr>
        <w:spacing w:line="240" w:lineRule="auto"/>
        <w:jc w:val="both"/>
        <w:rPr>
          <w:rFonts w:ascii="Times New Roman" w:hAnsi="Times New Roman" w:cs="Times New Roman"/>
          <w:b/>
          <w:color w:val="FF0000"/>
          <w:sz w:val="24"/>
          <w:szCs w:val="24"/>
          <w:u w:val="single"/>
        </w:rPr>
      </w:pPr>
      <w:r w:rsidRPr="008127D8">
        <w:rPr>
          <w:rFonts w:ascii="Times New Roman" w:hAnsi="Times New Roman" w:cs="Times New Roman"/>
          <w:b/>
          <w:color w:val="FF0000"/>
          <w:sz w:val="24"/>
          <w:szCs w:val="24"/>
          <w:u w:val="single"/>
        </w:rPr>
        <w:t>Uno de los principales aspectos que destacan los analistas es el alto PER al que cotiza el S&amp;P 500 (número de veces que el beneficio estimado está incluido en el precio de la acción) ya que este se sitúa por encima de las 22 veces, franja similar a la establecida antes del crash de las puntocom y lo que supone cotizar un 35% más caro que su media histór</w:t>
      </w:r>
      <w:r w:rsidR="00602784">
        <w:rPr>
          <w:rFonts w:ascii="Times New Roman" w:hAnsi="Times New Roman" w:cs="Times New Roman"/>
          <w:b/>
          <w:color w:val="FF0000"/>
          <w:sz w:val="24"/>
          <w:szCs w:val="24"/>
          <w:u w:val="single"/>
        </w:rPr>
        <w:t>ica situada sobre las 16 veces.</w:t>
      </w:r>
    </w:p>
    <w:p w:rsidR="005B4A18" w:rsidRPr="00D316A1" w:rsidRDefault="005B4A18" w:rsidP="00FA4DA9">
      <w:pPr>
        <w:spacing w:line="240" w:lineRule="auto"/>
        <w:jc w:val="both"/>
        <w:rPr>
          <w:rFonts w:ascii="Times New Roman" w:hAnsi="Times New Roman" w:cs="Times New Roman"/>
          <w:color w:val="FF0000"/>
          <w:sz w:val="24"/>
          <w:szCs w:val="24"/>
          <w:u w:val="single"/>
        </w:rPr>
      </w:pPr>
      <w:r w:rsidRPr="00D316A1">
        <w:rPr>
          <w:rFonts w:ascii="Times New Roman" w:hAnsi="Times New Roman" w:cs="Times New Roman"/>
          <w:color w:val="FF0000"/>
          <w:sz w:val="24"/>
          <w:szCs w:val="24"/>
          <w:u w:val="single"/>
        </w:rPr>
        <w:t>En cuanto al ERP, la prima de riesgo de las acciones (la mayor rentabilidad que un inversor exige a un activo, por aceptar el riesgo que incorpora en relación a los activos que se consideran libres de riesgo), el banco de inversión señala que esta está actualmente por debajo de los 400 puntos básicos lo que significa u</w:t>
      </w:r>
      <w:r w:rsidR="008A7618">
        <w:rPr>
          <w:rFonts w:ascii="Times New Roman" w:hAnsi="Times New Roman" w:cs="Times New Roman"/>
          <w:color w:val="FF0000"/>
          <w:sz w:val="24"/>
          <w:szCs w:val="24"/>
          <w:u w:val="single"/>
        </w:rPr>
        <w:t>n gran apetito por el riesgo y “una señal negativa”</w:t>
      </w:r>
      <w:r w:rsidRPr="00D316A1">
        <w:rPr>
          <w:rFonts w:ascii="Times New Roman" w:hAnsi="Times New Roman" w:cs="Times New Roman"/>
          <w:color w:val="FF0000"/>
          <w:sz w:val="24"/>
          <w:szCs w:val="24"/>
          <w:u w:val="single"/>
        </w:rPr>
        <w:t>. Este ratio se sitúa por debajo de la media que ha venido perfilando desde el final de la crisis financiera y sobre niveles previos al estallido de dicho crash.</w:t>
      </w:r>
    </w:p>
    <w:p w:rsidR="005B4A18" w:rsidRPr="00322055" w:rsidRDefault="005B4A18" w:rsidP="00FA4DA9">
      <w:pPr>
        <w:spacing w:line="240" w:lineRule="auto"/>
        <w:jc w:val="both"/>
        <w:rPr>
          <w:rFonts w:ascii="Times New Roman" w:hAnsi="Times New Roman" w:cs="Times New Roman"/>
          <w:sz w:val="24"/>
          <w:szCs w:val="24"/>
        </w:rPr>
      </w:pPr>
      <w:r>
        <w:rPr>
          <w:noProof/>
          <w:lang w:eastAsia="es-ES"/>
        </w:rPr>
        <w:drawing>
          <wp:inline distT="0" distB="0" distL="0" distR="0" wp14:anchorId="455CBDFF" wp14:editId="11F1C4DE">
            <wp:extent cx="5734048" cy="2273300"/>
            <wp:effectExtent l="0" t="0" r="635" b="0"/>
            <wp:docPr id="50" name="Imagen 50" descr="https://s03.s3c.es/imag/_v0/2310x1320/4/0/9/letizia_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2310x1320/4/0/9/letizia_1-1.gif"/>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5731510" cy="2272294"/>
                    </a:xfrm>
                    <a:prstGeom prst="rect">
                      <a:avLst/>
                    </a:prstGeom>
                    <a:noFill/>
                    <a:ln>
                      <a:noFill/>
                    </a:ln>
                  </pic:spPr>
                </pic:pic>
              </a:graphicData>
            </a:graphic>
          </wp:inline>
        </w:drawing>
      </w:r>
    </w:p>
    <w:p w:rsidR="005B4A18" w:rsidRPr="00D316A1" w:rsidRDefault="005B4A18" w:rsidP="00FA4DA9">
      <w:pPr>
        <w:spacing w:line="240" w:lineRule="auto"/>
        <w:jc w:val="both"/>
        <w:rPr>
          <w:rFonts w:ascii="Times New Roman" w:hAnsi="Times New Roman" w:cs="Times New Roman"/>
          <w:color w:val="FF0000"/>
          <w:sz w:val="24"/>
          <w:szCs w:val="24"/>
          <w:u w:val="single"/>
        </w:rPr>
      </w:pPr>
      <w:r w:rsidRPr="00D316A1">
        <w:rPr>
          <w:rFonts w:ascii="Times New Roman" w:hAnsi="Times New Roman" w:cs="Times New Roman"/>
          <w:color w:val="FF0000"/>
          <w:sz w:val="24"/>
          <w:szCs w:val="24"/>
          <w:u w:val="single"/>
        </w:rPr>
        <w:t>Otro aspecto que señalan los analistas es que a pesar de la recuperación de las acciones, la alta dispersión de las valoraciones (PER de los activos) del S&amp;P 500 que sigue siendo demasiado elevada. Según BofA, esta se sitúa por encima de los 0,55 puntos, niveles no vistos desde la crisis financiera de 2008 y desde el estallido de las puntocom. Los expertos de la entidad estiman un impacto del 8% en el S&amp;P 500 si la dispersión simplemente se redujera a la mediana histórica.</w:t>
      </w:r>
    </w:p>
    <w:p w:rsidR="005B4A18" w:rsidRPr="00322055" w:rsidRDefault="005B4A18" w:rsidP="00FA4DA9">
      <w:pPr>
        <w:spacing w:line="240" w:lineRule="auto"/>
        <w:jc w:val="both"/>
        <w:rPr>
          <w:rFonts w:ascii="Times New Roman" w:hAnsi="Times New Roman" w:cs="Times New Roman"/>
          <w:sz w:val="24"/>
          <w:szCs w:val="24"/>
        </w:rPr>
      </w:pPr>
      <w:r w:rsidRPr="00D316A1">
        <w:rPr>
          <w:rFonts w:ascii="Times New Roman" w:hAnsi="Times New Roman" w:cs="Times New Roman"/>
          <w:color w:val="FF0000"/>
          <w:sz w:val="24"/>
          <w:szCs w:val="24"/>
          <w:u w:val="single"/>
        </w:rPr>
        <w:t>Además, los analistas destacan el fuerte impacto que tienen las políticas monetarias en la disparidad de las valoraciones de los activos y como estas medidas elevan las acciones de baja calidad y de alto riesgo en detrimento de las de mayor calidad</w:t>
      </w:r>
      <w:r w:rsidRPr="00322055">
        <w:rPr>
          <w:rFonts w:ascii="Times New Roman" w:hAnsi="Times New Roman" w:cs="Times New Roman"/>
          <w:sz w:val="24"/>
          <w:szCs w:val="24"/>
        </w:rPr>
        <w:t xml:space="preserve">. Sin embargo, los expertos señalan como a medida que los estímulos se van retirando de los mercados tras los shocks </w:t>
      </w:r>
      <w:r w:rsidRPr="00322055">
        <w:rPr>
          <w:rFonts w:ascii="Times New Roman" w:hAnsi="Times New Roman" w:cs="Times New Roman"/>
          <w:sz w:val="24"/>
          <w:szCs w:val="24"/>
        </w:rPr>
        <w:lastRenderedPageBreak/>
        <w:t>económicos los valores tienden a volver a la normalidad y las acciones mayor calidad tienden a avanzar en detrimento de las de mayor riesgo</w:t>
      </w:r>
    </w:p>
    <w:p w:rsidR="005B4A18" w:rsidRPr="00322055" w:rsidRDefault="005B4A18" w:rsidP="00FA4DA9">
      <w:pPr>
        <w:spacing w:line="240" w:lineRule="auto"/>
        <w:jc w:val="both"/>
        <w:rPr>
          <w:rFonts w:ascii="Times New Roman" w:hAnsi="Times New Roman" w:cs="Times New Roman"/>
          <w:sz w:val="24"/>
          <w:szCs w:val="24"/>
        </w:rPr>
      </w:pPr>
      <w:r>
        <w:rPr>
          <w:noProof/>
          <w:lang w:eastAsia="es-ES"/>
        </w:rPr>
        <w:drawing>
          <wp:inline distT="0" distB="0" distL="0" distR="0" wp14:anchorId="031A3B57" wp14:editId="20631F0C">
            <wp:extent cx="5734049" cy="2419350"/>
            <wp:effectExtent l="0" t="0" r="635" b="0"/>
            <wp:docPr id="51" name="Imagen 51" descr="https://s03.s3c.es/imag/_v0/2310x1320/6/6/b/letizia_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03.s3c.es/imag/_v0/2310x1320/6/6/b/letizia_3-1.gif"/>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5731510" cy="2418279"/>
                    </a:xfrm>
                    <a:prstGeom prst="rect">
                      <a:avLst/>
                    </a:prstGeom>
                    <a:noFill/>
                    <a:ln>
                      <a:noFill/>
                    </a:ln>
                  </pic:spPr>
                </pic:pic>
              </a:graphicData>
            </a:graphic>
          </wp:inline>
        </w:drawing>
      </w:r>
    </w:p>
    <w:p w:rsidR="005B4A18" w:rsidRPr="00D316A1" w:rsidRDefault="005B4A18" w:rsidP="00FA4DA9">
      <w:pPr>
        <w:spacing w:line="240" w:lineRule="auto"/>
        <w:jc w:val="both"/>
        <w:rPr>
          <w:rFonts w:ascii="Times New Roman" w:hAnsi="Times New Roman" w:cs="Times New Roman"/>
          <w:color w:val="FF0000"/>
          <w:sz w:val="24"/>
          <w:szCs w:val="24"/>
          <w:u w:val="single"/>
        </w:rPr>
      </w:pPr>
      <w:r w:rsidRPr="00D316A1">
        <w:rPr>
          <w:rFonts w:ascii="Times New Roman" w:hAnsi="Times New Roman" w:cs="Times New Roman"/>
          <w:color w:val="FF0000"/>
          <w:sz w:val="24"/>
          <w:szCs w:val="24"/>
          <w:u w:val="single"/>
        </w:rPr>
        <w:t>Pese a todos estos parámetros que guardan relación con periodos previos en los que el mercado se quebró, solo el 7% de los inversores consultados por el banco de inversión consideran que estamos en una burbuja. Además, la entidad</w:t>
      </w:r>
      <w:r w:rsidR="008A7618">
        <w:rPr>
          <w:rFonts w:ascii="Times New Roman" w:hAnsi="Times New Roman" w:cs="Times New Roman"/>
          <w:color w:val="FF0000"/>
          <w:sz w:val="24"/>
          <w:szCs w:val="24"/>
          <w:u w:val="single"/>
        </w:rPr>
        <w:t xml:space="preserve"> señala que solo el 58% de sus “indicadores del mercado bajista”</w:t>
      </w:r>
      <w:r w:rsidRPr="00D316A1">
        <w:rPr>
          <w:rFonts w:ascii="Times New Roman" w:hAnsi="Times New Roman" w:cs="Times New Roman"/>
          <w:color w:val="FF0000"/>
          <w:sz w:val="24"/>
          <w:szCs w:val="24"/>
          <w:u w:val="single"/>
        </w:rPr>
        <w:t xml:space="preserve"> se han activado frente al 80% o más que saltaron antes de los mercados bajistas anteriores.</w:t>
      </w:r>
    </w:p>
    <w:p w:rsidR="005B4A18" w:rsidRPr="00322055" w:rsidRDefault="005B4A18" w:rsidP="00FA4DA9">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Ante este contexto, los expertos de la entidad recomiendan comprar pequeños sobre grandes, cíclicos sobre defensivos, inversión sobre consumo y acciones sobre bonos.</w:t>
      </w:r>
      <w:r w:rsidR="008A7618">
        <w:rPr>
          <w:rFonts w:ascii="Times New Roman" w:hAnsi="Times New Roman" w:cs="Times New Roman"/>
          <w:sz w:val="24"/>
          <w:szCs w:val="24"/>
        </w:rPr>
        <w:t xml:space="preserve"> “</w:t>
      </w:r>
      <w:r w:rsidRPr="00322055">
        <w:rPr>
          <w:rFonts w:ascii="Times New Roman" w:hAnsi="Times New Roman" w:cs="Times New Roman"/>
          <w:sz w:val="24"/>
          <w:szCs w:val="24"/>
        </w:rPr>
        <w:t>Dada nuestra perspectiva positiva sobre el crecimiento económico y de las ganancias, más el potencial de una gran recuperación en el gasto de capital, preferimos áreas ligadas al PIB y al gasto de capit</w:t>
      </w:r>
      <w:r w:rsidR="008A7618">
        <w:rPr>
          <w:rFonts w:ascii="Times New Roman" w:hAnsi="Times New Roman" w:cs="Times New Roman"/>
          <w:sz w:val="24"/>
          <w:szCs w:val="24"/>
        </w:rPr>
        <w:t>al”</w:t>
      </w:r>
      <w:r>
        <w:rPr>
          <w:rFonts w:ascii="Times New Roman" w:hAnsi="Times New Roman" w:cs="Times New Roman"/>
          <w:sz w:val="24"/>
          <w:szCs w:val="24"/>
        </w:rPr>
        <w:t>, argumentan desde el banco.</w:t>
      </w:r>
    </w:p>
    <w:p w:rsidR="005B4A18" w:rsidRPr="008127D8" w:rsidRDefault="005B4A18" w:rsidP="00FA4DA9">
      <w:pPr>
        <w:spacing w:line="240" w:lineRule="auto"/>
        <w:jc w:val="both"/>
        <w:rPr>
          <w:rFonts w:ascii="Times New Roman" w:hAnsi="Times New Roman" w:cs="Times New Roman"/>
          <w:color w:val="FF0000"/>
          <w:sz w:val="24"/>
          <w:szCs w:val="24"/>
          <w:u w:val="single"/>
        </w:rPr>
      </w:pPr>
      <w:r w:rsidRPr="00D316A1">
        <w:rPr>
          <w:rFonts w:ascii="Times New Roman" w:hAnsi="Times New Roman" w:cs="Times New Roman"/>
          <w:color w:val="FF0000"/>
          <w:sz w:val="24"/>
          <w:szCs w:val="24"/>
          <w:u w:val="single"/>
        </w:rPr>
        <w:t xml:space="preserve">Por último, desde la entidad destacan que siguen siendo optimistas en la economía pero no en el S&amp;P 500, y aseguran que su modelo técnico se ha vuelto bajista para el índice. Esperan así que el selectivo acabe el año sobre los 3.800 enteros, nivel que se encuentra un 10% por </w:t>
      </w:r>
      <w:r w:rsidR="008127D8">
        <w:rPr>
          <w:rFonts w:ascii="Times New Roman" w:hAnsi="Times New Roman" w:cs="Times New Roman"/>
          <w:color w:val="FF0000"/>
          <w:sz w:val="24"/>
          <w:szCs w:val="24"/>
          <w:u w:val="single"/>
        </w:rPr>
        <w:t>debajo del actual.</w:t>
      </w:r>
    </w:p>
    <w:p w:rsidR="005B4A18" w:rsidRPr="00322055" w:rsidRDefault="005B4A18"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22055">
        <w:rPr>
          <w:rFonts w:ascii="Times New Roman" w:hAnsi="Times New Roman" w:cs="Times New Roman"/>
          <w:sz w:val="24"/>
          <w:szCs w:val="24"/>
          <w:u w:val="single"/>
        </w:rPr>
        <w:t>La inflación da cada vez más miedo ante el riesgo de que se produzca una tormenta perfecta</w:t>
      </w:r>
      <w:r>
        <w:rPr>
          <w:rFonts w:ascii="Times New Roman" w:hAnsi="Times New Roman" w:cs="Times New Roman"/>
          <w:sz w:val="24"/>
          <w:szCs w:val="24"/>
        </w:rPr>
        <w:t xml:space="preserve"> (El Economista - </w:t>
      </w:r>
      <w:r w:rsidRPr="00322055">
        <w:rPr>
          <w:rFonts w:ascii="Times New Roman" w:hAnsi="Times New Roman" w:cs="Times New Roman"/>
          <w:b/>
          <w:sz w:val="24"/>
          <w:szCs w:val="24"/>
        </w:rPr>
        <w:t>6/5/21</w:t>
      </w:r>
      <w:r>
        <w:rPr>
          <w:rFonts w:ascii="Times New Roman" w:hAnsi="Times New Roman" w:cs="Times New Roman"/>
          <w:sz w:val="24"/>
          <w:szCs w:val="24"/>
        </w:rPr>
        <w:t>)</w:t>
      </w:r>
    </w:p>
    <w:p w:rsidR="005B4A18" w:rsidRPr="00322055" w:rsidRDefault="005B4A18"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322055">
        <w:rPr>
          <w:rFonts w:ascii="Times New Roman" w:hAnsi="Times New Roman" w:cs="Times New Roman"/>
          <w:sz w:val="24"/>
          <w:szCs w:val="24"/>
        </w:rPr>
        <w:t>Vicente Nieves</w:t>
      </w:r>
      <w:r>
        <w:rPr>
          <w:rFonts w:ascii="Times New Roman" w:hAnsi="Times New Roman" w:cs="Times New Roman"/>
          <w:sz w:val="24"/>
          <w:szCs w:val="24"/>
        </w:rPr>
        <w:t>)</w:t>
      </w:r>
    </w:p>
    <w:p w:rsidR="005B4A18" w:rsidRPr="00322055" w:rsidRDefault="005B4A18" w:rsidP="00FA4DA9">
      <w:pPr>
        <w:spacing w:line="240" w:lineRule="auto"/>
        <w:jc w:val="both"/>
        <w:rPr>
          <w:rFonts w:ascii="Times New Roman" w:hAnsi="Times New Roman" w:cs="Times New Roman"/>
          <w:sz w:val="24"/>
          <w:szCs w:val="24"/>
        </w:rPr>
      </w:pPr>
      <w:r w:rsidRPr="008A7618">
        <w:rPr>
          <w:rFonts w:ascii="Times New Roman" w:hAnsi="Times New Roman" w:cs="Times New Roman"/>
          <w:b/>
          <w:color w:val="FF0000"/>
          <w:sz w:val="24"/>
          <w:szCs w:val="24"/>
          <w:u w:val="single"/>
        </w:rPr>
        <w:t>El consenso del mercado y de los expertos prevé un auge de la inflación puntual y moderado.</w:t>
      </w:r>
      <w:r w:rsidRPr="008A7618">
        <w:rPr>
          <w:rFonts w:ascii="Times New Roman" w:hAnsi="Times New Roman" w:cs="Times New Roman"/>
          <w:b/>
          <w:color w:val="FF0000"/>
          <w:sz w:val="24"/>
          <w:szCs w:val="24"/>
        </w:rPr>
        <w:t xml:space="preserve"> </w:t>
      </w:r>
      <w:r w:rsidRPr="008A7618">
        <w:rPr>
          <w:rFonts w:ascii="Times New Roman" w:hAnsi="Times New Roman" w:cs="Times New Roman"/>
          <w:b/>
          <w:color w:val="FF0000"/>
          <w:sz w:val="24"/>
          <w:szCs w:val="24"/>
          <w:u w:val="single"/>
        </w:rPr>
        <w:t>Según la narrativa dominante se espera que el IPC rebase modestamente el 2% durante este 2021 en los países desarrollados, por efectos únicos y puntuales. De modo que a partir de 2022, el IPC debería volver a la senda que mostraba antes de la pandemia del covid</w:t>
      </w:r>
      <w:r w:rsidRPr="008A7618">
        <w:rPr>
          <w:rFonts w:ascii="Times New Roman" w:hAnsi="Times New Roman" w:cs="Times New Roman"/>
          <w:b/>
          <w:sz w:val="24"/>
          <w:szCs w:val="24"/>
        </w:rPr>
        <w:t>.</w:t>
      </w:r>
      <w:r w:rsidRPr="00322055">
        <w:rPr>
          <w:rFonts w:ascii="Times New Roman" w:hAnsi="Times New Roman" w:cs="Times New Roman"/>
          <w:sz w:val="24"/>
          <w:szCs w:val="24"/>
        </w:rPr>
        <w:t xml:space="preserve"> Sin embargo, la preocupación entre empresas e inversores es cada vez mayor ante una combinación de restricciones en la oferta y un auge de la demanda (inflación de demanda y oferta juntas). Además, Blackrock ha advertido esta semana que el mercado podría estar subestimando el potencial de la inflación a medio plazo, </w:t>
      </w:r>
      <w:r>
        <w:rPr>
          <w:rFonts w:ascii="Times New Roman" w:hAnsi="Times New Roman" w:cs="Times New Roman"/>
          <w:sz w:val="24"/>
          <w:szCs w:val="24"/>
        </w:rPr>
        <w:t>generando aún más preocupación.</w:t>
      </w:r>
    </w:p>
    <w:p w:rsidR="005B4A18" w:rsidRPr="008A7618" w:rsidRDefault="005B4A18" w:rsidP="00FA4DA9">
      <w:pPr>
        <w:spacing w:line="240" w:lineRule="auto"/>
        <w:jc w:val="both"/>
        <w:rPr>
          <w:rFonts w:ascii="Times New Roman" w:hAnsi="Times New Roman" w:cs="Times New Roman"/>
          <w:color w:val="FF0000"/>
          <w:sz w:val="24"/>
          <w:szCs w:val="24"/>
          <w:u w:val="single"/>
        </w:rPr>
      </w:pPr>
      <w:r w:rsidRPr="008A7618">
        <w:rPr>
          <w:rFonts w:ascii="Times New Roman" w:hAnsi="Times New Roman" w:cs="Times New Roman"/>
          <w:color w:val="FF0000"/>
          <w:sz w:val="24"/>
          <w:szCs w:val="24"/>
          <w:u w:val="single"/>
        </w:rPr>
        <w:t xml:space="preserve">Esta mayor preocupación ha quedado a la vista en el reciente mensaje de Janet Yellen, secretaria del Tesoro de EEUU, sobre los tipos de interés y el riesgo de sobrecalentamiento </w:t>
      </w:r>
      <w:r w:rsidRPr="008A7618">
        <w:rPr>
          <w:rFonts w:ascii="Times New Roman" w:hAnsi="Times New Roman" w:cs="Times New Roman"/>
          <w:color w:val="FF0000"/>
          <w:sz w:val="24"/>
          <w:szCs w:val="24"/>
          <w:u w:val="single"/>
        </w:rPr>
        <w:lastRenderedPageBreak/>
        <w:t>de la economía de EEUU. Aunque Yellen matizó sus palabras m</w:t>
      </w:r>
      <w:r w:rsidR="008A7618" w:rsidRPr="008A7618">
        <w:rPr>
          <w:rFonts w:ascii="Times New Roman" w:hAnsi="Times New Roman" w:cs="Times New Roman"/>
          <w:color w:val="FF0000"/>
          <w:sz w:val="24"/>
          <w:szCs w:val="24"/>
          <w:u w:val="single"/>
        </w:rPr>
        <w:t>ás tarde, el mensaje está ahí: “</w:t>
      </w:r>
      <w:r w:rsidRPr="008A7618">
        <w:rPr>
          <w:rFonts w:ascii="Times New Roman" w:hAnsi="Times New Roman" w:cs="Times New Roman"/>
          <w:color w:val="FF0000"/>
          <w:sz w:val="24"/>
          <w:szCs w:val="24"/>
          <w:u w:val="single"/>
        </w:rPr>
        <w:t xml:space="preserve">Los tipos de interés podrían tener que subir para </w:t>
      </w:r>
      <w:r w:rsidR="008A7618" w:rsidRPr="008A7618">
        <w:rPr>
          <w:rFonts w:ascii="Times New Roman" w:hAnsi="Times New Roman" w:cs="Times New Roman"/>
          <w:color w:val="FF0000"/>
          <w:sz w:val="24"/>
          <w:szCs w:val="24"/>
          <w:u w:val="single"/>
        </w:rPr>
        <w:t>el evitar un sobrecalentamiento”</w:t>
      </w:r>
      <w:r w:rsidRPr="008A7618">
        <w:rPr>
          <w:rFonts w:ascii="Times New Roman" w:hAnsi="Times New Roman" w:cs="Times New Roman"/>
          <w:color w:val="FF0000"/>
          <w:sz w:val="24"/>
          <w:szCs w:val="24"/>
          <w:u w:val="single"/>
        </w:rPr>
        <w:t>. Rara vez se ha visto a un político pidiendo o sugiriendo una subida de tipos, más bien suele ocurrir todo lo contrario.</w:t>
      </w:r>
    </w:p>
    <w:p w:rsidR="005B4A18" w:rsidRPr="008A7618" w:rsidRDefault="005B4A18" w:rsidP="00FA4DA9">
      <w:pPr>
        <w:spacing w:line="240" w:lineRule="auto"/>
        <w:jc w:val="both"/>
        <w:rPr>
          <w:rFonts w:ascii="Times New Roman" w:hAnsi="Times New Roman" w:cs="Times New Roman"/>
          <w:color w:val="FF0000"/>
          <w:sz w:val="24"/>
          <w:szCs w:val="24"/>
          <w:u w:val="single"/>
        </w:rPr>
      </w:pPr>
      <w:r w:rsidRPr="008A7618">
        <w:rPr>
          <w:rFonts w:ascii="Times New Roman" w:hAnsi="Times New Roman" w:cs="Times New Roman"/>
          <w:color w:val="FF0000"/>
          <w:sz w:val="24"/>
          <w:szCs w:val="24"/>
          <w:u w:val="single"/>
        </w:rPr>
        <w:t>Las señales que anticipan una inflación más alta están aumentando, con un número cada vez mayor de empresas advirtiendo sobre la escasez de suministros, cuellos de botella y auge de precios en los inputs con los que trabajan. Todo esto solo conduce a una inflación mayor (de costes y oferta) que tendrá que soportar, en última instancia, el consumidor. Y aunque este es un fenómeno cuyo epicentro se encuentra en EEUU, la zona euro también se verá afectada por los mayores costes de las materias primas (madera, cobre, maíz, petróleo...) con las que trabajan las empresas y el impulso de la demanda interna y externa a medida que reabre la economía.</w:t>
      </w:r>
    </w:p>
    <w:p w:rsidR="005B4A18" w:rsidRPr="00322055" w:rsidRDefault="005B4A18" w:rsidP="00FA4DA9">
      <w:pPr>
        <w:spacing w:line="240" w:lineRule="auto"/>
        <w:jc w:val="both"/>
        <w:rPr>
          <w:rFonts w:ascii="Times New Roman" w:hAnsi="Times New Roman" w:cs="Times New Roman"/>
          <w:sz w:val="24"/>
          <w:szCs w:val="24"/>
        </w:rPr>
      </w:pPr>
      <w:r>
        <w:rPr>
          <w:noProof/>
          <w:lang w:eastAsia="es-ES"/>
        </w:rPr>
        <w:drawing>
          <wp:inline distT="0" distB="0" distL="0" distR="0" wp14:anchorId="15AAC9CF" wp14:editId="540CC864">
            <wp:extent cx="5726147" cy="2717800"/>
            <wp:effectExtent l="0" t="0" r="8255" b="6350"/>
            <wp:docPr id="52" name="Imagen 52" descr="https://s03.s3c.es/imag/_v0/2310x1350/e/e/f/inflacion-tormenta-perfect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03.s3c.es/imag/_v0/2310x1350/e/e/f/inflacion-tormenta-perfecta.gif"/>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5731510" cy="2720345"/>
                    </a:xfrm>
                    <a:prstGeom prst="rect">
                      <a:avLst/>
                    </a:prstGeom>
                    <a:noFill/>
                    <a:ln>
                      <a:noFill/>
                    </a:ln>
                  </pic:spPr>
                </pic:pic>
              </a:graphicData>
            </a:graphic>
          </wp:inline>
        </w:drawing>
      </w:r>
    </w:p>
    <w:p w:rsidR="005B4A18" w:rsidRPr="00322055" w:rsidRDefault="005B4A18" w:rsidP="00FA4DA9">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La preocupación por la inflación se duplica en dos meses</w:t>
      </w:r>
    </w:p>
    <w:p w:rsidR="005B4A18" w:rsidRPr="00602784" w:rsidRDefault="005B4A18" w:rsidP="00FA4DA9">
      <w:pPr>
        <w:spacing w:line="240" w:lineRule="auto"/>
        <w:jc w:val="both"/>
        <w:rPr>
          <w:rFonts w:ascii="Times New Roman" w:hAnsi="Times New Roman" w:cs="Times New Roman"/>
          <w:color w:val="FF0000"/>
          <w:sz w:val="24"/>
          <w:szCs w:val="24"/>
          <w:u w:val="single"/>
        </w:rPr>
      </w:pPr>
      <w:r w:rsidRPr="00322055">
        <w:rPr>
          <w:rFonts w:ascii="Times New Roman" w:hAnsi="Times New Roman" w:cs="Times New Roman"/>
          <w:sz w:val="24"/>
          <w:szCs w:val="24"/>
        </w:rPr>
        <w:t xml:space="preserve">Por ejemplo, los inventarios de chips semiconductores (hoy en día todo lleva un chip) están casi a cero, paralizando la producción de coches y dispositivos electrónicos, mientras que las materias primas están disparadas, justo ahora que la demanda empieza a recuperarse y las economías están reabriendo. </w:t>
      </w:r>
      <w:r w:rsidRPr="00602784">
        <w:rPr>
          <w:rFonts w:ascii="Times New Roman" w:hAnsi="Times New Roman" w:cs="Times New Roman"/>
          <w:color w:val="FF0000"/>
          <w:sz w:val="24"/>
          <w:szCs w:val="24"/>
          <w:u w:val="single"/>
        </w:rPr>
        <w:t>Esta combinación de factores podría generar una suerte de tormenta perfecta para los precios: la combinación de una oferta restringida, junto a una demanda hambrienta y con ganas de recuperar el tiempo perdido (inflación de ofe</w:t>
      </w:r>
      <w:r w:rsidR="008A7618" w:rsidRPr="00602784">
        <w:rPr>
          <w:rFonts w:ascii="Times New Roman" w:hAnsi="Times New Roman" w:cs="Times New Roman"/>
          <w:color w:val="FF0000"/>
          <w:sz w:val="24"/>
          <w:szCs w:val="24"/>
          <w:u w:val="single"/>
        </w:rPr>
        <w:t>rta y demanda juntas). “</w:t>
      </w:r>
      <w:r w:rsidRPr="00602784">
        <w:rPr>
          <w:rFonts w:ascii="Times New Roman" w:hAnsi="Times New Roman" w:cs="Times New Roman"/>
          <w:color w:val="FF0000"/>
          <w:sz w:val="24"/>
          <w:szCs w:val="24"/>
          <w:u w:val="single"/>
        </w:rPr>
        <w:t>Los riesgos claramente se inclin</w:t>
      </w:r>
      <w:r w:rsidR="008A7618" w:rsidRPr="00602784">
        <w:rPr>
          <w:rFonts w:ascii="Times New Roman" w:hAnsi="Times New Roman" w:cs="Times New Roman"/>
          <w:color w:val="FF0000"/>
          <w:sz w:val="24"/>
          <w:szCs w:val="24"/>
          <w:u w:val="single"/>
        </w:rPr>
        <w:t>an al alza en el entorno actual”</w:t>
      </w:r>
      <w:r w:rsidRPr="00602784">
        <w:rPr>
          <w:rFonts w:ascii="Times New Roman" w:hAnsi="Times New Roman" w:cs="Times New Roman"/>
          <w:color w:val="FF0000"/>
          <w:sz w:val="24"/>
          <w:szCs w:val="24"/>
          <w:u w:val="single"/>
        </w:rPr>
        <w:t xml:space="preserve">, asegura </w:t>
      </w:r>
      <w:r w:rsidR="008A7618" w:rsidRPr="00602784">
        <w:rPr>
          <w:rFonts w:ascii="Times New Roman" w:hAnsi="Times New Roman" w:cs="Times New Roman"/>
          <w:color w:val="FF0000"/>
          <w:sz w:val="24"/>
          <w:szCs w:val="24"/>
          <w:u w:val="single"/>
        </w:rPr>
        <w:t>John Mothersole de IHS Markit. “</w:t>
      </w:r>
      <w:r w:rsidRPr="00602784">
        <w:rPr>
          <w:rFonts w:ascii="Times New Roman" w:hAnsi="Times New Roman" w:cs="Times New Roman"/>
          <w:color w:val="FF0000"/>
          <w:sz w:val="24"/>
          <w:szCs w:val="24"/>
          <w:u w:val="single"/>
        </w:rPr>
        <w:t>El aumento de los precios de las materias primas durante el año pasado garantiza ahora una mayor inflación en muchos bienes pa</w:t>
      </w:r>
      <w:r w:rsidR="008A7618" w:rsidRPr="00602784">
        <w:rPr>
          <w:rFonts w:ascii="Times New Roman" w:hAnsi="Times New Roman" w:cs="Times New Roman"/>
          <w:color w:val="FF0000"/>
          <w:sz w:val="24"/>
          <w:szCs w:val="24"/>
          <w:u w:val="single"/>
        </w:rPr>
        <w:t>ra este verano”</w:t>
      </w:r>
      <w:r w:rsidRPr="00602784">
        <w:rPr>
          <w:rFonts w:ascii="Times New Roman" w:hAnsi="Times New Roman" w:cs="Times New Roman"/>
          <w:color w:val="FF0000"/>
          <w:sz w:val="24"/>
          <w:szCs w:val="24"/>
          <w:u w:val="single"/>
        </w:rPr>
        <w:t>.</w:t>
      </w:r>
    </w:p>
    <w:p w:rsidR="005B4A18" w:rsidRPr="00322055" w:rsidRDefault="005B4A18" w:rsidP="00FA4DA9">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El miedo a la inflación aumenta</w:t>
      </w:r>
    </w:p>
    <w:p w:rsidR="005B4A18" w:rsidRPr="00322055" w:rsidRDefault="005B4A18" w:rsidP="00FA4DA9">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Jamie Thompson, economista de Oxford Eco</w:t>
      </w:r>
      <w:r w:rsidR="008A7618">
        <w:rPr>
          <w:rFonts w:ascii="Times New Roman" w:hAnsi="Times New Roman" w:cs="Times New Roman"/>
          <w:sz w:val="24"/>
          <w:szCs w:val="24"/>
        </w:rPr>
        <w:t>nomics, señala en una nota que “</w:t>
      </w:r>
      <w:r w:rsidRPr="00322055">
        <w:rPr>
          <w:rFonts w:ascii="Times New Roman" w:hAnsi="Times New Roman" w:cs="Times New Roman"/>
          <w:sz w:val="24"/>
          <w:szCs w:val="24"/>
        </w:rPr>
        <w:t>las preocupaciones por la inflación a nivel global han aumentado. Alrededor de 1 de cada 7 encuestados (14%) ahora cita el potencial de una mayor inflación como el desencadenante de turbulencias en el mercado y como el principal riesgo a la baja a corto plazo, frente a 1 de cada 20 encuestados que señalaba este riesgo hace tres meses. La mitad de las empresas ahora ven la inflación como uno de</w:t>
      </w:r>
      <w:r w:rsidR="008A7618">
        <w:rPr>
          <w:rFonts w:ascii="Times New Roman" w:hAnsi="Times New Roman" w:cs="Times New Roman"/>
          <w:sz w:val="24"/>
          <w:szCs w:val="24"/>
        </w:rPr>
        <w:t xml:space="preserve"> los tres riesgos principales”</w:t>
      </w:r>
      <w:r>
        <w:rPr>
          <w:rFonts w:ascii="Times New Roman" w:hAnsi="Times New Roman" w:cs="Times New Roman"/>
          <w:sz w:val="24"/>
          <w:szCs w:val="24"/>
        </w:rPr>
        <w:t>.</w:t>
      </w:r>
    </w:p>
    <w:p w:rsidR="005B4A18" w:rsidRPr="00322055" w:rsidRDefault="005B4A18" w:rsidP="00FA4DA9">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lastRenderedPageBreak/>
        <w:t>En esa misma encuesta de Oxford Economics, las preocupaciones de las empresas a medio plazo son variadas. Alrededor de un tercio de los encuestados también citan los altos niveles de deuda, los riesgos geopolíticos y el cambio climático como el principal riesgo. No obstante, más de una cuarta parte cita el riesgo de que la inflación desencadene turbulencias en los mercados financieros como muy significativo, y el 75% lo considera sig</w:t>
      </w:r>
      <w:r>
        <w:rPr>
          <w:rFonts w:ascii="Times New Roman" w:hAnsi="Times New Roman" w:cs="Times New Roman"/>
          <w:sz w:val="24"/>
          <w:szCs w:val="24"/>
        </w:rPr>
        <w:t>nificativo o muy significativo.</w:t>
      </w:r>
    </w:p>
    <w:p w:rsidR="005B4A18" w:rsidRPr="008A7618" w:rsidRDefault="005B4A18" w:rsidP="00FA4DA9">
      <w:pPr>
        <w:spacing w:line="240" w:lineRule="auto"/>
        <w:jc w:val="both"/>
        <w:rPr>
          <w:rFonts w:ascii="Times New Roman" w:hAnsi="Times New Roman" w:cs="Times New Roman"/>
          <w:color w:val="FF0000"/>
          <w:sz w:val="24"/>
          <w:szCs w:val="24"/>
          <w:u w:val="single"/>
        </w:rPr>
      </w:pPr>
      <w:r w:rsidRPr="008A7618">
        <w:rPr>
          <w:rFonts w:ascii="Times New Roman" w:hAnsi="Times New Roman" w:cs="Times New Roman"/>
          <w:color w:val="FF0000"/>
          <w:sz w:val="24"/>
          <w:szCs w:val="24"/>
          <w:u w:val="single"/>
        </w:rPr>
        <w:t>Por ahora, el IPC armonizado ha pasado de tasas negativas en diciembre de 2020 a alcanzar el 1,6% en abril en la zona euro. En países como Alemania, España u Holanda, la inflación ya está avanzando a un ritmo superior al 2%. En el caso de EEUU, el IPC se ha establecido en el 2,6%, mientras que el PCE (también conocido como deflactor) ha superado el 2% y las expectativas de inflación están</w:t>
      </w:r>
      <w:r w:rsidR="008C381B">
        <w:rPr>
          <w:rFonts w:ascii="Times New Roman" w:hAnsi="Times New Roman" w:cs="Times New Roman"/>
          <w:color w:val="FF0000"/>
          <w:sz w:val="24"/>
          <w:szCs w:val="24"/>
          <w:u w:val="single"/>
        </w:rPr>
        <w:t xml:space="preserve"> en</w:t>
      </w:r>
      <w:r w:rsidRPr="008A7618">
        <w:rPr>
          <w:rFonts w:ascii="Times New Roman" w:hAnsi="Times New Roman" w:cs="Times New Roman"/>
          <w:color w:val="FF0000"/>
          <w:sz w:val="24"/>
          <w:szCs w:val="24"/>
          <w:u w:val="single"/>
        </w:rPr>
        <w:t xml:space="preserve"> máximos de una década. Se prevé que tanto en EEUU como en la zona euro la inflación supere durante algunos meses el 3%, aunque esta previsión podría estar incluso subestimada.</w:t>
      </w:r>
    </w:p>
    <w:p w:rsidR="005B4A18" w:rsidRPr="00322055" w:rsidRDefault="005B4A18" w:rsidP="00FA4DA9">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A los cuellos de botella, la caída de los inventarios y el alza de las materias primas, hay que sumarle los programas de estímulo de los gobiernos, que han protegido las rentas de las familias durante la crisis. Si el consumo recupera los niveles previos al covid o los supera (solo sucederá si se empieza a gastar el exceso de ahorro acumulado), la economía tendrá problemas para adaptarse a la nueva velocidad de la demanda. Esto es lo que se conoce en jerga económica como efectos de límite de velocidad. La economía podría necesitar un tiempo (para volver a contratar, abrir nuevas empresas, adquirir nuevo capital...) para satisfacer la demanda product</w:t>
      </w:r>
      <w:r>
        <w:rPr>
          <w:rFonts w:ascii="Times New Roman" w:hAnsi="Times New Roman" w:cs="Times New Roman"/>
          <w:sz w:val="24"/>
          <w:szCs w:val="24"/>
        </w:rPr>
        <w:t>o del fin de las restricciones.</w:t>
      </w:r>
    </w:p>
    <w:p w:rsidR="005B4A18" w:rsidRPr="008A7618" w:rsidRDefault="005B4A18" w:rsidP="00FA4DA9">
      <w:pPr>
        <w:spacing w:line="240" w:lineRule="auto"/>
        <w:jc w:val="both"/>
        <w:rPr>
          <w:rFonts w:ascii="Times New Roman" w:hAnsi="Times New Roman" w:cs="Times New Roman"/>
          <w:color w:val="FF0000"/>
          <w:sz w:val="24"/>
          <w:szCs w:val="24"/>
          <w:u w:val="single"/>
        </w:rPr>
      </w:pPr>
      <w:r w:rsidRPr="008A7618">
        <w:rPr>
          <w:rFonts w:ascii="Times New Roman" w:hAnsi="Times New Roman" w:cs="Times New Roman"/>
          <w:color w:val="FF0000"/>
          <w:sz w:val="24"/>
          <w:szCs w:val="24"/>
          <w:u w:val="single"/>
        </w:rPr>
        <w:t>Los economistas de la firma financiera Blackrock comentan en una nota para cl</w:t>
      </w:r>
      <w:r w:rsidR="008A7618" w:rsidRPr="008A7618">
        <w:rPr>
          <w:rFonts w:ascii="Times New Roman" w:hAnsi="Times New Roman" w:cs="Times New Roman"/>
          <w:color w:val="FF0000"/>
          <w:sz w:val="24"/>
          <w:szCs w:val="24"/>
          <w:u w:val="single"/>
        </w:rPr>
        <w:t>ientes que ante esta situación “</w:t>
      </w:r>
      <w:r w:rsidRPr="008A7618">
        <w:rPr>
          <w:rFonts w:ascii="Times New Roman" w:hAnsi="Times New Roman" w:cs="Times New Roman"/>
          <w:color w:val="FF0000"/>
          <w:sz w:val="24"/>
          <w:szCs w:val="24"/>
          <w:u w:val="single"/>
        </w:rPr>
        <w:t>veremos volatilidad a corto plazo en la inflación a medida que la economía se recupera, pero creemos que los mercados subestiman el potencial de las presiones al alza de los pr</w:t>
      </w:r>
      <w:r w:rsidR="008A7618" w:rsidRPr="008A7618">
        <w:rPr>
          <w:rFonts w:ascii="Times New Roman" w:hAnsi="Times New Roman" w:cs="Times New Roman"/>
          <w:color w:val="FF0000"/>
          <w:sz w:val="24"/>
          <w:szCs w:val="24"/>
          <w:u w:val="single"/>
        </w:rPr>
        <w:t>ecios a medio plazo”</w:t>
      </w:r>
      <w:r w:rsidRPr="008A7618">
        <w:rPr>
          <w:rFonts w:ascii="Times New Roman" w:hAnsi="Times New Roman" w:cs="Times New Roman"/>
          <w:color w:val="FF0000"/>
          <w:sz w:val="24"/>
          <w:szCs w:val="24"/>
          <w:u w:val="single"/>
        </w:rPr>
        <w:t>. La inflación podría situarse fácilmente por encima del 3% en EEUU durante los próximos años.</w:t>
      </w:r>
    </w:p>
    <w:p w:rsidR="005B4A18" w:rsidRPr="00322055" w:rsidRDefault="005B4A18" w:rsidP="00FA4DA9">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Una crisis con un impacto similar al de un desastre natural</w:t>
      </w:r>
    </w:p>
    <w:p w:rsidR="005B4A18" w:rsidRPr="00322055" w:rsidRDefault="005B4A18" w:rsidP="00FA4DA9">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 xml:space="preserve">Estos expertos argumentan que el impacto del covid sobre la economía ha sido más parecido al de un desastre natural </w:t>
      </w:r>
      <w:r w:rsidR="008A7618">
        <w:rPr>
          <w:rFonts w:ascii="Times New Roman" w:hAnsi="Times New Roman" w:cs="Times New Roman"/>
          <w:sz w:val="24"/>
          <w:szCs w:val="24"/>
        </w:rPr>
        <w:t>que viene seguido de un rápido “reinicio”</w:t>
      </w:r>
      <w:r w:rsidRPr="00322055">
        <w:rPr>
          <w:rFonts w:ascii="Times New Roman" w:hAnsi="Times New Roman" w:cs="Times New Roman"/>
          <w:sz w:val="24"/>
          <w:szCs w:val="24"/>
        </w:rPr>
        <w:t xml:space="preserve"> rápido, que al de una recesión tradicional que termina co</w:t>
      </w:r>
      <w:r w:rsidR="008A7618">
        <w:rPr>
          <w:rFonts w:ascii="Times New Roman" w:hAnsi="Times New Roman" w:cs="Times New Roman"/>
          <w:sz w:val="24"/>
          <w:szCs w:val="24"/>
        </w:rPr>
        <w:t>n una recuperación progresiva. “</w:t>
      </w:r>
      <w:r w:rsidRPr="00322055">
        <w:rPr>
          <w:rFonts w:ascii="Times New Roman" w:hAnsi="Times New Roman" w:cs="Times New Roman"/>
          <w:sz w:val="24"/>
          <w:szCs w:val="24"/>
        </w:rPr>
        <w:t>Consideramos que esta naturaleza distinta del shock tiene profundas implicaciones para la inflación: la pandemia no provocó un déficit típico de la demanda como en las recesiones normales; porque ha provocado déficits tanto en la oferta como en la demanda. A medida que la economía reabra, tanto los cuellos de botella de la oferta como la demanda repri</w:t>
      </w:r>
      <w:r w:rsidR="008A7618">
        <w:rPr>
          <w:rFonts w:ascii="Times New Roman" w:hAnsi="Times New Roman" w:cs="Times New Roman"/>
          <w:sz w:val="24"/>
          <w:szCs w:val="24"/>
        </w:rPr>
        <w:t>mida irán cobrando protagonismo”</w:t>
      </w:r>
      <w:r w:rsidRPr="00322055">
        <w:rPr>
          <w:rFonts w:ascii="Times New Roman" w:hAnsi="Times New Roman" w:cs="Times New Roman"/>
          <w:sz w:val="24"/>
          <w:szCs w:val="24"/>
        </w:rPr>
        <w:t>, asegu</w:t>
      </w:r>
      <w:r>
        <w:rPr>
          <w:rFonts w:ascii="Times New Roman" w:hAnsi="Times New Roman" w:cs="Times New Roman"/>
          <w:sz w:val="24"/>
          <w:szCs w:val="24"/>
        </w:rPr>
        <w:t>ran los analistas de Blackrock.</w:t>
      </w:r>
    </w:p>
    <w:p w:rsidR="005B4A18" w:rsidRPr="008A7618" w:rsidRDefault="005B4A18" w:rsidP="00FA4DA9">
      <w:pPr>
        <w:spacing w:line="240" w:lineRule="auto"/>
        <w:jc w:val="both"/>
        <w:rPr>
          <w:rFonts w:ascii="Times New Roman" w:hAnsi="Times New Roman" w:cs="Times New Roman"/>
          <w:color w:val="FF0000"/>
          <w:sz w:val="24"/>
          <w:szCs w:val="24"/>
          <w:u w:val="single"/>
        </w:rPr>
      </w:pPr>
      <w:r w:rsidRPr="008A7618">
        <w:rPr>
          <w:rFonts w:ascii="Times New Roman" w:hAnsi="Times New Roman" w:cs="Times New Roman"/>
          <w:color w:val="FF0000"/>
          <w:sz w:val="24"/>
          <w:szCs w:val="24"/>
          <w:u w:val="single"/>
        </w:rPr>
        <w:t>Desde Bank of America Merrill Lynch exponían en un trabajo reciente que la inflación podría sorprender al alza y poner nerviosos a los mercados. Por ahora, las bolsas no han hecho otra cosa que subir y subir, no solo por las expectativas de recuperación real (PIB real), también por una previsión de precios al alza que permitirá unos márgenes mayores en algunos sectores.</w:t>
      </w:r>
    </w:p>
    <w:p w:rsidR="005B4A18" w:rsidRPr="008A7618" w:rsidRDefault="008A7618" w:rsidP="00FA4DA9">
      <w:pPr>
        <w:spacing w:line="240" w:lineRule="auto"/>
        <w:jc w:val="both"/>
        <w:rPr>
          <w:rFonts w:ascii="Times New Roman" w:hAnsi="Times New Roman" w:cs="Times New Roman"/>
          <w:color w:val="FF0000"/>
          <w:sz w:val="24"/>
          <w:szCs w:val="24"/>
          <w:u w:val="single"/>
        </w:rPr>
      </w:pPr>
      <w:r w:rsidRPr="008A7618">
        <w:rPr>
          <w:rFonts w:ascii="Times New Roman" w:hAnsi="Times New Roman" w:cs="Times New Roman"/>
          <w:color w:val="FF0000"/>
          <w:sz w:val="24"/>
          <w:szCs w:val="24"/>
          <w:u w:val="single"/>
        </w:rPr>
        <w:t>“</w:t>
      </w:r>
      <w:r w:rsidR="005B4A18" w:rsidRPr="008A7618">
        <w:rPr>
          <w:rFonts w:ascii="Times New Roman" w:hAnsi="Times New Roman" w:cs="Times New Roman"/>
          <w:color w:val="FF0000"/>
          <w:sz w:val="24"/>
          <w:szCs w:val="24"/>
          <w:u w:val="single"/>
        </w:rPr>
        <w:t>En los próximos meses, vemos una inflación sorprendente al alza a medida que la economía se recupera. Una señal de alerta temprana ha sido el aumento en las tarifas de los fletes. Los precios del petróleo parecen estar a punto de duplicarse con respecto a 2020. Los precios de los alimentos también se están acelera</w:t>
      </w:r>
      <w:r w:rsidRPr="008A7618">
        <w:rPr>
          <w:rFonts w:ascii="Times New Roman" w:hAnsi="Times New Roman" w:cs="Times New Roman"/>
          <w:color w:val="FF0000"/>
          <w:sz w:val="24"/>
          <w:szCs w:val="24"/>
          <w:u w:val="single"/>
        </w:rPr>
        <w:t>ndo”</w:t>
      </w:r>
      <w:r w:rsidR="005B4A18" w:rsidRPr="008A7618">
        <w:rPr>
          <w:rFonts w:ascii="Times New Roman" w:hAnsi="Times New Roman" w:cs="Times New Roman"/>
          <w:color w:val="FF0000"/>
          <w:sz w:val="24"/>
          <w:szCs w:val="24"/>
          <w:u w:val="single"/>
        </w:rPr>
        <w:t xml:space="preserve">, sostienen los analistas de BofA. No obstante, </w:t>
      </w:r>
      <w:r w:rsidR="005B4A18" w:rsidRPr="008A7618">
        <w:rPr>
          <w:rFonts w:ascii="Times New Roman" w:hAnsi="Times New Roman" w:cs="Times New Roman"/>
          <w:color w:val="FF0000"/>
          <w:sz w:val="24"/>
          <w:szCs w:val="24"/>
          <w:u w:val="single"/>
        </w:rPr>
        <w:lastRenderedPageBreak/>
        <w:t>reconocen que este aumento de la inflación se debe en gran parte a los bajos precios registrados en 2020.</w:t>
      </w:r>
    </w:p>
    <w:p w:rsidR="005B4A18" w:rsidRPr="00322055" w:rsidRDefault="005B4A18" w:rsidP="00FA4DA9">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Pero aun así hay tendencias de fondo que no se están teniendo en cuenta en el presente, pero que también podrían estar empezando a jugar un papel relevante. La reversión de la globalización puede ser uno de ellos. La transición primero y unos mayores costes de producción después pueden presionar al alza los precios de muchos bienes que hoy se producen en países con costes laborales muy bajos. Además, la jubilación de la generación del baby boom puede agudizar la escasez de ciertos perfiles en el mercado laboral, incrementando los costes de producción (los laborales en este caso)</w:t>
      </w:r>
      <w:r>
        <w:rPr>
          <w:rFonts w:ascii="Times New Roman" w:hAnsi="Times New Roman" w:cs="Times New Roman"/>
          <w:sz w:val="24"/>
          <w:szCs w:val="24"/>
        </w:rPr>
        <w:t xml:space="preserve"> de algunos bienes y servicios.</w:t>
      </w:r>
    </w:p>
    <w:p w:rsidR="005B4A18" w:rsidRPr="008A7618" w:rsidRDefault="005B4A18" w:rsidP="00FA4DA9">
      <w:pPr>
        <w:spacing w:line="240" w:lineRule="auto"/>
        <w:jc w:val="both"/>
        <w:rPr>
          <w:rFonts w:ascii="Times New Roman" w:hAnsi="Times New Roman" w:cs="Times New Roman"/>
          <w:color w:val="FF0000"/>
          <w:sz w:val="24"/>
          <w:szCs w:val="24"/>
          <w:u w:val="single"/>
        </w:rPr>
      </w:pPr>
      <w:r w:rsidRPr="008A7618">
        <w:rPr>
          <w:rFonts w:ascii="Times New Roman" w:hAnsi="Times New Roman" w:cs="Times New Roman"/>
          <w:color w:val="FF0000"/>
          <w:sz w:val="24"/>
          <w:szCs w:val="24"/>
          <w:u w:val="single"/>
        </w:rPr>
        <w:t>Aunque la preocupación sobre la inflación se está agudizando en todas partes, en Europa sigue siendo difícil ver algo</w:t>
      </w:r>
      <w:r w:rsidR="008A7618" w:rsidRPr="008A7618">
        <w:rPr>
          <w:rFonts w:ascii="Times New Roman" w:hAnsi="Times New Roman" w:cs="Times New Roman"/>
          <w:color w:val="FF0000"/>
          <w:sz w:val="24"/>
          <w:szCs w:val="24"/>
          <w:u w:val="single"/>
        </w:rPr>
        <w:t xml:space="preserve"> más allá de un susto en 2021. “</w:t>
      </w:r>
      <w:r w:rsidRPr="008A7618">
        <w:rPr>
          <w:rFonts w:ascii="Times New Roman" w:hAnsi="Times New Roman" w:cs="Times New Roman"/>
          <w:color w:val="FF0000"/>
          <w:sz w:val="24"/>
          <w:szCs w:val="24"/>
          <w:u w:val="single"/>
        </w:rPr>
        <w:t>El débil estado de los mercados laborales en Europa sigue siendo un motivo clave para nuestras moderadas perspectivas de inflación a medio plazo. La inflación puede sorprender al alza este año, ya que la demanda se está recuperando en un entorno de oferta restringida y mayores costes de insumos, lo que podría afectar a las expectativas de inflación de los hogares, complicando la comunicación del BCE en el segundo semestre. Sin embargo, dada la cantidad de mano de obra inutilizada (parados, ertes, inactivos...), vemos pocas posibilidades de un aumento sustancial de los salarios, el ingrediente clave para l</w:t>
      </w:r>
      <w:r w:rsidR="008A7618" w:rsidRPr="008A7618">
        <w:rPr>
          <w:rFonts w:ascii="Times New Roman" w:hAnsi="Times New Roman" w:cs="Times New Roman"/>
          <w:color w:val="FF0000"/>
          <w:sz w:val="24"/>
          <w:szCs w:val="24"/>
          <w:u w:val="single"/>
        </w:rPr>
        <w:t>a inflación subyacente avance”</w:t>
      </w:r>
      <w:r w:rsidRPr="008A7618">
        <w:rPr>
          <w:rFonts w:ascii="Times New Roman" w:hAnsi="Times New Roman" w:cs="Times New Roman"/>
          <w:color w:val="FF0000"/>
          <w:sz w:val="24"/>
          <w:szCs w:val="24"/>
          <w:u w:val="single"/>
        </w:rPr>
        <w:t>, comenta Anatoli Annenkov, economista de Societe Generale.</w:t>
      </w:r>
    </w:p>
    <w:p w:rsidR="005B4A18" w:rsidRDefault="005B4A18"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A3B79">
        <w:rPr>
          <w:rFonts w:ascii="Times New Roman" w:hAnsi="Times New Roman" w:cs="Times New Roman"/>
          <w:sz w:val="24"/>
          <w:szCs w:val="24"/>
          <w:u w:val="single"/>
        </w:rPr>
        <w:t>BofA alerta de que los riesgos de fragilidad en el mercado son los más altos de la historia debido a la alta dependencia de la Fed</w:t>
      </w:r>
      <w:r>
        <w:rPr>
          <w:rFonts w:ascii="Times New Roman" w:hAnsi="Times New Roman" w:cs="Times New Roman"/>
          <w:sz w:val="24"/>
          <w:szCs w:val="24"/>
        </w:rPr>
        <w:t xml:space="preserve"> (El Economista - </w:t>
      </w:r>
      <w:r w:rsidRPr="007A3B79">
        <w:rPr>
          <w:rFonts w:ascii="Times New Roman" w:hAnsi="Times New Roman" w:cs="Times New Roman"/>
          <w:b/>
          <w:sz w:val="24"/>
          <w:szCs w:val="24"/>
        </w:rPr>
        <w:t>12/5/21</w:t>
      </w:r>
      <w:r>
        <w:rPr>
          <w:rFonts w:ascii="Times New Roman" w:hAnsi="Times New Roman" w:cs="Times New Roman"/>
          <w:sz w:val="24"/>
          <w:szCs w:val="24"/>
        </w:rPr>
        <w:t>)</w:t>
      </w:r>
    </w:p>
    <w:p w:rsidR="005B4A18" w:rsidRPr="00A03124" w:rsidRDefault="005B4A18" w:rsidP="00FA4DA9">
      <w:pPr>
        <w:spacing w:line="240" w:lineRule="auto"/>
        <w:jc w:val="both"/>
        <w:rPr>
          <w:rFonts w:ascii="Times New Roman" w:hAnsi="Times New Roman" w:cs="Times New Roman"/>
          <w:b/>
          <w:color w:val="FF0000"/>
          <w:sz w:val="24"/>
          <w:szCs w:val="24"/>
          <w:u w:val="single"/>
        </w:rPr>
      </w:pPr>
      <w:r w:rsidRPr="00A03124">
        <w:rPr>
          <w:rFonts w:ascii="Times New Roman" w:hAnsi="Times New Roman" w:cs="Times New Roman"/>
          <w:b/>
          <w:color w:val="FF0000"/>
          <w:sz w:val="24"/>
          <w:szCs w:val="24"/>
          <w:u w:val="single"/>
        </w:rPr>
        <w:t>Desde Bank of America alertan de que los riesgos de fragilidad en el mercado son los más altos de la historia, ya que los selectivos nunca habían dependido tanto de los estímulos de la Fed para continuar marcando ganancias.</w:t>
      </w:r>
    </w:p>
    <w:p w:rsidR="005B4A18" w:rsidRPr="00A03124" w:rsidRDefault="00A03124" w:rsidP="00FA4DA9">
      <w:pPr>
        <w:spacing w:line="240" w:lineRule="auto"/>
        <w:jc w:val="both"/>
        <w:rPr>
          <w:rFonts w:ascii="Times New Roman" w:hAnsi="Times New Roman" w:cs="Times New Roman"/>
          <w:b/>
          <w:color w:val="FF0000"/>
          <w:sz w:val="24"/>
          <w:szCs w:val="24"/>
          <w:u w:val="single"/>
        </w:rPr>
      </w:pPr>
      <w:r>
        <w:rPr>
          <w:rFonts w:ascii="Times New Roman" w:hAnsi="Times New Roman" w:cs="Times New Roman"/>
          <w:b/>
          <w:color w:val="FF0000"/>
          <w:sz w:val="24"/>
          <w:szCs w:val="24"/>
          <w:u w:val="single"/>
        </w:rPr>
        <w:t>“</w:t>
      </w:r>
      <w:r w:rsidR="005B4A18" w:rsidRPr="00A03124">
        <w:rPr>
          <w:rFonts w:ascii="Times New Roman" w:hAnsi="Times New Roman" w:cs="Times New Roman"/>
          <w:b/>
          <w:color w:val="FF0000"/>
          <w:sz w:val="24"/>
          <w:szCs w:val="24"/>
          <w:u w:val="single"/>
        </w:rPr>
        <w:t>Los mercados siguen siendo demasiado dependientes de la Fed y son inherentemente frágiles. Dos de los cuatro shocks de fragilidad más grandes desde 1928 se observaron en el índice S&amp;P 500 en sol</w:t>
      </w:r>
      <w:r>
        <w:rPr>
          <w:rFonts w:ascii="Times New Roman" w:hAnsi="Times New Roman" w:cs="Times New Roman"/>
          <w:b/>
          <w:color w:val="FF0000"/>
          <w:sz w:val="24"/>
          <w:szCs w:val="24"/>
          <w:u w:val="single"/>
        </w:rPr>
        <w:t>o los últimos tres años y medio”</w:t>
      </w:r>
      <w:r w:rsidR="005B4A18" w:rsidRPr="00A03124">
        <w:rPr>
          <w:rFonts w:ascii="Times New Roman" w:hAnsi="Times New Roman" w:cs="Times New Roman"/>
          <w:b/>
          <w:color w:val="FF0000"/>
          <w:sz w:val="24"/>
          <w:szCs w:val="24"/>
          <w:u w:val="single"/>
        </w:rPr>
        <w:t>, afirmaron los expertos de la entidad.</w:t>
      </w:r>
    </w:p>
    <w:p w:rsidR="005B4A18" w:rsidRPr="00A03124" w:rsidRDefault="005B4A18" w:rsidP="00FA4DA9">
      <w:pPr>
        <w:spacing w:line="240" w:lineRule="auto"/>
        <w:jc w:val="both"/>
        <w:rPr>
          <w:rFonts w:ascii="Times New Roman" w:hAnsi="Times New Roman" w:cs="Times New Roman"/>
          <w:color w:val="FF0000"/>
          <w:sz w:val="24"/>
          <w:szCs w:val="24"/>
          <w:u w:val="single"/>
        </w:rPr>
      </w:pPr>
      <w:r w:rsidRPr="007A3B79">
        <w:rPr>
          <w:rFonts w:ascii="Times New Roman" w:hAnsi="Times New Roman" w:cs="Times New Roman"/>
          <w:sz w:val="24"/>
          <w:szCs w:val="24"/>
        </w:rPr>
        <w:t xml:space="preserve">Desde la entidad recalcan que el mercado de valores es vulnerable después de la gran recuperación que ha vivido desde los mínimos del crash del coronavirus y gracias a los amplios estímulos puestos en marcha por la Fed para salvar la economía y la bolsa estadounidense. </w:t>
      </w:r>
      <w:r w:rsidRPr="00A03124">
        <w:rPr>
          <w:rFonts w:ascii="Times New Roman" w:hAnsi="Times New Roman" w:cs="Times New Roman"/>
          <w:color w:val="FF0000"/>
          <w:sz w:val="24"/>
          <w:szCs w:val="24"/>
          <w:u w:val="single"/>
        </w:rPr>
        <w:t>El S&amp;P 500 se ha disparado casi un 90% desde su mínimo de marzo de 2020, lo que supone el segundo rally más rápido para las acciones de EEUU desde 1928.</w:t>
      </w:r>
    </w:p>
    <w:p w:rsidR="005B4A18" w:rsidRPr="00A03124" w:rsidRDefault="005B4A18" w:rsidP="00FA4DA9">
      <w:pPr>
        <w:spacing w:line="240" w:lineRule="auto"/>
        <w:jc w:val="both"/>
        <w:rPr>
          <w:rFonts w:ascii="Times New Roman" w:hAnsi="Times New Roman" w:cs="Times New Roman"/>
          <w:b/>
          <w:color w:val="FF0000"/>
          <w:sz w:val="24"/>
          <w:szCs w:val="24"/>
          <w:u w:val="single"/>
        </w:rPr>
      </w:pPr>
      <w:r w:rsidRPr="00A03124">
        <w:rPr>
          <w:rFonts w:ascii="Times New Roman" w:hAnsi="Times New Roman" w:cs="Times New Roman"/>
          <w:b/>
          <w:color w:val="FF0000"/>
          <w:sz w:val="24"/>
          <w:szCs w:val="24"/>
          <w:u w:val="single"/>
        </w:rPr>
        <w:t>A los inversores les preocupa que las señales de un aumento de la inflación puedan hacer que la Fed reduzca sus compras de activos o aumente los tipos de interés de antes de lo previsto. Una Reserva Federal menos acomodaticia podría perjudicar las valoraciones de las acciones de alto crecimiento que cotizan actualmente sobre ratios muy elevados.</w:t>
      </w:r>
    </w:p>
    <w:p w:rsidR="005B4A18" w:rsidRPr="007A3B79" w:rsidRDefault="005B4A18" w:rsidP="00FA4DA9">
      <w:pPr>
        <w:spacing w:line="240" w:lineRule="auto"/>
        <w:jc w:val="both"/>
        <w:rPr>
          <w:rFonts w:ascii="Times New Roman" w:hAnsi="Times New Roman" w:cs="Times New Roman"/>
          <w:sz w:val="24"/>
          <w:szCs w:val="24"/>
        </w:rPr>
      </w:pPr>
      <w:r w:rsidRPr="007A3B79">
        <w:rPr>
          <w:rFonts w:ascii="Times New Roman" w:hAnsi="Times New Roman" w:cs="Times New Roman"/>
          <w:sz w:val="24"/>
          <w:szCs w:val="24"/>
        </w:rPr>
        <w:t>El viernes pasado, la reacción del mercado a unos datos de empleo más débiles de lo previsto subrayó su dep</w:t>
      </w:r>
      <w:r w:rsidR="00A03124">
        <w:rPr>
          <w:rFonts w:ascii="Times New Roman" w:hAnsi="Times New Roman" w:cs="Times New Roman"/>
          <w:sz w:val="24"/>
          <w:szCs w:val="24"/>
        </w:rPr>
        <w:t>endencia de la Fed, ya que las “malas noticias” fueron tratadas como “buenas noticias”</w:t>
      </w:r>
      <w:r w:rsidRPr="007A3B79">
        <w:rPr>
          <w:rFonts w:ascii="Times New Roman" w:hAnsi="Times New Roman" w:cs="Times New Roman"/>
          <w:sz w:val="24"/>
          <w:szCs w:val="24"/>
        </w:rPr>
        <w:t>, según los analistas del banco de inversión, que señalaron el salt</w:t>
      </w:r>
      <w:r w:rsidR="00A03124">
        <w:rPr>
          <w:rFonts w:ascii="Times New Roman" w:hAnsi="Times New Roman" w:cs="Times New Roman"/>
          <w:sz w:val="24"/>
          <w:szCs w:val="24"/>
        </w:rPr>
        <w:t>o de ese día en la tecnología. “</w:t>
      </w:r>
      <w:r w:rsidRPr="007A3B79">
        <w:rPr>
          <w:rFonts w:ascii="Times New Roman" w:hAnsi="Times New Roman" w:cs="Times New Roman"/>
          <w:sz w:val="24"/>
          <w:szCs w:val="24"/>
        </w:rPr>
        <w:t xml:space="preserve">En otras palabras, los inversores del mercado de valores tomaron el </w:t>
      </w:r>
      <w:r w:rsidRPr="007A3B79">
        <w:rPr>
          <w:rFonts w:ascii="Times New Roman" w:hAnsi="Times New Roman" w:cs="Times New Roman"/>
          <w:sz w:val="24"/>
          <w:szCs w:val="24"/>
        </w:rPr>
        <w:lastRenderedPageBreak/>
        <w:t>decepcionante informe de empleo como una razón para que el banco central se mantuviera moderado y por ello algunos valores repuntaron en vez de retr</w:t>
      </w:r>
      <w:r w:rsidR="00A03124">
        <w:rPr>
          <w:rFonts w:ascii="Times New Roman" w:hAnsi="Times New Roman" w:cs="Times New Roman"/>
          <w:sz w:val="24"/>
          <w:szCs w:val="24"/>
        </w:rPr>
        <w:t>oceder”</w:t>
      </w:r>
      <w:r>
        <w:rPr>
          <w:rFonts w:ascii="Times New Roman" w:hAnsi="Times New Roman" w:cs="Times New Roman"/>
          <w:sz w:val="24"/>
          <w:szCs w:val="24"/>
        </w:rPr>
        <w:t>, declaran los expertos.</w:t>
      </w:r>
    </w:p>
    <w:p w:rsidR="005B4A18" w:rsidRPr="003D0C1A" w:rsidRDefault="00A03124" w:rsidP="00FA4DA9">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5B4A18" w:rsidRPr="003D0C1A">
        <w:rPr>
          <w:rFonts w:ascii="Times New Roman" w:hAnsi="Times New Roman" w:cs="Times New Roman"/>
          <w:color w:val="FF0000"/>
          <w:sz w:val="24"/>
          <w:szCs w:val="24"/>
          <w:u w:val="single"/>
        </w:rPr>
        <w:t>La Fed tiene pisado el acelerador a fondo tratando de restaurar el mercado laboral anterior. Si bien la Fed no puede permitirse el lujo de parecer insegura, su confianza dogmática de que la inflación no se volverá proble</w:t>
      </w:r>
      <w:r>
        <w:rPr>
          <w:rFonts w:ascii="Times New Roman" w:hAnsi="Times New Roman" w:cs="Times New Roman"/>
          <w:color w:val="FF0000"/>
          <w:sz w:val="24"/>
          <w:szCs w:val="24"/>
          <w:u w:val="single"/>
        </w:rPr>
        <w:t>mática es igualmente sospechosa”</w:t>
      </w:r>
      <w:r w:rsidR="005B4A18" w:rsidRPr="003D0C1A">
        <w:rPr>
          <w:rFonts w:ascii="Times New Roman" w:hAnsi="Times New Roman" w:cs="Times New Roman"/>
          <w:color w:val="FF0000"/>
          <w:sz w:val="24"/>
          <w:szCs w:val="24"/>
          <w:u w:val="single"/>
        </w:rPr>
        <w:t>, añadieron los analistas.</w:t>
      </w:r>
    </w:p>
    <w:p w:rsidR="005B4A18" w:rsidRPr="007A3B79" w:rsidRDefault="005B4A18" w:rsidP="00FA4DA9">
      <w:pPr>
        <w:spacing w:line="240" w:lineRule="auto"/>
        <w:jc w:val="both"/>
        <w:rPr>
          <w:rFonts w:ascii="Times New Roman" w:hAnsi="Times New Roman" w:cs="Times New Roman"/>
          <w:sz w:val="24"/>
          <w:szCs w:val="24"/>
        </w:rPr>
      </w:pPr>
      <w:r w:rsidRPr="003D0C1A">
        <w:rPr>
          <w:rFonts w:ascii="Times New Roman" w:hAnsi="Times New Roman" w:cs="Times New Roman"/>
          <w:sz w:val="24"/>
          <w:szCs w:val="24"/>
          <w:u w:val="single"/>
        </w:rPr>
        <w:t xml:space="preserve">Desde BofA alertan de los riesgos actuales del mercado y la fragilidad sobre la que cotizan los índices. </w:t>
      </w:r>
      <w:r w:rsidR="00A03124">
        <w:rPr>
          <w:rFonts w:ascii="Times New Roman" w:hAnsi="Times New Roman" w:cs="Times New Roman"/>
          <w:sz w:val="24"/>
          <w:szCs w:val="24"/>
        </w:rPr>
        <w:t>“</w:t>
      </w:r>
      <w:r w:rsidRPr="007A3B79">
        <w:rPr>
          <w:rFonts w:ascii="Times New Roman" w:hAnsi="Times New Roman" w:cs="Times New Roman"/>
          <w:sz w:val="24"/>
          <w:szCs w:val="24"/>
        </w:rPr>
        <w:t>Es probable que los mercados tengan que caminar sobre la cuerda floja del mercado goldilocks durante el verano. Eso significa que los inversores deberán navegar en un territorio cada vez más complicado en el que están evitando tanto los riesgos al alza de la inflación y el sobrecalentamiento como el riesgo a la baja de que la inmunidad colectiva sigue sin estar cerca mientras persiste la pan</w:t>
      </w:r>
      <w:r w:rsidR="00A03124">
        <w:rPr>
          <w:rFonts w:ascii="Times New Roman" w:hAnsi="Times New Roman" w:cs="Times New Roman"/>
          <w:sz w:val="24"/>
          <w:szCs w:val="24"/>
        </w:rPr>
        <w:t>demia”</w:t>
      </w:r>
      <w:r>
        <w:rPr>
          <w:rFonts w:ascii="Times New Roman" w:hAnsi="Times New Roman" w:cs="Times New Roman"/>
          <w:sz w:val="24"/>
          <w:szCs w:val="24"/>
        </w:rPr>
        <w:t>, declaran los analistas.</w:t>
      </w:r>
    </w:p>
    <w:p w:rsidR="005B4A18" w:rsidRPr="003D0C1A" w:rsidRDefault="005B4A18" w:rsidP="00FA4DA9">
      <w:pPr>
        <w:spacing w:line="240" w:lineRule="auto"/>
        <w:jc w:val="both"/>
        <w:rPr>
          <w:rFonts w:ascii="Times New Roman" w:hAnsi="Times New Roman" w:cs="Times New Roman"/>
          <w:sz w:val="24"/>
          <w:szCs w:val="24"/>
          <w:u w:val="single"/>
        </w:rPr>
      </w:pPr>
      <w:r w:rsidRPr="003D0C1A">
        <w:rPr>
          <w:rFonts w:ascii="Times New Roman" w:hAnsi="Times New Roman" w:cs="Times New Roman"/>
          <w:sz w:val="24"/>
          <w:szCs w:val="24"/>
          <w:u w:val="single"/>
        </w:rPr>
        <w:t>El futuro es incierto pero según la entidad la fragilidad volverá a golpear a medida que las valoraciones y el posicionamiento parezcan estirados, ya que la liquidez comercial sigue siendo escasa.</w:t>
      </w:r>
    </w:p>
    <w:p w:rsidR="005B4A18" w:rsidRPr="0017131F" w:rsidRDefault="005B4A18"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7131F">
        <w:rPr>
          <w:rFonts w:ascii="Times New Roman" w:hAnsi="Times New Roman" w:cs="Times New Roman"/>
          <w:sz w:val="24"/>
          <w:szCs w:val="24"/>
          <w:u w:val="single"/>
        </w:rPr>
        <w:t>Guía para aprovechar los estímulos fiscales que impulsarán el PIB y a las Bolsas</w:t>
      </w:r>
      <w:r>
        <w:rPr>
          <w:rFonts w:ascii="Times New Roman" w:hAnsi="Times New Roman" w:cs="Times New Roman"/>
          <w:sz w:val="24"/>
          <w:szCs w:val="24"/>
        </w:rPr>
        <w:t xml:space="preserve"> (Cinco Días - </w:t>
      </w:r>
      <w:r w:rsidRPr="0017131F">
        <w:rPr>
          <w:rFonts w:ascii="Times New Roman" w:hAnsi="Times New Roman" w:cs="Times New Roman"/>
          <w:b/>
          <w:sz w:val="24"/>
          <w:szCs w:val="24"/>
        </w:rPr>
        <w:t>15/5/21</w:t>
      </w:r>
      <w:r>
        <w:rPr>
          <w:rFonts w:ascii="Times New Roman" w:hAnsi="Times New Roman" w:cs="Times New Roman"/>
          <w:sz w:val="24"/>
          <w:szCs w:val="24"/>
        </w:rPr>
        <w:t>)</w:t>
      </w:r>
    </w:p>
    <w:p w:rsidR="00A03124" w:rsidRPr="0017131F" w:rsidRDefault="00A03124"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(Por Nuria Salobral - Miguel Moreno Mendieta)</w:t>
      </w:r>
    </w:p>
    <w:p w:rsidR="005B4A18" w:rsidRPr="00A03124" w:rsidRDefault="005B4A18" w:rsidP="00FA4DA9">
      <w:pPr>
        <w:spacing w:line="240" w:lineRule="auto"/>
        <w:jc w:val="both"/>
        <w:rPr>
          <w:rFonts w:ascii="Times New Roman" w:hAnsi="Times New Roman" w:cs="Times New Roman"/>
          <w:color w:val="FF0000"/>
          <w:sz w:val="24"/>
          <w:szCs w:val="24"/>
          <w:u w:val="single"/>
        </w:rPr>
      </w:pPr>
      <w:r w:rsidRPr="00A03124">
        <w:rPr>
          <w:rFonts w:ascii="Times New Roman" w:hAnsi="Times New Roman" w:cs="Times New Roman"/>
          <w:color w:val="FF0000"/>
          <w:sz w:val="24"/>
          <w:szCs w:val="24"/>
          <w:u w:val="single"/>
        </w:rPr>
        <w:t>Esta vez ha sido muy diferente. La austeridad ha sido desterrada completamente de la respuesta dada por las economías desarrolladas a la crisis por la pandemia del coronavirus. A diferencia de la crisis anterior iniciada en 2008, los mercados financieros tampoco han ejercido presión alguna sobre la enorme emisión de deuda soberana necesaria para afrontar un gasto público disparado y unas arcas públicas muy mermadas. Los bancos centrales han dado sin cesar a la manivela de crear dinero y han garantizado un coste de financiación barato con el que sufragar un volumen de gasto fiscal nunca visto. Ambos apoyos, el fiscal y el monetario, han servido además para alimentar las ganancias bursátiles y van a seguir favoreciendo la toma de riesgo y el hallazgo de claras oportunidades de inversión con miras a largo plazo.</w:t>
      </w:r>
    </w:p>
    <w:p w:rsidR="005B4A18" w:rsidRPr="0017131F" w:rsidRDefault="005B4A18" w:rsidP="00FA4DA9">
      <w:pPr>
        <w:spacing w:line="240" w:lineRule="auto"/>
        <w:jc w:val="both"/>
        <w:rPr>
          <w:rFonts w:ascii="Times New Roman" w:hAnsi="Times New Roman" w:cs="Times New Roman"/>
          <w:sz w:val="24"/>
          <w:szCs w:val="24"/>
        </w:rPr>
      </w:pPr>
      <w:r w:rsidRPr="0017131F">
        <w:rPr>
          <w:rFonts w:ascii="Times New Roman" w:hAnsi="Times New Roman" w:cs="Times New Roman"/>
          <w:sz w:val="24"/>
          <w:szCs w:val="24"/>
        </w:rPr>
        <w:t>La primera fase de los estímulos fiscales fue la de emergencia. Y en 2021 llega el momento de los estímulos dirigidos a la reconstrucción en el medio plazo, con el diseño de planes de permitan encarar los grandes desafíos del futuro, el cambio</w:t>
      </w:r>
      <w:r>
        <w:rPr>
          <w:rFonts w:ascii="Times New Roman" w:hAnsi="Times New Roman" w:cs="Times New Roman"/>
          <w:sz w:val="24"/>
          <w:szCs w:val="24"/>
        </w:rPr>
        <w:t xml:space="preserve"> climático y la digitalización.</w:t>
      </w:r>
    </w:p>
    <w:p w:rsidR="005B4A18" w:rsidRPr="001B629D" w:rsidRDefault="005B4A18" w:rsidP="00FA4DA9">
      <w:pPr>
        <w:spacing w:line="240" w:lineRule="auto"/>
        <w:jc w:val="both"/>
        <w:rPr>
          <w:rFonts w:ascii="Times New Roman" w:hAnsi="Times New Roman" w:cs="Times New Roman"/>
          <w:b/>
          <w:color w:val="FF0000"/>
          <w:sz w:val="24"/>
          <w:szCs w:val="24"/>
          <w:u w:val="single"/>
        </w:rPr>
      </w:pPr>
      <w:r w:rsidRPr="001B629D">
        <w:rPr>
          <w:rFonts w:ascii="Times New Roman" w:hAnsi="Times New Roman" w:cs="Times New Roman"/>
          <w:b/>
          <w:color w:val="FF0000"/>
          <w:sz w:val="24"/>
          <w:szCs w:val="24"/>
          <w:u w:val="single"/>
        </w:rPr>
        <w:t>Estados Unidos va en cabeza de forma indiscutible. Su respuesta inicial a la crisis ha sido la más contundente entre las economías desarrolladas, con un impulso fiscal equivalente al 25% de su PIB. Un gasto en menos de un año, casi de una tacada, que se ha traducido en ayudas directas a empresas y familias, con cheques que han sumado los 2.000 dólares por ciudadano desde que comenzó la crisis.</w:t>
      </w:r>
    </w:p>
    <w:p w:rsidR="005B4A18" w:rsidRPr="001B629D" w:rsidRDefault="005B4A18" w:rsidP="00FA4DA9">
      <w:pPr>
        <w:spacing w:line="240" w:lineRule="auto"/>
        <w:jc w:val="both"/>
        <w:rPr>
          <w:rFonts w:ascii="Times New Roman" w:hAnsi="Times New Roman" w:cs="Times New Roman"/>
          <w:color w:val="FF0000"/>
          <w:sz w:val="24"/>
          <w:szCs w:val="24"/>
          <w:u w:val="single"/>
        </w:rPr>
      </w:pPr>
      <w:r w:rsidRPr="001B629D">
        <w:rPr>
          <w:rFonts w:ascii="Times New Roman" w:hAnsi="Times New Roman" w:cs="Times New Roman"/>
          <w:color w:val="FF0000"/>
          <w:sz w:val="24"/>
          <w:szCs w:val="24"/>
          <w:u w:val="single"/>
        </w:rPr>
        <w:t>Primero fueron 2,2 billones de dólares en marzo de 2020, a los que se sumaron otros 900.000 millones de ayuda de emergencia en diciembre y que han culminado con los 1,9 billones de dólares propuestos por Joe Biden en el inicio de su mandato, un gasto aprobado en marzo. En definitiva, 5 billones de dólares, a los que van a sumarse alrededor de 4 billones de dólares más, ya con un horizonte de gasto para la próxima década.</w:t>
      </w:r>
    </w:p>
    <w:p w:rsidR="005B4A18" w:rsidRPr="001B629D" w:rsidRDefault="005B4A18" w:rsidP="00FA4DA9">
      <w:pPr>
        <w:spacing w:line="240" w:lineRule="auto"/>
        <w:jc w:val="both"/>
        <w:rPr>
          <w:rFonts w:ascii="Times New Roman" w:hAnsi="Times New Roman" w:cs="Times New Roman"/>
          <w:color w:val="FF0000"/>
          <w:sz w:val="24"/>
          <w:szCs w:val="24"/>
          <w:u w:val="single"/>
        </w:rPr>
      </w:pPr>
      <w:r w:rsidRPr="00602784">
        <w:rPr>
          <w:rFonts w:ascii="Times New Roman" w:hAnsi="Times New Roman" w:cs="Times New Roman"/>
          <w:b/>
          <w:color w:val="FF0000"/>
          <w:sz w:val="24"/>
          <w:szCs w:val="24"/>
          <w:u w:val="single"/>
        </w:rPr>
        <w:t>Biden ha anunciado un plan de infraestructuras e impulso de las energías limpias por 2,3 billones de dólares y otro de apoyo a las familias por 1,8 billones más dirigido a mejorar la educación, la salud y a favorecer la conciliación</w:t>
      </w:r>
      <w:r w:rsidRPr="001B629D">
        <w:rPr>
          <w:rFonts w:ascii="Times New Roman" w:hAnsi="Times New Roman" w:cs="Times New Roman"/>
          <w:color w:val="FF0000"/>
          <w:sz w:val="24"/>
          <w:szCs w:val="24"/>
          <w:u w:val="single"/>
        </w:rPr>
        <w:t xml:space="preserve">. Ahora queda una dura </w:t>
      </w:r>
      <w:r w:rsidRPr="001B629D">
        <w:rPr>
          <w:rFonts w:ascii="Times New Roman" w:hAnsi="Times New Roman" w:cs="Times New Roman"/>
          <w:color w:val="FF0000"/>
          <w:sz w:val="24"/>
          <w:szCs w:val="24"/>
          <w:u w:val="single"/>
        </w:rPr>
        <w:lastRenderedPageBreak/>
        <w:t>negociación política ya que la financiación de semejante gasto va en paralelo a un alza de impuestos de sociedades del 21% al 28% y de mayor tributación para las rentas más altas y las ganancias del capital.</w:t>
      </w:r>
    </w:p>
    <w:p w:rsidR="005B4A18" w:rsidRPr="00261084" w:rsidRDefault="00A03124" w:rsidP="00FA4DA9">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El presidente de EE</w:t>
      </w:r>
      <w:r w:rsidR="005B4A18" w:rsidRPr="001B629D">
        <w:rPr>
          <w:rFonts w:ascii="Times New Roman" w:hAnsi="Times New Roman" w:cs="Times New Roman"/>
          <w:color w:val="FF0000"/>
          <w:sz w:val="24"/>
          <w:szCs w:val="24"/>
          <w:u w:val="single"/>
        </w:rPr>
        <w:t>UU ha puesto sobre la mesa, entre lo ya aprobado y lo previsto para los próximos años, un paquete fiscal por 6 billones de dólares con el que aspira a competir con China por el liderazgo de la economía mundial. El alza del PIB estadounidense este año ya va a ser fulgurante y podría llegar al 7%, según estiman Bank of America o Pimco. Solo quedaría superado por Chi</w:t>
      </w:r>
      <w:r w:rsidR="00261084">
        <w:rPr>
          <w:rFonts w:ascii="Times New Roman" w:hAnsi="Times New Roman" w:cs="Times New Roman"/>
          <w:color w:val="FF0000"/>
          <w:sz w:val="24"/>
          <w:szCs w:val="24"/>
          <w:u w:val="single"/>
        </w:rPr>
        <w:t>na entre las grandes economías.</w:t>
      </w:r>
    </w:p>
    <w:p w:rsidR="005B4A18" w:rsidRPr="001B629D" w:rsidRDefault="005B4A18" w:rsidP="00FA4DA9">
      <w:pPr>
        <w:spacing w:line="240" w:lineRule="auto"/>
        <w:jc w:val="both"/>
        <w:rPr>
          <w:rFonts w:ascii="Times New Roman" w:hAnsi="Times New Roman" w:cs="Times New Roman"/>
          <w:b/>
          <w:color w:val="FF0000"/>
          <w:sz w:val="24"/>
          <w:szCs w:val="24"/>
          <w:u w:val="single"/>
        </w:rPr>
      </w:pPr>
      <w:r w:rsidRPr="001B629D">
        <w:rPr>
          <w:rFonts w:ascii="Times New Roman" w:hAnsi="Times New Roman" w:cs="Times New Roman"/>
          <w:b/>
          <w:color w:val="FF0000"/>
          <w:sz w:val="24"/>
          <w:szCs w:val="24"/>
          <w:u w:val="single"/>
        </w:rPr>
        <w:t>En la zona euro, el rebote será más suave y la recuperación más lenta, reflejo de un impulso fiscal mucho más modesto. Los países del euro dieron una primera respuesta a la crisis de forma individual pero fueron capaces de un acuerdo histórico para crear un fondo de reconstrucción dotado con 750.000 millones de euros y financiado por primera vez de forma conjunta, a través de las emisiones de deuda que realizará la Comisión Europea.</w:t>
      </w:r>
    </w:p>
    <w:p w:rsidR="005B4A18" w:rsidRDefault="005B4A18" w:rsidP="00FA4DA9">
      <w:pPr>
        <w:spacing w:line="240" w:lineRule="auto"/>
        <w:jc w:val="both"/>
        <w:rPr>
          <w:rFonts w:ascii="Times New Roman" w:hAnsi="Times New Roman" w:cs="Times New Roman"/>
          <w:color w:val="FF0000"/>
          <w:sz w:val="24"/>
          <w:szCs w:val="24"/>
          <w:u w:val="single"/>
        </w:rPr>
      </w:pPr>
      <w:r w:rsidRPr="001B629D">
        <w:rPr>
          <w:rFonts w:ascii="Times New Roman" w:hAnsi="Times New Roman" w:cs="Times New Roman"/>
          <w:color w:val="FF0000"/>
          <w:sz w:val="24"/>
          <w:szCs w:val="24"/>
          <w:u w:val="single"/>
        </w:rPr>
        <w:t>La previsión es que eche a andar en julio y prolongue el desembolso de dinero a los países del club hasta 2026. Cada país ha elaborado proyectos que deben recibir el visto bueno de Bruselas y con los que deberá demostrar un uso eficiente de los recursos. Mientras tanto, según prevé el BCE, la zona euro no habrá recuperado el nivel de PIB previo a la pandemia hasta al menos el</w:t>
      </w:r>
      <w:r w:rsidR="00A03124">
        <w:rPr>
          <w:rFonts w:ascii="Times New Roman" w:hAnsi="Times New Roman" w:cs="Times New Roman"/>
          <w:color w:val="FF0000"/>
          <w:sz w:val="24"/>
          <w:szCs w:val="24"/>
          <w:u w:val="single"/>
        </w:rPr>
        <w:t xml:space="preserve"> segundo trimestre de 2022 y EE</w:t>
      </w:r>
      <w:r w:rsidRPr="001B629D">
        <w:rPr>
          <w:rFonts w:ascii="Times New Roman" w:hAnsi="Times New Roman" w:cs="Times New Roman"/>
          <w:color w:val="FF0000"/>
          <w:sz w:val="24"/>
          <w:szCs w:val="24"/>
          <w:u w:val="single"/>
        </w:rPr>
        <w:t>UU lo lograría ya a mitad de este año. La ampliación de la brecha de crecimiento respecto a Europa promete ser otra secuela más de una crisis de dimensiones inagotables.</w:t>
      </w:r>
    </w:p>
    <w:p w:rsidR="00A03124" w:rsidRPr="00A03124" w:rsidRDefault="00A03124" w:rsidP="00FA4DA9">
      <w:pPr>
        <w:spacing w:line="240" w:lineRule="auto"/>
        <w:jc w:val="both"/>
        <w:rPr>
          <w:rFonts w:ascii="Times New Roman" w:hAnsi="Times New Roman" w:cs="Times New Roman"/>
          <w:sz w:val="24"/>
          <w:szCs w:val="24"/>
        </w:rPr>
      </w:pPr>
      <w:r w:rsidRPr="00A03124">
        <w:rPr>
          <w:rFonts w:ascii="Times New Roman" w:hAnsi="Times New Roman" w:cs="Times New Roman"/>
          <w:sz w:val="24"/>
          <w:szCs w:val="24"/>
        </w:rPr>
        <w:t xml:space="preserve">Más potencial bursátil para europea pero menos </w:t>
      </w:r>
      <w:r w:rsidR="00324F4A" w:rsidRPr="00A03124">
        <w:rPr>
          <w:rFonts w:ascii="Times New Roman" w:hAnsi="Times New Roman" w:cs="Times New Roman"/>
          <w:sz w:val="24"/>
          <w:szCs w:val="24"/>
        </w:rPr>
        <w:t>crecimiento</w:t>
      </w:r>
    </w:p>
    <w:p w:rsidR="005B4A18" w:rsidRPr="001B629D" w:rsidRDefault="005B4A18" w:rsidP="00FA4DA9">
      <w:pPr>
        <w:spacing w:line="240" w:lineRule="auto"/>
        <w:jc w:val="both"/>
        <w:rPr>
          <w:rFonts w:ascii="Times New Roman" w:hAnsi="Times New Roman" w:cs="Times New Roman"/>
          <w:sz w:val="24"/>
          <w:szCs w:val="24"/>
          <w:u w:val="single"/>
        </w:rPr>
      </w:pPr>
      <w:r w:rsidRPr="001B629D">
        <w:rPr>
          <w:rFonts w:ascii="Times New Roman" w:hAnsi="Times New Roman" w:cs="Times New Roman"/>
          <w:sz w:val="24"/>
          <w:szCs w:val="24"/>
          <w:u w:val="single"/>
        </w:rPr>
        <w:t>La ingente inyección de ayudas públicas va a suponer un catalizador para las economías de Estados Unidos y de la Unión Europea. Y también para sus mercados bursátiles. Las empresas que estén mejor posicionadas en producción de energías renovables, en rehabilitación de edificios, o en fomento de la digitalización, acabarán aupadas por la marea de dinero que va a salir de Washington y Bruselas.</w:t>
      </w:r>
    </w:p>
    <w:p w:rsidR="005B4A18" w:rsidRPr="0017131F" w:rsidRDefault="005B4A18" w:rsidP="00FA4DA9">
      <w:pPr>
        <w:spacing w:line="240" w:lineRule="auto"/>
        <w:jc w:val="both"/>
        <w:rPr>
          <w:rFonts w:ascii="Times New Roman" w:hAnsi="Times New Roman" w:cs="Times New Roman"/>
          <w:sz w:val="24"/>
          <w:szCs w:val="24"/>
        </w:rPr>
      </w:pPr>
      <w:r w:rsidRPr="0017131F">
        <w:rPr>
          <w:rFonts w:ascii="Times New Roman" w:hAnsi="Times New Roman" w:cs="Times New Roman"/>
          <w:sz w:val="24"/>
          <w:szCs w:val="24"/>
        </w:rPr>
        <w:t>Para el equipo de analistas del banco estadounidense Goldman Sachs, la Bolsa europea está especialmente bien posicionada para aprovechar estos dos vientos de cola. De un lado, recuerdan que la recuperación de los mercados estadounidenses ha sido mucho más rápida, y que la renta variable del Viejo Continente aún tiene recorrido. “Este retraso se explica en parte porque Estados Unidos empezó antes con las vacunaciones masivas, pero ahora Europa está rec</w:t>
      </w:r>
      <w:r>
        <w:rPr>
          <w:rFonts w:ascii="Times New Roman" w:hAnsi="Times New Roman" w:cs="Times New Roman"/>
          <w:sz w:val="24"/>
          <w:szCs w:val="24"/>
        </w:rPr>
        <w:t>ortando el terreno”, recuerdan.</w:t>
      </w:r>
    </w:p>
    <w:p w:rsidR="005B4A18" w:rsidRPr="0017131F" w:rsidRDefault="005B4A18" w:rsidP="00FA4DA9">
      <w:pPr>
        <w:spacing w:line="240" w:lineRule="auto"/>
        <w:jc w:val="both"/>
        <w:rPr>
          <w:rFonts w:ascii="Times New Roman" w:hAnsi="Times New Roman" w:cs="Times New Roman"/>
          <w:sz w:val="24"/>
          <w:szCs w:val="24"/>
        </w:rPr>
      </w:pPr>
      <w:r w:rsidRPr="0017131F">
        <w:rPr>
          <w:rFonts w:ascii="Times New Roman" w:hAnsi="Times New Roman" w:cs="Times New Roman"/>
          <w:sz w:val="24"/>
          <w:szCs w:val="24"/>
        </w:rPr>
        <w:t>También apuntan a que la composición de las Bolsas europeas está más volcada hacia sectores cíclicos, como la industria o la construcción, que se verán especialmente beneficiados de la fuerte recuperación económica que se e</w:t>
      </w:r>
      <w:r>
        <w:rPr>
          <w:rFonts w:ascii="Times New Roman" w:hAnsi="Times New Roman" w:cs="Times New Roman"/>
          <w:sz w:val="24"/>
          <w:szCs w:val="24"/>
        </w:rPr>
        <w:t>spera para el segundo semestre.</w:t>
      </w:r>
    </w:p>
    <w:p w:rsidR="005B4A18" w:rsidRPr="0017131F" w:rsidRDefault="005B4A18" w:rsidP="00FA4DA9">
      <w:pPr>
        <w:spacing w:line="240" w:lineRule="auto"/>
        <w:jc w:val="both"/>
        <w:rPr>
          <w:rFonts w:ascii="Times New Roman" w:hAnsi="Times New Roman" w:cs="Times New Roman"/>
          <w:sz w:val="24"/>
          <w:szCs w:val="24"/>
        </w:rPr>
      </w:pPr>
      <w:r w:rsidRPr="0017131F">
        <w:rPr>
          <w:rFonts w:ascii="Times New Roman" w:hAnsi="Times New Roman" w:cs="Times New Roman"/>
          <w:sz w:val="24"/>
          <w:szCs w:val="24"/>
        </w:rPr>
        <w:t>Álvaro Ojeda, jefe en España y Portugal de UBS Asset Management, comparte esta opinión. “En el pasado hemos visto que después de una crisis, cuando hay un punto de inflexión del crecimiento económico mundial, la renta variable europea ha tendido a registrar un crecimiento de los beneficios superior a la estadounidense debido a su orientación más cíclica”. Desde la gestora apuestan especialmente por la banca europe</w:t>
      </w:r>
      <w:r>
        <w:rPr>
          <w:rFonts w:ascii="Times New Roman" w:hAnsi="Times New Roman" w:cs="Times New Roman"/>
          <w:sz w:val="24"/>
          <w:szCs w:val="24"/>
        </w:rPr>
        <w:t>a y la renta variable italiana.</w:t>
      </w:r>
    </w:p>
    <w:p w:rsidR="005B4A18" w:rsidRPr="0017131F" w:rsidRDefault="005B4A18" w:rsidP="00FA4DA9">
      <w:pPr>
        <w:spacing w:line="240" w:lineRule="auto"/>
        <w:jc w:val="both"/>
        <w:rPr>
          <w:rFonts w:ascii="Times New Roman" w:hAnsi="Times New Roman" w:cs="Times New Roman"/>
          <w:sz w:val="24"/>
          <w:szCs w:val="24"/>
        </w:rPr>
      </w:pPr>
      <w:r w:rsidRPr="0017131F">
        <w:rPr>
          <w:rFonts w:ascii="Times New Roman" w:hAnsi="Times New Roman" w:cs="Times New Roman"/>
          <w:sz w:val="24"/>
          <w:szCs w:val="24"/>
        </w:rPr>
        <w:t xml:space="preserve">Otra de las ventajas que tendrían las acciones europeas respecto a las estadounidenses es su valoración, a pesar de que se espere un menor crecimiento económico este año para Europa </w:t>
      </w:r>
      <w:r w:rsidRPr="0017131F">
        <w:rPr>
          <w:rFonts w:ascii="Times New Roman" w:hAnsi="Times New Roman" w:cs="Times New Roman"/>
          <w:sz w:val="24"/>
          <w:szCs w:val="24"/>
        </w:rPr>
        <w:lastRenderedPageBreak/>
        <w:t>frente a Estados Unidos. Si se analizan los precios con su evolución histórica, la Bolsa europea puede parecer que está cara. Sin embargo, la política continuada de bajos tipos de interés obliga a darle mayor peso a las previsiones de beneficios futuros. Al comparar la Bolsa estadounidense con la europea se percibe que esta última coti</w:t>
      </w:r>
      <w:r>
        <w:rPr>
          <w:rFonts w:ascii="Times New Roman" w:hAnsi="Times New Roman" w:cs="Times New Roman"/>
          <w:sz w:val="24"/>
          <w:szCs w:val="24"/>
        </w:rPr>
        <w:t>za con un importante descuento.</w:t>
      </w:r>
    </w:p>
    <w:p w:rsidR="005B4A18" w:rsidRPr="0017131F" w:rsidRDefault="005B4A18" w:rsidP="00FA4DA9">
      <w:pPr>
        <w:spacing w:line="240" w:lineRule="auto"/>
        <w:jc w:val="both"/>
        <w:rPr>
          <w:rFonts w:ascii="Times New Roman" w:hAnsi="Times New Roman" w:cs="Times New Roman"/>
          <w:sz w:val="24"/>
          <w:szCs w:val="24"/>
        </w:rPr>
      </w:pPr>
      <w:r w:rsidRPr="0017131F">
        <w:rPr>
          <w:rFonts w:ascii="Times New Roman" w:hAnsi="Times New Roman" w:cs="Times New Roman"/>
          <w:sz w:val="24"/>
          <w:szCs w:val="24"/>
        </w:rPr>
        <w:t>El equipo de análisis de Goldman Sachs también recuerda que el mercado de acciones de Europa no se corresponde con la economía de la región. La gran mayoría de cotizadas están muy internacionalizadas y sus ventas están mejorando con fuerza con la progresiva normalización del comercio internacional y la promesa de la reactivación del turismo y los vuelos. De hecho, entre las compañías del índice Stoxx 600 las ventas en Estados Unidos pesan casi el 20% y las ventas en Asia son un 19%. En cambio, las ventas dentro de Europa han pasado de representar el 58% del total en 2007 a caer al 43%. Las firmas euro</w:t>
      </w:r>
      <w:r>
        <w:rPr>
          <w:rFonts w:ascii="Times New Roman" w:hAnsi="Times New Roman" w:cs="Times New Roman"/>
          <w:sz w:val="24"/>
          <w:szCs w:val="24"/>
        </w:rPr>
        <w:t>peas cada vez son más globales.</w:t>
      </w:r>
    </w:p>
    <w:p w:rsidR="005B4A18" w:rsidRDefault="005B4A18" w:rsidP="00FA4DA9">
      <w:pPr>
        <w:spacing w:line="240" w:lineRule="auto"/>
        <w:jc w:val="both"/>
        <w:rPr>
          <w:rFonts w:ascii="Times New Roman" w:hAnsi="Times New Roman" w:cs="Times New Roman"/>
          <w:sz w:val="24"/>
          <w:szCs w:val="24"/>
        </w:rPr>
      </w:pPr>
      <w:r w:rsidRPr="0017131F">
        <w:rPr>
          <w:rFonts w:ascii="Times New Roman" w:hAnsi="Times New Roman" w:cs="Times New Roman"/>
          <w:sz w:val="24"/>
          <w:szCs w:val="24"/>
        </w:rPr>
        <w:t>La gran incógnita es cuánto puede pesar en los índices europeos la carencia de grandes gigantes tecnológicos. En la última década ha sido un importante lastre bursátil y también económico, ante lo que el plan Next Generation UE prevé una gran inversión en digitalización.</w:t>
      </w:r>
    </w:p>
    <w:p w:rsidR="005B4A18" w:rsidRPr="00535A96" w:rsidRDefault="005B4A18"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35A96">
        <w:rPr>
          <w:rFonts w:ascii="Times New Roman" w:hAnsi="Times New Roman" w:cs="Times New Roman"/>
          <w:sz w:val="24"/>
          <w:szCs w:val="24"/>
          <w:u w:val="single"/>
        </w:rPr>
        <w:t>El modelo económico que revela una inflación disparada al 8% este mismo verano en EEUU</w:t>
      </w:r>
      <w:r>
        <w:rPr>
          <w:rFonts w:ascii="Times New Roman" w:hAnsi="Times New Roman" w:cs="Times New Roman"/>
          <w:sz w:val="24"/>
          <w:szCs w:val="24"/>
        </w:rPr>
        <w:t xml:space="preserve"> (El Economista - </w:t>
      </w:r>
      <w:r w:rsidRPr="00535A96">
        <w:rPr>
          <w:rFonts w:ascii="Times New Roman" w:hAnsi="Times New Roman" w:cs="Times New Roman"/>
          <w:b/>
          <w:sz w:val="24"/>
          <w:szCs w:val="24"/>
        </w:rPr>
        <w:t>17/5/21</w:t>
      </w:r>
      <w:r>
        <w:rPr>
          <w:rFonts w:ascii="Times New Roman" w:hAnsi="Times New Roman" w:cs="Times New Roman"/>
          <w:sz w:val="24"/>
          <w:szCs w:val="24"/>
        </w:rPr>
        <w:t>)</w:t>
      </w:r>
    </w:p>
    <w:p w:rsidR="005B4A18" w:rsidRPr="00535A96" w:rsidRDefault="005B4A18"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535A96">
        <w:rPr>
          <w:rFonts w:ascii="Times New Roman" w:hAnsi="Times New Roman" w:cs="Times New Roman"/>
          <w:sz w:val="24"/>
          <w:szCs w:val="24"/>
        </w:rPr>
        <w:t>Vicente Nieves</w:t>
      </w:r>
      <w:r>
        <w:rPr>
          <w:rFonts w:ascii="Times New Roman" w:hAnsi="Times New Roman" w:cs="Times New Roman"/>
          <w:sz w:val="24"/>
          <w:szCs w:val="24"/>
        </w:rPr>
        <w:t>)</w:t>
      </w:r>
    </w:p>
    <w:p w:rsidR="005B4A18" w:rsidRPr="00A24625" w:rsidRDefault="005B4A18" w:rsidP="00FA4DA9">
      <w:pPr>
        <w:spacing w:line="240" w:lineRule="auto"/>
        <w:jc w:val="both"/>
        <w:rPr>
          <w:rFonts w:ascii="Times New Roman" w:hAnsi="Times New Roman" w:cs="Times New Roman"/>
          <w:sz w:val="24"/>
          <w:szCs w:val="24"/>
          <w:u w:val="single"/>
        </w:rPr>
      </w:pPr>
      <w:r w:rsidRPr="00A03124">
        <w:rPr>
          <w:rFonts w:ascii="Times New Roman" w:hAnsi="Times New Roman" w:cs="Times New Roman"/>
          <w:b/>
          <w:color w:val="FF0000"/>
          <w:sz w:val="24"/>
          <w:szCs w:val="24"/>
          <w:u w:val="single"/>
        </w:rPr>
        <w:t xml:space="preserve">Tras meses avisando de </w:t>
      </w:r>
      <w:r w:rsidR="00A03124" w:rsidRPr="00A03124">
        <w:rPr>
          <w:rFonts w:ascii="Times New Roman" w:hAnsi="Times New Roman" w:cs="Times New Roman"/>
          <w:b/>
          <w:color w:val="FF0000"/>
          <w:sz w:val="24"/>
          <w:szCs w:val="24"/>
          <w:u w:val="single"/>
        </w:rPr>
        <w:t>la llegada de la inflación, el “monstruo”</w:t>
      </w:r>
      <w:r w:rsidRPr="00A03124">
        <w:rPr>
          <w:rFonts w:ascii="Times New Roman" w:hAnsi="Times New Roman" w:cs="Times New Roman"/>
          <w:b/>
          <w:color w:val="FF0000"/>
          <w:sz w:val="24"/>
          <w:szCs w:val="24"/>
          <w:u w:val="single"/>
        </w:rPr>
        <w:t xml:space="preserve"> ya está aquí. Los precios medidos a través del IPC subieron un 4,2% interanual en EEUU en el mes de abril, el mayor impulso año a año desde 2008. No obstante, ese podría ser solo el principio. La inflación va a seguir subiendo este año y lo va a hacer fuerza, sea o no temporal, el shock va generar tasas de variaciones en los precios no vistas en décadas</w:t>
      </w:r>
      <w:r w:rsidRPr="00A24625">
        <w:rPr>
          <w:rFonts w:ascii="Times New Roman" w:hAnsi="Times New Roman" w:cs="Times New Roman"/>
          <w:color w:val="FF0000"/>
          <w:sz w:val="24"/>
          <w:szCs w:val="24"/>
          <w:u w:val="single"/>
        </w:rPr>
        <w:t>.</w:t>
      </w:r>
      <w:r w:rsidRPr="00535A96">
        <w:rPr>
          <w:rFonts w:ascii="Times New Roman" w:hAnsi="Times New Roman" w:cs="Times New Roman"/>
          <w:sz w:val="24"/>
          <w:szCs w:val="24"/>
        </w:rPr>
        <w:t xml:space="preserve"> Son muchos los factores que están coincidiendo en el tiempo, cuyo impacto en el IPC va a ser positivo. </w:t>
      </w:r>
      <w:r w:rsidRPr="00A24625">
        <w:rPr>
          <w:rFonts w:ascii="Times New Roman" w:hAnsi="Times New Roman" w:cs="Times New Roman"/>
          <w:sz w:val="24"/>
          <w:szCs w:val="24"/>
          <w:u w:val="single"/>
        </w:rPr>
        <w:t>Ahora quedará por ver si este fenómeno es pasajero (como aseguran BCE o Fed) o si ha venido para quedarse durante un tiempo, como prevén desde el banco danés Nordea o el Instituto Internacional de Finanzas.</w:t>
      </w:r>
    </w:p>
    <w:p w:rsidR="005B4A18" w:rsidRPr="00A24625" w:rsidRDefault="005B4A18" w:rsidP="00FA4DA9">
      <w:pPr>
        <w:spacing w:line="240" w:lineRule="auto"/>
        <w:jc w:val="both"/>
        <w:rPr>
          <w:rFonts w:ascii="Times New Roman" w:hAnsi="Times New Roman" w:cs="Times New Roman"/>
          <w:color w:val="FF0000"/>
          <w:sz w:val="24"/>
          <w:szCs w:val="24"/>
          <w:u w:val="single"/>
        </w:rPr>
      </w:pPr>
      <w:r w:rsidRPr="00A24625">
        <w:rPr>
          <w:rFonts w:ascii="Times New Roman" w:hAnsi="Times New Roman" w:cs="Times New Roman"/>
          <w:color w:val="FF0000"/>
          <w:sz w:val="24"/>
          <w:szCs w:val="24"/>
          <w:u w:val="single"/>
        </w:rPr>
        <w:t>El auge de los precios es un fenómeno con epicentro en EEUU, dónde se espera que la recuperación sea más i</w:t>
      </w:r>
      <w:r w:rsidR="00A03124">
        <w:rPr>
          <w:rFonts w:ascii="Times New Roman" w:hAnsi="Times New Roman" w:cs="Times New Roman"/>
          <w:color w:val="FF0000"/>
          <w:sz w:val="24"/>
          <w:szCs w:val="24"/>
          <w:u w:val="single"/>
        </w:rPr>
        <w:t>ntensa y el mercado laboral se “seque”</w:t>
      </w:r>
      <w:r w:rsidRPr="00A24625">
        <w:rPr>
          <w:rFonts w:ascii="Times New Roman" w:hAnsi="Times New Roman" w:cs="Times New Roman"/>
          <w:color w:val="FF0000"/>
          <w:sz w:val="24"/>
          <w:szCs w:val="24"/>
          <w:u w:val="single"/>
        </w:rPr>
        <w:t xml:space="preserve"> en un menor espacio de tiempo. Sin embargo, otros factores más globales como pueden ser la subida de las materias primas, la transformación de las cadenas globales de suministros o los cuellos de botella también pueden afectar a la zona euro generando una inflación de costes y oferta.</w:t>
      </w:r>
    </w:p>
    <w:p w:rsidR="005B4A18" w:rsidRPr="00A03124" w:rsidRDefault="005B4A18" w:rsidP="00FA4DA9">
      <w:pPr>
        <w:spacing w:line="240" w:lineRule="auto"/>
        <w:jc w:val="both"/>
        <w:rPr>
          <w:rFonts w:ascii="Times New Roman" w:hAnsi="Times New Roman" w:cs="Times New Roman"/>
          <w:color w:val="FF0000"/>
          <w:sz w:val="24"/>
          <w:szCs w:val="24"/>
          <w:u w:val="single"/>
        </w:rPr>
      </w:pPr>
      <w:r w:rsidRPr="00A03124">
        <w:rPr>
          <w:rFonts w:ascii="Times New Roman" w:hAnsi="Times New Roman" w:cs="Times New Roman"/>
          <w:color w:val="FF0000"/>
          <w:sz w:val="24"/>
          <w:szCs w:val="24"/>
          <w:u w:val="single"/>
        </w:rPr>
        <w:t>Andreas Steno Larsen, Martin Enlund and Mikael Sarwe, economistas de Nordea, explican en una nota que para asustar a los mercados se necesitan sorpresas al alza en la inflación sostenidas, no solo temporales, el proble</w:t>
      </w:r>
      <w:r w:rsidR="00A03124" w:rsidRPr="00A03124">
        <w:rPr>
          <w:rFonts w:ascii="Times New Roman" w:hAnsi="Times New Roman" w:cs="Times New Roman"/>
          <w:color w:val="FF0000"/>
          <w:sz w:val="24"/>
          <w:szCs w:val="24"/>
          <w:u w:val="single"/>
        </w:rPr>
        <w:t>ma, dicen, es que precisamente “</w:t>
      </w:r>
      <w:r w:rsidRPr="00A03124">
        <w:rPr>
          <w:rFonts w:ascii="Times New Roman" w:hAnsi="Times New Roman" w:cs="Times New Roman"/>
          <w:color w:val="FF0000"/>
          <w:sz w:val="24"/>
          <w:szCs w:val="24"/>
          <w:u w:val="single"/>
        </w:rPr>
        <w:t>esperamos una inflación sorprendentemente alta y sorprendentemente duradera. La Fed y el BCE estarán en modo espera y análisis al m</w:t>
      </w:r>
      <w:r w:rsidR="00A03124" w:rsidRPr="00A03124">
        <w:rPr>
          <w:rFonts w:ascii="Times New Roman" w:hAnsi="Times New Roman" w:cs="Times New Roman"/>
          <w:color w:val="FF0000"/>
          <w:sz w:val="24"/>
          <w:szCs w:val="24"/>
          <w:u w:val="single"/>
        </w:rPr>
        <w:t>enos hasta el verano. ¿Y usted?”</w:t>
      </w:r>
      <w:r w:rsidRPr="00A03124">
        <w:rPr>
          <w:rFonts w:ascii="Times New Roman" w:hAnsi="Times New Roman" w:cs="Times New Roman"/>
          <w:color w:val="FF0000"/>
          <w:sz w:val="24"/>
          <w:szCs w:val="24"/>
          <w:u w:val="single"/>
        </w:rPr>
        <w:t>, preguntan los expertos de Nordea.</w:t>
      </w:r>
    </w:p>
    <w:p w:rsidR="005B4A18" w:rsidRPr="00A24625" w:rsidRDefault="005B4A18" w:rsidP="00FA4DA9">
      <w:pPr>
        <w:spacing w:line="240" w:lineRule="auto"/>
        <w:jc w:val="both"/>
        <w:rPr>
          <w:rFonts w:ascii="Times New Roman" w:hAnsi="Times New Roman" w:cs="Times New Roman"/>
          <w:color w:val="FF0000"/>
          <w:sz w:val="24"/>
          <w:szCs w:val="24"/>
          <w:u w:val="single"/>
        </w:rPr>
      </w:pPr>
      <w:r w:rsidRPr="00A24625">
        <w:rPr>
          <w:rFonts w:ascii="Times New Roman" w:hAnsi="Times New Roman" w:cs="Times New Roman"/>
          <w:color w:val="FF0000"/>
          <w:sz w:val="24"/>
          <w:szCs w:val="24"/>
          <w:u w:val="single"/>
        </w:rPr>
        <w:t xml:space="preserve">Estos expertos utilizan un modelo económico de tendencias que hasta la fecha se ha ajustado muy bien a lo que finalmente ha hecho el IPC en EEUU. La cuestión es que este modelo está vaticinando </w:t>
      </w:r>
      <w:r w:rsidRPr="00A24625">
        <w:rPr>
          <w:rFonts w:ascii="Times New Roman" w:hAnsi="Times New Roman" w:cs="Times New Roman"/>
          <w:b/>
          <w:color w:val="FF0000"/>
          <w:sz w:val="24"/>
          <w:szCs w:val="24"/>
          <w:u w:val="single"/>
        </w:rPr>
        <w:t>una inflación interanual del 8% para este mismo verano</w:t>
      </w:r>
      <w:r w:rsidRPr="00A24625">
        <w:rPr>
          <w:rFonts w:ascii="Times New Roman" w:hAnsi="Times New Roman" w:cs="Times New Roman"/>
          <w:color w:val="FF0000"/>
          <w:sz w:val="24"/>
          <w:szCs w:val="24"/>
          <w:u w:val="single"/>
        </w:rPr>
        <w:t>, lo que sería el mayor incremento interanual desde principios de los 80.</w:t>
      </w:r>
    </w:p>
    <w:p w:rsidR="005B4A18" w:rsidRPr="00535A96" w:rsidRDefault="005B4A18" w:rsidP="00FA4DA9">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09707508" wp14:editId="3A465912">
            <wp:extent cx="5734048" cy="2108200"/>
            <wp:effectExtent l="0" t="0" r="635" b="6350"/>
            <wp:docPr id="27" name="Imagen 27" descr="https://s03.s3c.es/imag/_v0/2310x1320/6/a/7/ipc-eeuu.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2310x1320/6/a/7/ipc-eeuu.gif"/>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731510" cy="2107267"/>
                    </a:xfrm>
                    <a:prstGeom prst="rect">
                      <a:avLst/>
                    </a:prstGeom>
                    <a:noFill/>
                    <a:ln>
                      <a:noFill/>
                    </a:ln>
                  </pic:spPr>
                </pic:pic>
              </a:graphicData>
            </a:graphic>
          </wp:inline>
        </w:drawing>
      </w:r>
    </w:p>
    <w:p w:rsidR="005B4A18" w:rsidRPr="00535A96" w:rsidRDefault="005B4A18" w:rsidP="00FA4DA9">
      <w:pPr>
        <w:spacing w:line="240" w:lineRule="auto"/>
        <w:jc w:val="both"/>
        <w:rPr>
          <w:rFonts w:ascii="Times New Roman" w:hAnsi="Times New Roman" w:cs="Times New Roman"/>
          <w:sz w:val="24"/>
          <w:szCs w:val="24"/>
        </w:rPr>
      </w:pPr>
      <w:r w:rsidRPr="00535A96">
        <w:rPr>
          <w:rFonts w:ascii="Times New Roman" w:hAnsi="Times New Roman" w:cs="Times New Roman"/>
          <w:sz w:val="24"/>
          <w:szCs w:val="24"/>
        </w:rPr>
        <w:t>El modelo de Nordea ve la inflación en el 8% este verano</w:t>
      </w:r>
    </w:p>
    <w:p w:rsidR="005B4A18" w:rsidRPr="00602784" w:rsidRDefault="00A03124" w:rsidP="00FA4DA9">
      <w:pPr>
        <w:spacing w:line="240" w:lineRule="auto"/>
        <w:jc w:val="both"/>
        <w:rPr>
          <w:rFonts w:ascii="Times New Roman" w:hAnsi="Times New Roman" w:cs="Times New Roman"/>
          <w:b/>
          <w:color w:val="FF0000"/>
          <w:sz w:val="24"/>
          <w:szCs w:val="24"/>
          <w:u w:val="single"/>
        </w:rPr>
      </w:pPr>
      <w:r>
        <w:rPr>
          <w:rFonts w:ascii="Times New Roman" w:hAnsi="Times New Roman" w:cs="Times New Roman"/>
          <w:sz w:val="24"/>
          <w:szCs w:val="24"/>
        </w:rPr>
        <w:t>“</w:t>
      </w:r>
      <w:r w:rsidR="005B4A18" w:rsidRPr="00535A96">
        <w:rPr>
          <w:rFonts w:ascii="Times New Roman" w:hAnsi="Times New Roman" w:cs="Times New Roman"/>
          <w:sz w:val="24"/>
          <w:szCs w:val="24"/>
        </w:rPr>
        <w:t xml:space="preserve">Todavía hay un margen notablemente claro para las sorpresas alcistas en el nivel de crecimiento de los precios a principios del verano, pero no parece que sea suficiente para sacudir el barco en el que se ha posicionado el mercado... </w:t>
      </w:r>
      <w:r w:rsidR="005B4A18" w:rsidRPr="00602784">
        <w:rPr>
          <w:rFonts w:ascii="Times New Roman" w:hAnsi="Times New Roman" w:cs="Times New Roman"/>
          <w:b/>
          <w:color w:val="FF0000"/>
          <w:sz w:val="24"/>
          <w:szCs w:val="24"/>
          <w:u w:val="single"/>
        </w:rPr>
        <w:t>Nuestro modelo de tendencia sugiere que podemos alcanzar una inflación del 8% este verano, pero aún está por ver si es suficiente para asustar a alguien, incluida la Fed. El mayor aumento mensual de la inflación subyacente de Estados Unidos desde 1982 apenas ha asustado a nadie más que a Robert Kaplan (</w:t>
      </w:r>
      <w:r w:rsidRPr="00602784">
        <w:rPr>
          <w:rFonts w:ascii="Times New Roman" w:hAnsi="Times New Roman" w:cs="Times New Roman"/>
          <w:b/>
          <w:color w:val="FF0000"/>
          <w:sz w:val="24"/>
          <w:szCs w:val="24"/>
          <w:u w:val="single"/>
        </w:rPr>
        <w:t>gobernador de la Fed de Dallas)”</w:t>
      </w:r>
      <w:r w:rsidR="005B4A18" w:rsidRPr="00602784">
        <w:rPr>
          <w:rFonts w:ascii="Times New Roman" w:hAnsi="Times New Roman" w:cs="Times New Roman"/>
          <w:b/>
          <w:color w:val="FF0000"/>
          <w:sz w:val="24"/>
          <w:szCs w:val="24"/>
          <w:u w:val="single"/>
        </w:rPr>
        <w:t>, comentan los expertos de Nordea.</w:t>
      </w:r>
    </w:p>
    <w:p w:rsidR="005B4A18" w:rsidRPr="00A24625" w:rsidRDefault="005B4A18" w:rsidP="00FA4DA9">
      <w:pPr>
        <w:spacing w:line="240" w:lineRule="auto"/>
        <w:jc w:val="both"/>
        <w:rPr>
          <w:rFonts w:ascii="Times New Roman" w:hAnsi="Times New Roman" w:cs="Times New Roman"/>
          <w:color w:val="FF0000"/>
          <w:sz w:val="24"/>
          <w:szCs w:val="24"/>
          <w:u w:val="single"/>
        </w:rPr>
      </w:pPr>
      <w:r w:rsidRPr="00A24625">
        <w:rPr>
          <w:rFonts w:ascii="Times New Roman" w:hAnsi="Times New Roman" w:cs="Times New Roman"/>
          <w:color w:val="FF0000"/>
          <w:sz w:val="24"/>
          <w:szCs w:val="24"/>
          <w:u w:val="single"/>
        </w:rPr>
        <w:t>Además, las previsiones de estos economistas que trabajan para el banco danés hablan de una inflación notable durante varios años. Frente a la hipótesis de un alza intenso pero corto de los precios, en Nordea creen que existen varios factores que van a impulsar los precios con intensidad en el corto plazo y que los mantendrán más elevados que en los últimos tiempos durante los próximos años.</w:t>
      </w:r>
    </w:p>
    <w:p w:rsidR="005B4A18" w:rsidRPr="00535A96" w:rsidRDefault="005B4A18" w:rsidP="00FA4DA9">
      <w:pPr>
        <w:spacing w:line="240" w:lineRule="auto"/>
        <w:jc w:val="both"/>
        <w:rPr>
          <w:rFonts w:ascii="Times New Roman" w:hAnsi="Times New Roman" w:cs="Times New Roman"/>
          <w:sz w:val="24"/>
          <w:szCs w:val="24"/>
        </w:rPr>
      </w:pPr>
      <w:r w:rsidRPr="00535A96">
        <w:rPr>
          <w:rFonts w:ascii="Times New Roman" w:hAnsi="Times New Roman" w:cs="Times New Roman"/>
          <w:sz w:val="24"/>
          <w:szCs w:val="24"/>
        </w:rPr>
        <w:t>¿Cuáles son estos factores?</w:t>
      </w:r>
    </w:p>
    <w:p w:rsidR="005B4A18" w:rsidRPr="00535A96" w:rsidRDefault="005B4A18" w:rsidP="00FA4DA9">
      <w:pPr>
        <w:spacing w:line="240" w:lineRule="auto"/>
        <w:jc w:val="both"/>
        <w:rPr>
          <w:rFonts w:ascii="Times New Roman" w:hAnsi="Times New Roman" w:cs="Times New Roman"/>
          <w:sz w:val="24"/>
          <w:szCs w:val="24"/>
        </w:rPr>
      </w:pPr>
      <w:r w:rsidRPr="00535A96">
        <w:rPr>
          <w:rFonts w:ascii="Times New Roman" w:hAnsi="Times New Roman" w:cs="Times New Roman"/>
          <w:sz w:val="24"/>
          <w:szCs w:val="24"/>
        </w:rPr>
        <w:t xml:space="preserve">Los últimos datos publicados revelan que hay una gran cantidad de vacantes (puestos de trabajo que no encuentran a un candidato) que son difíciles de cubrir ante unas prestaciones y beneficios públicos elevados en comparación con el salario ofrecido. Además, la movilidad general en el mercado laboral es baja debido a las restricciones por el </w:t>
      </w:r>
      <w:r>
        <w:rPr>
          <w:rFonts w:ascii="Times New Roman" w:hAnsi="Times New Roman" w:cs="Times New Roman"/>
          <w:sz w:val="24"/>
          <w:szCs w:val="24"/>
        </w:rPr>
        <w:t>covid y el cierre de fronteras.</w:t>
      </w:r>
    </w:p>
    <w:p w:rsidR="005B4A18" w:rsidRPr="00535A96" w:rsidRDefault="00A03124"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5B4A18" w:rsidRPr="00535A96">
        <w:rPr>
          <w:rFonts w:ascii="Times New Roman" w:hAnsi="Times New Roman" w:cs="Times New Roman"/>
          <w:sz w:val="24"/>
          <w:szCs w:val="24"/>
        </w:rPr>
        <w:t>Esto forzará inevitablemente a las empresas de servicios incrementen sus salarios antes de septiembre para atraer a la gente a trabajar. Ésta es una razón para creer que la inflación se mantendrá más tiempo de lo anticipado, entre otras cosas porque, obviamente, existe un riesgo tan claro como el cristal de que mayores beneficios y transferencias directas se conviertan en instrumentos permanentes de la política fiscal estadounidense. No hay nada tan permanente como un programa gubernamental que dice ser temp</w:t>
      </w:r>
      <w:r>
        <w:rPr>
          <w:rFonts w:ascii="Times New Roman" w:hAnsi="Times New Roman" w:cs="Times New Roman"/>
          <w:sz w:val="24"/>
          <w:szCs w:val="24"/>
        </w:rPr>
        <w:t>oral”</w:t>
      </w:r>
      <w:r w:rsidR="005B4A18">
        <w:rPr>
          <w:rFonts w:ascii="Times New Roman" w:hAnsi="Times New Roman" w:cs="Times New Roman"/>
          <w:sz w:val="24"/>
          <w:szCs w:val="24"/>
        </w:rPr>
        <w:t>, aseguran estos expertos.</w:t>
      </w:r>
    </w:p>
    <w:p w:rsidR="005B4A18" w:rsidRPr="00A24625" w:rsidRDefault="005B4A18" w:rsidP="00FA4DA9">
      <w:pPr>
        <w:spacing w:line="240" w:lineRule="auto"/>
        <w:jc w:val="both"/>
        <w:rPr>
          <w:rFonts w:ascii="Times New Roman" w:hAnsi="Times New Roman" w:cs="Times New Roman"/>
          <w:sz w:val="24"/>
          <w:szCs w:val="24"/>
          <w:u w:val="single"/>
        </w:rPr>
      </w:pPr>
      <w:r w:rsidRPr="00535A96">
        <w:rPr>
          <w:rFonts w:ascii="Times New Roman" w:hAnsi="Times New Roman" w:cs="Times New Roman"/>
          <w:sz w:val="24"/>
          <w:szCs w:val="24"/>
        </w:rPr>
        <w:t xml:space="preserve">Unas prestaciones por desempleo, beneficios y cheques que se prolonguen más de lo esperado darán a los trabajadores una mayor fuerza en las negociaciones frente a las empresas de EEUU. </w:t>
      </w:r>
      <w:r w:rsidR="00A03124">
        <w:rPr>
          <w:rFonts w:ascii="Times New Roman" w:hAnsi="Times New Roman" w:cs="Times New Roman"/>
          <w:sz w:val="24"/>
          <w:szCs w:val="24"/>
          <w:u w:val="single"/>
        </w:rPr>
        <w:t>“</w:t>
      </w:r>
      <w:r w:rsidRPr="00A24625">
        <w:rPr>
          <w:rFonts w:ascii="Times New Roman" w:hAnsi="Times New Roman" w:cs="Times New Roman"/>
          <w:sz w:val="24"/>
          <w:szCs w:val="24"/>
          <w:u w:val="single"/>
        </w:rPr>
        <w:t>Es más, esperamos que los cierres fronterizos entre países permanezcan efectivamente intactos durante varios años, ya que es probable que la población mundial no sea vacunada 2023 como pronto. Esto es un paso claro en la dirección de una desgl</w:t>
      </w:r>
      <w:r w:rsidR="00A03124">
        <w:rPr>
          <w:rFonts w:ascii="Times New Roman" w:hAnsi="Times New Roman" w:cs="Times New Roman"/>
          <w:sz w:val="24"/>
          <w:szCs w:val="24"/>
          <w:u w:val="single"/>
        </w:rPr>
        <w:t>obalización del mercado laboral”</w:t>
      </w:r>
      <w:r w:rsidRPr="00A24625">
        <w:rPr>
          <w:rFonts w:ascii="Times New Roman" w:hAnsi="Times New Roman" w:cs="Times New Roman"/>
          <w:sz w:val="24"/>
          <w:szCs w:val="24"/>
          <w:u w:val="single"/>
        </w:rPr>
        <w:t>.</w:t>
      </w:r>
    </w:p>
    <w:p w:rsidR="005B4A18" w:rsidRPr="00535A96" w:rsidRDefault="005B4A18" w:rsidP="00FA4DA9">
      <w:pPr>
        <w:spacing w:line="240" w:lineRule="auto"/>
        <w:jc w:val="both"/>
        <w:rPr>
          <w:rFonts w:ascii="Times New Roman" w:hAnsi="Times New Roman" w:cs="Times New Roman"/>
          <w:sz w:val="24"/>
          <w:szCs w:val="24"/>
        </w:rPr>
      </w:pPr>
      <w:r w:rsidRPr="00535A96">
        <w:rPr>
          <w:rFonts w:ascii="Times New Roman" w:hAnsi="Times New Roman" w:cs="Times New Roman"/>
          <w:sz w:val="24"/>
          <w:szCs w:val="24"/>
        </w:rPr>
        <w:lastRenderedPageBreak/>
        <w:t>Estos economis</w:t>
      </w:r>
      <w:r w:rsidR="00A03124">
        <w:rPr>
          <w:rFonts w:ascii="Times New Roman" w:hAnsi="Times New Roman" w:cs="Times New Roman"/>
          <w:sz w:val="24"/>
          <w:szCs w:val="24"/>
        </w:rPr>
        <w:t>tas también argumentan que los “ajustes de calidad”</w:t>
      </w:r>
      <w:r w:rsidRPr="00535A96">
        <w:rPr>
          <w:rFonts w:ascii="Times New Roman" w:hAnsi="Times New Roman" w:cs="Times New Roman"/>
          <w:sz w:val="24"/>
          <w:szCs w:val="24"/>
        </w:rPr>
        <w:t xml:space="preserve"> del índice de precios al consumidor pueden empezar a ser inflacionarios, hasta la fecha han sido deflacionarios. Por ejemplo, los precios de los teléfonos móviles (de la tecnología en general) en el índice de precios al consumidor se ajustan según el progreso tecnológico que van alcanzando. A medida que la potencia de la CPU avanza o se incorporan nuevas prestaciones, esto queda reflejado en el IPC. Aunque este teléfono suba de precio, en el IPC no quedaría reflejado de igual forma </w:t>
      </w:r>
      <w:r w:rsidR="00A03124">
        <w:rPr>
          <w:rFonts w:ascii="Times New Roman" w:hAnsi="Times New Roman" w:cs="Times New Roman"/>
          <w:sz w:val="24"/>
          <w:szCs w:val="24"/>
        </w:rPr>
        <w:t>porque hay que calcular cuánto “costarían”</w:t>
      </w:r>
      <w:r w:rsidRPr="00535A96">
        <w:rPr>
          <w:rFonts w:ascii="Times New Roman" w:hAnsi="Times New Roman" w:cs="Times New Roman"/>
          <w:sz w:val="24"/>
          <w:szCs w:val="24"/>
        </w:rPr>
        <w:t xml:space="preserve"> las nuevas prestaciones, que a menudo terminan presionando a la baja este componente del IPC, puesto que la tecnología es cada vez mejor y más barata, al menos hasta la fec</w:t>
      </w:r>
      <w:r>
        <w:rPr>
          <w:rFonts w:ascii="Times New Roman" w:hAnsi="Times New Roman" w:cs="Times New Roman"/>
          <w:sz w:val="24"/>
          <w:szCs w:val="24"/>
        </w:rPr>
        <w:t>ha.</w:t>
      </w:r>
    </w:p>
    <w:p w:rsidR="005B4A18" w:rsidRPr="00535A96" w:rsidRDefault="005B4A18" w:rsidP="00FA4DA9">
      <w:pPr>
        <w:spacing w:line="240" w:lineRule="auto"/>
        <w:jc w:val="both"/>
        <w:rPr>
          <w:rFonts w:ascii="Times New Roman" w:hAnsi="Times New Roman" w:cs="Times New Roman"/>
          <w:sz w:val="24"/>
          <w:szCs w:val="24"/>
        </w:rPr>
      </w:pPr>
      <w:r w:rsidRPr="00535A96">
        <w:rPr>
          <w:rFonts w:ascii="Times New Roman" w:hAnsi="Times New Roman" w:cs="Times New Roman"/>
          <w:sz w:val="24"/>
          <w:szCs w:val="24"/>
        </w:rPr>
        <w:t>¿Qué pasa si la tecnología deja de avanzar tan rápido, mientras que los precios nominales incrementan por los cierres de fronteras, los retrasos en las entregas y los cuellos de botella en partes importantes de la cadena de suministro? Se preguntan los analistas de Nordea. "Entonces, estos ajustes de calidad pueden dejar de impactar como una fuerza deflacionaria. Este es un caballo oscuro que conlleva grandes efectos potenciales de con</w:t>
      </w:r>
      <w:r>
        <w:rPr>
          <w:rFonts w:ascii="Times New Roman" w:hAnsi="Times New Roman" w:cs="Times New Roman"/>
          <w:sz w:val="24"/>
          <w:szCs w:val="24"/>
        </w:rPr>
        <w:t>tagio a la inflación este año".</w:t>
      </w:r>
    </w:p>
    <w:p w:rsidR="005B4A18" w:rsidRPr="009673A3" w:rsidRDefault="005B4A18" w:rsidP="00FA4DA9">
      <w:pPr>
        <w:spacing w:line="240" w:lineRule="auto"/>
        <w:jc w:val="both"/>
        <w:rPr>
          <w:rFonts w:ascii="Times New Roman" w:hAnsi="Times New Roman" w:cs="Times New Roman"/>
          <w:color w:val="FF0000"/>
          <w:sz w:val="24"/>
          <w:szCs w:val="24"/>
          <w:u w:val="single"/>
        </w:rPr>
      </w:pPr>
      <w:r w:rsidRPr="00535A96">
        <w:rPr>
          <w:rFonts w:ascii="Times New Roman" w:hAnsi="Times New Roman" w:cs="Times New Roman"/>
          <w:sz w:val="24"/>
          <w:szCs w:val="24"/>
        </w:rPr>
        <w:t xml:space="preserve">Por todo ello, </w:t>
      </w:r>
      <w:r w:rsidRPr="009673A3">
        <w:rPr>
          <w:rFonts w:ascii="Times New Roman" w:hAnsi="Times New Roman" w:cs="Times New Roman"/>
          <w:color w:val="FF0000"/>
          <w:sz w:val="24"/>
          <w:szCs w:val="24"/>
          <w:u w:val="single"/>
        </w:rPr>
        <w:t>los economistas de No</w:t>
      </w:r>
      <w:r w:rsidR="00A03124" w:rsidRPr="009673A3">
        <w:rPr>
          <w:rFonts w:ascii="Times New Roman" w:hAnsi="Times New Roman" w:cs="Times New Roman"/>
          <w:color w:val="FF0000"/>
          <w:sz w:val="24"/>
          <w:szCs w:val="24"/>
          <w:u w:val="single"/>
        </w:rPr>
        <w:t>rdea sugieren que es mejor que “</w:t>
      </w:r>
      <w:r w:rsidRPr="009673A3">
        <w:rPr>
          <w:rFonts w:ascii="Times New Roman" w:hAnsi="Times New Roman" w:cs="Times New Roman"/>
          <w:color w:val="FF0000"/>
          <w:sz w:val="24"/>
          <w:szCs w:val="24"/>
          <w:u w:val="single"/>
        </w:rPr>
        <w:t>nos vayamos acostumbrando al Sr. Inflación, ya que las tornas pueden haber cambi</w:t>
      </w:r>
      <w:r w:rsidR="00A03124" w:rsidRPr="009673A3">
        <w:rPr>
          <w:rFonts w:ascii="Times New Roman" w:hAnsi="Times New Roman" w:cs="Times New Roman"/>
          <w:color w:val="FF0000"/>
          <w:sz w:val="24"/>
          <w:szCs w:val="24"/>
          <w:u w:val="single"/>
        </w:rPr>
        <w:t>ado”</w:t>
      </w:r>
      <w:r w:rsidRPr="009673A3">
        <w:rPr>
          <w:rFonts w:ascii="Times New Roman" w:hAnsi="Times New Roman" w:cs="Times New Roman"/>
          <w:color w:val="FF0000"/>
          <w:sz w:val="24"/>
          <w:szCs w:val="24"/>
          <w:u w:val="single"/>
        </w:rPr>
        <w:t>.</w:t>
      </w:r>
    </w:p>
    <w:p w:rsidR="00DE4510" w:rsidRPr="00B449F3" w:rsidRDefault="00DE4510"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AB0059">
        <w:rPr>
          <w:rFonts w:ascii="Times New Roman" w:hAnsi="Times New Roman" w:cs="Times New Roman"/>
          <w:sz w:val="24"/>
          <w:szCs w:val="24"/>
          <w:u w:val="single"/>
        </w:rPr>
        <w:t>Cuidado con “Matrix”</w:t>
      </w:r>
      <w:r w:rsidRPr="00B449F3">
        <w:rPr>
          <w:rFonts w:ascii="Times New Roman" w:hAnsi="Times New Roman" w:cs="Times New Roman"/>
          <w:sz w:val="24"/>
          <w:szCs w:val="24"/>
          <w:u w:val="single"/>
        </w:rPr>
        <w:t>, el mercado financiero hiperreal</w:t>
      </w:r>
      <w:r>
        <w:rPr>
          <w:rFonts w:ascii="Times New Roman" w:hAnsi="Times New Roman" w:cs="Times New Roman"/>
          <w:sz w:val="24"/>
          <w:szCs w:val="24"/>
        </w:rPr>
        <w:t xml:space="preserve"> (Cinco Días - </w:t>
      </w:r>
      <w:r w:rsidRPr="00B449F3">
        <w:rPr>
          <w:rFonts w:ascii="Times New Roman" w:hAnsi="Times New Roman" w:cs="Times New Roman"/>
          <w:b/>
          <w:sz w:val="24"/>
          <w:szCs w:val="24"/>
        </w:rPr>
        <w:t>29/5/21</w:t>
      </w:r>
      <w:r>
        <w:rPr>
          <w:rFonts w:ascii="Times New Roman" w:hAnsi="Times New Roman" w:cs="Times New Roman"/>
          <w:sz w:val="24"/>
          <w:szCs w:val="24"/>
        </w:rPr>
        <w:t>)</w:t>
      </w:r>
    </w:p>
    <w:p w:rsidR="00DE4510" w:rsidRPr="00B449F3" w:rsidRDefault="00DE4510"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B449F3">
        <w:rPr>
          <w:rFonts w:ascii="Times New Roman" w:hAnsi="Times New Roman" w:cs="Times New Roman"/>
          <w:sz w:val="24"/>
          <w:szCs w:val="24"/>
        </w:rPr>
        <w:t>Edward Chancellor</w:t>
      </w:r>
      <w:r>
        <w:rPr>
          <w:rFonts w:ascii="Times New Roman" w:hAnsi="Times New Roman" w:cs="Times New Roman"/>
          <w:sz w:val="24"/>
          <w:szCs w:val="24"/>
        </w:rPr>
        <w:t>)</w:t>
      </w:r>
    </w:p>
    <w:p w:rsidR="00DE4510" w:rsidRPr="00AB0059" w:rsidRDefault="00DE4510" w:rsidP="00FA4DA9">
      <w:pPr>
        <w:spacing w:line="240" w:lineRule="auto"/>
        <w:jc w:val="both"/>
        <w:rPr>
          <w:rFonts w:ascii="Times New Roman" w:hAnsi="Times New Roman" w:cs="Times New Roman"/>
          <w:b/>
          <w:color w:val="FF0000"/>
          <w:sz w:val="24"/>
          <w:szCs w:val="24"/>
          <w:u w:val="single"/>
        </w:rPr>
      </w:pPr>
      <w:r w:rsidRPr="00AB0059">
        <w:rPr>
          <w:rFonts w:ascii="Times New Roman" w:hAnsi="Times New Roman" w:cs="Times New Roman"/>
          <w:b/>
          <w:color w:val="FF0000"/>
          <w:sz w:val="24"/>
          <w:szCs w:val="24"/>
          <w:u w:val="single"/>
        </w:rPr>
        <w:t>Sobre el papel, los estadounidenses nunca han sido más ricos. Sus activos superaron los 130 billones de dólares en diciembre, un 10% más que un año antes. En medio de una pandemia, y tras años de bajo ahorro e inversión, podría parecer paradójico, hasta que se admite que gran parte de la riqueza declarada es virtual o hiperreal. Tarde o temprano, gran parte se desvanecerá.</w:t>
      </w:r>
    </w:p>
    <w:p w:rsidR="00DE4510" w:rsidRPr="0085533C" w:rsidRDefault="00DE4510" w:rsidP="00FA4DA9">
      <w:pPr>
        <w:spacing w:line="240" w:lineRule="auto"/>
        <w:jc w:val="both"/>
        <w:rPr>
          <w:rFonts w:ascii="Times New Roman" w:hAnsi="Times New Roman" w:cs="Times New Roman"/>
          <w:sz w:val="24"/>
          <w:szCs w:val="24"/>
          <w:u w:val="single"/>
        </w:rPr>
      </w:pPr>
      <w:r w:rsidRPr="0085533C">
        <w:rPr>
          <w:rFonts w:ascii="Times New Roman" w:hAnsi="Times New Roman" w:cs="Times New Roman"/>
          <w:color w:val="FF0000"/>
          <w:sz w:val="24"/>
          <w:szCs w:val="24"/>
          <w:u w:val="single"/>
        </w:rPr>
        <w:t>En un mundo hiperreal, como el del filme Matrix, un abismo insalvable separa la apariencia de la realidad. Desde esta perspectiva, la riqueza virtual consiste en derechos que no están representados por nada de valor en el mundo real</w:t>
      </w:r>
      <w:r w:rsidRPr="00B449F3">
        <w:rPr>
          <w:rFonts w:ascii="Times New Roman" w:hAnsi="Times New Roman" w:cs="Times New Roman"/>
          <w:sz w:val="24"/>
          <w:szCs w:val="24"/>
        </w:rPr>
        <w:t xml:space="preserve">. Como el filete que consume el villano de Matrix, Cypher, parece jugoso y está delicioso, pero es una ilusión. </w:t>
      </w:r>
      <w:r w:rsidRPr="0085533C">
        <w:rPr>
          <w:rFonts w:ascii="Times New Roman" w:hAnsi="Times New Roman" w:cs="Times New Roman"/>
          <w:sz w:val="24"/>
          <w:szCs w:val="24"/>
          <w:u w:val="single"/>
        </w:rPr>
        <w:t>Durante el auge de las hipotecas subprime, algunos ejemplos de capital ilusorio fueron las obligaciones de deuda colateralizadas sintéticas (CDO) y las CDO que invertían en otros valores estructurados (CDO al cuadrado). Los clientes de Bernie Madoff descubrieron que sus retornos eran falsos.</w:t>
      </w:r>
    </w:p>
    <w:p w:rsidR="00DE4510" w:rsidRPr="0085533C" w:rsidRDefault="00DE4510" w:rsidP="00FA4DA9">
      <w:pPr>
        <w:spacing w:line="240" w:lineRule="auto"/>
        <w:jc w:val="both"/>
        <w:rPr>
          <w:rFonts w:ascii="Times New Roman" w:hAnsi="Times New Roman" w:cs="Times New Roman"/>
          <w:color w:val="FF0000"/>
          <w:sz w:val="24"/>
          <w:szCs w:val="24"/>
          <w:u w:val="single"/>
        </w:rPr>
      </w:pPr>
      <w:r w:rsidRPr="0085533C">
        <w:rPr>
          <w:rFonts w:ascii="Times New Roman" w:hAnsi="Times New Roman" w:cs="Times New Roman"/>
          <w:color w:val="FF0000"/>
          <w:sz w:val="24"/>
          <w:szCs w:val="24"/>
          <w:u w:val="single"/>
        </w:rPr>
        <w:t>Desde la crisis de Lehman Brothers, la matrix financiera se ha hecho más grande y compleja.</w:t>
      </w:r>
      <w:r w:rsidRPr="0085533C">
        <w:rPr>
          <w:rFonts w:ascii="Times New Roman" w:hAnsi="Times New Roman" w:cs="Times New Roman"/>
          <w:color w:val="FF0000"/>
          <w:sz w:val="24"/>
          <w:szCs w:val="24"/>
        </w:rPr>
        <w:t xml:space="preserve"> </w:t>
      </w:r>
      <w:r w:rsidRPr="0085533C">
        <w:rPr>
          <w:rFonts w:ascii="Times New Roman" w:hAnsi="Times New Roman" w:cs="Times New Roman"/>
          <w:color w:val="FF0000"/>
          <w:sz w:val="24"/>
          <w:szCs w:val="24"/>
          <w:u w:val="single"/>
        </w:rPr>
        <w:t>En la cúspide de la pirámide están las firmas sobrevaloradas y no testadas, a menudo ubicadas entre los rebaños de unicornios de Silicon Valley y las SPAC. Las criptomonedas y los tokens no fungibles son otro tipo de activo hiperreal: carecen de contrapartida real. También merecen incluirse las caras obras de arte contemporáneo, como las de Jeff Koons o el dibujo autodestruido de Banksy.</w:t>
      </w:r>
    </w:p>
    <w:p w:rsidR="00DE4510" w:rsidRPr="00AB0059" w:rsidRDefault="00DE4510" w:rsidP="00FA4DA9">
      <w:pPr>
        <w:spacing w:line="240" w:lineRule="auto"/>
        <w:jc w:val="both"/>
        <w:rPr>
          <w:rFonts w:ascii="Times New Roman" w:hAnsi="Times New Roman" w:cs="Times New Roman"/>
          <w:b/>
          <w:color w:val="FF0000"/>
          <w:sz w:val="24"/>
          <w:szCs w:val="24"/>
          <w:u w:val="single"/>
        </w:rPr>
      </w:pPr>
      <w:r w:rsidRPr="0085533C">
        <w:rPr>
          <w:rFonts w:ascii="Times New Roman" w:hAnsi="Times New Roman" w:cs="Times New Roman"/>
          <w:color w:val="FF0000"/>
          <w:sz w:val="24"/>
          <w:szCs w:val="24"/>
          <w:u w:val="single"/>
        </w:rPr>
        <w:t>En un nivel inferior se encuentran cientos de miles de millones de dólares de compromisos de pensiones privadas y públicas s</w:t>
      </w:r>
      <w:r w:rsidR="00AB0059">
        <w:rPr>
          <w:rFonts w:ascii="Times New Roman" w:hAnsi="Times New Roman" w:cs="Times New Roman"/>
          <w:color w:val="FF0000"/>
          <w:sz w:val="24"/>
          <w:szCs w:val="24"/>
          <w:u w:val="single"/>
        </w:rPr>
        <w:t>in financiación. La Bolsa de EE</w:t>
      </w:r>
      <w:r w:rsidRPr="0085533C">
        <w:rPr>
          <w:rFonts w:ascii="Times New Roman" w:hAnsi="Times New Roman" w:cs="Times New Roman"/>
          <w:color w:val="FF0000"/>
          <w:sz w:val="24"/>
          <w:szCs w:val="24"/>
          <w:u w:val="single"/>
        </w:rPr>
        <w:t xml:space="preserve">UU, que cotiza a más del doble de su coste medio histórico de reposición (medido por la Q de Tobin), es una fuente importante de fortunas efímeras. Los balances de muchas empresas del S&amp;P 500 están llenos de activos “intangibles”. Muchas grandes firmas, como PepsiCo y Lockheed Martin, registran fondos propios negativos. Los beneficios por acción suelen aprovecharse de las recompras de </w:t>
      </w:r>
      <w:r w:rsidRPr="0085533C">
        <w:rPr>
          <w:rFonts w:ascii="Times New Roman" w:hAnsi="Times New Roman" w:cs="Times New Roman"/>
          <w:color w:val="FF0000"/>
          <w:sz w:val="24"/>
          <w:szCs w:val="24"/>
          <w:u w:val="single"/>
        </w:rPr>
        <w:lastRenderedPageBreak/>
        <w:t xml:space="preserve">acciones financiadas por deuda. </w:t>
      </w:r>
      <w:r w:rsidRPr="00AB0059">
        <w:rPr>
          <w:rFonts w:ascii="Times New Roman" w:hAnsi="Times New Roman" w:cs="Times New Roman"/>
          <w:b/>
          <w:color w:val="FF0000"/>
          <w:sz w:val="24"/>
          <w:szCs w:val="24"/>
          <w:u w:val="single"/>
        </w:rPr>
        <w:t>Todos los beneficios generados por la ingeniería financiera, ya sea por las cotizadas o por el private equity, son por naturaleza irreales.</w:t>
      </w:r>
    </w:p>
    <w:p w:rsidR="00DE4510" w:rsidRPr="00777533" w:rsidRDefault="00DE4510" w:rsidP="00FA4DA9">
      <w:pPr>
        <w:spacing w:line="240" w:lineRule="auto"/>
        <w:jc w:val="both"/>
        <w:rPr>
          <w:rFonts w:ascii="Times New Roman" w:hAnsi="Times New Roman" w:cs="Times New Roman"/>
          <w:color w:val="FF0000"/>
          <w:sz w:val="24"/>
          <w:szCs w:val="24"/>
          <w:u w:val="single"/>
        </w:rPr>
      </w:pPr>
      <w:r w:rsidRPr="00777533">
        <w:rPr>
          <w:rFonts w:ascii="Times New Roman" w:hAnsi="Times New Roman" w:cs="Times New Roman"/>
          <w:color w:val="FF0000"/>
          <w:sz w:val="24"/>
          <w:szCs w:val="24"/>
          <w:u w:val="single"/>
        </w:rPr>
        <w:t>A continuación, hay que tener en cuenta los billones de dólares de títulos corporativos y públicos en circulación, cuyos pasivos en aumento llevan años superando el crecimiento. En teoría, el valor de los bonos públicos se deriva de los futuros superávits fiscales descontados. En realidad, los países muy endeudados, como Japón (235% del PIB) e Italia (172%) nunca producirán los superávits necesarios. Podría decirse que los tenedores de bonos japoneses e italianos están asentados sobre activos virtuales. Más virtual aún es la enorme cantidad de riqueza que se mantiene en forma de derivados (futuros o swaps).</w:t>
      </w:r>
    </w:p>
    <w:p w:rsidR="00DE4510" w:rsidRPr="00D63CD1" w:rsidRDefault="00DE4510" w:rsidP="00FA4DA9">
      <w:pPr>
        <w:spacing w:line="240" w:lineRule="auto"/>
        <w:jc w:val="both"/>
        <w:rPr>
          <w:rFonts w:ascii="Times New Roman" w:hAnsi="Times New Roman" w:cs="Times New Roman"/>
          <w:b/>
          <w:color w:val="FF0000"/>
          <w:sz w:val="24"/>
          <w:szCs w:val="24"/>
          <w:u w:val="single"/>
        </w:rPr>
      </w:pPr>
      <w:r w:rsidRPr="00D63CD1">
        <w:rPr>
          <w:rFonts w:ascii="Times New Roman" w:hAnsi="Times New Roman" w:cs="Times New Roman"/>
          <w:b/>
          <w:color w:val="FF0000"/>
          <w:sz w:val="24"/>
          <w:szCs w:val="24"/>
          <w:u w:val="single"/>
        </w:rPr>
        <w:t>¿Cómo se ha llegado a este Everest hiperreal? En parte, por la tecnología. Los derivados llegaron con el trading electrónico. Las criptomonedas, obviamente, no podrían existir sin los ordenadores. Pero es más complicado. Desde el colapso del marco monetario de Bretton Woods en 1971, el dinero se ha desvinculado del oro o de cualquier otra mercancía. Los banqueros centrales son libres de imprimir, o más bien conjurar digitalmente, todo el dinero fiduciario que deseen. Una vez que se ha convertido en virtual, los tipos de interés ya no reflejan la oferta, o la demanda, de ahorro real.</w:t>
      </w:r>
    </w:p>
    <w:p w:rsidR="00DE4510" w:rsidRPr="00D63CD1" w:rsidRDefault="00DE4510" w:rsidP="00FA4DA9">
      <w:pPr>
        <w:spacing w:line="240" w:lineRule="auto"/>
        <w:jc w:val="both"/>
        <w:rPr>
          <w:rFonts w:ascii="Times New Roman" w:hAnsi="Times New Roman" w:cs="Times New Roman"/>
          <w:b/>
          <w:color w:val="FF0000"/>
          <w:sz w:val="24"/>
          <w:szCs w:val="24"/>
          <w:u w:val="single"/>
        </w:rPr>
      </w:pPr>
      <w:r w:rsidRPr="00D63CD1">
        <w:rPr>
          <w:rFonts w:ascii="Times New Roman" w:hAnsi="Times New Roman" w:cs="Times New Roman"/>
          <w:b/>
          <w:color w:val="FF0000"/>
          <w:sz w:val="24"/>
          <w:szCs w:val="24"/>
          <w:u w:val="single"/>
        </w:rPr>
        <w:t>Al presionar los tipos hasta cero, y a veces más abajo, los banqueros centrales son los responsables últimos de la burbuja. En los últimos años, han creado dinero para adquirir billones en valores. Como escribió Seth Daniels, de JKD Capital, en una carta para sus clientes privados, “cuando un banco central compra un activo, el precio que paga no es un verdadero precio de mercado, sino un precio hiperreal”.</w:t>
      </w:r>
    </w:p>
    <w:p w:rsidR="00DE4510" w:rsidRPr="00D63CD1" w:rsidRDefault="00DE4510" w:rsidP="00FA4DA9">
      <w:pPr>
        <w:spacing w:line="240" w:lineRule="auto"/>
        <w:jc w:val="both"/>
        <w:rPr>
          <w:rFonts w:ascii="Times New Roman" w:hAnsi="Times New Roman" w:cs="Times New Roman"/>
          <w:color w:val="FF0000"/>
          <w:sz w:val="24"/>
          <w:szCs w:val="24"/>
          <w:u w:val="single"/>
        </w:rPr>
      </w:pPr>
      <w:r w:rsidRPr="0085533C">
        <w:rPr>
          <w:rFonts w:ascii="Times New Roman" w:hAnsi="Times New Roman" w:cs="Times New Roman"/>
          <w:sz w:val="24"/>
          <w:szCs w:val="24"/>
          <w:u w:val="single"/>
        </w:rPr>
        <w:t>De vez en cuando, aparecen fallos en Matrix: crisis repentinas, rabietas ante la reducción de las políticas expansivas, aumentos de la volatilidad, y el colapso por el Covid</w:t>
      </w:r>
      <w:r w:rsidRPr="00B449F3">
        <w:rPr>
          <w:rFonts w:ascii="Times New Roman" w:hAnsi="Times New Roman" w:cs="Times New Roman"/>
          <w:sz w:val="24"/>
          <w:szCs w:val="24"/>
        </w:rPr>
        <w:t xml:space="preserve">. Como los centinelas de la película, </w:t>
      </w:r>
      <w:r w:rsidRPr="00D63CD1">
        <w:rPr>
          <w:rFonts w:ascii="Times New Roman" w:hAnsi="Times New Roman" w:cs="Times New Roman"/>
          <w:color w:val="FF0000"/>
          <w:sz w:val="24"/>
          <w:szCs w:val="24"/>
          <w:u w:val="single"/>
        </w:rPr>
        <w:t>los bancos centrales están enseñados para defender este mundo de riqueza hiperreal</w:t>
      </w:r>
      <w:r w:rsidRPr="00B449F3">
        <w:rPr>
          <w:rFonts w:ascii="Times New Roman" w:hAnsi="Times New Roman" w:cs="Times New Roman"/>
          <w:sz w:val="24"/>
          <w:szCs w:val="24"/>
        </w:rPr>
        <w:t xml:space="preserve">. Desde el Covid, trabajan horas extras. </w:t>
      </w:r>
      <w:r w:rsidRPr="0085533C">
        <w:rPr>
          <w:rFonts w:ascii="Times New Roman" w:hAnsi="Times New Roman" w:cs="Times New Roman"/>
          <w:sz w:val="24"/>
          <w:szCs w:val="24"/>
          <w:u w:val="single"/>
        </w:rPr>
        <w:t>Los mercados han experimentado un “crack-up boom”, que Daniels sugiere que puede ser la fase final del ciclo</w:t>
      </w:r>
      <w:r w:rsidRPr="00B449F3">
        <w:rPr>
          <w:rFonts w:ascii="Times New Roman" w:hAnsi="Times New Roman" w:cs="Times New Roman"/>
          <w:sz w:val="24"/>
          <w:szCs w:val="24"/>
        </w:rPr>
        <w:t xml:space="preserve">. </w:t>
      </w:r>
      <w:r w:rsidRPr="0085533C">
        <w:rPr>
          <w:rFonts w:ascii="Times New Roman" w:hAnsi="Times New Roman" w:cs="Times New Roman"/>
          <w:color w:val="FF0000"/>
          <w:sz w:val="24"/>
          <w:szCs w:val="24"/>
          <w:u w:val="single"/>
        </w:rPr>
        <w:t>Los minoristas de la plataforma Robinhood, que siguen las recomendaciones de “Davey Day Trader”, no se hacen ilusiones. Para ellos, especular es un acto de rebelión contra un sistema corrupto.</w:t>
      </w:r>
      <w:r w:rsidRPr="0085533C">
        <w:rPr>
          <w:rFonts w:ascii="Times New Roman" w:hAnsi="Times New Roman" w:cs="Times New Roman"/>
          <w:color w:val="FF0000"/>
          <w:sz w:val="24"/>
          <w:szCs w:val="24"/>
        </w:rPr>
        <w:t xml:space="preserve"> </w:t>
      </w:r>
      <w:r w:rsidRPr="00B449F3">
        <w:rPr>
          <w:rFonts w:ascii="Times New Roman" w:hAnsi="Times New Roman" w:cs="Times New Roman"/>
          <w:sz w:val="24"/>
          <w:szCs w:val="24"/>
        </w:rPr>
        <w:t xml:space="preserve">Davey, cuyo nombre real es David Portnoy, fundador de los medios online Barstool Sports, tuitea: </w:t>
      </w:r>
      <w:r w:rsidRPr="00D63CD1">
        <w:rPr>
          <w:rFonts w:ascii="Times New Roman" w:hAnsi="Times New Roman" w:cs="Times New Roman"/>
          <w:color w:val="FF0000"/>
          <w:sz w:val="24"/>
          <w:szCs w:val="24"/>
          <w:u w:val="single"/>
        </w:rPr>
        <w:t>“La buena noticia es que sé que está amañado... el mercado está desconectado de la realidad. Todo es un esquema piramidal. Estamos viviendo en Matrix”.</w:t>
      </w:r>
    </w:p>
    <w:p w:rsidR="00DE4510" w:rsidRPr="00D63CD1" w:rsidRDefault="00DE4510" w:rsidP="00FA4DA9">
      <w:pPr>
        <w:spacing w:line="240" w:lineRule="auto"/>
        <w:jc w:val="both"/>
        <w:rPr>
          <w:rFonts w:ascii="Times New Roman" w:hAnsi="Times New Roman" w:cs="Times New Roman"/>
          <w:color w:val="FF0000"/>
          <w:sz w:val="24"/>
          <w:szCs w:val="24"/>
          <w:u w:val="single"/>
        </w:rPr>
      </w:pPr>
      <w:r w:rsidRPr="0085533C">
        <w:rPr>
          <w:rFonts w:ascii="Times New Roman" w:hAnsi="Times New Roman" w:cs="Times New Roman"/>
          <w:color w:val="FF0000"/>
          <w:sz w:val="24"/>
          <w:szCs w:val="24"/>
          <w:u w:val="single"/>
        </w:rPr>
        <w:t>Imprimir dinero hiperreal en exceso conlleva la amenaza de inflación. Los inversores tienen que ser realistas</w:t>
      </w:r>
      <w:r w:rsidRPr="00B449F3">
        <w:rPr>
          <w:rFonts w:ascii="Times New Roman" w:hAnsi="Times New Roman" w:cs="Times New Roman"/>
          <w:sz w:val="24"/>
          <w:szCs w:val="24"/>
        </w:rPr>
        <w:t xml:space="preserve">, dice Daniels. </w:t>
      </w:r>
      <w:r w:rsidRPr="0085533C">
        <w:rPr>
          <w:rFonts w:ascii="Times New Roman" w:hAnsi="Times New Roman" w:cs="Times New Roman"/>
          <w:sz w:val="24"/>
          <w:szCs w:val="24"/>
          <w:u w:val="single"/>
        </w:rPr>
        <w:t>Para preservar la riqueza, deben dedicarse a inversiones escasas, permanentes y útiles. Ello implica centrarse en los negocios que se benefician de la inflación, así como en los recursos naturales</w:t>
      </w:r>
      <w:r w:rsidRPr="00B449F3">
        <w:rPr>
          <w:rFonts w:ascii="Times New Roman" w:hAnsi="Times New Roman" w:cs="Times New Roman"/>
          <w:sz w:val="24"/>
          <w:szCs w:val="24"/>
        </w:rPr>
        <w:t xml:space="preserve">: “Es hora de dejar de obsesionarse con los electrones y empezar a concentrarse también en los neutrones y protones”, aconseja. </w:t>
      </w:r>
      <w:r w:rsidRPr="00D63CD1">
        <w:rPr>
          <w:rFonts w:ascii="Times New Roman" w:hAnsi="Times New Roman" w:cs="Times New Roman"/>
          <w:color w:val="FF0000"/>
          <w:sz w:val="24"/>
          <w:szCs w:val="24"/>
          <w:u w:val="single"/>
        </w:rPr>
        <w:t>Durante la hiperinflación de la Alemania de Weimar, los inversores se deshicieron del efectivo y los bonos y se lanzaron en estampida hacia los activos reales. Ahora, los inversores se han volcado en las materias primas y el inmobiliario.</w:t>
      </w:r>
    </w:p>
    <w:p w:rsidR="00DE4510" w:rsidRPr="00D63CD1" w:rsidRDefault="00DE4510" w:rsidP="00FA4DA9">
      <w:pPr>
        <w:spacing w:line="240" w:lineRule="auto"/>
        <w:jc w:val="both"/>
        <w:rPr>
          <w:rFonts w:ascii="Times New Roman" w:hAnsi="Times New Roman" w:cs="Times New Roman"/>
          <w:b/>
          <w:color w:val="FF0000"/>
          <w:sz w:val="24"/>
          <w:szCs w:val="24"/>
          <w:u w:val="single"/>
        </w:rPr>
      </w:pPr>
      <w:r w:rsidRPr="0085533C">
        <w:rPr>
          <w:rFonts w:ascii="Times New Roman" w:hAnsi="Times New Roman" w:cs="Times New Roman"/>
          <w:sz w:val="24"/>
          <w:szCs w:val="24"/>
          <w:u w:val="single"/>
        </w:rPr>
        <w:t>A medida que la hiperrealidad se disuelva, las estrategias de inversión pasiva y los traders algorítmicos tendrán dificultades para seguir el ritmo</w:t>
      </w:r>
      <w:r w:rsidRPr="00B449F3">
        <w:rPr>
          <w:rFonts w:ascii="Times New Roman" w:hAnsi="Times New Roman" w:cs="Times New Roman"/>
          <w:sz w:val="24"/>
          <w:szCs w:val="24"/>
        </w:rPr>
        <w:t xml:space="preserve">, predice Daniels. </w:t>
      </w:r>
      <w:r w:rsidRPr="0085533C">
        <w:rPr>
          <w:rFonts w:ascii="Times New Roman" w:hAnsi="Times New Roman" w:cs="Times New Roman"/>
          <w:sz w:val="24"/>
          <w:szCs w:val="24"/>
          <w:u w:val="single"/>
        </w:rPr>
        <w:t>Los profesionales de carne y hueso que, como el héroe de Matrix, Neo, pueden leer el código del mercado, tienen más opciones de conservar patrimonio.</w:t>
      </w:r>
      <w:r w:rsidRPr="00B449F3">
        <w:rPr>
          <w:rFonts w:ascii="Times New Roman" w:hAnsi="Times New Roman" w:cs="Times New Roman"/>
          <w:sz w:val="24"/>
          <w:szCs w:val="24"/>
        </w:rPr>
        <w:t xml:space="preserve"> </w:t>
      </w:r>
      <w:r w:rsidRPr="00D63CD1">
        <w:rPr>
          <w:rFonts w:ascii="Times New Roman" w:hAnsi="Times New Roman" w:cs="Times New Roman"/>
          <w:b/>
          <w:color w:val="FF0000"/>
          <w:sz w:val="24"/>
          <w:szCs w:val="24"/>
          <w:u w:val="single"/>
        </w:rPr>
        <w:t xml:space="preserve">Pero como el stock de créditos financieros supera con creces la capacidad de la economía real para atenderlos, la destrucción de la riqueza a gran escala parece inevitable, ya sea mediante la desvalorización o el impago o alguna combinación de ambos. Los perdedores deben consolarse con las sabias palabras </w:t>
      </w:r>
      <w:r w:rsidRPr="00D63CD1">
        <w:rPr>
          <w:rFonts w:ascii="Times New Roman" w:hAnsi="Times New Roman" w:cs="Times New Roman"/>
          <w:b/>
          <w:color w:val="FF0000"/>
          <w:sz w:val="24"/>
          <w:szCs w:val="24"/>
          <w:u w:val="single"/>
        </w:rPr>
        <w:lastRenderedPageBreak/>
        <w:t>grabadas en la lápida del crítico de arte victoriano John Ruskin: “No hay más riqueza que la vida”.</w:t>
      </w:r>
    </w:p>
    <w:p w:rsidR="00DE4510" w:rsidRPr="002F7634" w:rsidRDefault="00DE4510" w:rsidP="00FA4DA9">
      <w:pPr>
        <w:pStyle w:val="NormalWeb"/>
        <w:spacing w:after="0"/>
        <w:jc w:val="both"/>
        <w:rPr>
          <w:color w:val="000000"/>
        </w:rPr>
      </w:pPr>
      <w:r>
        <w:rPr>
          <w:color w:val="000000"/>
        </w:rPr>
        <w:t xml:space="preserve">- </w:t>
      </w:r>
      <w:r w:rsidRPr="002F7634">
        <w:rPr>
          <w:color w:val="000000"/>
          <w:u w:val="single"/>
        </w:rPr>
        <w:t>El indicador fetiche de la Fed se dispara a máximos de 1992 y alimenta los temores a la inflación</w:t>
      </w:r>
      <w:r>
        <w:rPr>
          <w:color w:val="000000"/>
        </w:rPr>
        <w:t xml:space="preserve"> (El Economista - </w:t>
      </w:r>
      <w:r w:rsidRPr="002F7634">
        <w:rPr>
          <w:b/>
          <w:color w:val="000000"/>
        </w:rPr>
        <w:t>28/5/21</w:t>
      </w:r>
      <w:r>
        <w:rPr>
          <w:color w:val="000000"/>
        </w:rPr>
        <w:t>)</w:t>
      </w:r>
    </w:p>
    <w:p w:rsidR="00DE4510" w:rsidRPr="002F7634" w:rsidRDefault="00DE4510" w:rsidP="00FA4DA9">
      <w:pPr>
        <w:pStyle w:val="NormalWeb"/>
        <w:spacing w:after="0"/>
        <w:jc w:val="both"/>
        <w:rPr>
          <w:color w:val="000000"/>
        </w:rPr>
      </w:pPr>
      <w:r>
        <w:rPr>
          <w:color w:val="000000"/>
        </w:rPr>
        <w:t xml:space="preserve">(Por </w:t>
      </w:r>
      <w:r w:rsidRPr="002F7634">
        <w:rPr>
          <w:color w:val="000000"/>
        </w:rPr>
        <w:t>Vicente Nieves</w:t>
      </w:r>
      <w:r>
        <w:rPr>
          <w:color w:val="000000"/>
        </w:rPr>
        <w:t>)</w:t>
      </w:r>
    </w:p>
    <w:p w:rsidR="00DE4510" w:rsidRDefault="00DE4510" w:rsidP="00FA4DA9">
      <w:pPr>
        <w:pStyle w:val="NormalWeb"/>
        <w:spacing w:after="0"/>
        <w:jc w:val="both"/>
        <w:rPr>
          <w:color w:val="FF0000"/>
          <w:u w:val="single"/>
        </w:rPr>
      </w:pPr>
      <w:r w:rsidRPr="00D63CD1">
        <w:rPr>
          <w:color w:val="FF0000"/>
          <w:u w:val="single"/>
        </w:rPr>
        <w:t>Hace unas semanas fue el Índice de Precios al Consumidor (IPC) el que dio la primera señal de alarma tras tocar máximos de 2008: el monstruo de la inflación llegaba. Este viernes ha sido el PCE (Personal Consumption Expenditure Price Index), el indicador o índice de precios favorito de la Reserva Federal, el encargado de alimentar aún más los temores sobre la inflación.</w:t>
      </w:r>
    </w:p>
    <w:p w:rsidR="00D63CD1" w:rsidRPr="00D63CD1" w:rsidRDefault="00D63CD1" w:rsidP="00FA4DA9">
      <w:pPr>
        <w:pStyle w:val="NormalWeb"/>
        <w:spacing w:after="0"/>
        <w:jc w:val="both"/>
        <w:rPr>
          <w:color w:val="FF0000"/>
          <w:u w:val="single"/>
        </w:rPr>
      </w:pPr>
      <w:r w:rsidRPr="00D63CD1">
        <w:rPr>
          <w:color w:val="FF0000"/>
          <w:u w:val="single"/>
        </w:rPr>
        <w:t>El PCE general se ha situado en el 3,6%, tocando también máximos desde 2008</w:t>
      </w:r>
      <w:r w:rsidRPr="008974BD">
        <w:rPr>
          <w:color w:val="000000"/>
          <w:u w:val="single"/>
        </w:rPr>
        <w:t>. No obstante, la Reserva Federal de EEUU presta especial atención al PCE subyacente, que es el mismo indicador que el PCE pero no pondera los alimentos frescos ni la energía, que son los componentes más volátiles del índice de precios. La Fed ha reconocido en varias ocasiones que es este índice al que presta más atención para conducir su política monetaria (subir o</w:t>
      </w:r>
      <w:r w:rsidRPr="002F7634">
        <w:rPr>
          <w:color w:val="000000"/>
        </w:rPr>
        <w:t xml:space="preserve"> </w:t>
      </w:r>
      <w:r w:rsidRPr="008974BD">
        <w:rPr>
          <w:color w:val="000000"/>
          <w:u w:val="single"/>
        </w:rPr>
        <w:t xml:space="preserve">bajar tipo, comprar o vender bonos...). </w:t>
      </w:r>
      <w:r w:rsidRPr="008974BD">
        <w:rPr>
          <w:color w:val="FF0000"/>
          <w:u w:val="single"/>
        </w:rPr>
        <w:t>El PCE subyacente se ha situado en abril en el 3,1%, la mayor tasa d</w:t>
      </w:r>
      <w:r w:rsidR="00B06032">
        <w:rPr>
          <w:color w:val="FF0000"/>
          <w:u w:val="single"/>
        </w:rPr>
        <w:t>e variación desde mayo de 1992.</w:t>
      </w:r>
    </w:p>
    <w:p w:rsidR="00DE4510" w:rsidRPr="002F7634" w:rsidRDefault="00DE4510" w:rsidP="00FA4DA9">
      <w:pPr>
        <w:pStyle w:val="NormalWeb"/>
        <w:spacing w:after="0"/>
        <w:jc w:val="both"/>
        <w:rPr>
          <w:color w:val="000000"/>
        </w:rPr>
      </w:pPr>
      <w:r w:rsidRPr="00F60668">
        <w:rPr>
          <w:noProof/>
          <w:color w:val="000000"/>
        </w:rPr>
        <w:drawing>
          <wp:inline distT="0" distB="0" distL="0" distR="0" wp14:anchorId="37D3E4FA" wp14:editId="570411B4">
            <wp:extent cx="5734050" cy="3581400"/>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7"/>
                    <a:stretch>
                      <a:fillRect/>
                    </a:stretch>
                  </pic:blipFill>
                  <pic:spPr>
                    <a:xfrm>
                      <a:off x="0" y="0"/>
                      <a:ext cx="5731510" cy="3579814"/>
                    </a:xfrm>
                    <a:prstGeom prst="rect">
                      <a:avLst/>
                    </a:prstGeom>
                  </pic:spPr>
                </pic:pic>
              </a:graphicData>
            </a:graphic>
          </wp:inline>
        </w:drawing>
      </w:r>
    </w:p>
    <w:p w:rsidR="00DE4510" w:rsidRPr="00D63CD1" w:rsidRDefault="00DE4510" w:rsidP="00FA4DA9">
      <w:pPr>
        <w:pStyle w:val="NormalWeb"/>
        <w:spacing w:after="0"/>
        <w:jc w:val="both"/>
        <w:rPr>
          <w:color w:val="FF0000"/>
          <w:u w:val="single"/>
        </w:rPr>
      </w:pPr>
      <w:r w:rsidRPr="00D63CD1">
        <w:rPr>
          <w:color w:val="FF0000"/>
          <w:u w:val="single"/>
        </w:rPr>
        <w:t>El buen ritmo de vacunación en EEUU, junto a unos estímulos fiscales (con multitud de ayudas directas a las familias) y monetarios sin precedentes, está relanzando a la mayor economía del mundo a través de la demanda y el consumo interno.</w:t>
      </w:r>
    </w:p>
    <w:p w:rsidR="00DE4510" w:rsidRPr="00D63CD1" w:rsidRDefault="00DE4510" w:rsidP="00FA4DA9">
      <w:pPr>
        <w:pStyle w:val="NormalWeb"/>
        <w:spacing w:after="0"/>
        <w:jc w:val="both"/>
        <w:rPr>
          <w:color w:val="FF0000"/>
          <w:u w:val="single"/>
        </w:rPr>
      </w:pPr>
      <w:r w:rsidRPr="00D63CD1">
        <w:rPr>
          <w:color w:val="FF0000"/>
          <w:u w:val="single"/>
        </w:rPr>
        <w:t>El problema es que este rápido despegue de la economía podría estar g</w:t>
      </w:r>
      <w:r w:rsidR="00D63CD1" w:rsidRPr="00D63CD1">
        <w:rPr>
          <w:color w:val="FF0000"/>
          <w:u w:val="single"/>
        </w:rPr>
        <w:t>enerando lo que se conoce como “efectos de límite de velocidad”</w:t>
      </w:r>
      <w:r w:rsidRPr="00D63CD1">
        <w:rPr>
          <w:color w:val="FF0000"/>
          <w:u w:val="single"/>
        </w:rPr>
        <w:t xml:space="preserve">: una economía que crece tan rápido que aunque no ha alcanzado aún su potencial, puede generar tensiones inflacionistas porque la </w:t>
      </w:r>
      <w:r w:rsidRPr="00D63CD1">
        <w:rPr>
          <w:color w:val="FF0000"/>
          <w:u w:val="single"/>
        </w:rPr>
        <w:lastRenderedPageBreak/>
        <w:t>oferta (empleo, maquinaria, fábricas...) es incapaz de reabrir al mismo ritmo que demandan los consumidores. Estos efectos límite de velocidad pueden generar una inflación temporalmente alta.</w:t>
      </w:r>
    </w:p>
    <w:p w:rsidR="00DE4510" w:rsidRPr="002F7634" w:rsidRDefault="00DE4510" w:rsidP="00FA4DA9">
      <w:pPr>
        <w:pStyle w:val="NormalWeb"/>
        <w:spacing w:after="0"/>
        <w:jc w:val="both"/>
        <w:rPr>
          <w:color w:val="000000"/>
        </w:rPr>
      </w:pPr>
      <w:r w:rsidRPr="002F7634">
        <w:rPr>
          <w:color w:val="000000"/>
        </w:rPr>
        <w:t xml:space="preserve">Los economistas de Commerzbank ponían un ejemplo muy curioso para representar </w:t>
      </w:r>
      <w:r w:rsidR="00D63CD1">
        <w:rPr>
          <w:color w:val="000000"/>
        </w:rPr>
        <w:t>este efecto hace unas semanas. “</w:t>
      </w:r>
      <w:r w:rsidRPr="002F7634">
        <w:rPr>
          <w:color w:val="000000"/>
        </w:rPr>
        <w:t>El problema es particularmente evidente para las empresas de alquiler de coches. Estas redujeron sus flotas de vehículos al comienzo de la pandemia porque la demanda se desplomó y las empresas necesitaba</w:t>
      </w:r>
      <w:r w:rsidR="00D63CD1">
        <w:rPr>
          <w:color w:val="000000"/>
        </w:rPr>
        <w:t>n liquidez. Ahora están siendo “invadidas”</w:t>
      </w:r>
      <w:r w:rsidRPr="002F7634">
        <w:rPr>
          <w:color w:val="000000"/>
        </w:rPr>
        <w:t xml:space="preserve"> por clientes y no están logrando aumentar las flotas lo suficientemente rápido, porque la producción de automóviles nuevos está estancada debido a los cuellos de botella en la producción de chips. Como consecuencia, los precios de alquiler de coches (y de los coches de segunda ma</w:t>
      </w:r>
      <w:r w:rsidR="00D63CD1">
        <w:rPr>
          <w:color w:val="000000"/>
        </w:rPr>
        <w:t>no) están aumentando con fuerza”</w:t>
      </w:r>
      <w:r w:rsidRPr="002F7634">
        <w:rPr>
          <w:color w:val="000000"/>
        </w:rPr>
        <w:t>, aseguran desde Commerzbank.</w:t>
      </w:r>
    </w:p>
    <w:p w:rsidR="00DE4510" w:rsidRPr="00D63CD1" w:rsidRDefault="00DE4510" w:rsidP="00FA4DA9">
      <w:pPr>
        <w:pStyle w:val="NormalWeb"/>
        <w:spacing w:after="0"/>
        <w:jc w:val="both"/>
        <w:rPr>
          <w:color w:val="FF0000"/>
          <w:u w:val="single"/>
        </w:rPr>
      </w:pPr>
      <w:r w:rsidRPr="00D63CD1">
        <w:rPr>
          <w:color w:val="FF0000"/>
          <w:u w:val="single"/>
        </w:rPr>
        <w:t xml:space="preserve">La inflación está en todas partes de la economía y la evidencia es el PCE subyacente. La energía no es el único culpable del alza de precios. Según muestran los datos desagregados del PCE, los servicios, los bienes duraderos y los no duraderos han incrementado sus precios en más de un 3% anual. Una variación que no se puede despreciar, aunque es cierto que tampoco se puede comparar con el incremento del 24,8% que ha sufrido la energía. </w:t>
      </w:r>
    </w:p>
    <w:p w:rsidR="00DE4510" w:rsidRPr="008974BD" w:rsidRDefault="00DE4510" w:rsidP="00FA4DA9">
      <w:pPr>
        <w:pStyle w:val="NormalWeb"/>
        <w:spacing w:after="0"/>
        <w:jc w:val="both"/>
        <w:rPr>
          <w:color w:val="FF0000"/>
          <w:u w:val="single"/>
        </w:rPr>
      </w:pPr>
      <w:r w:rsidRPr="002F7634">
        <w:rPr>
          <w:color w:val="000000"/>
        </w:rPr>
        <w:t>Desde la firma financiera TD Securities explican en</w:t>
      </w:r>
      <w:r w:rsidR="00D63CD1">
        <w:rPr>
          <w:color w:val="000000"/>
        </w:rPr>
        <w:t xml:space="preserve"> una nota recién publicada que “</w:t>
      </w:r>
      <w:r w:rsidRPr="002F7634">
        <w:rPr>
          <w:color w:val="000000"/>
        </w:rPr>
        <w:t xml:space="preserve">con un 3,1%, la inflación de precios subyacente del PCE parece que se está calentando. No obstante, es poco probable que este ritmo se mantenga por mucho tiempo. Aun así, </w:t>
      </w:r>
      <w:r w:rsidRPr="00D63CD1">
        <w:rPr>
          <w:color w:val="FF0000"/>
          <w:u w:val="single"/>
        </w:rPr>
        <w:t>con signos de un crecimiento económico más fuerte y una inflación que probablemente se mantenga por encima del 2%, a</w:t>
      </w:r>
      <w:r w:rsidRPr="002F7634">
        <w:rPr>
          <w:color w:val="000000"/>
        </w:rPr>
        <w:t xml:space="preserve"> </w:t>
      </w:r>
      <w:r w:rsidRPr="008974BD">
        <w:rPr>
          <w:color w:val="FF0000"/>
          <w:u w:val="single"/>
        </w:rPr>
        <w:t>la Fed le resultará cada vez más difícil evitar hablar del tape</w:t>
      </w:r>
      <w:r w:rsidR="00D63CD1">
        <w:rPr>
          <w:color w:val="FF0000"/>
          <w:u w:val="single"/>
        </w:rPr>
        <w:t>ring y de retirar los estímulos”</w:t>
      </w:r>
      <w:r w:rsidRPr="008974BD">
        <w:rPr>
          <w:color w:val="FF0000"/>
          <w:u w:val="single"/>
        </w:rPr>
        <w:t>.</w:t>
      </w:r>
    </w:p>
    <w:p w:rsidR="00DE4510" w:rsidRPr="00B97D6F" w:rsidRDefault="00DE4510" w:rsidP="00FA4DA9">
      <w:pPr>
        <w:pStyle w:val="NormalWeb"/>
        <w:spacing w:after="0"/>
        <w:jc w:val="both"/>
        <w:rPr>
          <w:color w:val="FF0000"/>
          <w:u w:val="single"/>
        </w:rPr>
      </w:pPr>
      <w:r w:rsidRPr="00D63CD1">
        <w:rPr>
          <w:color w:val="FF0000"/>
          <w:u w:val="single"/>
        </w:rPr>
        <w:t>Las excusas se acaban para la Reserva Federal. El PCE subyacente (el oráculo de la inflación) está ahora mismo superando con claridad el 2% que se marca de objetivo la Fed</w:t>
      </w:r>
      <w:r w:rsidRPr="00B97D6F">
        <w:rPr>
          <w:color w:val="FF0000"/>
          <w:u w:val="single"/>
        </w:rPr>
        <w:t xml:space="preserve">. Por ahora, el banco central puede argumentar que esta mayor inflación está compensando un 2020 en el que el PCE estuvo de forma constante por debajo del 2%. Pero si los meses pasan y los precios siguen creciendo a un ritmo superior al 2%, el mercado </w:t>
      </w:r>
      <w:r w:rsidR="00D63CD1" w:rsidRPr="00B97D6F">
        <w:rPr>
          <w:color w:val="FF0000"/>
          <w:u w:val="single"/>
        </w:rPr>
        <w:t>podría empezar a cuestionar la “seriedad”</w:t>
      </w:r>
      <w:r w:rsidRPr="00B97D6F">
        <w:rPr>
          <w:color w:val="FF0000"/>
          <w:u w:val="single"/>
        </w:rPr>
        <w:t xml:space="preserve"> de la Fed con su propio compromiso, lo que podría tener consecuencias nefastas para el dólar y la economía de EEUU. </w:t>
      </w:r>
    </w:p>
    <w:p w:rsidR="00DE4510" w:rsidRPr="002F7634" w:rsidRDefault="00DE4510" w:rsidP="00FA4DA9">
      <w:pPr>
        <w:pStyle w:val="NormalWeb"/>
        <w:spacing w:after="0"/>
        <w:jc w:val="both"/>
        <w:rPr>
          <w:color w:val="000000"/>
        </w:rPr>
      </w:pPr>
      <w:r w:rsidRPr="002F7634">
        <w:rPr>
          <w:color w:val="000000"/>
        </w:rPr>
        <w:t>¿</w:t>
      </w:r>
      <w:r w:rsidR="00324F4A" w:rsidRPr="002F7634">
        <w:rPr>
          <w:color w:val="000000"/>
        </w:rPr>
        <w:t>Por qué</w:t>
      </w:r>
      <w:r w:rsidRPr="002F7634">
        <w:rPr>
          <w:color w:val="000000"/>
        </w:rPr>
        <w:t xml:space="preserve"> el PCE mejor que el IPC?</w:t>
      </w:r>
    </w:p>
    <w:p w:rsidR="00DE4510" w:rsidRPr="002F7634" w:rsidRDefault="00DE4510" w:rsidP="00FA4DA9">
      <w:pPr>
        <w:pStyle w:val="NormalWeb"/>
        <w:spacing w:after="0"/>
        <w:jc w:val="both"/>
        <w:rPr>
          <w:color w:val="000000"/>
        </w:rPr>
      </w:pPr>
      <w:r w:rsidRPr="002F7634">
        <w:rPr>
          <w:color w:val="000000"/>
        </w:rPr>
        <w:t>James Bullard, presidente de la Fed de San Luis, explica</w:t>
      </w:r>
      <w:r w:rsidR="00B97D6F">
        <w:rPr>
          <w:color w:val="000000"/>
        </w:rPr>
        <w:t>ba hace tiempo en una nota que “</w:t>
      </w:r>
      <w:r w:rsidRPr="002F7634">
        <w:rPr>
          <w:color w:val="000000"/>
        </w:rPr>
        <w:t>el gobierno federal prefiere usar el IPC para hacer ajustes por inflación a ciertos tipos de beneficios, como el Seguro Social. Por el contrario, el FOMC (la Fed) se centra en la inflación del PCE en sus proyecciones económicas trimestrales y también establece su meta de inflación a más largo plazo en términos del PCE por tres razones principales: las ponderaciones de gasto en el PCE pueden cambiar a medida que las personas sustituyen algunos bienes y servicios por otros, el PCE incluye una cobertura de bienes y servicios más completa, y los datos históricos de PCE se pueden revisar (más allá d</w:t>
      </w:r>
      <w:r w:rsidR="00B97D6F">
        <w:rPr>
          <w:color w:val="000000"/>
        </w:rPr>
        <w:t>e los factores estacionales)”</w:t>
      </w:r>
      <w:r>
        <w:rPr>
          <w:color w:val="000000"/>
        </w:rPr>
        <w:t xml:space="preserve">. </w:t>
      </w:r>
    </w:p>
    <w:p w:rsidR="00DE4510" w:rsidRDefault="00B97D6F" w:rsidP="00FA4DA9">
      <w:pPr>
        <w:pStyle w:val="NormalWeb"/>
        <w:spacing w:before="0" w:beforeAutospacing="0" w:after="0" w:afterAutospacing="0"/>
        <w:jc w:val="both"/>
        <w:rPr>
          <w:color w:val="000000"/>
        </w:rPr>
      </w:pPr>
      <w:r>
        <w:rPr>
          <w:color w:val="000000"/>
        </w:rPr>
        <w:t>“</w:t>
      </w:r>
      <w:r w:rsidR="00DE4510" w:rsidRPr="002F7634">
        <w:rPr>
          <w:color w:val="000000"/>
        </w:rPr>
        <w:t xml:space="preserve">El FOMC ha evaluado cuidadosamente ambos índices para ver qué métrica usar (con el objetivo de inflación) y concluyó que la inflación del PCE es la mejor medida. En mi opinión, el PCE general debería convertirse en el estándar y, por lo tanto, debería utilizarse de forma coherente para estimar y ajustar la inflación. Si bien la adopción de una medida estándar </w:t>
      </w:r>
      <w:r w:rsidR="00DE4510" w:rsidRPr="002F7634">
        <w:rPr>
          <w:color w:val="000000"/>
        </w:rPr>
        <w:lastRenderedPageBreak/>
        <w:t>probablemente no sea un asunto sencillo, brindaría claridad al público sobre cuál refleja con mayor precisión la inf</w:t>
      </w:r>
      <w:r>
        <w:rPr>
          <w:color w:val="000000"/>
        </w:rPr>
        <w:t>lación de precios al consumidor”</w:t>
      </w:r>
      <w:r w:rsidR="00DE4510" w:rsidRPr="002F7634">
        <w:rPr>
          <w:color w:val="000000"/>
        </w:rPr>
        <w:t>, aseguraba en su día Bullard.</w:t>
      </w:r>
    </w:p>
    <w:p w:rsidR="00DE4510" w:rsidRPr="00296D3C" w:rsidRDefault="00DE4510" w:rsidP="00FA4DA9">
      <w:pPr>
        <w:pStyle w:val="NormalWeb"/>
        <w:spacing w:after="0"/>
        <w:jc w:val="both"/>
        <w:rPr>
          <w:color w:val="000000"/>
        </w:rPr>
      </w:pPr>
      <w:r>
        <w:rPr>
          <w:color w:val="000000"/>
        </w:rPr>
        <w:t xml:space="preserve">- </w:t>
      </w:r>
      <w:r w:rsidRPr="00436452">
        <w:rPr>
          <w:color w:val="FF0000"/>
          <w:u w:val="single"/>
        </w:rPr>
        <w:t xml:space="preserve">El plan comunista de Davos </w:t>
      </w:r>
      <w:r w:rsidRPr="006F48BB">
        <w:rPr>
          <w:color w:val="000000"/>
          <w:u w:val="single"/>
        </w:rPr>
        <w:t>entra en el informe E</w:t>
      </w:r>
      <w:r>
        <w:rPr>
          <w:color w:val="000000"/>
          <w:u w:val="single"/>
        </w:rPr>
        <w:t xml:space="preserve">spaña 2050: </w:t>
      </w:r>
      <w:r w:rsidRPr="00436452">
        <w:rPr>
          <w:color w:val="FF0000"/>
          <w:u w:val="single"/>
        </w:rPr>
        <w:t>“No tendrás nada y serás feliz”</w:t>
      </w:r>
      <w:r>
        <w:rPr>
          <w:color w:val="000000"/>
        </w:rPr>
        <w:t xml:space="preserve"> (Libertad Digital - </w:t>
      </w:r>
      <w:r w:rsidRPr="006F48BB">
        <w:rPr>
          <w:b/>
          <w:color w:val="000000"/>
        </w:rPr>
        <w:t>1/6/21</w:t>
      </w:r>
      <w:r>
        <w:rPr>
          <w:color w:val="000000"/>
        </w:rPr>
        <w:t>)</w:t>
      </w:r>
    </w:p>
    <w:p w:rsidR="00DE4510" w:rsidRPr="00296D3C" w:rsidRDefault="00DE4510" w:rsidP="00FA4DA9">
      <w:pPr>
        <w:pStyle w:val="NormalWeb"/>
        <w:spacing w:after="0"/>
        <w:jc w:val="both"/>
        <w:rPr>
          <w:color w:val="000000"/>
        </w:rPr>
      </w:pPr>
      <w:r>
        <w:rPr>
          <w:color w:val="000000"/>
        </w:rPr>
        <w:t xml:space="preserve">(Por </w:t>
      </w:r>
      <w:r w:rsidRPr="00296D3C">
        <w:rPr>
          <w:color w:val="000000"/>
        </w:rPr>
        <w:t>Elena Berberana</w:t>
      </w:r>
      <w:r>
        <w:rPr>
          <w:color w:val="000000"/>
        </w:rPr>
        <w:t xml:space="preserve">) </w:t>
      </w:r>
    </w:p>
    <w:p w:rsidR="00DE4510" w:rsidRPr="00B97D6F" w:rsidRDefault="00DE4510" w:rsidP="00FA4DA9">
      <w:pPr>
        <w:pStyle w:val="NormalWeb"/>
        <w:spacing w:after="0"/>
        <w:jc w:val="both"/>
        <w:rPr>
          <w:color w:val="FF0000"/>
          <w:u w:val="single"/>
        </w:rPr>
      </w:pPr>
      <w:r w:rsidRPr="00296D3C">
        <w:rPr>
          <w:color w:val="000000"/>
        </w:rPr>
        <w:t xml:space="preserve">El Gobierno de Pedro Sánchez recoge en su Agenda 2050 para </w:t>
      </w:r>
      <w:r w:rsidRPr="00B97D6F">
        <w:rPr>
          <w:color w:val="000000"/>
        </w:rPr>
        <w:t xml:space="preserve">España </w:t>
      </w:r>
      <w:r w:rsidRPr="00B97D6F">
        <w:rPr>
          <w:color w:val="FF0000"/>
          <w:u w:val="single"/>
        </w:rPr>
        <w:t xml:space="preserve">los dictados marcados por el Foro de Davos. En uno de los mandamientos citados en el Foro Económico Mundial figura la idea de que en “2030 no tendrás nada y serás feliz”. </w:t>
      </w:r>
      <w:r w:rsidRPr="00296D3C">
        <w:rPr>
          <w:color w:val="000000"/>
        </w:rPr>
        <w:t>Un plan que esconde intenciones comunistas a escala global y que busca desposeer a la población de sus bienes y gan</w:t>
      </w:r>
      <w:r>
        <w:rPr>
          <w:color w:val="000000"/>
        </w:rPr>
        <w:t xml:space="preserve">ancias. </w:t>
      </w:r>
      <w:r w:rsidRPr="00B97D6F">
        <w:rPr>
          <w:color w:val="FF0000"/>
          <w:u w:val="single"/>
        </w:rPr>
        <w:t>Bajo conceptos como el “capitalismo inclusivo” o medidas que eleven los impuestos y la creación de nuevos eco-tributos, la clase media verá progresivamente un empobrecimiento de su vida, si bien, (según los postulados de Davos)</w:t>
      </w:r>
      <w:r w:rsidRPr="00296D3C">
        <w:rPr>
          <w:color w:val="000000"/>
        </w:rPr>
        <w:t xml:space="preserve"> según refleja el Gobierno, </w:t>
      </w:r>
      <w:r w:rsidRPr="00B97D6F">
        <w:rPr>
          <w:color w:val="FF0000"/>
          <w:u w:val="single"/>
        </w:rPr>
        <w:t>esto no será motivo de amargura, sino de “felicidad”.</w:t>
      </w:r>
    </w:p>
    <w:p w:rsidR="00DE4510" w:rsidRPr="00B97D6F" w:rsidRDefault="00DE4510" w:rsidP="00FA4DA9">
      <w:pPr>
        <w:pStyle w:val="NormalWeb"/>
        <w:spacing w:after="0"/>
        <w:jc w:val="both"/>
        <w:rPr>
          <w:color w:val="FF0000"/>
          <w:u w:val="single"/>
        </w:rPr>
      </w:pPr>
      <w:r w:rsidRPr="00B97D6F">
        <w:rPr>
          <w:color w:val="FF0000"/>
          <w:u w:val="single"/>
        </w:rPr>
        <w:t xml:space="preserve">El sablazo a los contribuyentes </w:t>
      </w:r>
      <w:r w:rsidRPr="00B97D6F">
        <w:rPr>
          <w:color w:val="000000"/>
          <w:u w:val="single"/>
        </w:rPr>
        <w:t xml:space="preserve">que prepara Sánchez </w:t>
      </w:r>
      <w:r w:rsidRPr="00B97D6F">
        <w:rPr>
          <w:color w:val="FF0000"/>
          <w:u w:val="single"/>
        </w:rPr>
        <w:t>traerá</w:t>
      </w:r>
      <w:r w:rsidRPr="00B97D6F">
        <w:rPr>
          <w:color w:val="000000"/>
          <w:u w:val="single"/>
        </w:rPr>
        <w:t xml:space="preserve">, tal y como aparece en el informe 2050, </w:t>
      </w:r>
      <w:r w:rsidRPr="00B97D6F">
        <w:rPr>
          <w:color w:val="FF0000"/>
          <w:u w:val="single"/>
        </w:rPr>
        <w:t>un “mayor grado de satisfacción vital</w:t>
      </w:r>
      <w:r w:rsidRPr="00602784">
        <w:rPr>
          <w:color w:val="FF0000"/>
          <w:u w:val="single"/>
        </w:rPr>
        <w:t xml:space="preserve">”. </w:t>
      </w:r>
      <w:r w:rsidRPr="00B97D6F">
        <w:rPr>
          <w:color w:val="FF0000"/>
          <w:u w:val="single"/>
        </w:rPr>
        <w:t xml:space="preserve">Es decir, pagar más impuestos y, por ende, tener menos ingresos, nos hará estar más satisfechos con nosotros mismos. </w:t>
      </w:r>
      <w:r w:rsidRPr="00B97D6F">
        <w:rPr>
          <w:color w:val="000000"/>
          <w:u w:val="single"/>
        </w:rPr>
        <w:t xml:space="preserve">Es así como venden el aumento de la presión fiscal en los siguientes años a los españoles. El presidente del Gobierno, incluso, habla de </w:t>
      </w:r>
      <w:r w:rsidRPr="00B97D6F">
        <w:rPr>
          <w:color w:val="FF0000"/>
          <w:u w:val="single"/>
        </w:rPr>
        <w:t>una verdadera oportunidad que llenará nuestro vacío vital.</w:t>
      </w:r>
    </w:p>
    <w:p w:rsidR="00DE4510" w:rsidRPr="00296D3C" w:rsidRDefault="00DE4510" w:rsidP="00FA4DA9">
      <w:pPr>
        <w:pStyle w:val="NormalWeb"/>
        <w:spacing w:after="0"/>
        <w:jc w:val="both"/>
        <w:rPr>
          <w:color w:val="000000"/>
        </w:rPr>
      </w:pPr>
      <w:r w:rsidRPr="00296D3C">
        <w:rPr>
          <w:color w:val="000000"/>
        </w:rPr>
        <w:t xml:space="preserve">En el apartado </w:t>
      </w:r>
      <w:r w:rsidR="00B97D6F">
        <w:rPr>
          <w:color w:val="FF0000"/>
        </w:rPr>
        <w:t>“</w:t>
      </w:r>
      <w:r w:rsidRPr="00436452">
        <w:rPr>
          <w:color w:val="FF0000"/>
        </w:rPr>
        <w:t>Oportunidades que traerá el futuro para aumentar la sati</w:t>
      </w:r>
      <w:r w:rsidR="00B97D6F">
        <w:rPr>
          <w:color w:val="FF0000"/>
        </w:rPr>
        <w:t>sfacción vital de la ciudadanía”</w:t>
      </w:r>
      <w:r w:rsidRPr="00296D3C">
        <w:rPr>
          <w:color w:val="000000"/>
        </w:rPr>
        <w:t>, el docu</w:t>
      </w:r>
      <w:r w:rsidR="00B97D6F">
        <w:rPr>
          <w:color w:val="000000"/>
        </w:rPr>
        <w:t>mento incide en que lograremos “</w:t>
      </w:r>
      <w:r w:rsidRPr="00296D3C">
        <w:rPr>
          <w:color w:val="000000"/>
        </w:rPr>
        <w:t>bienestar en el futuro si tenemos un cr</w:t>
      </w:r>
      <w:r w:rsidR="00B97D6F">
        <w:rPr>
          <w:color w:val="000000"/>
        </w:rPr>
        <w:t>ecimiento socialmente inclusivo”</w:t>
      </w:r>
      <w:r w:rsidRPr="00296D3C">
        <w:rPr>
          <w:color w:val="000000"/>
        </w:rPr>
        <w:t xml:space="preserve"> (Página 353), y se explicita cuál es la misión principal de este proyecto, que tiene como base los preceptos </w:t>
      </w:r>
      <w:r w:rsidR="00B97D6F">
        <w:rPr>
          <w:color w:val="000000"/>
        </w:rPr>
        <w:t>de la izquierda internacional. “</w:t>
      </w:r>
      <w:r w:rsidRPr="00296D3C">
        <w:rPr>
          <w:color w:val="000000"/>
        </w:rPr>
        <w:t>Si queremos converger en satisfacción con los países más felices de Europa antes de 2050, tendremos que registrar importantes mejoras e</w:t>
      </w:r>
      <w:r w:rsidR="00B97D6F">
        <w:rPr>
          <w:color w:val="000000"/>
        </w:rPr>
        <w:t>n el ámbito económico y laboral”</w:t>
      </w:r>
      <w:r w:rsidRPr="00296D3C">
        <w:rPr>
          <w:color w:val="000000"/>
        </w:rPr>
        <w:t>, se puede leer en el dossier.</w:t>
      </w:r>
    </w:p>
    <w:p w:rsidR="00DE4510" w:rsidRPr="00B97D6F" w:rsidRDefault="00DE4510" w:rsidP="00FA4DA9">
      <w:pPr>
        <w:pStyle w:val="NormalWeb"/>
        <w:spacing w:after="0"/>
        <w:jc w:val="both"/>
        <w:rPr>
          <w:color w:val="FF0000"/>
        </w:rPr>
      </w:pPr>
      <w:r w:rsidRPr="00436452">
        <w:rPr>
          <w:color w:val="FF0000"/>
        </w:rPr>
        <w:t>¿Y cómo aumentar la satisfacción vital de la ciudadanía? Pues bien, estos ingenieros sociales dicen haberse dado cuenta de que las diferencias de satisfacción vital se reducen mucho entre personas c</w:t>
      </w:r>
      <w:r w:rsidR="00B97D6F">
        <w:rPr>
          <w:color w:val="FF0000"/>
        </w:rPr>
        <w:t>on ingresos altos y muy altos. “</w:t>
      </w:r>
      <w:r w:rsidRPr="00436452">
        <w:rPr>
          <w:color w:val="FF0000"/>
        </w:rPr>
        <w:t xml:space="preserve">Por ejemplo, entre quienes ganan 4.500 y 6.000 euros al mes </w:t>
      </w:r>
      <w:r w:rsidRPr="00436452">
        <w:t>en España</w:t>
      </w:r>
      <w:r w:rsidRPr="00436452">
        <w:rPr>
          <w:color w:val="FF0000"/>
        </w:rPr>
        <w:t xml:space="preserve">, el porcentaje de insatisfacción es prácticamente el mismo. Esto nos sugiere que, a partir de un cierto punto, más dinero no da más </w:t>
      </w:r>
      <w:r w:rsidR="00B97D6F">
        <w:rPr>
          <w:color w:val="FF0000"/>
        </w:rPr>
        <w:t>felicidad”, reza el texto.</w:t>
      </w:r>
    </w:p>
    <w:p w:rsidR="00DE4510" w:rsidRPr="00B97D6F" w:rsidRDefault="00DE4510" w:rsidP="00FA4DA9">
      <w:pPr>
        <w:pStyle w:val="NormalWeb"/>
        <w:spacing w:after="0"/>
        <w:jc w:val="both"/>
        <w:rPr>
          <w:color w:val="FF0000"/>
          <w:u w:val="single"/>
        </w:rPr>
      </w:pPr>
      <w:r w:rsidRPr="00436452">
        <w:rPr>
          <w:color w:val="FF0000"/>
        </w:rPr>
        <w:t>En relación a esto, el apartado continúa con su tesis y concluye que, a partir d</w:t>
      </w:r>
      <w:r w:rsidR="00B97D6F">
        <w:rPr>
          <w:color w:val="FF0000"/>
        </w:rPr>
        <w:t>e un cierto nivel de ingresos, “</w:t>
      </w:r>
      <w:r w:rsidRPr="00436452">
        <w:rPr>
          <w:color w:val="FF0000"/>
        </w:rPr>
        <w:t xml:space="preserve">el bienestar subjetivo no </w:t>
      </w:r>
      <w:r w:rsidR="00B97D6F">
        <w:rPr>
          <w:color w:val="FF0000"/>
        </w:rPr>
        <w:t>se incrementa (efecto saciedad)”</w:t>
      </w:r>
      <w:r w:rsidRPr="00436452">
        <w:rPr>
          <w:color w:val="FF0000"/>
        </w:rPr>
        <w:t>. Y como no hay más felicidad, según su estudio</w:t>
      </w:r>
      <w:r w:rsidRPr="00296D3C">
        <w:rPr>
          <w:color w:val="000000"/>
        </w:rPr>
        <w:t xml:space="preserve">, pues el Gobierno </w:t>
      </w:r>
      <w:r w:rsidR="00B97D6F">
        <w:rPr>
          <w:color w:val="FF0000"/>
        </w:rPr>
        <w:t>sugiere que “</w:t>
      </w:r>
      <w:r w:rsidRPr="00436452">
        <w:rPr>
          <w:color w:val="FF0000"/>
        </w:rPr>
        <w:t>si se quiere aumentar el bienest</w:t>
      </w:r>
      <w:r w:rsidR="00B97D6F">
        <w:rPr>
          <w:color w:val="FF0000"/>
        </w:rPr>
        <w:t>ar del conjunto de la sociedad”, puede ser más eficiente “</w:t>
      </w:r>
      <w:r w:rsidRPr="00436452">
        <w:rPr>
          <w:color w:val="FF0000"/>
        </w:rPr>
        <w:t xml:space="preserve">dirigir los incrementos de renta a los segmentos más pobres de la población en aras </w:t>
      </w:r>
      <w:r w:rsidR="00B97D6F">
        <w:rPr>
          <w:color w:val="FF0000"/>
        </w:rPr>
        <w:t>de reducir el riesgo de pobreza”</w:t>
      </w:r>
      <w:r w:rsidRPr="00436452">
        <w:rPr>
          <w:color w:val="FF0000"/>
        </w:rPr>
        <w:t xml:space="preserve">. </w:t>
      </w:r>
      <w:r w:rsidRPr="00B97D6F">
        <w:rPr>
          <w:color w:val="FF0000"/>
          <w:u w:val="single"/>
        </w:rPr>
        <w:t>Es decir, que van a quitarte el dinero que creen que no te hac</w:t>
      </w:r>
      <w:r w:rsidR="00B97D6F" w:rsidRPr="00B97D6F">
        <w:rPr>
          <w:color w:val="FF0000"/>
          <w:u w:val="single"/>
        </w:rPr>
        <w:t>e más feliz para destinarlo al “bien común”</w:t>
      </w:r>
      <w:r w:rsidRPr="00B97D6F">
        <w:rPr>
          <w:color w:val="FF0000"/>
          <w:u w:val="single"/>
        </w:rPr>
        <w:t xml:space="preserve">. </w:t>
      </w:r>
      <w:r w:rsidRPr="00B97D6F">
        <w:rPr>
          <w:color w:val="000000"/>
          <w:u w:val="single"/>
        </w:rPr>
        <w:t xml:space="preserve">Pero no solo se verán afectadas estas rentas, simplemente, el Gobierno lo pone como ejemplo, porque </w:t>
      </w:r>
      <w:r w:rsidRPr="00B97D6F">
        <w:rPr>
          <w:color w:val="FF0000"/>
          <w:u w:val="single"/>
        </w:rPr>
        <w:t>la intención es elevar los tributos a toda la población. Total, si aunque se queden s</w:t>
      </w:r>
      <w:r w:rsidR="00B97D6F" w:rsidRPr="00B97D6F">
        <w:rPr>
          <w:color w:val="FF0000"/>
          <w:u w:val="single"/>
        </w:rPr>
        <w:t>in nada, “</w:t>
      </w:r>
      <w:r w:rsidRPr="00B97D6F">
        <w:rPr>
          <w:color w:val="FF0000"/>
          <w:u w:val="single"/>
        </w:rPr>
        <w:t>serán felices”.</w:t>
      </w:r>
    </w:p>
    <w:p w:rsidR="00DE4510" w:rsidRPr="00296D3C" w:rsidRDefault="00B97D6F" w:rsidP="00FA4DA9">
      <w:pPr>
        <w:pStyle w:val="NormalWeb"/>
        <w:spacing w:after="0"/>
        <w:jc w:val="both"/>
        <w:rPr>
          <w:color w:val="000000"/>
        </w:rPr>
      </w:pPr>
      <w:r>
        <w:rPr>
          <w:color w:val="000000"/>
        </w:rPr>
        <w:t>Continúa el apartado: “</w:t>
      </w:r>
      <w:r w:rsidR="00DE4510" w:rsidRPr="00296D3C">
        <w:rPr>
          <w:color w:val="000000"/>
        </w:rPr>
        <w:t>Aunque es cierto que el dinero no puede comprar la felicidad, los ingresos constituyen uno de los factores clave para el bienestar subjetivo de la población, sobre todo cuando son reducidos e incier</w:t>
      </w:r>
      <w:r>
        <w:rPr>
          <w:color w:val="000000"/>
        </w:rPr>
        <w:t>tos”</w:t>
      </w:r>
      <w:r w:rsidR="00DE4510" w:rsidRPr="00296D3C">
        <w:rPr>
          <w:color w:val="000000"/>
        </w:rPr>
        <w:t>, argumenta el Gobierno.</w:t>
      </w:r>
    </w:p>
    <w:p w:rsidR="00DE4510" w:rsidRPr="00436452" w:rsidRDefault="00DE4510" w:rsidP="00FA4DA9">
      <w:pPr>
        <w:pStyle w:val="NormalWeb"/>
        <w:spacing w:after="0"/>
        <w:jc w:val="both"/>
        <w:rPr>
          <w:color w:val="FF0000"/>
        </w:rPr>
      </w:pPr>
      <w:r w:rsidRPr="00296D3C">
        <w:rPr>
          <w:color w:val="000000"/>
        </w:rPr>
        <w:lastRenderedPageBreak/>
        <w:t xml:space="preserve">El objetivo es el mismo de siempre, solo que esta vez lo relevante es que </w:t>
      </w:r>
      <w:r w:rsidRPr="00436452">
        <w:rPr>
          <w:color w:val="FF0000"/>
        </w:rPr>
        <w:t>se utiliza a lo l</w:t>
      </w:r>
      <w:r w:rsidR="00B97D6F">
        <w:rPr>
          <w:color w:val="FF0000"/>
        </w:rPr>
        <w:t>argo del informe términos como “satisfacción vital”, “bienestar subjetivo” y “felicidad común”</w:t>
      </w:r>
      <w:r w:rsidRPr="00436452">
        <w:rPr>
          <w:color w:val="FF0000"/>
        </w:rPr>
        <w:t>, para inocular la idea en la psique de que, por ejemplo,</w:t>
      </w:r>
      <w:r>
        <w:rPr>
          <w:color w:val="FF0000"/>
        </w:rPr>
        <w:t xml:space="preserve"> expropiar buena parte de la </w:t>
      </w:r>
      <w:r w:rsidR="00B97D6F">
        <w:rPr>
          <w:color w:val="FF0000"/>
        </w:rPr>
        <w:t>nómina o la vivienda “a los que tienen” es lo correcto para “beneficiar a todos”</w:t>
      </w:r>
      <w:r w:rsidRPr="00436452">
        <w:rPr>
          <w:color w:val="FF0000"/>
        </w:rPr>
        <w:t>.</w:t>
      </w:r>
    </w:p>
    <w:p w:rsidR="00DE4510" w:rsidRPr="00296D3C" w:rsidRDefault="00DE4510" w:rsidP="00FA4DA9">
      <w:pPr>
        <w:pStyle w:val="NormalWeb"/>
        <w:spacing w:after="0"/>
        <w:jc w:val="both"/>
        <w:rPr>
          <w:color w:val="000000"/>
        </w:rPr>
      </w:pPr>
      <w:r w:rsidRPr="00296D3C">
        <w:rPr>
          <w:color w:val="000000"/>
        </w:rPr>
        <w:t xml:space="preserve">A este respecto, el documento prosigue muy en línea de la campaña propagandística de Hacienda y </w:t>
      </w:r>
      <w:r>
        <w:rPr>
          <w:color w:val="000000"/>
        </w:rPr>
        <w:t>su adoctrinamiento tributario: “</w:t>
      </w:r>
      <w:r w:rsidRPr="00296D3C">
        <w:rPr>
          <w:color w:val="000000"/>
        </w:rPr>
        <w:t>Será necesaria, además, una profunda reorganización de los ingresos (sistema fiscal) y los gastos (prestaciones sociales y servicios públicos): debemos recaudar más y mejor, para gastar más y mejor en partidas tan claves para el bienestar futuro como la sanidad o los servicios de cuida</w:t>
      </w:r>
      <w:r>
        <w:rPr>
          <w:color w:val="000000"/>
        </w:rPr>
        <w:t>do”, se escribe en el apartado.</w:t>
      </w:r>
    </w:p>
    <w:p w:rsidR="00DE4510" w:rsidRPr="00296D3C" w:rsidRDefault="00DE4510" w:rsidP="00FA4DA9">
      <w:pPr>
        <w:pStyle w:val="NormalWeb"/>
        <w:spacing w:after="0"/>
        <w:jc w:val="both"/>
        <w:rPr>
          <w:color w:val="000000"/>
        </w:rPr>
      </w:pPr>
      <w:r w:rsidRPr="00436452">
        <w:rPr>
          <w:color w:val="FF0000"/>
        </w:rPr>
        <w:t>El plan</w:t>
      </w:r>
      <w:r w:rsidRPr="00296D3C">
        <w:rPr>
          <w:color w:val="000000"/>
        </w:rPr>
        <w:t xml:space="preserve"> España 2050 </w:t>
      </w:r>
      <w:r w:rsidRPr="00436452">
        <w:rPr>
          <w:color w:val="FF0000"/>
        </w:rPr>
        <w:t xml:space="preserve">reconoce que los </w:t>
      </w:r>
      <w:r w:rsidRPr="00296D3C">
        <w:rPr>
          <w:color w:val="000000"/>
        </w:rPr>
        <w:t xml:space="preserve">españoles </w:t>
      </w:r>
      <w:r w:rsidRPr="00436452">
        <w:rPr>
          <w:color w:val="FF0000"/>
        </w:rPr>
        <w:t>están frustrados con su presente y son, además,</w:t>
      </w:r>
      <w:r w:rsidR="00B97D6F">
        <w:rPr>
          <w:color w:val="FF0000"/>
        </w:rPr>
        <w:t xml:space="preserve"> muy pesimistas con su futuro. “</w:t>
      </w:r>
      <w:r w:rsidRPr="00436452">
        <w:rPr>
          <w:color w:val="FF0000"/>
        </w:rPr>
        <w:t>Sólo un 21% espera que sus circunstancias sean mejores a l</w:t>
      </w:r>
      <w:r w:rsidR="00B97D6F">
        <w:rPr>
          <w:color w:val="FF0000"/>
        </w:rPr>
        <w:t>as actuales”</w:t>
      </w:r>
      <w:r w:rsidRPr="00436452">
        <w:rPr>
          <w:color w:val="FF0000"/>
        </w:rPr>
        <w:t xml:space="preserve">. En lugar de hacer autocrítica y reflexionar sobre los motivos por los que los </w:t>
      </w:r>
      <w:r w:rsidRPr="00296D3C">
        <w:rPr>
          <w:color w:val="000000"/>
        </w:rPr>
        <w:t xml:space="preserve">españoles </w:t>
      </w:r>
      <w:r w:rsidRPr="00436452">
        <w:rPr>
          <w:color w:val="FF0000"/>
        </w:rPr>
        <w:t>están decepcionados</w:t>
      </w:r>
      <w:r w:rsidRPr="00296D3C">
        <w:rPr>
          <w:color w:val="000000"/>
        </w:rPr>
        <w:t>, el Gobierno de Sánchez plantea las mismas fórmulas que ya aplica y solo conducen a peores datos ec</w:t>
      </w:r>
      <w:r>
        <w:rPr>
          <w:color w:val="000000"/>
        </w:rPr>
        <w:t>onómicos y al aumento del paro.</w:t>
      </w:r>
    </w:p>
    <w:p w:rsidR="00DE4510" w:rsidRDefault="00B97D6F" w:rsidP="00FA4DA9">
      <w:pPr>
        <w:pStyle w:val="NormalWeb"/>
        <w:spacing w:before="0" w:beforeAutospacing="0" w:after="0" w:afterAutospacing="0"/>
        <w:jc w:val="both"/>
        <w:rPr>
          <w:b/>
          <w:color w:val="FF0000"/>
          <w:u w:val="single"/>
        </w:rPr>
      </w:pPr>
      <w:r>
        <w:rPr>
          <w:color w:val="FF0000"/>
        </w:rPr>
        <w:t>“</w:t>
      </w:r>
      <w:r w:rsidR="00DE4510" w:rsidRPr="00436452">
        <w:rPr>
          <w:color w:val="FF0000"/>
        </w:rPr>
        <w:t xml:space="preserve">Si durante las próximas décadas no logramos resolver problemas actuales como el elevado desempleo estructural, la alta precariedad o las extensas jornadas laborales, la transformación tecnológica y las nuevas formas de trabajo podrían traducirse en un mayor deterioro de las condiciones laborales </w:t>
      </w:r>
      <w:r>
        <w:rPr>
          <w:color w:val="000000"/>
        </w:rPr>
        <w:t>en nuestro país”</w:t>
      </w:r>
      <w:r w:rsidR="00DE4510" w:rsidRPr="00296D3C">
        <w:rPr>
          <w:color w:val="000000"/>
        </w:rPr>
        <w:t xml:space="preserve">. </w:t>
      </w:r>
      <w:r>
        <w:rPr>
          <w:color w:val="FF0000"/>
        </w:rPr>
        <w:t>Y “</w:t>
      </w:r>
      <w:r w:rsidR="00DE4510" w:rsidRPr="00436452">
        <w:rPr>
          <w:color w:val="FF0000"/>
        </w:rPr>
        <w:t>elevaría aún más la insatisfacció</w:t>
      </w:r>
      <w:r>
        <w:rPr>
          <w:color w:val="FF0000"/>
        </w:rPr>
        <w:t>n laboral de nuestra ciudadanía”</w:t>
      </w:r>
      <w:r w:rsidR="00DE4510" w:rsidRPr="00436452">
        <w:rPr>
          <w:color w:val="FF0000"/>
        </w:rPr>
        <w:t>.</w:t>
      </w:r>
      <w:r w:rsidR="00DE4510" w:rsidRPr="00296D3C">
        <w:rPr>
          <w:color w:val="000000"/>
        </w:rPr>
        <w:t xml:space="preserve"> Por consiguiente, pa</w:t>
      </w:r>
      <w:r>
        <w:rPr>
          <w:color w:val="000000"/>
        </w:rPr>
        <w:t>ra que los españoles vuelvan a “estar satisfechos”</w:t>
      </w:r>
      <w:r w:rsidR="00DE4510" w:rsidRPr="00296D3C">
        <w:rPr>
          <w:color w:val="000000"/>
        </w:rPr>
        <w:t>, el Gobierno aumentará mucho más el gasto público en escue</w:t>
      </w:r>
      <w:r>
        <w:rPr>
          <w:color w:val="000000"/>
        </w:rPr>
        <w:t>las para que “sean espacios de socialización”. Además, va a “</w:t>
      </w:r>
      <w:r w:rsidR="00DE4510" w:rsidRPr="00296D3C">
        <w:rPr>
          <w:color w:val="000000"/>
        </w:rPr>
        <w:t>reforzar el Sistema Nacional de</w:t>
      </w:r>
      <w:r>
        <w:rPr>
          <w:color w:val="000000"/>
        </w:rPr>
        <w:t xml:space="preserve"> Salud y los servicios sociales”</w:t>
      </w:r>
      <w:r w:rsidR="00DE4510" w:rsidRPr="00296D3C">
        <w:rPr>
          <w:color w:val="000000"/>
        </w:rPr>
        <w:t xml:space="preserve"> y pide confiar en los planes cl</w:t>
      </w:r>
      <w:r>
        <w:rPr>
          <w:color w:val="000000"/>
        </w:rPr>
        <w:t>imáticos, lo que vendría a ser “la gran transición ecológica”</w:t>
      </w:r>
      <w:r w:rsidR="00DE4510" w:rsidRPr="00296D3C">
        <w:rPr>
          <w:color w:val="000000"/>
        </w:rPr>
        <w:t xml:space="preserve">. </w:t>
      </w:r>
      <w:r w:rsidR="00DE4510" w:rsidRPr="00B97D6F">
        <w:rPr>
          <w:b/>
          <w:color w:val="FF0000"/>
          <w:u w:val="single"/>
        </w:rPr>
        <w:t>Siguiendo estas premisas, los ciudadanos tendrán mucho menos que en épocas anteriores, pero,</w:t>
      </w:r>
      <w:r w:rsidR="00DE4510" w:rsidRPr="00296D3C">
        <w:rPr>
          <w:color w:val="000000"/>
        </w:rPr>
        <w:t xml:space="preserve"> según Sánchez, </w:t>
      </w:r>
      <w:r w:rsidRPr="009516CA">
        <w:rPr>
          <w:b/>
          <w:color w:val="FF0000"/>
          <w:u w:val="single"/>
        </w:rPr>
        <w:t>“serán felices”</w:t>
      </w:r>
      <w:r w:rsidR="00DE4510" w:rsidRPr="009516CA">
        <w:rPr>
          <w:b/>
          <w:color w:val="FF0000"/>
          <w:u w:val="single"/>
        </w:rPr>
        <w:t>.</w:t>
      </w:r>
    </w:p>
    <w:p w:rsidR="009516CA" w:rsidRPr="00436452" w:rsidRDefault="009516CA" w:rsidP="00FA4DA9">
      <w:pPr>
        <w:pStyle w:val="NormalWeb"/>
        <w:spacing w:before="0" w:beforeAutospacing="0" w:after="0" w:afterAutospacing="0"/>
        <w:jc w:val="both"/>
        <w:rPr>
          <w:color w:val="FF0000"/>
        </w:rPr>
      </w:pPr>
    </w:p>
    <w:p w:rsidR="00DE4510" w:rsidRPr="005C7C34" w:rsidRDefault="00DE4510"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9516CA">
        <w:rPr>
          <w:rFonts w:ascii="Times New Roman" w:hAnsi="Times New Roman" w:cs="Times New Roman"/>
          <w:sz w:val="24"/>
          <w:szCs w:val="24"/>
          <w:u w:val="single"/>
        </w:rPr>
        <w:t>Deutsche Bank avisa de que “</w:t>
      </w:r>
      <w:r w:rsidRPr="005C7C34">
        <w:rPr>
          <w:rFonts w:ascii="Times New Roman" w:hAnsi="Times New Roman" w:cs="Times New Roman"/>
          <w:sz w:val="24"/>
          <w:szCs w:val="24"/>
          <w:u w:val="single"/>
        </w:rPr>
        <w:t>esta vez</w:t>
      </w:r>
      <w:r w:rsidR="009516CA">
        <w:rPr>
          <w:rFonts w:ascii="Times New Roman" w:hAnsi="Times New Roman" w:cs="Times New Roman"/>
          <w:sz w:val="24"/>
          <w:szCs w:val="24"/>
          <w:u w:val="single"/>
        </w:rPr>
        <w:t xml:space="preserve"> es diferente para la inflación”</w:t>
      </w:r>
      <w:r w:rsidRPr="005C7C34">
        <w:rPr>
          <w:rFonts w:ascii="Times New Roman" w:hAnsi="Times New Roman" w:cs="Times New Roman"/>
          <w:sz w:val="24"/>
          <w:szCs w:val="24"/>
          <w:u w:val="single"/>
        </w:rPr>
        <w:t xml:space="preserve"> y no estamos preparados</w:t>
      </w:r>
      <w:r>
        <w:rPr>
          <w:rFonts w:ascii="Times New Roman" w:hAnsi="Times New Roman" w:cs="Times New Roman"/>
          <w:sz w:val="24"/>
          <w:szCs w:val="24"/>
        </w:rPr>
        <w:t xml:space="preserve"> (El Economista - </w:t>
      </w:r>
      <w:r w:rsidRPr="005C7C34">
        <w:rPr>
          <w:rFonts w:ascii="Times New Roman" w:hAnsi="Times New Roman" w:cs="Times New Roman"/>
          <w:b/>
          <w:sz w:val="24"/>
          <w:szCs w:val="24"/>
        </w:rPr>
        <w:t>7/6/21</w:t>
      </w:r>
      <w:r>
        <w:rPr>
          <w:rFonts w:ascii="Times New Roman" w:hAnsi="Times New Roman" w:cs="Times New Roman"/>
          <w:sz w:val="24"/>
          <w:szCs w:val="24"/>
        </w:rPr>
        <w:t>)</w:t>
      </w:r>
    </w:p>
    <w:p w:rsidR="00DE4510" w:rsidRPr="005C7C34" w:rsidRDefault="00DE4510"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5C7C34">
        <w:rPr>
          <w:rFonts w:ascii="Times New Roman" w:hAnsi="Times New Roman" w:cs="Times New Roman"/>
          <w:sz w:val="24"/>
          <w:szCs w:val="24"/>
        </w:rPr>
        <w:t>Vicente Nieves</w:t>
      </w:r>
      <w:r>
        <w:rPr>
          <w:rFonts w:ascii="Times New Roman" w:hAnsi="Times New Roman" w:cs="Times New Roman"/>
          <w:sz w:val="24"/>
          <w:szCs w:val="24"/>
        </w:rPr>
        <w:t>)</w:t>
      </w:r>
    </w:p>
    <w:p w:rsidR="00DE4510" w:rsidRPr="005C7C34" w:rsidRDefault="00DE4510" w:rsidP="00FA4DA9">
      <w:pPr>
        <w:spacing w:line="240" w:lineRule="auto"/>
        <w:jc w:val="both"/>
        <w:rPr>
          <w:rFonts w:ascii="Times New Roman" w:hAnsi="Times New Roman" w:cs="Times New Roman"/>
          <w:sz w:val="24"/>
          <w:szCs w:val="24"/>
        </w:rPr>
      </w:pPr>
      <w:r w:rsidRPr="009516CA">
        <w:rPr>
          <w:rFonts w:ascii="Times New Roman" w:hAnsi="Times New Roman" w:cs="Times New Roman"/>
          <w:color w:val="FF0000"/>
          <w:sz w:val="24"/>
          <w:szCs w:val="24"/>
          <w:u w:val="single"/>
        </w:rPr>
        <w:t>La inflación está sorprendiendo al alza en este 2021</w:t>
      </w:r>
      <w:r w:rsidRPr="005C7C34">
        <w:rPr>
          <w:rFonts w:ascii="Times New Roman" w:hAnsi="Times New Roman" w:cs="Times New Roman"/>
          <w:sz w:val="24"/>
          <w:szCs w:val="24"/>
        </w:rPr>
        <w:t>. Instituciones financieras privadas y públicas están revisando al alza el IPC esperado para este año. Los bancos centrales también harán lo propio (el BCE este jueves). Sin embargo, estas respetadas (algunas más que otras) instituciones financieras insisten en que la subida de precios, aunque intensa, es solo temporal, por lo que no</w:t>
      </w:r>
      <w:r>
        <w:rPr>
          <w:rFonts w:ascii="Times New Roman" w:hAnsi="Times New Roman" w:cs="Times New Roman"/>
          <w:sz w:val="24"/>
          <w:szCs w:val="24"/>
        </w:rPr>
        <w:t xml:space="preserve"> hay que preocuparse ni actuar.</w:t>
      </w:r>
    </w:p>
    <w:p w:rsidR="00DE4510" w:rsidRPr="0011486A" w:rsidRDefault="00DE4510" w:rsidP="00FA4DA9">
      <w:pPr>
        <w:spacing w:line="240" w:lineRule="auto"/>
        <w:jc w:val="both"/>
        <w:rPr>
          <w:rFonts w:ascii="Times New Roman" w:hAnsi="Times New Roman" w:cs="Times New Roman"/>
          <w:color w:val="FF0000"/>
          <w:sz w:val="24"/>
          <w:szCs w:val="24"/>
          <w:u w:val="single"/>
        </w:rPr>
      </w:pPr>
      <w:r w:rsidRPr="0011486A">
        <w:rPr>
          <w:rFonts w:ascii="Times New Roman" w:hAnsi="Times New Roman" w:cs="Times New Roman"/>
          <w:color w:val="FF0000"/>
          <w:sz w:val="24"/>
          <w:szCs w:val="24"/>
          <w:u w:val="single"/>
        </w:rPr>
        <w:t>Según los banqueros centrales, los precios volverán a mostrar tasas por debajo o cercanas al 2% en 2022 y, entonces, el debate será una vez más cómo estimular la inflación en las economías desarrolladas. Sin embargo, para Deutsche Bank (y cada vez más instituciones) este exceso de seguridad de la banca central puede ser un error fatal, porque la inflación podría ser más duradera y coger a los banqueros centrales a contrapié.</w:t>
      </w:r>
    </w:p>
    <w:p w:rsidR="00DE4510" w:rsidRPr="009516CA" w:rsidRDefault="00DE4510" w:rsidP="00FA4DA9">
      <w:pPr>
        <w:spacing w:line="240" w:lineRule="auto"/>
        <w:jc w:val="both"/>
        <w:rPr>
          <w:rFonts w:ascii="Times New Roman" w:hAnsi="Times New Roman" w:cs="Times New Roman"/>
          <w:b/>
          <w:color w:val="FF0000"/>
          <w:sz w:val="24"/>
          <w:szCs w:val="24"/>
          <w:u w:val="single"/>
        </w:rPr>
      </w:pPr>
      <w:r w:rsidRPr="009516CA">
        <w:rPr>
          <w:rFonts w:ascii="Times New Roman" w:hAnsi="Times New Roman" w:cs="Times New Roman"/>
          <w:b/>
          <w:color w:val="FF0000"/>
          <w:sz w:val="24"/>
          <w:szCs w:val="24"/>
          <w:u w:val="single"/>
        </w:rPr>
        <w:t>El IPC ha alcanzado el 4,2% en EEUU y podría seguir subiendo durante el verano. En la zona euro, la inflación se ha situado en el 2% tras varios meses de tasas de variación negativa (deflación) en 2020. Ahora, las expectativas de inflación son más elevadas y las previsiones hablan de una subida de los precios que seguirá cogiendo tracción en lo que resta de 2021.</w:t>
      </w:r>
    </w:p>
    <w:p w:rsidR="00DE4510" w:rsidRPr="005C7C34" w:rsidRDefault="00DE4510" w:rsidP="00FA4DA9">
      <w:pPr>
        <w:spacing w:line="240" w:lineRule="auto"/>
        <w:jc w:val="both"/>
        <w:rPr>
          <w:rFonts w:ascii="Times New Roman" w:hAnsi="Times New Roman" w:cs="Times New Roman"/>
          <w:sz w:val="24"/>
          <w:szCs w:val="24"/>
        </w:rPr>
      </w:pPr>
      <w:r w:rsidRPr="005C7C34">
        <w:rPr>
          <w:rFonts w:ascii="Times New Roman" w:hAnsi="Times New Roman" w:cs="Times New Roman"/>
          <w:sz w:val="24"/>
          <w:szCs w:val="24"/>
        </w:rPr>
        <w:lastRenderedPageBreak/>
        <w:t>Los bancos centrales miran hacia otro lado</w:t>
      </w:r>
    </w:p>
    <w:p w:rsidR="00DE4510" w:rsidRPr="009516CA" w:rsidRDefault="00DE4510" w:rsidP="00FA4DA9">
      <w:pPr>
        <w:spacing w:line="240" w:lineRule="auto"/>
        <w:jc w:val="both"/>
        <w:rPr>
          <w:rFonts w:ascii="Times New Roman" w:hAnsi="Times New Roman" w:cs="Times New Roman"/>
          <w:b/>
          <w:color w:val="FF0000"/>
          <w:sz w:val="24"/>
          <w:szCs w:val="24"/>
          <w:u w:val="single"/>
        </w:rPr>
      </w:pPr>
      <w:r w:rsidRPr="009516CA">
        <w:rPr>
          <w:rFonts w:ascii="Times New Roman" w:hAnsi="Times New Roman" w:cs="Times New Roman"/>
          <w:b/>
          <w:color w:val="FF0000"/>
          <w:sz w:val="24"/>
          <w:szCs w:val="24"/>
          <w:u w:val="single"/>
        </w:rPr>
        <w:t>Mientras tanto, los bancos centrales no piensan retirar el pie del acelerador, con unos tipos de interés históricamente bajos y unos planes de estímulos monetarios y fiscales (gobiernos) que no tienen precedentes. El cóctel parece explosivo, sobre todo si se le suma que los precios de los activos están en máximos o que la economía sufre importantes cuellos de botella que están también impulsando los precios al alza (cobre, chips, petróleo...).</w:t>
      </w:r>
    </w:p>
    <w:p w:rsidR="00DE4510" w:rsidRPr="009516CA" w:rsidRDefault="009516CA" w:rsidP="00FA4DA9">
      <w:pPr>
        <w:spacing w:line="240" w:lineRule="auto"/>
        <w:jc w:val="both"/>
        <w:rPr>
          <w:rFonts w:ascii="Times New Roman" w:hAnsi="Times New Roman" w:cs="Times New Roman"/>
          <w:b/>
          <w:color w:val="FF0000"/>
          <w:sz w:val="24"/>
          <w:szCs w:val="24"/>
          <w:u w:val="single"/>
        </w:rPr>
      </w:pPr>
      <w:r w:rsidRPr="009516CA">
        <w:rPr>
          <w:rFonts w:ascii="Times New Roman" w:hAnsi="Times New Roman" w:cs="Times New Roman"/>
          <w:b/>
          <w:color w:val="FF0000"/>
          <w:sz w:val="24"/>
          <w:szCs w:val="24"/>
          <w:u w:val="single"/>
        </w:rPr>
        <w:t>“</w:t>
      </w:r>
      <w:r w:rsidR="00DE4510" w:rsidRPr="009516CA">
        <w:rPr>
          <w:rFonts w:ascii="Times New Roman" w:hAnsi="Times New Roman" w:cs="Times New Roman"/>
          <w:b/>
          <w:color w:val="FF0000"/>
          <w:sz w:val="24"/>
          <w:szCs w:val="24"/>
          <w:u w:val="single"/>
        </w:rPr>
        <w:t>Estamos presenciando el cambio más importante en la política macroeconómica mundial desde el eje Ronald Reagan - Paul Volcker hace ya 40 años. Las inyecciones fisca</w:t>
      </w:r>
      <w:r w:rsidRPr="009516CA">
        <w:rPr>
          <w:rFonts w:ascii="Times New Roman" w:hAnsi="Times New Roman" w:cs="Times New Roman"/>
          <w:b/>
          <w:color w:val="FF0000"/>
          <w:sz w:val="24"/>
          <w:szCs w:val="24"/>
          <w:u w:val="single"/>
        </w:rPr>
        <w:t>les se salen “fuera de los gráficos”</w:t>
      </w:r>
      <w:r w:rsidR="00DE4510" w:rsidRPr="009516CA">
        <w:rPr>
          <w:rFonts w:ascii="Times New Roman" w:hAnsi="Times New Roman" w:cs="Times New Roman"/>
          <w:b/>
          <w:color w:val="FF0000"/>
          <w:sz w:val="24"/>
          <w:szCs w:val="24"/>
          <w:u w:val="single"/>
        </w:rPr>
        <w:t xml:space="preserve"> al mismo tiempo que el modus operandi de la Fed ha cambiado para tolerar una mayor inflación. Nunca antes habíamos visto una política fiscal y monetaria expansiva tan coordinada. Esta tenencia continuará mientras que la economía crece por encima de su potencial. Es por eso que esta vez</w:t>
      </w:r>
      <w:r w:rsidRPr="009516CA">
        <w:rPr>
          <w:rFonts w:ascii="Times New Roman" w:hAnsi="Times New Roman" w:cs="Times New Roman"/>
          <w:b/>
          <w:color w:val="FF0000"/>
          <w:sz w:val="24"/>
          <w:szCs w:val="24"/>
          <w:u w:val="single"/>
        </w:rPr>
        <w:t xml:space="preserve"> es diferente para la inflación”</w:t>
      </w:r>
      <w:r w:rsidR="00DE4510" w:rsidRPr="009516CA">
        <w:rPr>
          <w:rFonts w:ascii="Times New Roman" w:hAnsi="Times New Roman" w:cs="Times New Roman"/>
          <w:b/>
          <w:color w:val="FF0000"/>
          <w:sz w:val="24"/>
          <w:szCs w:val="24"/>
          <w:u w:val="single"/>
        </w:rPr>
        <w:t>, vaticina David Folkerts-Landau, economista jefe y director de investigación de Deutsche Bank.</w:t>
      </w:r>
    </w:p>
    <w:p w:rsidR="00DE4510" w:rsidRPr="005C7C34" w:rsidRDefault="00DE4510" w:rsidP="00FA4DA9">
      <w:pPr>
        <w:spacing w:line="240" w:lineRule="auto"/>
        <w:jc w:val="both"/>
        <w:rPr>
          <w:rFonts w:ascii="Times New Roman" w:hAnsi="Times New Roman" w:cs="Times New Roman"/>
          <w:sz w:val="24"/>
          <w:szCs w:val="24"/>
        </w:rPr>
      </w:pPr>
      <w:r>
        <w:rPr>
          <w:noProof/>
          <w:lang w:eastAsia="es-ES"/>
        </w:rPr>
        <w:drawing>
          <wp:inline distT="0" distB="0" distL="0" distR="0" wp14:anchorId="5227F9C9" wp14:editId="62A6743A">
            <wp:extent cx="5730950" cy="2794000"/>
            <wp:effectExtent l="0" t="0" r="3175" b="6350"/>
            <wp:docPr id="34" name="Imagen 34" descr="https://s03.s3c.es/imag/_v0/2310x1290/9/b/b/politica-fed-infl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2310x1290/9/b/b/politica-fed-inflacion.gif"/>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5731510" cy="2794273"/>
                    </a:xfrm>
                    <a:prstGeom prst="rect">
                      <a:avLst/>
                    </a:prstGeom>
                    <a:noFill/>
                    <a:ln>
                      <a:noFill/>
                    </a:ln>
                  </pic:spPr>
                </pic:pic>
              </a:graphicData>
            </a:graphic>
          </wp:inline>
        </w:drawing>
      </w:r>
    </w:p>
    <w:p w:rsidR="00DE4510" w:rsidRPr="005C7C34" w:rsidRDefault="00DE4510" w:rsidP="00FA4DA9">
      <w:pPr>
        <w:spacing w:line="240" w:lineRule="auto"/>
        <w:jc w:val="both"/>
        <w:rPr>
          <w:rFonts w:ascii="Times New Roman" w:hAnsi="Times New Roman" w:cs="Times New Roman"/>
          <w:sz w:val="24"/>
          <w:szCs w:val="24"/>
        </w:rPr>
      </w:pPr>
      <w:r w:rsidRPr="005C7C34">
        <w:rPr>
          <w:rFonts w:ascii="Times New Roman" w:hAnsi="Times New Roman" w:cs="Times New Roman"/>
          <w:sz w:val="24"/>
          <w:szCs w:val="24"/>
        </w:rPr>
        <w:t>La política fiscal y monetaria</w:t>
      </w:r>
      <w:r w:rsidR="009516CA">
        <w:rPr>
          <w:rFonts w:ascii="Times New Roman" w:hAnsi="Times New Roman" w:cs="Times New Roman"/>
          <w:sz w:val="24"/>
          <w:szCs w:val="24"/>
        </w:rPr>
        <w:t>,</w:t>
      </w:r>
      <w:r w:rsidRPr="005C7C34">
        <w:rPr>
          <w:rFonts w:ascii="Times New Roman" w:hAnsi="Times New Roman" w:cs="Times New Roman"/>
          <w:sz w:val="24"/>
          <w:szCs w:val="24"/>
        </w:rPr>
        <w:t xml:space="preserve"> está</w:t>
      </w:r>
      <w:r>
        <w:rPr>
          <w:rFonts w:ascii="Times New Roman" w:hAnsi="Times New Roman" w:cs="Times New Roman"/>
          <w:sz w:val="24"/>
          <w:szCs w:val="24"/>
        </w:rPr>
        <w:t>n</w:t>
      </w:r>
      <w:r w:rsidRPr="005C7C34">
        <w:rPr>
          <w:rFonts w:ascii="Times New Roman" w:hAnsi="Times New Roman" w:cs="Times New Roman"/>
          <w:sz w:val="24"/>
          <w:szCs w:val="24"/>
        </w:rPr>
        <w:t xml:space="preserve"> muy coordinadas en esta ocasión</w:t>
      </w:r>
    </w:p>
    <w:p w:rsidR="00DE4510" w:rsidRPr="009516CA" w:rsidRDefault="00DE4510" w:rsidP="00FA4DA9">
      <w:pPr>
        <w:spacing w:line="240" w:lineRule="auto"/>
        <w:jc w:val="both"/>
        <w:rPr>
          <w:rFonts w:ascii="Times New Roman" w:hAnsi="Times New Roman" w:cs="Times New Roman"/>
          <w:color w:val="FF0000"/>
          <w:sz w:val="24"/>
          <w:szCs w:val="24"/>
          <w:u w:val="single"/>
        </w:rPr>
      </w:pPr>
      <w:r w:rsidRPr="009516CA">
        <w:rPr>
          <w:rFonts w:ascii="Times New Roman" w:hAnsi="Times New Roman" w:cs="Times New Roman"/>
          <w:b/>
          <w:color w:val="FF0000"/>
          <w:sz w:val="24"/>
          <w:szCs w:val="24"/>
          <w:u w:val="single"/>
        </w:rPr>
        <w:t>Los cambios de hoy se comenzaron a fraguar en la anterior crisis financiera, durante la crisis de deuda soberana en la zona euro, pero es ahora cuando se van a producir las consecuencias más importantes para la inflación.</w:t>
      </w:r>
      <w:r w:rsidRPr="009516CA">
        <w:rPr>
          <w:rFonts w:ascii="Times New Roman" w:hAnsi="Times New Roman" w:cs="Times New Roman"/>
          <w:b/>
          <w:color w:val="FF0000"/>
          <w:sz w:val="24"/>
          <w:szCs w:val="24"/>
        </w:rPr>
        <w:t xml:space="preserve"> </w:t>
      </w:r>
      <w:r w:rsidRPr="009516CA">
        <w:rPr>
          <w:rFonts w:ascii="Times New Roman" w:hAnsi="Times New Roman" w:cs="Times New Roman"/>
          <w:b/>
          <w:color w:val="FF0000"/>
          <w:sz w:val="24"/>
          <w:szCs w:val="24"/>
          <w:u w:val="single"/>
        </w:rPr>
        <w:t>Los banqueros centrales solo parecen tener ojos para la sostenibilidad de la deuda pública, que necesita de unos bancos tipos de interés y de grandes compras (por parte de los bancos centrales) para evitar que se derribe el castillo de naipes.</w:t>
      </w:r>
      <w:r w:rsidRPr="009516CA">
        <w:rPr>
          <w:rFonts w:ascii="Times New Roman" w:hAnsi="Times New Roman" w:cs="Times New Roman"/>
          <w:color w:val="FF0000"/>
          <w:sz w:val="24"/>
          <w:szCs w:val="24"/>
        </w:rPr>
        <w:t xml:space="preserve"> </w:t>
      </w:r>
      <w:r w:rsidR="009516CA" w:rsidRPr="009516CA">
        <w:rPr>
          <w:rFonts w:ascii="Times New Roman" w:hAnsi="Times New Roman" w:cs="Times New Roman"/>
          <w:color w:val="FF0000"/>
          <w:sz w:val="24"/>
          <w:szCs w:val="24"/>
          <w:u w:val="single"/>
        </w:rPr>
        <w:t>“</w:t>
      </w:r>
      <w:r w:rsidRPr="009516CA">
        <w:rPr>
          <w:rFonts w:ascii="Times New Roman" w:hAnsi="Times New Roman" w:cs="Times New Roman"/>
          <w:color w:val="FF0000"/>
          <w:sz w:val="24"/>
          <w:szCs w:val="24"/>
          <w:u w:val="single"/>
        </w:rPr>
        <w:t>La base del actual cambio de paradigma en las políticas se estableció en la última década. Después de la crisis financiera mundial, la preocupación se centró en los niveles elevados de deuda soberana... por lo tanto, los bajos tipos de interés y la c</w:t>
      </w:r>
      <w:r w:rsidR="009516CA" w:rsidRPr="009516CA">
        <w:rPr>
          <w:rFonts w:ascii="Times New Roman" w:hAnsi="Times New Roman" w:cs="Times New Roman"/>
          <w:color w:val="FF0000"/>
          <w:sz w:val="24"/>
          <w:szCs w:val="24"/>
          <w:u w:val="single"/>
        </w:rPr>
        <w:t>ompra de activos han continuado”</w:t>
      </w:r>
      <w:r w:rsidRPr="009516CA">
        <w:rPr>
          <w:rFonts w:ascii="Times New Roman" w:hAnsi="Times New Roman" w:cs="Times New Roman"/>
          <w:color w:val="FF0000"/>
          <w:sz w:val="24"/>
          <w:szCs w:val="24"/>
          <w:u w:val="single"/>
        </w:rPr>
        <w:t>, asegura Folkerts-Landau.</w:t>
      </w:r>
    </w:p>
    <w:p w:rsidR="00DE4510" w:rsidRPr="009516CA" w:rsidRDefault="00DE4510" w:rsidP="00FA4DA9">
      <w:pPr>
        <w:spacing w:line="240" w:lineRule="auto"/>
        <w:jc w:val="both"/>
        <w:rPr>
          <w:rFonts w:ascii="Times New Roman" w:hAnsi="Times New Roman" w:cs="Times New Roman"/>
          <w:color w:val="FF0000"/>
          <w:sz w:val="24"/>
          <w:szCs w:val="24"/>
          <w:u w:val="single"/>
        </w:rPr>
      </w:pPr>
      <w:r w:rsidRPr="009516CA">
        <w:rPr>
          <w:rFonts w:ascii="Times New Roman" w:hAnsi="Times New Roman" w:cs="Times New Roman"/>
          <w:color w:val="FF0000"/>
          <w:sz w:val="24"/>
          <w:szCs w:val="24"/>
          <w:u w:val="single"/>
        </w:rPr>
        <w:t xml:space="preserve">El economista alemán cree que de este modo dos de las mayores limitaciones históricas de la política macroeconómica (la inflación y la sostenibilidad de la deuda) están dejando de ser vinculantes para la banca central y los gobiernos. A su vez, la eliminación de estas restricciones ha abierto la puerta a nuevos objetivos para la política macroeconómica, que van </w:t>
      </w:r>
      <w:r w:rsidRPr="009516CA">
        <w:rPr>
          <w:rFonts w:ascii="Times New Roman" w:hAnsi="Times New Roman" w:cs="Times New Roman"/>
          <w:color w:val="FF0000"/>
          <w:sz w:val="24"/>
          <w:szCs w:val="24"/>
          <w:u w:val="single"/>
        </w:rPr>
        <w:lastRenderedPageBreak/>
        <w:t>mucho más allá de simplemente estabilizar la producción (el PIB) a lo largo del ciclo económico, asegura el economista de Deutsche Bank.</w:t>
      </w:r>
    </w:p>
    <w:p w:rsidR="00DE4510" w:rsidRPr="005C7C34" w:rsidRDefault="00DE4510" w:rsidP="00FA4DA9">
      <w:pPr>
        <w:spacing w:line="240" w:lineRule="auto"/>
        <w:jc w:val="both"/>
        <w:rPr>
          <w:rFonts w:ascii="Times New Roman" w:hAnsi="Times New Roman" w:cs="Times New Roman"/>
          <w:sz w:val="24"/>
          <w:szCs w:val="24"/>
        </w:rPr>
      </w:pPr>
      <w:r w:rsidRPr="005C7C34">
        <w:rPr>
          <w:rFonts w:ascii="Times New Roman" w:hAnsi="Times New Roman" w:cs="Times New Roman"/>
          <w:sz w:val="24"/>
          <w:szCs w:val="24"/>
        </w:rPr>
        <w:t>El estallido de la inflación</w:t>
      </w:r>
    </w:p>
    <w:p w:rsidR="00DE4510" w:rsidRPr="0011486A" w:rsidRDefault="00DE4510" w:rsidP="00FA4DA9">
      <w:pPr>
        <w:spacing w:line="240" w:lineRule="auto"/>
        <w:jc w:val="both"/>
        <w:rPr>
          <w:rFonts w:ascii="Times New Roman" w:hAnsi="Times New Roman" w:cs="Times New Roman"/>
          <w:color w:val="FF0000"/>
          <w:sz w:val="24"/>
          <w:szCs w:val="24"/>
          <w:u w:val="single"/>
        </w:rPr>
      </w:pPr>
      <w:r w:rsidRPr="0011486A">
        <w:rPr>
          <w:rFonts w:ascii="Times New Roman" w:hAnsi="Times New Roman" w:cs="Times New Roman"/>
          <w:sz w:val="24"/>
          <w:szCs w:val="24"/>
          <w:u w:val="single"/>
        </w:rPr>
        <w:t>Los precios han subido hasta la fecha por el auge de las materias primas (petróleo, cobre...), la reapertura de la economía, el efecto base que se produce al comparar los precios de este año con los de 2020 y por la escasez de ciertos inputs como pueden ser los chips semiconductores (necesarios para casi todos los bienes con algún componente electrónico).</w:t>
      </w:r>
      <w:r w:rsidRPr="005C7C34">
        <w:rPr>
          <w:rFonts w:ascii="Times New Roman" w:hAnsi="Times New Roman" w:cs="Times New Roman"/>
          <w:sz w:val="24"/>
          <w:szCs w:val="24"/>
        </w:rPr>
        <w:t xml:space="preserve"> </w:t>
      </w:r>
      <w:r w:rsidRPr="0011486A">
        <w:rPr>
          <w:rFonts w:ascii="Times New Roman" w:hAnsi="Times New Roman" w:cs="Times New Roman"/>
          <w:sz w:val="24"/>
          <w:szCs w:val="24"/>
          <w:u w:val="single"/>
        </w:rPr>
        <w:t>Los bancos centrales confían en que estas tendencias perderán intensidad a lo largo del año o ya en 2022.</w:t>
      </w:r>
      <w:r w:rsidR="009516CA">
        <w:rPr>
          <w:rFonts w:ascii="Times New Roman" w:hAnsi="Times New Roman" w:cs="Times New Roman"/>
          <w:sz w:val="24"/>
          <w:szCs w:val="24"/>
        </w:rPr>
        <w:t xml:space="preserve"> Pero “</w:t>
      </w:r>
      <w:r w:rsidRPr="005C7C34">
        <w:rPr>
          <w:rFonts w:ascii="Times New Roman" w:hAnsi="Times New Roman" w:cs="Times New Roman"/>
          <w:sz w:val="24"/>
          <w:szCs w:val="24"/>
        </w:rPr>
        <w:t>inclus</w:t>
      </w:r>
      <w:r w:rsidR="009516CA">
        <w:rPr>
          <w:rFonts w:ascii="Times New Roman" w:hAnsi="Times New Roman" w:cs="Times New Roman"/>
          <w:sz w:val="24"/>
          <w:szCs w:val="24"/>
        </w:rPr>
        <w:t>o si parte de la inflación “transitoria”</w:t>
      </w:r>
      <w:r w:rsidRPr="005C7C34">
        <w:rPr>
          <w:rFonts w:ascii="Times New Roman" w:hAnsi="Times New Roman" w:cs="Times New Roman"/>
          <w:sz w:val="24"/>
          <w:szCs w:val="24"/>
        </w:rPr>
        <w:t xml:space="preserve"> disminuye, creemos que el crecimiento de los precios recuperará un impulso significativo a medida que la economía se sobrecalienta en 2022. Además, </w:t>
      </w:r>
      <w:r w:rsidRPr="0011486A">
        <w:rPr>
          <w:rFonts w:ascii="Times New Roman" w:hAnsi="Times New Roman" w:cs="Times New Roman"/>
          <w:color w:val="FF0000"/>
          <w:sz w:val="24"/>
          <w:szCs w:val="24"/>
          <w:u w:val="single"/>
        </w:rPr>
        <w:t>nos preocupa que en su nuevo objetivo de precios, la Fed sea demasiado lenta para amortiguar las crecientes presiones in</w:t>
      </w:r>
      <w:r w:rsidR="009516CA">
        <w:rPr>
          <w:rFonts w:ascii="Times New Roman" w:hAnsi="Times New Roman" w:cs="Times New Roman"/>
          <w:color w:val="FF0000"/>
          <w:sz w:val="24"/>
          <w:szCs w:val="24"/>
          <w:u w:val="single"/>
        </w:rPr>
        <w:t>flacionarias de manera efectiva”</w:t>
      </w:r>
      <w:r w:rsidRPr="0011486A">
        <w:rPr>
          <w:rFonts w:ascii="Times New Roman" w:hAnsi="Times New Roman" w:cs="Times New Roman"/>
          <w:color w:val="FF0000"/>
          <w:sz w:val="24"/>
          <w:szCs w:val="24"/>
          <w:u w:val="single"/>
        </w:rPr>
        <w:t>, explican desde Deutsche Bank.</w:t>
      </w:r>
    </w:p>
    <w:p w:rsidR="00DE4510" w:rsidRPr="009516CA" w:rsidRDefault="0057712A" w:rsidP="00FA4DA9">
      <w:pPr>
        <w:spacing w:line="240" w:lineRule="auto"/>
        <w:jc w:val="both"/>
        <w:rPr>
          <w:rFonts w:ascii="Times New Roman" w:hAnsi="Times New Roman" w:cs="Times New Roman"/>
          <w:color w:val="FF0000"/>
          <w:sz w:val="24"/>
          <w:szCs w:val="24"/>
          <w:u w:val="single"/>
        </w:rPr>
      </w:pPr>
      <w:r>
        <w:rPr>
          <w:rFonts w:ascii="Times New Roman" w:hAnsi="Times New Roman" w:cs="Times New Roman"/>
          <w:b/>
          <w:color w:val="FF0000"/>
          <w:sz w:val="24"/>
          <w:szCs w:val="24"/>
        </w:rPr>
        <w:t>“</w:t>
      </w:r>
      <w:r w:rsidR="00DE4510" w:rsidRPr="009516CA">
        <w:rPr>
          <w:rFonts w:ascii="Times New Roman" w:hAnsi="Times New Roman" w:cs="Times New Roman"/>
          <w:b/>
          <w:color w:val="FF0000"/>
          <w:sz w:val="24"/>
          <w:szCs w:val="24"/>
          <w:u w:val="single"/>
        </w:rPr>
        <w:t>A diferencia de épocas anteriores, cuando era una práctica habitual prevenir los excesos de inflación con unos tipos de interés más altos, la Fed dice hoy que quiere ver el progreso real (esperar a que el monstruo de la inflación esté ya dentro de casa), no solo el progreso pronosticado. El nuevo enfoque sobre el objetivo de inflación solo aumenta la t</w:t>
      </w:r>
      <w:r w:rsidR="009516CA" w:rsidRPr="009516CA">
        <w:rPr>
          <w:rFonts w:ascii="Times New Roman" w:hAnsi="Times New Roman" w:cs="Times New Roman"/>
          <w:b/>
          <w:color w:val="FF0000"/>
          <w:sz w:val="24"/>
          <w:szCs w:val="24"/>
          <w:u w:val="single"/>
        </w:rPr>
        <w:t>olerancia a la propia inflación”</w:t>
      </w:r>
      <w:r w:rsidR="00DE4510" w:rsidRPr="009516CA">
        <w:rPr>
          <w:rFonts w:ascii="Times New Roman" w:hAnsi="Times New Roman" w:cs="Times New Roman"/>
          <w:b/>
          <w:color w:val="FF0000"/>
          <w:sz w:val="24"/>
          <w:szCs w:val="24"/>
          <w:u w:val="single"/>
        </w:rPr>
        <w:t>,</w:t>
      </w:r>
      <w:r w:rsidR="00DE4510" w:rsidRPr="0011486A">
        <w:rPr>
          <w:rFonts w:ascii="Times New Roman" w:hAnsi="Times New Roman" w:cs="Times New Roman"/>
          <w:color w:val="FF0000"/>
          <w:sz w:val="24"/>
          <w:szCs w:val="24"/>
          <w:u w:val="single"/>
        </w:rPr>
        <w:t xml:space="preserve"> sentencia el economista alemán.</w:t>
      </w:r>
      <w:r w:rsidR="00DE4510" w:rsidRPr="005C7C34">
        <w:rPr>
          <w:rFonts w:ascii="Times New Roman" w:hAnsi="Times New Roman" w:cs="Times New Roman"/>
          <w:sz w:val="24"/>
          <w:szCs w:val="24"/>
        </w:rPr>
        <w:t xml:space="preserve"> En 2020, la Fed flexibilizó su objetivo de inflación, abriendo la puerta a que los precios suban por encima del 2% durante un tiempo sin</w:t>
      </w:r>
      <w:r w:rsidR="009516CA">
        <w:rPr>
          <w:rFonts w:ascii="Times New Roman" w:hAnsi="Times New Roman" w:cs="Times New Roman"/>
          <w:sz w:val="24"/>
          <w:szCs w:val="24"/>
        </w:rPr>
        <w:t xml:space="preserve"> que el banco central tenga la “obligación”</w:t>
      </w:r>
      <w:r w:rsidR="00DE4510" w:rsidRPr="005C7C34">
        <w:rPr>
          <w:rFonts w:ascii="Times New Roman" w:hAnsi="Times New Roman" w:cs="Times New Roman"/>
          <w:sz w:val="24"/>
          <w:szCs w:val="24"/>
        </w:rPr>
        <w:t xml:space="preserve"> de mover ficha. </w:t>
      </w:r>
      <w:r w:rsidR="00DE4510" w:rsidRPr="009516CA">
        <w:rPr>
          <w:rFonts w:ascii="Times New Roman" w:hAnsi="Times New Roman" w:cs="Times New Roman"/>
          <w:color w:val="FF0000"/>
          <w:sz w:val="24"/>
          <w:szCs w:val="24"/>
          <w:u w:val="single"/>
        </w:rPr>
        <w:t>El nuevo objetivo es una inflación media del 2% en el largo plazo.</w:t>
      </w:r>
    </w:p>
    <w:p w:rsidR="00DE4510" w:rsidRPr="009516CA" w:rsidRDefault="00DE4510" w:rsidP="00FA4DA9">
      <w:pPr>
        <w:spacing w:line="240" w:lineRule="auto"/>
        <w:jc w:val="both"/>
        <w:rPr>
          <w:rFonts w:ascii="Times New Roman" w:hAnsi="Times New Roman" w:cs="Times New Roman"/>
          <w:color w:val="FF0000"/>
          <w:sz w:val="24"/>
          <w:szCs w:val="24"/>
          <w:u w:val="single"/>
        </w:rPr>
      </w:pPr>
      <w:r w:rsidRPr="0011486A">
        <w:rPr>
          <w:rFonts w:ascii="Times New Roman" w:hAnsi="Times New Roman" w:cs="Times New Roman"/>
          <w:color w:val="FF0000"/>
          <w:sz w:val="24"/>
          <w:szCs w:val="24"/>
          <w:u w:val="single"/>
        </w:rPr>
        <w:t>La consecuencia de este retraso, según el banco alemán, será una mayor perturbación de la act</w:t>
      </w:r>
      <w:r w:rsidR="009516CA">
        <w:rPr>
          <w:rFonts w:ascii="Times New Roman" w:hAnsi="Times New Roman" w:cs="Times New Roman"/>
          <w:color w:val="FF0000"/>
          <w:sz w:val="24"/>
          <w:szCs w:val="24"/>
          <w:u w:val="single"/>
        </w:rPr>
        <w:t>ividad económica y financiera. “</w:t>
      </w:r>
      <w:r w:rsidRPr="0011486A">
        <w:rPr>
          <w:rFonts w:ascii="Times New Roman" w:hAnsi="Times New Roman" w:cs="Times New Roman"/>
          <w:color w:val="FF0000"/>
          <w:sz w:val="24"/>
          <w:szCs w:val="24"/>
          <w:u w:val="single"/>
        </w:rPr>
        <w:t>A su vez, esto podría crear una recesión significativa y desencadenar una cadena de dificultades financieras en todo el mundo, especialmente en los mercados emergentes</w:t>
      </w:r>
      <w:r w:rsidRPr="005C7C34">
        <w:rPr>
          <w:rFonts w:ascii="Times New Roman" w:hAnsi="Times New Roman" w:cs="Times New Roman"/>
          <w:sz w:val="24"/>
          <w:szCs w:val="24"/>
        </w:rPr>
        <w:t xml:space="preserve">. </w:t>
      </w:r>
      <w:r w:rsidRPr="009516CA">
        <w:rPr>
          <w:rFonts w:ascii="Times New Roman" w:hAnsi="Times New Roman" w:cs="Times New Roman"/>
          <w:b/>
          <w:color w:val="FF0000"/>
          <w:sz w:val="24"/>
          <w:szCs w:val="24"/>
          <w:u w:val="single"/>
        </w:rPr>
        <w:t>La historia no está del lado de la Fed. En la memoria reciente, el banco central no ha logrado un aterrizaje suave al implementar un ajuste monetario cuando la inflación ha estado por e</w:t>
      </w:r>
      <w:r w:rsidR="009516CA" w:rsidRPr="009516CA">
        <w:rPr>
          <w:rFonts w:ascii="Times New Roman" w:hAnsi="Times New Roman" w:cs="Times New Roman"/>
          <w:b/>
          <w:color w:val="FF0000"/>
          <w:sz w:val="24"/>
          <w:szCs w:val="24"/>
          <w:u w:val="single"/>
        </w:rPr>
        <w:t>ncima del 4%”</w:t>
      </w:r>
      <w:r w:rsidRPr="009516CA">
        <w:rPr>
          <w:rFonts w:ascii="Times New Roman" w:hAnsi="Times New Roman" w:cs="Times New Roman"/>
          <w:b/>
          <w:color w:val="FF0000"/>
          <w:sz w:val="24"/>
          <w:szCs w:val="24"/>
          <w:u w:val="single"/>
        </w:rPr>
        <w:t>, asegura Folkerts-Landau.</w:t>
      </w:r>
      <w:r w:rsidRPr="005C7C34">
        <w:rPr>
          <w:rFonts w:ascii="Times New Roman" w:hAnsi="Times New Roman" w:cs="Times New Roman"/>
          <w:sz w:val="24"/>
          <w:szCs w:val="24"/>
        </w:rPr>
        <w:t xml:space="preserve"> </w:t>
      </w:r>
      <w:r w:rsidRPr="009516CA">
        <w:rPr>
          <w:rFonts w:ascii="Times New Roman" w:hAnsi="Times New Roman" w:cs="Times New Roman"/>
          <w:color w:val="FF0000"/>
          <w:sz w:val="24"/>
          <w:szCs w:val="24"/>
          <w:u w:val="single"/>
        </w:rPr>
        <w:t>El IPC superó ese crecimiento interanual del 4% en el mes de abril y se espera que el dato de inflación de esta semana sea aún mayor.</w:t>
      </w:r>
    </w:p>
    <w:p w:rsidR="00DE4510" w:rsidRPr="005C7C34" w:rsidRDefault="00DE4510" w:rsidP="00FA4DA9">
      <w:pPr>
        <w:spacing w:line="240" w:lineRule="auto"/>
        <w:jc w:val="both"/>
        <w:rPr>
          <w:rFonts w:ascii="Times New Roman" w:hAnsi="Times New Roman" w:cs="Times New Roman"/>
          <w:sz w:val="24"/>
          <w:szCs w:val="24"/>
        </w:rPr>
      </w:pPr>
      <w:r w:rsidRPr="005C7C34">
        <w:rPr>
          <w:rFonts w:ascii="Times New Roman" w:hAnsi="Times New Roman" w:cs="Times New Roman"/>
          <w:sz w:val="24"/>
          <w:szCs w:val="24"/>
        </w:rPr>
        <w:t>Inflación más estructural</w:t>
      </w:r>
    </w:p>
    <w:p w:rsidR="00DE4510" w:rsidRPr="005D7095" w:rsidRDefault="00DE4510" w:rsidP="00FA4DA9">
      <w:pPr>
        <w:spacing w:line="240" w:lineRule="auto"/>
        <w:jc w:val="both"/>
        <w:rPr>
          <w:rFonts w:ascii="Times New Roman" w:hAnsi="Times New Roman" w:cs="Times New Roman"/>
          <w:color w:val="FF0000"/>
          <w:sz w:val="24"/>
          <w:szCs w:val="24"/>
          <w:u w:val="single"/>
        </w:rPr>
      </w:pPr>
      <w:r w:rsidRPr="005D7095">
        <w:rPr>
          <w:rFonts w:ascii="Times New Roman" w:hAnsi="Times New Roman" w:cs="Times New Roman"/>
          <w:color w:val="FF0000"/>
          <w:sz w:val="24"/>
          <w:szCs w:val="24"/>
          <w:u w:val="single"/>
        </w:rPr>
        <w:t>A los factores supuestamente temporales también se le unen otros más es</w:t>
      </w:r>
      <w:r w:rsidR="009516CA">
        <w:rPr>
          <w:rFonts w:ascii="Times New Roman" w:hAnsi="Times New Roman" w:cs="Times New Roman"/>
          <w:color w:val="FF0000"/>
          <w:sz w:val="24"/>
          <w:szCs w:val="24"/>
          <w:u w:val="single"/>
        </w:rPr>
        <w:t>tructurales como el proceso de “desglobalización”</w:t>
      </w:r>
      <w:r w:rsidRPr="005D7095">
        <w:rPr>
          <w:rFonts w:ascii="Times New Roman" w:hAnsi="Times New Roman" w:cs="Times New Roman"/>
          <w:color w:val="FF0000"/>
          <w:sz w:val="24"/>
          <w:szCs w:val="24"/>
          <w:u w:val="single"/>
        </w:rPr>
        <w:t xml:space="preserve"> que podría elevar los costes de producción de forma permanente a medida que las cadenas de suministro pierden eficiencia para ganar resiliencia y se concentran en partes del globo más cercanas al consumidor final.</w:t>
      </w:r>
    </w:p>
    <w:p w:rsidR="00DE4510" w:rsidRPr="005C7C34" w:rsidRDefault="009516CA"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w:t>
      </w:r>
      <w:r w:rsidR="00DE4510" w:rsidRPr="005D7095">
        <w:rPr>
          <w:rFonts w:ascii="Times New Roman" w:hAnsi="Times New Roman" w:cs="Times New Roman"/>
          <w:sz w:val="24"/>
          <w:szCs w:val="24"/>
          <w:u w:val="single"/>
        </w:rPr>
        <w:t>Debemos decir que la globalización en sí misma ha sido posiblemente la principal historia económica de las últimas décadas. De hecho, en los últimos 50 años, el comercio mundial se ha duplicado con creces como porcentaje del PIB, del 27% en 1970 al 60% en 2019, justo antes de la pandemia. Pero es poco probable que continúe esta tend</w:t>
      </w:r>
      <w:r>
        <w:rPr>
          <w:rFonts w:ascii="Times New Roman" w:hAnsi="Times New Roman" w:cs="Times New Roman"/>
          <w:sz w:val="24"/>
          <w:szCs w:val="24"/>
          <w:u w:val="single"/>
        </w:rPr>
        <w:t>encia de crecimiento ascendente”</w:t>
      </w:r>
      <w:r w:rsidR="00DE4510" w:rsidRPr="005D7095">
        <w:rPr>
          <w:rFonts w:ascii="Times New Roman" w:hAnsi="Times New Roman" w:cs="Times New Roman"/>
          <w:sz w:val="24"/>
          <w:szCs w:val="24"/>
          <w:u w:val="single"/>
        </w:rPr>
        <w:t>.</w:t>
      </w:r>
      <w:r w:rsidR="00DE4510" w:rsidRPr="005C7C34">
        <w:rPr>
          <w:rFonts w:ascii="Times New Roman" w:hAnsi="Times New Roman" w:cs="Times New Roman"/>
          <w:sz w:val="24"/>
          <w:szCs w:val="24"/>
        </w:rPr>
        <w:t xml:space="preserve"> Estas fuerzas estructurales inflacionarias están creciendo justo ahora comienza una década de importantes inversiones climáticas y de sostenibilidad. Es probable que esto genere un shock de oferta negativo y provoque un gasto fiscal a gran escala para dar forma a unas economías más ecológicas, pero por ahora menos eficientes (un buen ejemplo es la subida de la luz en España). También el envejecimiento puede presionar al a</w:t>
      </w:r>
      <w:r w:rsidR="00DE4510">
        <w:rPr>
          <w:rFonts w:ascii="Times New Roman" w:hAnsi="Times New Roman" w:cs="Times New Roman"/>
          <w:sz w:val="24"/>
          <w:szCs w:val="24"/>
        </w:rPr>
        <w:t>lza a la inflación desde ahora.</w:t>
      </w:r>
    </w:p>
    <w:p w:rsidR="00DE4510" w:rsidRPr="005D7095" w:rsidRDefault="00DE4510" w:rsidP="00FA4DA9">
      <w:pPr>
        <w:spacing w:line="240" w:lineRule="auto"/>
        <w:jc w:val="both"/>
        <w:rPr>
          <w:rFonts w:ascii="Times New Roman" w:hAnsi="Times New Roman" w:cs="Times New Roman"/>
          <w:color w:val="FF0000"/>
          <w:sz w:val="24"/>
          <w:szCs w:val="24"/>
          <w:u w:val="single"/>
        </w:rPr>
      </w:pPr>
      <w:r w:rsidRPr="005D7095">
        <w:rPr>
          <w:rFonts w:ascii="Times New Roman" w:hAnsi="Times New Roman" w:cs="Times New Roman"/>
          <w:color w:val="FF0000"/>
          <w:sz w:val="24"/>
          <w:szCs w:val="24"/>
          <w:u w:val="single"/>
        </w:rPr>
        <w:lastRenderedPageBreak/>
        <w:t>Otro factor muy relacionado con las políticas fiscales sin precedentes es que esta vez (a diferencia de 2008), las familias</w:t>
      </w:r>
      <w:r w:rsidR="00602784">
        <w:rPr>
          <w:rFonts w:ascii="Times New Roman" w:hAnsi="Times New Roman" w:cs="Times New Roman"/>
          <w:color w:val="FF0000"/>
          <w:sz w:val="24"/>
          <w:szCs w:val="24"/>
          <w:u w:val="single"/>
        </w:rPr>
        <w:t>,</w:t>
      </w:r>
      <w:r w:rsidRPr="005D7095">
        <w:rPr>
          <w:rFonts w:ascii="Times New Roman" w:hAnsi="Times New Roman" w:cs="Times New Roman"/>
          <w:color w:val="FF0000"/>
          <w:sz w:val="24"/>
          <w:szCs w:val="24"/>
          <w:u w:val="single"/>
        </w:rPr>
        <w:t xml:space="preserve"> han mantenido</w:t>
      </w:r>
      <w:r w:rsidR="009516CA">
        <w:rPr>
          <w:rFonts w:ascii="Times New Roman" w:hAnsi="Times New Roman" w:cs="Times New Roman"/>
          <w:color w:val="FF0000"/>
          <w:sz w:val="24"/>
          <w:szCs w:val="24"/>
          <w:u w:val="single"/>
        </w:rPr>
        <w:t>,</w:t>
      </w:r>
      <w:r w:rsidRPr="005D7095">
        <w:rPr>
          <w:rFonts w:ascii="Times New Roman" w:hAnsi="Times New Roman" w:cs="Times New Roman"/>
          <w:color w:val="FF0000"/>
          <w:sz w:val="24"/>
          <w:szCs w:val="24"/>
          <w:u w:val="single"/>
        </w:rPr>
        <w:t xml:space="preserve"> o han disfrutado</w:t>
      </w:r>
      <w:r w:rsidR="009516CA">
        <w:rPr>
          <w:rFonts w:ascii="Times New Roman" w:hAnsi="Times New Roman" w:cs="Times New Roman"/>
          <w:color w:val="FF0000"/>
          <w:sz w:val="24"/>
          <w:szCs w:val="24"/>
          <w:u w:val="single"/>
        </w:rPr>
        <w:t>,</w:t>
      </w:r>
      <w:r w:rsidRPr="005D7095">
        <w:rPr>
          <w:rFonts w:ascii="Times New Roman" w:hAnsi="Times New Roman" w:cs="Times New Roman"/>
          <w:color w:val="FF0000"/>
          <w:sz w:val="24"/>
          <w:szCs w:val="24"/>
          <w:u w:val="single"/>
        </w:rPr>
        <w:t xml:space="preserve"> de un incremento de la renta disponible, gracias a las ayudas directas de los gobiernos, sobre todo en EEUU. Esto ha generado un exceso histórico de ahorro que ahora podría comenzar a convertirse en consumo, agudizando aún más la escasez de ciertos inputs e impulsado los precios de los bienes, pero también de los servicios. Las familias querrán volver a viajar, a cenar fuera, ir de compras... todo ello se producirá justo cuando las empresas del sector servicios han acometido grandes recortes o muchas de ellas han cerrado.</w:t>
      </w:r>
    </w:p>
    <w:p w:rsidR="00DE4510" w:rsidRPr="005C7C34" w:rsidRDefault="00834B05"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En el caso de EEUU, “</w:t>
      </w:r>
      <w:r w:rsidR="00DE4510" w:rsidRPr="005C7C34">
        <w:rPr>
          <w:rFonts w:ascii="Times New Roman" w:hAnsi="Times New Roman" w:cs="Times New Roman"/>
          <w:sz w:val="24"/>
          <w:szCs w:val="24"/>
        </w:rPr>
        <w:t>ya hay indicios de que la demanda agregada supera con creces la oferta potencial. Incluso con el escenario base de nuestros economistas, el desequilibrio de la oferta y la demanda podría hacer que la brecha de producción supere un nivel positivo del 2%, el más alto en más de dos décadas. En un escenario de alto crecimiento, podría alcanzar un 5,5% positivo, el más alto desde mediados de la déc</w:t>
      </w:r>
      <w:r>
        <w:rPr>
          <w:rFonts w:ascii="Times New Roman" w:hAnsi="Times New Roman" w:cs="Times New Roman"/>
          <w:sz w:val="24"/>
          <w:szCs w:val="24"/>
        </w:rPr>
        <w:t>ada de 1960”</w:t>
      </w:r>
      <w:r w:rsidR="00DE4510" w:rsidRPr="005C7C34">
        <w:rPr>
          <w:rFonts w:ascii="Times New Roman" w:hAnsi="Times New Roman" w:cs="Times New Roman"/>
          <w:sz w:val="24"/>
          <w:szCs w:val="24"/>
        </w:rPr>
        <w:t>,</w:t>
      </w:r>
      <w:r w:rsidR="00DE4510">
        <w:rPr>
          <w:rFonts w:ascii="Times New Roman" w:hAnsi="Times New Roman" w:cs="Times New Roman"/>
          <w:sz w:val="24"/>
          <w:szCs w:val="24"/>
        </w:rPr>
        <w:t xml:space="preserve"> sostiene el economista alemán.</w:t>
      </w:r>
    </w:p>
    <w:p w:rsidR="00DE4510" w:rsidRPr="005C7C34" w:rsidRDefault="00DE4510" w:rsidP="00FA4DA9">
      <w:pPr>
        <w:spacing w:line="240" w:lineRule="auto"/>
        <w:jc w:val="both"/>
        <w:rPr>
          <w:rFonts w:ascii="Times New Roman" w:hAnsi="Times New Roman" w:cs="Times New Roman"/>
          <w:sz w:val="24"/>
          <w:szCs w:val="24"/>
        </w:rPr>
      </w:pPr>
      <w:r w:rsidRPr="005C7C34">
        <w:rPr>
          <w:rFonts w:ascii="Times New Roman" w:hAnsi="Times New Roman" w:cs="Times New Roman"/>
          <w:sz w:val="24"/>
          <w:szCs w:val="24"/>
        </w:rPr>
        <w:t>Todo hace indicar que los bancos centrales podrían estar dando demasiada relevancia a la hipótesis que habla de una subida de la inflación transitoria, cuando la realidad es que se está llevando a cabo una combinación de factores que no se ha producido a lo largo de la historia (fiscales, monetarios, demográficos, tecnológicos...). La incertidumbre es amplia y la banca central debería prepararse para luchar cont</w:t>
      </w:r>
      <w:r>
        <w:rPr>
          <w:rFonts w:ascii="Times New Roman" w:hAnsi="Times New Roman" w:cs="Times New Roman"/>
          <w:sz w:val="24"/>
          <w:szCs w:val="24"/>
        </w:rPr>
        <w:t>ra la inflación o lo que venga.</w:t>
      </w:r>
    </w:p>
    <w:p w:rsidR="00DE4510" w:rsidRPr="005D7095" w:rsidRDefault="00834B05" w:rsidP="00FA4DA9">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DE4510" w:rsidRPr="005D7095">
        <w:rPr>
          <w:rFonts w:ascii="Times New Roman" w:hAnsi="Times New Roman" w:cs="Times New Roman"/>
          <w:color w:val="FF0000"/>
          <w:sz w:val="24"/>
          <w:szCs w:val="24"/>
          <w:u w:val="single"/>
        </w:rPr>
        <w:t>Tras años de expectativas de inflación muy bajas, estamos mal preparados para un cambio dramático. Este es especialmente el caso, ya que hoy en día muchos precios de los activos dependen del respaldo de la política monetaria de tipos bajos y de la abundante liquidez que ha sido un sello distin</w:t>
      </w:r>
      <w:r>
        <w:rPr>
          <w:rFonts w:ascii="Times New Roman" w:hAnsi="Times New Roman" w:cs="Times New Roman"/>
          <w:color w:val="FF0000"/>
          <w:sz w:val="24"/>
          <w:szCs w:val="24"/>
          <w:u w:val="single"/>
        </w:rPr>
        <w:t>tivo del mundo posterior a 2008”</w:t>
      </w:r>
      <w:r w:rsidR="00DE4510" w:rsidRPr="005D7095">
        <w:rPr>
          <w:rFonts w:ascii="Times New Roman" w:hAnsi="Times New Roman" w:cs="Times New Roman"/>
          <w:color w:val="FF0000"/>
          <w:sz w:val="24"/>
          <w:szCs w:val="24"/>
          <w:u w:val="single"/>
        </w:rPr>
        <w:t>.</w:t>
      </w:r>
    </w:p>
    <w:p w:rsidR="00DE4510" w:rsidRPr="00834B05" w:rsidRDefault="00DE4510" w:rsidP="00FA4DA9">
      <w:pPr>
        <w:spacing w:line="240" w:lineRule="auto"/>
        <w:jc w:val="both"/>
        <w:rPr>
          <w:rFonts w:ascii="Times New Roman" w:hAnsi="Times New Roman" w:cs="Times New Roman"/>
          <w:color w:val="FF0000"/>
          <w:sz w:val="24"/>
          <w:szCs w:val="24"/>
          <w:u w:val="single"/>
        </w:rPr>
      </w:pPr>
      <w:r w:rsidRPr="00834B05">
        <w:rPr>
          <w:rFonts w:ascii="Times New Roman" w:hAnsi="Times New Roman" w:cs="Times New Roman"/>
          <w:color w:val="FF0000"/>
          <w:sz w:val="24"/>
          <w:szCs w:val="24"/>
          <w:u w:val="single"/>
        </w:rPr>
        <w:t>Aunque por ahora estos riesgos solo son palpables en la mayor economía del mundo, pronto también se podrán atis</w:t>
      </w:r>
      <w:r w:rsidR="00834B05" w:rsidRPr="00834B05">
        <w:rPr>
          <w:rFonts w:ascii="Times New Roman" w:hAnsi="Times New Roman" w:cs="Times New Roman"/>
          <w:color w:val="FF0000"/>
          <w:sz w:val="24"/>
          <w:szCs w:val="24"/>
          <w:u w:val="single"/>
        </w:rPr>
        <w:t>bar en otras partes del mundo: “</w:t>
      </w:r>
      <w:r w:rsidRPr="00834B05">
        <w:rPr>
          <w:rFonts w:ascii="Times New Roman" w:hAnsi="Times New Roman" w:cs="Times New Roman"/>
          <w:color w:val="FF0000"/>
          <w:sz w:val="24"/>
          <w:szCs w:val="24"/>
          <w:u w:val="single"/>
        </w:rPr>
        <w:t xml:space="preserve">Donde va EEUU, otros suelen llegar detrás. Incluso en Alemania, con su disciplina fiscal, existe un apoyo creciente para reformar el freno de la deuda constitucional a fin de permitir un mayor gasto deficitario. Y aunque, en conjunto, el estímulo fiscal de la UE ha sido más limitado que el observado en EEUU, la llegada del Fondo de Recuperación de 750.000 millones de euros financiado con préstamos colectivos abre el camino para nuevos paquetes de este tipo en respuesta a crisis futuras. Parece difícil que el BCE deje de ayudar a financiar tales inversiones fiscales </w:t>
      </w:r>
      <w:r w:rsidR="00834B05" w:rsidRPr="00834B05">
        <w:rPr>
          <w:rFonts w:ascii="Times New Roman" w:hAnsi="Times New Roman" w:cs="Times New Roman"/>
          <w:color w:val="FF0000"/>
          <w:sz w:val="24"/>
          <w:szCs w:val="24"/>
          <w:u w:val="single"/>
        </w:rPr>
        <w:t>en el continente”</w:t>
      </w:r>
      <w:r w:rsidRPr="00834B05">
        <w:rPr>
          <w:rFonts w:ascii="Times New Roman" w:hAnsi="Times New Roman" w:cs="Times New Roman"/>
          <w:color w:val="FF0000"/>
          <w:sz w:val="24"/>
          <w:szCs w:val="24"/>
          <w:u w:val="single"/>
        </w:rPr>
        <w:t>.</w:t>
      </w:r>
    </w:p>
    <w:p w:rsidR="00DE4510" w:rsidRPr="00FF5D8A" w:rsidRDefault="00DE4510"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F5D8A">
        <w:rPr>
          <w:rFonts w:ascii="Times New Roman" w:hAnsi="Times New Roman" w:cs="Times New Roman"/>
          <w:sz w:val="24"/>
          <w:szCs w:val="24"/>
          <w:u w:val="single"/>
        </w:rPr>
        <w:t xml:space="preserve">El economista que una vez dijo que la inflación estaba muerta ahora cree que está muy viva </w:t>
      </w:r>
      <w:r>
        <w:rPr>
          <w:rFonts w:ascii="Times New Roman" w:hAnsi="Times New Roman" w:cs="Times New Roman"/>
          <w:sz w:val="24"/>
          <w:szCs w:val="24"/>
        </w:rPr>
        <w:t xml:space="preserve">(El Economista - </w:t>
      </w:r>
      <w:r w:rsidRPr="00FF5D8A">
        <w:rPr>
          <w:rFonts w:ascii="Times New Roman" w:hAnsi="Times New Roman" w:cs="Times New Roman"/>
          <w:b/>
          <w:sz w:val="24"/>
          <w:szCs w:val="24"/>
        </w:rPr>
        <w:t>7/6/21</w:t>
      </w:r>
      <w:r>
        <w:rPr>
          <w:rFonts w:ascii="Times New Roman" w:hAnsi="Times New Roman" w:cs="Times New Roman"/>
          <w:sz w:val="24"/>
          <w:szCs w:val="24"/>
        </w:rPr>
        <w:t>)</w:t>
      </w:r>
    </w:p>
    <w:p w:rsidR="00DE4510" w:rsidRPr="00FF5D8A" w:rsidRDefault="00DE4510" w:rsidP="00FA4DA9">
      <w:pPr>
        <w:spacing w:line="240" w:lineRule="auto"/>
        <w:jc w:val="both"/>
        <w:rPr>
          <w:rFonts w:ascii="Times New Roman" w:hAnsi="Times New Roman" w:cs="Times New Roman"/>
          <w:sz w:val="24"/>
          <w:szCs w:val="24"/>
        </w:rPr>
      </w:pPr>
      <w:r w:rsidRPr="005D7095">
        <w:rPr>
          <w:rFonts w:ascii="Times New Roman" w:hAnsi="Times New Roman" w:cs="Times New Roman"/>
          <w:color w:val="FF0000"/>
          <w:sz w:val="24"/>
          <w:szCs w:val="24"/>
          <w:u w:val="single"/>
        </w:rPr>
        <w:t>Dos décadas después de declarar la muerte de la inflación, el economista Roger Bootle está viendo signos de su renacimiento</w:t>
      </w:r>
      <w:r w:rsidRPr="00FF5D8A">
        <w:rPr>
          <w:rFonts w:ascii="Times New Roman" w:hAnsi="Times New Roman" w:cs="Times New Roman"/>
          <w:sz w:val="24"/>
          <w:szCs w:val="24"/>
        </w:rPr>
        <w:t>. Por ejemplo, en el precio de los coches usados o en la madera, según los distintos países salen, a su ritmo, de la pandemia de coronavirus. Y esas subidas han impulsado los tipos de los préstamos en los mercados financieros, presagiando una caída del ahorro y una vuelta al gasto. Unas señales que todavía no preocupan a los bancos centrales, pero que están haciendo sonar</w:t>
      </w:r>
      <w:r>
        <w:rPr>
          <w:rFonts w:ascii="Times New Roman" w:hAnsi="Times New Roman" w:cs="Times New Roman"/>
          <w:sz w:val="24"/>
          <w:szCs w:val="24"/>
        </w:rPr>
        <w:t xml:space="preserve"> alertas entre los economistas.</w:t>
      </w:r>
    </w:p>
    <w:p w:rsidR="00DE4510" w:rsidRPr="005D7095" w:rsidRDefault="00DE4510" w:rsidP="00FA4DA9">
      <w:pPr>
        <w:spacing w:line="240" w:lineRule="auto"/>
        <w:jc w:val="both"/>
        <w:rPr>
          <w:rFonts w:ascii="Times New Roman" w:hAnsi="Times New Roman" w:cs="Times New Roman"/>
          <w:sz w:val="24"/>
          <w:szCs w:val="24"/>
          <w:u w:val="single"/>
        </w:rPr>
      </w:pPr>
      <w:r w:rsidRPr="005D7095">
        <w:rPr>
          <w:rFonts w:ascii="Times New Roman" w:hAnsi="Times New Roman" w:cs="Times New Roman"/>
          <w:sz w:val="24"/>
          <w:szCs w:val="24"/>
          <w:u w:val="single"/>
        </w:rPr>
        <w:t>Y entre ellos se encuentra Bootle, fundador de Capit</w:t>
      </w:r>
      <w:r w:rsidR="00834B05">
        <w:rPr>
          <w:rFonts w:ascii="Times New Roman" w:hAnsi="Times New Roman" w:cs="Times New Roman"/>
          <w:sz w:val="24"/>
          <w:szCs w:val="24"/>
          <w:u w:val="single"/>
        </w:rPr>
        <w:t>al Economics y autor del libro “</w:t>
      </w:r>
      <w:r w:rsidRPr="005D7095">
        <w:rPr>
          <w:rFonts w:ascii="Times New Roman" w:hAnsi="Times New Roman" w:cs="Times New Roman"/>
          <w:sz w:val="24"/>
          <w:szCs w:val="24"/>
          <w:u w:val="single"/>
        </w:rPr>
        <w:t>La muerte de la inflación: sobrev</w:t>
      </w:r>
      <w:r w:rsidR="00834B05">
        <w:rPr>
          <w:rFonts w:ascii="Times New Roman" w:hAnsi="Times New Roman" w:cs="Times New Roman"/>
          <w:sz w:val="24"/>
          <w:szCs w:val="24"/>
          <w:u w:val="single"/>
        </w:rPr>
        <w:t>ivir y prosperar en la era cero”</w:t>
      </w:r>
      <w:r w:rsidRPr="005D7095">
        <w:rPr>
          <w:rFonts w:ascii="Times New Roman" w:hAnsi="Times New Roman" w:cs="Times New Roman"/>
          <w:sz w:val="24"/>
          <w:szCs w:val="24"/>
          <w:u w:val="single"/>
        </w:rPr>
        <w:t>, en 1996. En aquel momento, su argumento era que la era de las fuertes subidas de precios -y los altos tipos de interés que conllevan- habían llegado a su fin de forma casi permanente.</w:t>
      </w:r>
    </w:p>
    <w:p w:rsidR="00DE4510" w:rsidRPr="005D7095" w:rsidRDefault="00DE4510" w:rsidP="00FA4DA9">
      <w:pPr>
        <w:spacing w:line="240" w:lineRule="auto"/>
        <w:jc w:val="both"/>
        <w:rPr>
          <w:rFonts w:ascii="Times New Roman" w:hAnsi="Times New Roman" w:cs="Times New Roman"/>
          <w:color w:val="FF0000"/>
          <w:sz w:val="24"/>
          <w:szCs w:val="24"/>
          <w:u w:val="single"/>
        </w:rPr>
      </w:pPr>
      <w:r w:rsidRPr="005D7095">
        <w:rPr>
          <w:rFonts w:ascii="Times New Roman" w:hAnsi="Times New Roman" w:cs="Times New Roman"/>
          <w:color w:val="FF0000"/>
          <w:sz w:val="24"/>
          <w:szCs w:val="24"/>
          <w:u w:val="single"/>
        </w:rPr>
        <w:lastRenderedPageBreak/>
        <w:t>Y aunque aún no ve un regreso a esa era de la inflación de doble dígito, en una entrevista con Bloomberg, Bootle aseguró que el mundo está a punto de llegar a un momento de inflexión.</w:t>
      </w:r>
    </w:p>
    <w:p w:rsidR="00DE4510" w:rsidRPr="00834B05" w:rsidRDefault="00834B05" w:rsidP="00FA4DA9">
      <w:pPr>
        <w:spacing w:line="240" w:lineRule="auto"/>
        <w:jc w:val="both"/>
        <w:rPr>
          <w:rFonts w:ascii="Times New Roman" w:hAnsi="Times New Roman" w:cs="Times New Roman"/>
          <w:b/>
          <w:color w:val="FF0000"/>
          <w:sz w:val="24"/>
          <w:szCs w:val="24"/>
          <w:u w:val="single"/>
        </w:rPr>
      </w:pPr>
      <w:r w:rsidRPr="00834B05">
        <w:rPr>
          <w:rFonts w:ascii="Times New Roman" w:hAnsi="Times New Roman" w:cs="Times New Roman"/>
          <w:b/>
          <w:color w:val="FF0000"/>
          <w:sz w:val="24"/>
          <w:szCs w:val="24"/>
          <w:u w:val="single"/>
        </w:rPr>
        <w:t>“</w:t>
      </w:r>
      <w:r w:rsidR="00DE4510" w:rsidRPr="00834B05">
        <w:rPr>
          <w:rFonts w:ascii="Times New Roman" w:hAnsi="Times New Roman" w:cs="Times New Roman"/>
          <w:b/>
          <w:color w:val="FF0000"/>
          <w:sz w:val="24"/>
          <w:szCs w:val="24"/>
          <w:u w:val="single"/>
        </w:rPr>
        <w:t>Es el comienzo de un cambio radical, tengo que decirlo. Eso no quiere decir que vayamos a volver a las fuertes condiciones inflacionarias de los años 70 y principios de los 80. Pero al menos, creo estamos al final del período criptodeflacionario en el que hemos estado durante los últ</w:t>
      </w:r>
      <w:r w:rsidRPr="00834B05">
        <w:rPr>
          <w:rFonts w:ascii="Times New Roman" w:hAnsi="Times New Roman" w:cs="Times New Roman"/>
          <w:b/>
          <w:color w:val="FF0000"/>
          <w:sz w:val="24"/>
          <w:szCs w:val="24"/>
          <w:u w:val="single"/>
        </w:rPr>
        <w:t>imos años”, aseguró. “</w:t>
      </w:r>
      <w:r w:rsidR="00DE4510" w:rsidRPr="00834B05">
        <w:rPr>
          <w:rFonts w:ascii="Times New Roman" w:hAnsi="Times New Roman" w:cs="Times New Roman"/>
          <w:b/>
          <w:color w:val="FF0000"/>
          <w:sz w:val="24"/>
          <w:szCs w:val="24"/>
          <w:u w:val="single"/>
        </w:rPr>
        <w:t xml:space="preserve">El peligro de deflación ha pasado, y los riesgos definitivamente se han inclinado en la otra dirección. Cuánto subirá la inflación y por cuánto tiempo, eso es discutible. Pero no tengo muchas dudas de </w:t>
      </w:r>
      <w:r w:rsidRPr="00834B05">
        <w:rPr>
          <w:rFonts w:ascii="Times New Roman" w:hAnsi="Times New Roman" w:cs="Times New Roman"/>
          <w:b/>
          <w:color w:val="FF0000"/>
          <w:sz w:val="24"/>
          <w:szCs w:val="24"/>
          <w:u w:val="single"/>
        </w:rPr>
        <w:t>que ha habido un cambio radical”</w:t>
      </w:r>
      <w:r w:rsidR="00DE4510" w:rsidRPr="00834B05">
        <w:rPr>
          <w:rFonts w:ascii="Times New Roman" w:hAnsi="Times New Roman" w:cs="Times New Roman"/>
          <w:b/>
          <w:color w:val="FF0000"/>
          <w:sz w:val="24"/>
          <w:szCs w:val="24"/>
          <w:u w:val="single"/>
        </w:rPr>
        <w:t>.</w:t>
      </w:r>
    </w:p>
    <w:p w:rsidR="00DE4510" w:rsidRPr="00FF5D8A" w:rsidRDefault="00DE4510" w:rsidP="00FA4DA9">
      <w:pPr>
        <w:spacing w:line="240" w:lineRule="auto"/>
        <w:jc w:val="both"/>
        <w:rPr>
          <w:rFonts w:ascii="Times New Roman" w:hAnsi="Times New Roman" w:cs="Times New Roman"/>
          <w:sz w:val="24"/>
          <w:szCs w:val="24"/>
        </w:rPr>
      </w:pPr>
      <w:r w:rsidRPr="00FF5D8A">
        <w:rPr>
          <w:rFonts w:ascii="Times New Roman" w:hAnsi="Times New Roman" w:cs="Times New Roman"/>
          <w:sz w:val="24"/>
          <w:szCs w:val="24"/>
        </w:rPr>
        <w:t>En su opinión, hay varios factores que infl</w:t>
      </w:r>
      <w:r w:rsidR="00834B05">
        <w:rPr>
          <w:rFonts w:ascii="Times New Roman" w:hAnsi="Times New Roman" w:cs="Times New Roman"/>
          <w:sz w:val="24"/>
          <w:szCs w:val="24"/>
        </w:rPr>
        <w:t>uyen este cambio. Por un lado: “</w:t>
      </w:r>
      <w:r w:rsidRPr="00FF5D8A">
        <w:rPr>
          <w:rFonts w:ascii="Times New Roman" w:hAnsi="Times New Roman" w:cs="Times New Roman"/>
          <w:sz w:val="24"/>
          <w:szCs w:val="24"/>
        </w:rPr>
        <w:t>Hay tres cosas a tener en cuenta. La primera está en el lado de la oferta: factores de coste y factores institucionales. Luego, la globalización, el hundimiento de los sindicatos y la intensificación de la competencia, todas esas cosas que pensé que actuaban un poco como un shock del petróleo inverso, provocando una serie de shocks de precios a la baja. Pero la marea ha cambiado y</w:t>
      </w:r>
      <w:r w:rsidR="00834B05">
        <w:rPr>
          <w:rFonts w:ascii="Times New Roman" w:hAnsi="Times New Roman" w:cs="Times New Roman"/>
          <w:sz w:val="24"/>
          <w:szCs w:val="24"/>
        </w:rPr>
        <w:t xml:space="preserve"> ahora los riesgos son al revés”</w:t>
      </w:r>
      <w:r w:rsidRPr="00FF5D8A">
        <w:rPr>
          <w:rFonts w:ascii="Times New Roman" w:hAnsi="Times New Roman" w:cs="Times New Roman"/>
          <w:sz w:val="24"/>
          <w:szCs w:val="24"/>
        </w:rPr>
        <w:t>.</w:t>
      </w:r>
    </w:p>
    <w:p w:rsidR="00DE4510" w:rsidRPr="00834B05" w:rsidRDefault="00DE4510" w:rsidP="00FA4DA9">
      <w:pPr>
        <w:spacing w:line="240" w:lineRule="auto"/>
        <w:jc w:val="both"/>
        <w:rPr>
          <w:rFonts w:ascii="Times New Roman" w:hAnsi="Times New Roman" w:cs="Times New Roman"/>
          <w:color w:val="FF0000"/>
          <w:sz w:val="24"/>
          <w:szCs w:val="24"/>
          <w:u w:val="single"/>
        </w:rPr>
      </w:pPr>
      <w:r w:rsidRPr="00834B05">
        <w:rPr>
          <w:rFonts w:ascii="Times New Roman" w:hAnsi="Times New Roman" w:cs="Times New Roman"/>
          <w:color w:val="FF0000"/>
          <w:sz w:val="24"/>
          <w:szCs w:val="24"/>
          <w:u w:val="single"/>
        </w:rPr>
        <w:t>De cara a los próxi</w:t>
      </w:r>
      <w:r w:rsidR="00834B05" w:rsidRPr="00834B05">
        <w:rPr>
          <w:rFonts w:ascii="Times New Roman" w:hAnsi="Times New Roman" w:cs="Times New Roman"/>
          <w:color w:val="FF0000"/>
          <w:sz w:val="24"/>
          <w:szCs w:val="24"/>
          <w:u w:val="single"/>
        </w:rPr>
        <w:t>mos años, su preocupación es “</w:t>
      </w:r>
      <w:r w:rsidRPr="00834B05">
        <w:rPr>
          <w:rFonts w:ascii="Times New Roman" w:hAnsi="Times New Roman" w:cs="Times New Roman"/>
          <w:color w:val="FF0000"/>
          <w:sz w:val="24"/>
          <w:szCs w:val="24"/>
          <w:u w:val="single"/>
        </w:rPr>
        <w:t>el énfasis ambiental y, en particular</w:t>
      </w:r>
      <w:r w:rsidR="00834B05" w:rsidRPr="00834B05">
        <w:rPr>
          <w:rFonts w:ascii="Times New Roman" w:hAnsi="Times New Roman" w:cs="Times New Roman"/>
          <w:color w:val="FF0000"/>
          <w:sz w:val="24"/>
          <w:szCs w:val="24"/>
          <w:u w:val="single"/>
        </w:rPr>
        <w:t>, el impulso hacia el cero neto”</w:t>
      </w:r>
      <w:r w:rsidRPr="00834B05">
        <w:rPr>
          <w:rFonts w:ascii="Times New Roman" w:hAnsi="Times New Roman" w:cs="Times New Roman"/>
          <w:color w:val="FF0000"/>
          <w:sz w:val="24"/>
          <w:szCs w:val="24"/>
          <w:u w:val="single"/>
        </w:rPr>
        <w:t xml:space="preserve"> de emisiones, lo que va a obligar a realizar muchos cambios de hábitos y productos y a revisar muchas cadenas de producción y suministro, con el subsiguiente aumento de precios. A eso hay que añadir la gran cantidad de gente que ha ahorrado dur</w:t>
      </w:r>
      <w:r w:rsidR="00834B05" w:rsidRPr="00834B05">
        <w:rPr>
          <w:rFonts w:ascii="Times New Roman" w:hAnsi="Times New Roman" w:cs="Times New Roman"/>
          <w:color w:val="FF0000"/>
          <w:sz w:val="24"/>
          <w:szCs w:val="24"/>
          <w:u w:val="single"/>
        </w:rPr>
        <w:t>ante la pandemia y a la que le “quema”</w:t>
      </w:r>
      <w:r w:rsidRPr="00834B05">
        <w:rPr>
          <w:rFonts w:ascii="Times New Roman" w:hAnsi="Times New Roman" w:cs="Times New Roman"/>
          <w:color w:val="FF0000"/>
          <w:sz w:val="24"/>
          <w:szCs w:val="24"/>
          <w:u w:val="single"/>
        </w:rPr>
        <w:t xml:space="preserve"> el dinero en los bolsillos, especialmente tras los</w:t>
      </w:r>
      <w:r w:rsidR="00834B05" w:rsidRPr="00834B05">
        <w:rPr>
          <w:rFonts w:ascii="Times New Roman" w:hAnsi="Times New Roman" w:cs="Times New Roman"/>
          <w:color w:val="FF0000"/>
          <w:sz w:val="24"/>
          <w:szCs w:val="24"/>
          <w:u w:val="single"/>
        </w:rPr>
        <w:t xml:space="preserve"> grandes paquetes de estímulo: “</w:t>
      </w:r>
      <w:r w:rsidRPr="00834B05">
        <w:rPr>
          <w:rFonts w:ascii="Times New Roman" w:hAnsi="Times New Roman" w:cs="Times New Roman"/>
          <w:color w:val="FF0000"/>
          <w:sz w:val="24"/>
          <w:szCs w:val="24"/>
          <w:u w:val="single"/>
        </w:rPr>
        <w:t>Cuando miras los factores de demanda, es bastante sorprendente. Estamos entrando en un período en el que la demanda será fuerte. Tenemos esta demanda reprimida debido al covid, y hay gente con mucho dinero ahorrado que ahora va a gastar</w:t>
      </w:r>
      <w:r w:rsidR="00834B05" w:rsidRPr="00834B05">
        <w:rPr>
          <w:rFonts w:ascii="Times New Roman" w:hAnsi="Times New Roman" w:cs="Times New Roman"/>
          <w:color w:val="FF0000"/>
          <w:sz w:val="24"/>
          <w:szCs w:val="24"/>
          <w:u w:val="single"/>
        </w:rPr>
        <w:t>”</w:t>
      </w:r>
      <w:r w:rsidRPr="00834B05">
        <w:rPr>
          <w:rFonts w:ascii="Times New Roman" w:hAnsi="Times New Roman" w:cs="Times New Roman"/>
          <w:color w:val="FF0000"/>
          <w:sz w:val="24"/>
          <w:szCs w:val="24"/>
          <w:u w:val="single"/>
        </w:rPr>
        <w:t>.</w:t>
      </w:r>
    </w:p>
    <w:p w:rsidR="00DE4510" w:rsidRPr="00FF5D8A" w:rsidRDefault="00DE4510" w:rsidP="00FA4DA9">
      <w:pPr>
        <w:spacing w:line="240" w:lineRule="auto"/>
        <w:jc w:val="both"/>
        <w:rPr>
          <w:rFonts w:ascii="Times New Roman" w:hAnsi="Times New Roman" w:cs="Times New Roman"/>
          <w:sz w:val="24"/>
          <w:szCs w:val="24"/>
        </w:rPr>
      </w:pPr>
      <w:r w:rsidRPr="00FF5D8A">
        <w:rPr>
          <w:rFonts w:ascii="Times New Roman" w:hAnsi="Times New Roman" w:cs="Times New Roman"/>
          <w:sz w:val="24"/>
          <w:szCs w:val="24"/>
        </w:rPr>
        <w:t>Respecto a los políticos y líderes institucionales, cree que el problema no es tanto la complacenci</w:t>
      </w:r>
      <w:r w:rsidR="0057712A">
        <w:rPr>
          <w:rFonts w:ascii="Times New Roman" w:hAnsi="Times New Roman" w:cs="Times New Roman"/>
          <w:sz w:val="24"/>
          <w:szCs w:val="24"/>
        </w:rPr>
        <w:t>a sino un exceso de optimismo. “</w:t>
      </w:r>
      <w:r w:rsidRPr="00FF5D8A">
        <w:rPr>
          <w:rFonts w:ascii="Times New Roman" w:hAnsi="Times New Roman" w:cs="Times New Roman"/>
          <w:sz w:val="24"/>
          <w:szCs w:val="24"/>
        </w:rPr>
        <w:t>Hay dos ra</w:t>
      </w:r>
      <w:r w:rsidR="00B06032">
        <w:rPr>
          <w:rFonts w:ascii="Times New Roman" w:hAnsi="Times New Roman" w:cs="Times New Roman"/>
          <w:sz w:val="24"/>
          <w:szCs w:val="24"/>
        </w:rPr>
        <w:t>zones para ello. Una es que (</w:t>
      </w:r>
      <w:r w:rsidRPr="00FF5D8A">
        <w:rPr>
          <w:rFonts w:ascii="Times New Roman" w:hAnsi="Times New Roman" w:cs="Times New Roman"/>
          <w:sz w:val="24"/>
          <w:szCs w:val="24"/>
        </w:rPr>
        <w:t xml:space="preserve">los </w:t>
      </w:r>
      <w:r w:rsidR="00B06032">
        <w:rPr>
          <w:rFonts w:ascii="Times New Roman" w:hAnsi="Times New Roman" w:cs="Times New Roman"/>
          <w:sz w:val="24"/>
          <w:szCs w:val="24"/>
        </w:rPr>
        <w:t>políticos y banqueros centrales)</w:t>
      </w:r>
      <w:r w:rsidRPr="00FF5D8A">
        <w:rPr>
          <w:rFonts w:ascii="Times New Roman" w:hAnsi="Times New Roman" w:cs="Times New Roman"/>
          <w:sz w:val="24"/>
          <w:szCs w:val="24"/>
        </w:rPr>
        <w:t xml:space="preserve"> creen que no va a subir tanto, al menos no de manera sostenida. Y dos, que si lo hace, van a poder contenerla cuan</w:t>
      </w:r>
      <w:r w:rsidR="0057712A">
        <w:rPr>
          <w:rFonts w:ascii="Times New Roman" w:hAnsi="Times New Roman" w:cs="Times New Roman"/>
          <w:sz w:val="24"/>
          <w:szCs w:val="24"/>
        </w:rPr>
        <w:t>do sea necesario”</w:t>
      </w:r>
      <w:r>
        <w:rPr>
          <w:rFonts w:ascii="Times New Roman" w:hAnsi="Times New Roman" w:cs="Times New Roman"/>
          <w:sz w:val="24"/>
          <w:szCs w:val="24"/>
        </w:rPr>
        <w:t>, dice Bootle.</w:t>
      </w:r>
    </w:p>
    <w:p w:rsidR="00DE4510" w:rsidRPr="005D7095" w:rsidRDefault="00DE4510" w:rsidP="00FA4DA9">
      <w:pPr>
        <w:spacing w:line="240" w:lineRule="auto"/>
        <w:jc w:val="both"/>
        <w:rPr>
          <w:rFonts w:ascii="Times New Roman" w:hAnsi="Times New Roman" w:cs="Times New Roman"/>
          <w:color w:val="FF0000"/>
          <w:sz w:val="24"/>
          <w:szCs w:val="24"/>
          <w:u w:val="single"/>
        </w:rPr>
      </w:pPr>
      <w:r w:rsidRPr="005D7095">
        <w:rPr>
          <w:rFonts w:ascii="Times New Roman" w:hAnsi="Times New Roman" w:cs="Times New Roman"/>
          <w:color w:val="FF0000"/>
          <w:sz w:val="24"/>
          <w:szCs w:val="24"/>
          <w:u w:val="single"/>
        </w:rPr>
        <w:t>En su opinión, los bancos centrales deberían actuar cuanto antes y pone</w:t>
      </w:r>
      <w:r w:rsidR="0057712A">
        <w:rPr>
          <w:rFonts w:ascii="Times New Roman" w:hAnsi="Times New Roman" w:cs="Times New Roman"/>
          <w:color w:val="FF0000"/>
          <w:sz w:val="24"/>
          <w:szCs w:val="24"/>
          <w:u w:val="single"/>
        </w:rPr>
        <w:t>r la venda antes de la herida. “</w:t>
      </w:r>
      <w:r w:rsidRPr="005D7095">
        <w:rPr>
          <w:rFonts w:ascii="Times New Roman" w:hAnsi="Times New Roman" w:cs="Times New Roman"/>
          <w:color w:val="FF0000"/>
          <w:sz w:val="24"/>
          <w:szCs w:val="24"/>
          <w:u w:val="single"/>
        </w:rPr>
        <w:t>Debido a los peligros, deberían empezar a subir las tasas de interés antes, con pequeñas subidas de forma sigilosa, para que los tipos se asienten en cifras más o menos normales antes de que se vean a subirl</w:t>
      </w:r>
      <w:r w:rsidR="0057712A">
        <w:rPr>
          <w:rFonts w:ascii="Times New Roman" w:hAnsi="Times New Roman" w:cs="Times New Roman"/>
          <w:color w:val="FF0000"/>
          <w:sz w:val="24"/>
          <w:szCs w:val="24"/>
          <w:u w:val="single"/>
        </w:rPr>
        <w:t>os de golpe cuando sea ya tarde”</w:t>
      </w:r>
      <w:r w:rsidRPr="005D7095">
        <w:rPr>
          <w:rFonts w:ascii="Times New Roman" w:hAnsi="Times New Roman" w:cs="Times New Roman"/>
          <w:color w:val="FF0000"/>
          <w:sz w:val="24"/>
          <w:szCs w:val="24"/>
          <w:u w:val="single"/>
        </w:rPr>
        <w:t>.</w:t>
      </w:r>
    </w:p>
    <w:p w:rsidR="00DE4510" w:rsidRPr="00FF5D8A" w:rsidRDefault="00DE4510" w:rsidP="00FA4DA9">
      <w:pPr>
        <w:spacing w:line="240" w:lineRule="auto"/>
        <w:jc w:val="both"/>
        <w:rPr>
          <w:rFonts w:ascii="Times New Roman" w:hAnsi="Times New Roman" w:cs="Times New Roman"/>
          <w:sz w:val="24"/>
          <w:szCs w:val="24"/>
        </w:rPr>
      </w:pPr>
      <w:r w:rsidRPr="00FF5D8A">
        <w:rPr>
          <w:rFonts w:ascii="Times New Roman" w:hAnsi="Times New Roman" w:cs="Times New Roman"/>
          <w:sz w:val="24"/>
          <w:szCs w:val="24"/>
        </w:rPr>
        <w:t>Los 70 no volverán</w:t>
      </w:r>
    </w:p>
    <w:p w:rsidR="00DE4510" w:rsidRPr="00FF5D8A" w:rsidRDefault="00DE4510" w:rsidP="00FA4DA9">
      <w:pPr>
        <w:spacing w:line="240" w:lineRule="auto"/>
        <w:jc w:val="both"/>
        <w:rPr>
          <w:rFonts w:ascii="Times New Roman" w:hAnsi="Times New Roman" w:cs="Times New Roman"/>
          <w:sz w:val="24"/>
          <w:szCs w:val="24"/>
        </w:rPr>
      </w:pPr>
      <w:r w:rsidRPr="00834B05">
        <w:rPr>
          <w:rFonts w:ascii="Times New Roman" w:hAnsi="Times New Roman" w:cs="Times New Roman"/>
          <w:color w:val="FF0000"/>
          <w:sz w:val="24"/>
          <w:szCs w:val="24"/>
          <w:u w:val="single"/>
        </w:rPr>
        <w:t xml:space="preserve">Aun así, Bootle no cree que se vayan a volver a ver las subidas de precios de un 20% anual que se vieron en los años </w:t>
      </w:r>
      <w:r w:rsidR="00834B05" w:rsidRPr="00834B05">
        <w:rPr>
          <w:rFonts w:ascii="Times New Roman" w:hAnsi="Times New Roman" w:cs="Times New Roman"/>
          <w:color w:val="FF0000"/>
          <w:sz w:val="24"/>
          <w:szCs w:val="24"/>
          <w:u w:val="single"/>
        </w:rPr>
        <w:t>70. “</w:t>
      </w:r>
      <w:r w:rsidRPr="00834B05">
        <w:rPr>
          <w:rFonts w:ascii="Times New Roman" w:hAnsi="Times New Roman" w:cs="Times New Roman"/>
          <w:color w:val="FF0000"/>
          <w:sz w:val="24"/>
          <w:szCs w:val="24"/>
          <w:u w:val="single"/>
        </w:rPr>
        <w:t>No, la comparación con la década de 1970 no es buena</w:t>
      </w:r>
      <w:r w:rsidRPr="00FF5D8A">
        <w:rPr>
          <w:rFonts w:ascii="Times New Roman" w:hAnsi="Times New Roman" w:cs="Times New Roman"/>
          <w:sz w:val="24"/>
          <w:szCs w:val="24"/>
        </w:rPr>
        <w:t xml:space="preserve">. Si miras la historia a largo plazo de la inflación -y yo he analizado los datos del Reino Unido, que se remontan al siglo XIII- nunca ves un período sostenido de inflación como la que tuvimos en la década de 1970. Lo que ves son ráfagas de inflación, generalmente seguidas de tasas mucho </w:t>
      </w:r>
      <w:r w:rsidR="00834B05">
        <w:rPr>
          <w:rFonts w:ascii="Times New Roman" w:hAnsi="Times New Roman" w:cs="Times New Roman"/>
          <w:sz w:val="24"/>
          <w:szCs w:val="24"/>
        </w:rPr>
        <w:t>más bajas o incluso deflación”.</w:t>
      </w:r>
    </w:p>
    <w:p w:rsidR="00DE4510" w:rsidRPr="00FF5D8A" w:rsidRDefault="00DE4510" w:rsidP="00FA4DA9">
      <w:pPr>
        <w:spacing w:line="240" w:lineRule="auto"/>
        <w:jc w:val="both"/>
        <w:rPr>
          <w:rFonts w:ascii="Times New Roman" w:hAnsi="Times New Roman" w:cs="Times New Roman"/>
          <w:sz w:val="24"/>
          <w:szCs w:val="24"/>
        </w:rPr>
      </w:pPr>
      <w:r w:rsidRPr="00FF5D8A">
        <w:rPr>
          <w:rFonts w:ascii="Times New Roman" w:hAnsi="Times New Roman" w:cs="Times New Roman"/>
          <w:sz w:val="24"/>
          <w:szCs w:val="24"/>
        </w:rPr>
        <w:t>Como ya han dicho otros economistas, la mejor comparación es con los años de la guerra de Co</w:t>
      </w:r>
      <w:r w:rsidR="00834B05">
        <w:rPr>
          <w:rFonts w:ascii="Times New Roman" w:hAnsi="Times New Roman" w:cs="Times New Roman"/>
          <w:sz w:val="24"/>
          <w:szCs w:val="24"/>
        </w:rPr>
        <w:t>rea más que con la de Vietnam. “</w:t>
      </w:r>
      <w:r w:rsidRPr="00FF5D8A">
        <w:rPr>
          <w:rFonts w:ascii="Times New Roman" w:hAnsi="Times New Roman" w:cs="Times New Roman"/>
          <w:sz w:val="24"/>
          <w:szCs w:val="24"/>
        </w:rPr>
        <w:t>La década de 1970 fue especial. En primer lugar, se inició con un nivel base de inflación bastante alto ya de entra</w:t>
      </w:r>
      <w:r w:rsidR="00834B05">
        <w:rPr>
          <w:rFonts w:ascii="Times New Roman" w:hAnsi="Times New Roman" w:cs="Times New Roman"/>
          <w:sz w:val="24"/>
          <w:szCs w:val="24"/>
        </w:rPr>
        <w:t>da. Y luego aparecieron varios “shocks”</w:t>
      </w:r>
      <w:r w:rsidRPr="00FF5D8A">
        <w:rPr>
          <w:rFonts w:ascii="Times New Roman" w:hAnsi="Times New Roman" w:cs="Times New Roman"/>
          <w:sz w:val="24"/>
          <w:szCs w:val="24"/>
        </w:rPr>
        <w:t xml:space="preserve"> en el precio del petróleo. La configuración de la política monetaria y fiscal fue extremadamente laxa. Y todo esto en un contexto institucional propicio para la inflación: </w:t>
      </w:r>
      <w:r w:rsidRPr="00FF5D8A">
        <w:rPr>
          <w:rFonts w:ascii="Times New Roman" w:hAnsi="Times New Roman" w:cs="Times New Roman"/>
          <w:sz w:val="24"/>
          <w:szCs w:val="24"/>
        </w:rPr>
        <w:lastRenderedPageBreak/>
        <w:t>sindicatos muy poderosos, empresas poderosas, una gran cantidad de empresas públicas, etc. Una comparación más adecuada es con los años 50 y 60, antes del despegue i</w:t>
      </w:r>
      <w:r w:rsidR="00834B05">
        <w:rPr>
          <w:rFonts w:ascii="Times New Roman" w:hAnsi="Times New Roman" w:cs="Times New Roman"/>
          <w:sz w:val="24"/>
          <w:szCs w:val="24"/>
        </w:rPr>
        <w:t>nflacionario”.</w:t>
      </w:r>
    </w:p>
    <w:p w:rsidR="00DE4510" w:rsidRPr="005D7095" w:rsidRDefault="00DE4510" w:rsidP="00FA4DA9">
      <w:pPr>
        <w:spacing w:line="240" w:lineRule="auto"/>
        <w:jc w:val="both"/>
        <w:rPr>
          <w:rFonts w:ascii="Times New Roman" w:hAnsi="Times New Roman" w:cs="Times New Roman"/>
          <w:sz w:val="24"/>
          <w:szCs w:val="24"/>
          <w:u w:val="single"/>
        </w:rPr>
      </w:pPr>
      <w:r w:rsidRPr="005D7095">
        <w:rPr>
          <w:rFonts w:ascii="Times New Roman" w:hAnsi="Times New Roman" w:cs="Times New Roman"/>
          <w:sz w:val="24"/>
          <w:szCs w:val="24"/>
          <w:u w:val="single"/>
        </w:rPr>
        <w:t>La situación en los años 50 y 60 fue de una subida larvada que se aceleró al final sin que los bancos centrales hicieran nada por miedo a cortar la creación de empleo. La pregunta es si volverán a errar hacia el empleo después de la crisis pandémica, aun a costa de calentar la inflación a medio plazo, o si habrá alguna otra solución.</w:t>
      </w:r>
    </w:p>
    <w:p w:rsidR="00DE4510" w:rsidRPr="00656D63" w:rsidRDefault="00DE4510"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56D63">
        <w:rPr>
          <w:rFonts w:ascii="Times New Roman" w:hAnsi="Times New Roman" w:cs="Times New Roman"/>
          <w:sz w:val="24"/>
          <w:szCs w:val="24"/>
          <w:u w:val="single"/>
        </w:rPr>
        <w:t>EEUU es el país con mayor riesgo de sufrir una nueva crisis finan</w:t>
      </w:r>
      <w:r w:rsidR="00834B05">
        <w:rPr>
          <w:rFonts w:ascii="Times New Roman" w:hAnsi="Times New Roman" w:cs="Times New Roman"/>
          <w:sz w:val="24"/>
          <w:szCs w:val="24"/>
          <w:u w:val="single"/>
        </w:rPr>
        <w:t>ciera, según predice el índice “Cassandra”</w:t>
      </w:r>
      <w:r w:rsidRPr="00656D63">
        <w:rPr>
          <w:rFonts w:ascii="Times New Roman" w:hAnsi="Times New Roman" w:cs="Times New Roman"/>
          <w:sz w:val="24"/>
          <w:szCs w:val="24"/>
          <w:u w:val="single"/>
        </w:rPr>
        <w:t xml:space="preserve"> de Nomura</w:t>
      </w:r>
      <w:r>
        <w:rPr>
          <w:rFonts w:ascii="Times New Roman" w:hAnsi="Times New Roman" w:cs="Times New Roman"/>
          <w:sz w:val="24"/>
          <w:szCs w:val="24"/>
        </w:rPr>
        <w:t xml:space="preserve"> (El Economista - </w:t>
      </w:r>
      <w:r w:rsidRPr="00656D63">
        <w:rPr>
          <w:rFonts w:ascii="Times New Roman" w:hAnsi="Times New Roman" w:cs="Times New Roman"/>
          <w:b/>
          <w:sz w:val="24"/>
          <w:szCs w:val="24"/>
        </w:rPr>
        <w:t>25/6/21</w:t>
      </w:r>
      <w:r>
        <w:rPr>
          <w:rFonts w:ascii="Times New Roman" w:hAnsi="Times New Roman" w:cs="Times New Roman"/>
          <w:sz w:val="24"/>
          <w:szCs w:val="24"/>
        </w:rPr>
        <w:t>)</w:t>
      </w:r>
    </w:p>
    <w:p w:rsidR="00DE4510" w:rsidRPr="008262D0" w:rsidRDefault="00DE4510" w:rsidP="00FA4DA9">
      <w:pPr>
        <w:spacing w:line="240" w:lineRule="auto"/>
        <w:jc w:val="both"/>
        <w:rPr>
          <w:rFonts w:ascii="Times New Roman" w:hAnsi="Times New Roman" w:cs="Times New Roman"/>
          <w:color w:val="FF0000"/>
          <w:sz w:val="24"/>
          <w:szCs w:val="24"/>
          <w:u w:val="single"/>
        </w:rPr>
      </w:pPr>
      <w:r w:rsidRPr="008262D0">
        <w:rPr>
          <w:rFonts w:ascii="Times New Roman" w:hAnsi="Times New Roman" w:cs="Times New Roman"/>
          <w:color w:val="FF0000"/>
          <w:sz w:val="24"/>
          <w:szCs w:val="24"/>
          <w:u w:val="single"/>
        </w:rPr>
        <w:t>¿Acaso no sería algo deseable poder adivinar cuándo y dónde va a estallar la próxima crisis financiera? Con el propósito de acercarse a ese objetivo los economistas del banco japonés Nomura han diseñado un índice de alerta temprana con el nombre un tanto desafortunado de Cassandra (Casandra llevado al castellano), dado que la sacerdotisa troyana de la mitología griega estaba maldita y nunca la creían a pesar de sus acertados pronósticos.</w:t>
      </w:r>
    </w:p>
    <w:p w:rsidR="00DE4510" w:rsidRPr="008262D0" w:rsidRDefault="00DE4510" w:rsidP="00FA4DA9">
      <w:pPr>
        <w:spacing w:line="240" w:lineRule="auto"/>
        <w:jc w:val="both"/>
        <w:rPr>
          <w:rFonts w:ascii="Times New Roman" w:hAnsi="Times New Roman" w:cs="Times New Roman"/>
          <w:color w:val="FF0000"/>
          <w:sz w:val="24"/>
          <w:szCs w:val="24"/>
          <w:u w:val="single"/>
        </w:rPr>
      </w:pPr>
      <w:r w:rsidRPr="008262D0">
        <w:rPr>
          <w:rFonts w:ascii="Times New Roman" w:hAnsi="Times New Roman" w:cs="Times New Roman"/>
          <w:color w:val="FF0000"/>
          <w:sz w:val="24"/>
          <w:szCs w:val="24"/>
          <w:u w:val="single"/>
        </w:rPr>
        <w:t>La confección del índice parte de la base de que en la ciencia económica las crisis se ven mejor a través de la perspectiva de los ciclos financieros que de los ciclos comerciales. Con esta premisa en mente, el equipo de investigación económica de Nomura construyó un modelo en torno a cinco señales de alarma diferentes: la relación entre el crédito privado y el PIB, el ratio de servicio de la deuda, los precios reales de las acciones, los precios reales de los inmuebles y el tipo de cambio efectivo real.</w:t>
      </w:r>
    </w:p>
    <w:p w:rsidR="00DE4510" w:rsidRDefault="00DE4510" w:rsidP="00FA4DA9">
      <w:pPr>
        <w:spacing w:line="240" w:lineRule="auto"/>
        <w:jc w:val="both"/>
        <w:rPr>
          <w:rFonts w:ascii="Times New Roman" w:hAnsi="Times New Roman" w:cs="Times New Roman"/>
          <w:b/>
          <w:color w:val="FF0000"/>
          <w:sz w:val="24"/>
          <w:szCs w:val="24"/>
          <w:u w:val="single"/>
        </w:rPr>
      </w:pPr>
      <w:r w:rsidRPr="00535EFA">
        <w:rPr>
          <w:rFonts w:ascii="Times New Roman" w:hAnsi="Times New Roman" w:cs="Times New Roman"/>
          <w:b/>
          <w:color w:val="FF0000"/>
          <w:sz w:val="24"/>
          <w:szCs w:val="24"/>
          <w:u w:val="single"/>
        </w:rPr>
        <w:t>Desde Nomura defienden que Cassandra ha señalizado correctamente dos tercios de las últimas 53 crisis en 40 países desde principios de la década de 1990. Actualmente el índice alerta de que hay seis naciones particularmente vulnerables a las crisis financieras en los próximos 12 trimestres. La que mayor riesgo presenta es EEUU, seguida de Japón, Alemania, Taiwán, Suecia y Países Bajos.</w:t>
      </w:r>
    </w:p>
    <w:p w:rsidR="00B06032" w:rsidRPr="00F83C49" w:rsidRDefault="00B06032" w:rsidP="00B06032">
      <w:pPr>
        <w:spacing w:line="240" w:lineRule="auto"/>
        <w:jc w:val="both"/>
        <w:rPr>
          <w:rFonts w:ascii="Times New Roman" w:hAnsi="Times New Roman" w:cs="Times New Roman"/>
          <w:sz w:val="24"/>
          <w:szCs w:val="24"/>
          <w:u w:val="single"/>
        </w:rPr>
      </w:pPr>
      <w:r w:rsidRPr="00F83C49">
        <w:rPr>
          <w:rFonts w:ascii="Times New Roman" w:hAnsi="Times New Roman" w:cs="Times New Roman"/>
          <w:sz w:val="24"/>
          <w:szCs w:val="24"/>
          <w:u w:val="single"/>
        </w:rPr>
        <w:t>Para tener una visión de conjunto que incluya rasgos más actuales, Robert Subbaraman, analista de Nomura en Singapur, explica que han añadido al índice el riesgo de un shock en los tipos de interés dado el entorno de dinero fácil tras la pandemia.</w:t>
      </w:r>
    </w:p>
    <w:p w:rsidR="00B06032" w:rsidRPr="00834B05" w:rsidRDefault="00B06032" w:rsidP="00B06032">
      <w:pPr>
        <w:spacing w:line="240" w:lineRule="auto"/>
        <w:jc w:val="both"/>
        <w:rPr>
          <w:rFonts w:ascii="Times New Roman" w:hAnsi="Times New Roman" w:cs="Times New Roman"/>
          <w:b/>
          <w:color w:val="FF0000"/>
          <w:sz w:val="24"/>
          <w:szCs w:val="24"/>
          <w:u w:val="single"/>
        </w:rPr>
      </w:pPr>
      <w:r w:rsidRPr="00834B05">
        <w:rPr>
          <w:rFonts w:ascii="Times New Roman" w:hAnsi="Times New Roman" w:cs="Times New Roman"/>
          <w:b/>
          <w:color w:val="FF0000"/>
          <w:sz w:val="24"/>
          <w:szCs w:val="24"/>
          <w:u w:val="single"/>
        </w:rPr>
        <w:t>“Este entorno es propicio para los auges de los precios de los activos alimentados por la deuda. En algún momento, sin embargo, los desequilibrios se revertirán, normalmente de forma abrupta, lo que puede provocar una crisis crediticia o, peor aún, una crisis financiera”, señalan desde el banco.</w:t>
      </w:r>
    </w:p>
    <w:p w:rsidR="00B06032" w:rsidRPr="00656D63" w:rsidRDefault="00B06032" w:rsidP="00B06032">
      <w:pPr>
        <w:spacing w:line="240" w:lineRule="auto"/>
        <w:jc w:val="both"/>
        <w:rPr>
          <w:rFonts w:ascii="Times New Roman" w:hAnsi="Times New Roman" w:cs="Times New Roman"/>
          <w:sz w:val="24"/>
          <w:szCs w:val="24"/>
        </w:rPr>
      </w:pPr>
      <w:r w:rsidRPr="00656D63">
        <w:rPr>
          <w:rFonts w:ascii="Times New Roman" w:hAnsi="Times New Roman" w:cs="Times New Roman"/>
          <w:sz w:val="24"/>
          <w:szCs w:val="24"/>
        </w:rPr>
        <w:t>Sometiendo a los niveles del índice a una prueba de estrés para un shock en los tipos de interés, los países en peligro siguen siendo los mismos a excepción de Suecia, que cae del umbral. No obstante, al añadir esta variable, estados como Francia, Hungría, Rumanía, Nueva Zelanda y Portugal también empiezan a acercarse a zona de peligro.</w:t>
      </w:r>
    </w:p>
    <w:p w:rsidR="00B06032" w:rsidRPr="00656D63" w:rsidRDefault="00B06032" w:rsidP="00B06032">
      <w:pPr>
        <w:spacing w:line="240" w:lineRule="auto"/>
        <w:jc w:val="both"/>
        <w:rPr>
          <w:rFonts w:ascii="Times New Roman" w:hAnsi="Times New Roman" w:cs="Times New Roman"/>
          <w:sz w:val="24"/>
          <w:szCs w:val="24"/>
        </w:rPr>
      </w:pPr>
      <w:r w:rsidRPr="00F83C49">
        <w:rPr>
          <w:rFonts w:ascii="Times New Roman" w:hAnsi="Times New Roman" w:cs="Times New Roman"/>
          <w:sz w:val="24"/>
          <w:szCs w:val="24"/>
          <w:u w:val="single"/>
        </w:rPr>
        <w:t>Siguiendo el sentir de los tiempos, Nomura también ha introducido en su índice la amenaza que supone el cambio climático para la estabilidad financiera.</w:t>
      </w:r>
      <w:r w:rsidRPr="00656D63">
        <w:rPr>
          <w:rFonts w:ascii="Times New Roman" w:hAnsi="Times New Roman" w:cs="Times New Roman"/>
          <w:sz w:val="24"/>
          <w:szCs w:val="24"/>
        </w:rPr>
        <w:t xml:space="preserve"> Los países nórdicos parecen estar bien situados, pero varias economías emergentes como por ejemplo </w:t>
      </w:r>
      <w:r>
        <w:rPr>
          <w:rFonts w:ascii="Times New Roman" w:hAnsi="Times New Roman" w:cs="Times New Roman"/>
          <w:sz w:val="24"/>
          <w:szCs w:val="24"/>
        </w:rPr>
        <w:t>India son bastante vulnerables.</w:t>
      </w:r>
    </w:p>
    <w:p w:rsidR="00B06032" w:rsidRPr="00B06032" w:rsidRDefault="00B06032" w:rsidP="00FA4DA9">
      <w:pPr>
        <w:spacing w:line="240" w:lineRule="auto"/>
        <w:jc w:val="both"/>
        <w:rPr>
          <w:rFonts w:ascii="Times New Roman" w:hAnsi="Times New Roman" w:cs="Times New Roman"/>
          <w:sz w:val="24"/>
          <w:szCs w:val="24"/>
        </w:rPr>
      </w:pPr>
      <w:r w:rsidRPr="00656D63">
        <w:rPr>
          <w:rFonts w:ascii="Times New Roman" w:hAnsi="Times New Roman" w:cs="Times New Roman"/>
          <w:sz w:val="24"/>
          <w:szCs w:val="24"/>
        </w:rPr>
        <w:t>Como apunte curioso, España aparece en uno de los últimos puestos del índice con una tasa de riesgo de 25, muy lejos de los 100 que representa el umbral de vulnerabilidad. Más llamativo todavía es que, según el indicador de Nomura, esa tasa de 25 de España obedece en exclusiva a los riesgos climáticos.</w:t>
      </w:r>
    </w:p>
    <w:p w:rsidR="00535EFA" w:rsidRPr="00535EFA" w:rsidRDefault="00535EFA" w:rsidP="00FA4DA9">
      <w:pPr>
        <w:spacing w:line="240" w:lineRule="auto"/>
        <w:jc w:val="both"/>
        <w:rPr>
          <w:rFonts w:ascii="Times New Roman" w:hAnsi="Times New Roman" w:cs="Times New Roman"/>
          <w:b/>
          <w:color w:val="FF0000"/>
          <w:sz w:val="24"/>
          <w:szCs w:val="24"/>
          <w:u w:val="single"/>
        </w:rPr>
      </w:pPr>
      <w:r w:rsidRPr="00656D63">
        <w:rPr>
          <w:rFonts w:ascii="Times New Roman" w:hAnsi="Times New Roman" w:cs="Times New Roman"/>
          <w:noProof/>
          <w:sz w:val="24"/>
          <w:szCs w:val="24"/>
          <w:lang w:eastAsia="es-ES"/>
        </w:rPr>
        <w:lastRenderedPageBreak/>
        <w:drawing>
          <wp:inline distT="0" distB="0" distL="0" distR="0" wp14:anchorId="26C5B79A" wp14:editId="0A216351">
            <wp:extent cx="5732106" cy="5740400"/>
            <wp:effectExtent l="0" t="0" r="2540"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9"/>
                    <a:stretch>
                      <a:fillRect/>
                    </a:stretch>
                  </pic:blipFill>
                  <pic:spPr>
                    <a:xfrm>
                      <a:off x="0" y="0"/>
                      <a:ext cx="5731510" cy="5739803"/>
                    </a:xfrm>
                    <a:prstGeom prst="rect">
                      <a:avLst/>
                    </a:prstGeom>
                  </pic:spPr>
                </pic:pic>
              </a:graphicData>
            </a:graphic>
          </wp:inline>
        </w:drawing>
      </w:r>
    </w:p>
    <w:p w:rsidR="00DE4510" w:rsidRDefault="00DE4510" w:rsidP="00FA4DA9">
      <w:pPr>
        <w:spacing w:line="240" w:lineRule="auto"/>
        <w:jc w:val="both"/>
        <w:rPr>
          <w:rStyle w:val="title-master"/>
          <w:rFonts w:ascii="Times New Roman" w:hAnsi="Times New Roman" w:cs="Times New Roman"/>
          <w:color w:val="000000"/>
          <w:sz w:val="24"/>
          <w:szCs w:val="24"/>
        </w:rPr>
      </w:pPr>
      <w:r w:rsidRPr="00B12A45">
        <w:rPr>
          <w:rStyle w:val="title-master"/>
          <w:rFonts w:ascii="Times New Roman" w:hAnsi="Times New Roman" w:cs="Times New Roman"/>
          <w:color w:val="000000"/>
          <w:sz w:val="24"/>
          <w:szCs w:val="24"/>
        </w:rPr>
        <w:t xml:space="preserve">- </w:t>
      </w:r>
      <w:r w:rsidR="00C27992">
        <w:rPr>
          <w:rStyle w:val="title-master"/>
          <w:rFonts w:ascii="Times New Roman" w:hAnsi="Times New Roman" w:cs="Times New Roman"/>
          <w:color w:val="000000"/>
          <w:sz w:val="24"/>
          <w:szCs w:val="24"/>
          <w:u w:val="single"/>
        </w:rPr>
        <w:t>La Bolsa en tiempos de “taper”</w:t>
      </w:r>
      <w:r>
        <w:rPr>
          <w:rStyle w:val="title-master"/>
          <w:rFonts w:ascii="Times New Roman" w:hAnsi="Times New Roman" w:cs="Times New Roman"/>
          <w:color w:val="000000"/>
          <w:sz w:val="24"/>
          <w:szCs w:val="24"/>
        </w:rPr>
        <w:t xml:space="preserve"> (Vozpópuli - </w:t>
      </w:r>
      <w:r w:rsidRPr="00B12A45">
        <w:rPr>
          <w:rStyle w:val="title-master"/>
          <w:rFonts w:ascii="Times New Roman" w:hAnsi="Times New Roman" w:cs="Times New Roman"/>
          <w:b/>
          <w:color w:val="000000"/>
          <w:sz w:val="24"/>
          <w:szCs w:val="24"/>
        </w:rPr>
        <w:t>26/6/21</w:t>
      </w:r>
      <w:r>
        <w:rPr>
          <w:rStyle w:val="title-master"/>
          <w:rFonts w:ascii="Times New Roman" w:hAnsi="Times New Roman" w:cs="Times New Roman"/>
          <w:color w:val="000000"/>
          <w:sz w:val="24"/>
          <w:szCs w:val="24"/>
        </w:rPr>
        <w:t>)</w:t>
      </w:r>
    </w:p>
    <w:p w:rsidR="00535EFA" w:rsidRPr="00B12A45" w:rsidRDefault="00535EFA" w:rsidP="00FA4DA9">
      <w:pPr>
        <w:spacing w:line="240" w:lineRule="auto"/>
        <w:jc w:val="both"/>
        <w:rPr>
          <w:rFonts w:ascii="Times New Roman" w:hAnsi="Times New Roman" w:cs="Times New Roman"/>
          <w:sz w:val="24"/>
          <w:szCs w:val="24"/>
        </w:rPr>
      </w:pPr>
      <w:r w:rsidRPr="00535EFA">
        <w:rPr>
          <w:rFonts w:ascii="Times New Roman" w:hAnsi="Times New Roman" w:cs="Times New Roman"/>
          <w:sz w:val="24"/>
          <w:szCs w:val="24"/>
        </w:rPr>
        <w:t xml:space="preserve"> (Por Luis Riestra)</w:t>
      </w:r>
    </w:p>
    <w:p w:rsidR="00DE4510" w:rsidRPr="00C27992" w:rsidRDefault="00DE4510" w:rsidP="00FA4DA9">
      <w:pPr>
        <w:shd w:val="clear" w:color="auto" w:fill="FFFFFF"/>
        <w:spacing w:line="240" w:lineRule="auto"/>
        <w:jc w:val="both"/>
        <w:rPr>
          <w:rFonts w:ascii="Times New Roman" w:hAnsi="Times New Roman" w:cs="Times New Roman"/>
          <w:sz w:val="24"/>
          <w:szCs w:val="24"/>
          <w:u w:val="single"/>
        </w:rPr>
      </w:pPr>
      <w:r w:rsidRPr="00C27992">
        <w:rPr>
          <w:rFonts w:ascii="Times New Roman" w:hAnsi="Times New Roman" w:cs="Times New Roman"/>
          <w:sz w:val="24"/>
          <w:szCs w:val="24"/>
        </w:rPr>
        <w:t>En una </w:t>
      </w:r>
      <w:hyperlink r:id="rId280" w:history="1">
        <w:r w:rsidRPr="00C27992">
          <w:rPr>
            <w:rStyle w:val="Hipervnculo"/>
            <w:rFonts w:ascii="Times New Roman" w:hAnsi="Times New Roman" w:cs="Times New Roman"/>
            <w:color w:val="auto"/>
            <w:sz w:val="24"/>
            <w:szCs w:val="24"/>
            <w:u w:val="none"/>
          </w:rPr>
          <w:t>ocasión anterior</w:t>
        </w:r>
      </w:hyperlink>
      <w:r w:rsidRPr="00C27992">
        <w:rPr>
          <w:rFonts w:ascii="Times New Roman" w:hAnsi="Times New Roman" w:cs="Times New Roman"/>
          <w:sz w:val="24"/>
          <w:szCs w:val="24"/>
        </w:rPr>
        <w:t> repasamos la política monetaria estadounidense por estar cerca la reducció</w:t>
      </w:r>
      <w:r w:rsidR="00C27992" w:rsidRPr="00C27992">
        <w:rPr>
          <w:rFonts w:ascii="Times New Roman" w:hAnsi="Times New Roman" w:cs="Times New Roman"/>
          <w:sz w:val="24"/>
          <w:szCs w:val="24"/>
        </w:rPr>
        <w:t>n de la expansión monetaria, o “taper”</w:t>
      </w:r>
      <w:r w:rsidRPr="00C27992">
        <w:rPr>
          <w:rFonts w:ascii="Times New Roman" w:hAnsi="Times New Roman" w:cs="Times New Roman"/>
          <w:sz w:val="24"/>
          <w:szCs w:val="24"/>
        </w:rPr>
        <w:t>. También vimos el efecto de esto en </w:t>
      </w:r>
      <w:r w:rsidRPr="00C27992">
        <w:rPr>
          <w:rStyle w:val="Textoennegrita"/>
          <w:rFonts w:ascii="Times New Roman" w:hAnsi="Times New Roman" w:cs="Times New Roman"/>
          <w:b w:val="0"/>
          <w:sz w:val="24"/>
          <w:szCs w:val="24"/>
        </w:rPr>
        <w:t>el principal índice bursátil global</w:t>
      </w:r>
      <w:r w:rsidRPr="00C27992">
        <w:rPr>
          <w:rFonts w:ascii="Times New Roman" w:hAnsi="Times New Roman" w:cs="Times New Roman"/>
          <w:sz w:val="24"/>
          <w:szCs w:val="24"/>
        </w:rPr>
        <w:t xml:space="preserve">, el S&amp;P500, </w:t>
      </w:r>
      <w:r w:rsidRPr="00C27992">
        <w:rPr>
          <w:rFonts w:ascii="Times New Roman" w:hAnsi="Times New Roman" w:cs="Times New Roman"/>
          <w:sz w:val="24"/>
          <w:szCs w:val="24"/>
          <w:u w:val="single"/>
        </w:rPr>
        <w:t>quedando pendiente valorar el tamaño de la burbuja que han creado, así como una posible estrategia bursátil, asuntos que exploraremos hoy,</w:t>
      </w:r>
      <w:r w:rsidRPr="00C27992">
        <w:rPr>
          <w:rFonts w:ascii="Times New Roman" w:hAnsi="Times New Roman" w:cs="Times New Roman"/>
          <w:sz w:val="24"/>
          <w:szCs w:val="24"/>
        </w:rPr>
        <w:t xml:space="preserve"> </w:t>
      </w:r>
      <w:r w:rsidRPr="00C27992">
        <w:rPr>
          <w:rFonts w:ascii="Times New Roman" w:hAnsi="Times New Roman" w:cs="Times New Roman"/>
          <w:sz w:val="24"/>
          <w:szCs w:val="24"/>
          <w:u w:val="single"/>
        </w:rPr>
        <w:t>a ver si podemos estar algo más tranquilos, o no, con el burbujón de Damocles que pende sobre los inversores en Bolsa y sobre la economía de todos.</w:t>
      </w:r>
    </w:p>
    <w:p w:rsidR="00DE4510" w:rsidRPr="00C27992" w:rsidRDefault="00DE4510" w:rsidP="00FA4DA9">
      <w:pPr>
        <w:pStyle w:val="NormalWeb"/>
        <w:shd w:val="clear" w:color="auto" w:fill="FFFFFF"/>
        <w:spacing w:after="360" w:afterAutospacing="0"/>
        <w:jc w:val="both"/>
      </w:pPr>
      <w:r w:rsidRPr="00C27992">
        <w:rPr>
          <w:color w:val="FF0000"/>
          <w:u w:val="single"/>
        </w:rPr>
        <w:t>No existe burbuja sin sobre-expansión monetaria</w:t>
      </w:r>
      <w:r w:rsidRPr="00C27992">
        <w:rPr>
          <w:color w:val="FF0000"/>
        </w:rPr>
        <w:t xml:space="preserve"> </w:t>
      </w:r>
      <w:r w:rsidRPr="00C27992">
        <w:t>y, lógicamente, la estadística ha de reflejar eso (siguiente gráfica); de hecho, al ajustar los datos utilizando el S&amp;P500 y el QE4 (QE=</w:t>
      </w:r>
      <w:hyperlink r:id="rId281" w:tgtFrame="_blank" w:history="1">
        <w:r w:rsidRPr="00C27992">
          <w:rPr>
            <w:rStyle w:val="Hipervnculo"/>
            <w:color w:val="auto"/>
            <w:u w:val="none"/>
          </w:rPr>
          <w:t>quantitative easing</w:t>
        </w:r>
      </w:hyperlink>
      <w:r w:rsidRPr="00C27992">
        <w:t>), esto es, la compra de activos por la FED debido a la pandemia, lo que se obtiene es una altísima </w:t>
      </w:r>
      <w:hyperlink r:id="rId282" w:tgtFrame="_blank" w:history="1">
        <w:r w:rsidRPr="00C27992">
          <w:rPr>
            <w:rStyle w:val="Hipervnculo"/>
            <w:color w:val="auto"/>
            <w:u w:val="none"/>
          </w:rPr>
          <w:t>correlación</w:t>
        </w:r>
      </w:hyperlink>
      <w:r w:rsidRPr="00C27992">
        <w:t> (siguiente gráfica, coeficiente de determinación </w:t>
      </w:r>
      <w:r w:rsidRPr="00C27992">
        <w:rPr>
          <w:rStyle w:val="nfasis"/>
        </w:rPr>
        <w:t>R</w:t>
      </w:r>
      <w:r w:rsidRPr="00C27992">
        <w:t>²=0,834), que es muy superior a si se hace el cálculo para, por ejemplo, 2011-2020 antes del QE4 (</w:t>
      </w:r>
      <w:r w:rsidRPr="00C27992">
        <w:rPr>
          <w:rStyle w:val="nfasis"/>
        </w:rPr>
        <w:t>R</w:t>
      </w:r>
      <w:r w:rsidRPr="00C27992">
        <w:t>²=0,547)</w:t>
      </w:r>
    </w:p>
    <w:p w:rsidR="00DE4510" w:rsidRPr="00535EFA" w:rsidRDefault="00DE4510" w:rsidP="00FA4DA9">
      <w:pPr>
        <w:shd w:val="clear" w:color="auto" w:fill="FFFFFF"/>
        <w:spacing w:line="240" w:lineRule="auto"/>
        <w:jc w:val="both"/>
        <w:rPr>
          <w:rFonts w:ascii="Times New Roman" w:hAnsi="Times New Roman" w:cs="Times New Roman"/>
          <w:sz w:val="24"/>
          <w:szCs w:val="24"/>
        </w:rPr>
      </w:pPr>
      <w:r w:rsidRPr="00C27992">
        <w:rPr>
          <w:rFonts w:ascii="Times New Roman" w:hAnsi="Times New Roman" w:cs="Times New Roman"/>
          <w:noProof/>
          <w:sz w:val="24"/>
          <w:szCs w:val="24"/>
          <w:lang w:eastAsia="es-ES"/>
        </w:rPr>
        <w:lastRenderedPageBreak/>
        <w:drawing>
          <wp:inline distT="0" distB="0" distL="0" distR="0" wp14:anchorId="3DEBE222" wp14:editId="1D4F05AD">
            <wp:extent cx="5556250" cy="2609850"/>
            <wp:effectExtent l="0" t="0" r="6350" b="0"/>
            <wp:docPr id="40" name="Imagen 40" descr="https://media.vozpopuli.com/2021/06/25/grafico-uno-1024x5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media.vozpopuli.com/2021/06/25/grafico-uno-1024x592.jpg"/>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5556250" cy="2609850"/>
                    </a:xfrm>
                    <a:prstGeom prst="rect">
                      <a:avLst/>
                    </a:prstGeom>
                    <a:noFill/>
                    <a:ln>
                      <a:noFill/>
                    </a:ln>
                  </pic:spPr>
                </pic:pic>
              </a:graphicData>
            </a:graphic>
          </wp:inline>
        </w:drawing>
      </w:r>
      <w:r w:rsidRPr="00535EFA">
        <w:rPr>
          <w:rFonts w:ascii="Times New Roman" w:hAnsi="Times New Roman" w:cs="Times New Roman"/>
          <w:sz w:val="24"/>
          <w:szCs w:val="24"/>
        </w:rPr>
        <w:t>Con esta fuerte correlación determinando el índice se refuerza </w:t>
      </w:r>
      <w:r w:rsidRPr="00535EFA">
        <w:rPr>
          <w:rStyle w:val="Textoennegrita"/>
          <w:rFonts w:ascii="Times New Roman" w:hAnsi="Times New Roman" w:cs="Times New Roman"/>
          <w:b w:val="0"/>
          <w:sz w:val="24"/>
          <w:szCs w:val="24"/>
        </w:rPr>
        <w:t>nuestro escenario central de traslación lateral</w:t>
      </w:r>
      <w:r w:rsidRPr="00535EFA">
        <w:rPr>
          <w:rFonts w:ascii="Times New Roman" w:hAnsi="Times New Roman" w:cs="Times New Roman"/>
          <w:b/>
          <w:sz w:val="24"/>
          <w:szCs w:val="24"/>
        </w:rPr>
        <w:t> </w:t>
      </w:r>
      <w:r w:rsidR="00C27992" w:rsidRPr="00535EFA">
        <w:rPr>
          <w:rFonts w:ascii="Times New Roman" w:hAnsi="Times New Roman" w:cs="Times New Roman"/>
          <w:sz w:val="24"/>
          <w:szCs w:val="24"/>
        </w:rPr>
        <w:t>cuando empiece el “</w:t>
      </w:r>
      <w:r w:rsidRPr="00535EFA">
        <w:rPr>
          <w:rFonts w:ascii="Times New Roman" w:hAnsi="Times New Roman" w:cs="Times New Roman"/>
          <w:sz w:val="24"/>
          <w:szCs w:val="24"/>
        </w:rPr>
        <w:t>ta</w:t>
      </w:r>
      <w:r w:rsidR="00C27992" w:rsidRPr="00535EFA">
        <w:rPr>
          <w:rFonts w:ascii="Times New Roman" w:hAnsi="Times New Roman" w:cs="Times New Roman"/>
          <w:sz w:val="24"/>
          <w:szCs w:val="24"/>
        </w:rPr>
        <w:t>per”</w:t>
      </w:r>
      <w:r w:rsidRPr="00535EFA">
        <w:rPr>
          <w:rFonts w:ascii="Times New Roman" w:hAnsi="Times New Roman" w:cs="Times New Roman"/>
          <w:sz w:val="24"/>
          <w:szCs w:val="24"/>
        </w:rPr>
        <w:t xml:space="preserve"> que, como se vio en </w:t>
      </w:r>
      <w:hyperlink r:id="rId284" w:tgtFrame="_blank" w:history="1">
        <w:r w:rsidRPr="00535EFA">
          <w:rPr>
            <w:rStyle w:val="Hipervnculo"/>
            <w:rFonts w:ascii="Times New Roman" w:hAnsi="Times New Roman" w:cs="Times New Roman"/>
            <w:color w:val="auto"/>
            <w:sz w:val="24"/>
            <w:szCs w:val="24"/>
            <w:u w:val="none"/>
          </w:rPr>
          <w:t>la última comparecencia de la FED (junio 2021)</w:t>
        </w:r>
      </w:hyperlink>
      <w:r w:rsidRPr="00535EFA">
        <w:rPr>
          <w:rFonts w:ascii="Times New Roman" w:hAnsi="Times New Roman" w:cs="Times New Roman"/>
          <w:sz w:val="24"/>
          <w:szCs w:val="24"/>
        </w:rPr>
        <w:t>, ya tienen preparado. Por cierto, el incompetente Jerome Powell dio toda la impresión de que se ha</w:t>
      </w:r>
      <w:r w:rsidR="00C27992" w:rsidRPr="00535EFA">
        <w:rPr>
          <w:rFonts w:ascii="Times New Roman" w:hAnsi="Times New Roman" w:cs="Times New Roman"/>
          <w:sz w:val="24"/>
          <w:szCs w:val="24"/>
        </w:rPr>
        <w:t>rá cuando los banqueros que le “instruyen”</w:t>
      </w:r>
      <w:r w:rsidRPr="00535EFA">
        <w:rPr>
          <w:rFonts w:ascii="Times New Roman" w:hAnsi="Times New Roman" w:cs="Times New Roman"/>
          <w:sz w:val="24"/>
          <w:szCs w:val="24"/>
        </w:rPr>
        <w:t xml:space="preserve"> lo decidan. Dicho eso, veamos cómo han ido los beneficios y márgenes del S&amp;P500 tras la apertura de la economía.</w:t>
      </w:r>
    </w:p>
    <w:p w:rsidR="00DE4510" w:rsidRPr="00C27992" w:rsidRDefault="00DE4510" w:rsidP="00FA4DA9">
      <w:pPr>
        <w:pStyle w:val="Ttulo2"/>
        <w:shd w:val="clear" w:color="auto" w:fill="FFFFFF"/>
        <w:spacing w:after="150" w:line="240" w:lineRule="auto"/>
        <w:jc w:val="both"/>
        <w:rPr>
          <w:rFonts w:ascii="Times New Roman" w:hAnsi="Times New Roman" w:cs="Times New Roman"/>
          <w:b w:val="0"/>
          <w:color w:val="auto"/>
          <w:sz w:val="24"/>
          <w:szCs w:val="24"/>
        </w:rPr>
      </w:pPr>
      <w:r w:rsidRPr="00C27992">
        <w:rPr>
          <w:rFonts w:ascii="Times New Roman" w:hAnsi="Times New Roman" w:cs="Times New Roman"/>
          <w:b w:val="0"/>
          <w:color w:val="auto"/>
          <w:sz w:val="24"/>
          <w:szCs w:val="24"/>
        </w:rPr>
        <w:t>Beneficios y márgenes</w:t>
      </w:r>
    </w:p>
    <w:p w:rsidR="00DE4510" w:rsidRPr="00C27992" w:rsidRDefault="00DE4510" w:rsidP="00FA4DA9">
      <w:pPr>
        <w:pStyle w:val="NormalWeb"/>
        <w:shd w:val="clear" w:color="auto" w:fill="FFFFFF"/>
        <w:spacing w:after="360" w:afterAutospacing="0"/>
        <w:jc w:val="both"/>
      </w:pPr>
      <w:r w:rsidRPr="00C27992">
        <w:t>Al examinar los beneficios por acción (BPA) del S&amp;P500, ya con los datos del 97,3% de las empresas, lo primero que encontramos es </w:t>
      </w:r>
      <w:r w:rsidRPr="00C27992">
        <w:rPr>
          <w:rStyle w:val="Textoennegrita"/>
          <w:b w:val="0"/>
        </w:rPr>
        <w:t>una excelente noticia: han crecido casi un 25%</w:t>
      </w:r>
      <w:r w:rsidRPr="00C27992">
        <w:t> por encima de los valores máximos anteriores al cierre económico (Q4-2019) Pero, </w:t>
      </w:r>
      <w:r w:rsidRPr="00C27992">
        <w:rPr>
          <w:rStyle w:val="Textoennegrita"/>
          <w:b w:val="0"/>
        </w:rPr>
        <w:t>¿de dónde viene semejante mejora?</w:t>
      </w:r>
      <w:r w:rsidRPr="00C27992">
        <w:rPr>
          <w:rStyle w:val="Textoennegrita"/>
        </w:rPr>
        <w:t> </w:t>
      </w:r>
      <w:r w:rsidRPr="00C27992">
        <w:t>Pues </w:t>
      </w:r>
      <w:r w:rsidRPr="00C27992">
        <w:rPr>
          <w:rStyle w:val="Textoennegrita"/>
          <w:b w:val="0"/>
        </w:rPr>
        <w:t>una parte viene de la misma sobrevaloración del índice</w:t>
      </w:r>
      <w:r w:rsidRPr="00C27992">
        <w:t>. Verán, si se fijan en la siguiente gráfica, marcamos en el máximo anterior la metida de pata de Powell (Q3-2018), cuando empezó a contraer la cantidad de dinero innecesariamente, algo que casi produce un crack y que le costó a los beneficios casi un 20% por las pérdidas bursátiles; pues ahora es lo contrario.</w:t>
      </w:r>
    </w:p>
    <w:p w:rsidR="00DE4510" w:rsidRPr="00C27992" w:rsidRDefault="00DE4510" w:rsidP="00FA4DA9">
      <w:pPr>
        <w:shd w:val="clear" w:color="auto" w:fill="FFFFFF"/>
        <w:spacing w:line="240" w:lineRule="auto"/>
        <w:jc w:val="both"/>
        <w:rPr>
          <w:rFonts w:ascii="Times New Roman" w:hAnsi="Times New Roman" w:cs="Times New Roman"/>
          <w:sz w:val="24"/>
          <w:szCs w:val="24"/>
        </w:rPr>
      </w:pPr>
      <w:r w:rsidRPr="00C27992">
        <w:rPr>
          <w:rFonts w:ascii="Times New Roman" w:hAnsi="Times New Roman" w:cs="Times New Roman"/>
          <w:noProof/>
          <w:sz w:val="24"/>
          <w:szCs w:val="24"/>
          <w:lang w:eastAsia="es-ES"/>
        </w:rPr>
        <w:drawing>
          <wp:inline distT="0" distB="0" distL="0" distR="0" wp14:anchorId="7B9970B8" wp14:editId="48864FDC">
            <wp:extent cx="5638800" cy="2324100"/>
            <wp:effectExtent l="0" t="0" r="0" b="0"/>
            <wp:docPr id="38" name="Imagen 38" descr="https://media.vozpopuli.com/2021/06/25/grafico-dos-1024x6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media.vozpopuli.com/2021/06/25/grafico-dos-1024x623.jpg"/>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5638800" cy="2324100"/>
                    </a:xfrm>
                    <a:prstGeom prst="rect">
                      <a:avLst/>
                    </a:prstGeom>
                    <a:noFill/>
                    <a:ln>
                      <a:noFill/>
                    </a:ln>
                  </pic:spPr>
                </pic:pic>
              </a:graphicData>
            </a:graphic>
          </wp:inline>
        </w:drawing>
      </w:r>
    </w:p>
    <w:p w:rsidR="00DE4510" w:rsidRPr="00C27992" w:rsidRDefault="00DE4510" w:rsidP="00FA4DA9">
      <w:pPr>
        <w:pStyle w:val="NormalWeb"/>
        <w:shd w:val="clear" w:color="auto" w:fill="FFFFFF"/>
        <w:spacing w:after="360" w:afterAutospacing="0"/>
        <w:jc w:val="both"/>
        <w:rPr>
          <w:b/>
        </w:rPr>
      </w:pPr>
      <w:r w:rsidRPr="00C27992">
        <w:t>También tendríamos un aumento de (BPA) por las </w:t>
      </w:r>
      <w:r w:rsidRPr="00C27992">
        <w:rPr>
          <w:rStyle w:val="Textoennegrita"/>
          <w:b w:val="0"/>
        </w:rPr>
        <w:t>recompras de acciones</w:t>
      </w:r>
      <w:r w:rsidRPr="00C27992">
        <w:t> que hacen las empresas (menos a repartir), </w:t>
      </w:r>
      <w:r w:rsidRPr="00C27992">
        <w:rPr>
          <w:rStyle w:val="Textoennegrita"/>
          <w:b w:val="0"/>
        </w:rPr>
        <w:t>mejoras de productividad</w:t>
      </w:r>
      <w:r w:rsidRPr="00C27992">
        <w:t>, a que están cumpliéndose pedidos pendientes tras un ajuste por la pandemia y a </w:t>
      </w:r>
      <w:r w:rsidRPr="00C27992">
        <w:rPr>
          <w:rStyle w:val="Textoennegrita"/>
          <w:b w:val="0"/>
        </w:rPr>
        <w:t xml:space="preserve">menores costes financieros por la rebaja de tipos </w:t>
      </w:r>
      <w:r w:rsidRPr="00C27992">
        <w:rPr>
          <w:rStyle w:val="Textoennegrita"/>
          <w:b w:val="0"/>
        </w:rPr>
        <w:lastRenderedPageBreak/>
        <w:t>de la FED</w:t>
      </w:r>
      <w:r w:rsidRPr="00C27992">
        <w:t>. Por supuesto, como pueden ver en la siguiente gráfica, ha habido también una </w:t>
      </w:r>
      <w:r w:rsidRPr="00C27992">
        <w:rPr>
          <w:rStyle w:val="Textoennegrita"/>
          <w:b w:val="0"/>
        </w:rPr>
        <w:t>mejora en los márgenes operativos</w:t>
      </w:r>
      <w:r w:rsidRPr="00C27992">
        <w:rPr>
          <w:b/>
        </w:rPr>
        <w:t>.</w:t>
      </w:r>
    </w:p>
    <w:p w:rsidR="00DE4510" w:rsidRPr="00C27992" w:rsidRDefault="00DE4510" w:rsidP="00FA4DA9">
      <w:pPr>
        <w:shd w:val="clear" w:color="auto" w:fill="FFFFFF"/>
        <w:spacing w:line="240" w:lineRule="auto"/>
        <w:jc w:val="both"/>
        <w:rPr>
          <w:rFonts w:ascii="Times New Roman" w:hAnsi="Times New Roman" w:cs="Times New Roman"/>
          <w:sz w:val="24"/>
          <w:szCs w:val="24"/>
        </w:rPr>
      </w:pPr>
      <w:r w:rsidRPr="00C27992">
        <w:rPr>
          <w:rFonts w:ascii="Times New Roman" w:hAnsi="Times New Roman" w:cs="Times New Roman"/>
          <w:noProof/>
          <w:sz w:val="24"/>
          <w:szCs w:val="24"/>
          <w:lang w:eastAsia="es-ES"/>
        </w:rPr>
        <w:drawing>
          <wp:inline distT="0" distB="0" distL="0" distR="0" wp14:anchorId="63B27F11" wp14:editId="51C18857">
            <wp:extent cx="5384800" cy="2457450"/>
            <wp:effectExtent l="0" t="0" r="6350" b="0"/>
            <wp:docPr id="37" name="Imagen 37" descr="https://media.vozpopuli.com/2021/06/25/grafico-tres-1024x6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media.vozpopuli.com/2021/06/25/grafico-tres-1024x680.jpg"/>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5384800" cy="2457450"/>
                    </a:xfrm>
                    <a:prstGeom prst="rect">
                      <a:avLst/>
                    </a:prstGeom>
                    <a:noFill/>
                    <a:ln>
                      <a:noFill/>
                    </a:ln>
                  </pic:spPr>
                </pic:pic>
              </a:graphicData>
            </a:graphic>
          </wp:inline>
        </w:drawing>
      </w:r>
    </w:p>
    <w:p w:rsidR="00DE4510" w:rsidRPr="00C27992" w:rsidRDefault="00DE4510" w:rsidP="00FA4DA9">
      <w:pPr>
        <w:pStyle w:val="Ttulo2"/>
        <w:shd w:val="clear" w:color="auto" w:fill="FFFFFF"/>
        <w:spacing w:after="150" w:line="240" w:lineRule="auto"/>
        <w:jc w:val="both"/>
        <w:rPr>
          <w:rFonts w:ascii="Times New Roman" w:hAnsi="Times New Roman" w:cs="Times New Roman"/>
          <w:b w:val="0"/>
          <w:color w:val="auto"/>
          <w:sz w:val="24"/>
          <w:szCs w:val="24"/>
        </w:rPr>
      </w:pPr>
      <w:r w:rsidRPr="00C27992">
        <w:rPr>
          <w:rFonts w:ascii="Times New Roman" w:hAnsi="Times New Roman" w:cs="Times New Roman"/>
          <w:b w:val="0"/>
          <w:color w:val="auto"/>
          <w:sz w:val="24"/>
          <w:szCs w:val="24"/>
        </w:rPr>
        <w:t>¿Una burbuja menor?</w:t>
      </w:r>
    </w:p>
    <w:p w:rsidR="00DE4510" w:rsidRPr="00C27992" w:rsidRDefault="00DE4510" w:rsidP="00FA4DA9">
      <w:pPr>
        <w:pStyle w:val="NormalWeb"/>
        <w:shd w:val="clear" w:color="auto" w:fill="FFFFFF"/>
        <w:spacing w:after="360" w:afterAutospacing="0"/>
        <w:jc w:val="both"/>
      </w:pPr>
      <w:r w:rsidRPr="00C27992">
        <w:t>Tras ver la parte monetaria y los beneficios, esto siempre lo respondemos utilizando </w:t>
      </w:r>
      <w:hyperlink r:id="rId287" w:tgtFrame="_blank" w:history="1">
        <w:r w:rsidRPr="00C27992">
          <w:rPr>
            <w:rStyle w:val="Hipervnculo"/>
            <w:color w:val="auto"/>
            <w:u w:val="none"/>
          </w:rPr>
          <w:t>el PER</w:t>
        </w:r>
      </w:hyperlink>
      <w:r w:rsidRPr="00C27992">
        <w:t>, un ratio resultante de dividir el precio de las acciones por el beneficio de las mismas; así, una acción que vale 100 y rinde 10 (PER=10), requiere diez años para pagarse con los beneficios y, a más años </w:t>
      </w:r>
      <w:r w:rsidRPr="00C27992">
        <w:rPr>
          <w:rStyle w:val="Textoennegrita"/>
          <w:b w:val="0"/>
        </w:rPr>
        <w:t>(PER más alto), significa que se está comprando (de forma realista o no) más futuro</w:t>
      </w:r>
      <w:r w:rsidRPr="00C27992">
        <w:rPr>
          <w:b/>
        </w:rPr>
        <w:t>.</w:t>
      </w:r>
      <w:r w:rsidRPr="00C27992">
        <w:t xml:space="preserve"> La media histórica está cerca de 15, aunque desde el 2000 tiende a 20, unos niveles propios de los previos al crack del 29.</w:t>
      </w:r>
    </w:p>
    <w:p w:rsidR="00DE4510" w:rsidRPr="00C27992" w:rsidRDefault="00DE4510" w:rsidP="00FA4DA9">
      <w:pPr>
        <w:pStyle w:val="NormalWeb"/>
        <w:shd w:val="clear" w:color="auto" w:fill="FFFFFF"/>
        <w:spacing w:after="360" w:afterAutospacing="0"/>
        <w:jc w:val="both"/>
      </w:pPr>
      <w:r w:rsidRPr="00C27992">
        <w:t>El comportamiento actual (línea negra) y el histórico (desde 1901) del PER para fases seculares como la actual, aparte de enseñarnos patrones seculares, muestra algo que nunca había ocurrido antes: los efectos de la enorme la inflación de activos producida por la FED desde 1999, que nunca había estado tan activa e intervencionista a favor de una burbuja. En todo caso, al menos </w:t>
      </w:r>
      <w:r w:rsidRPr="00C27992">
        <w:rPr>
          <w:rStyle w:val="Textoennegrita"/>
          <w:b w:val="0"/>
        </w:rPr>
        <w:t>empezamos el año con una sobre valoración menos desquiciada</w:t>
      </w:r>
      <w:r w:rsidRPr="00C27992">
        <w:rPr>
          <w:b/>
        </w:rPr>
        <w:t>, </w:t>
      </w:r>
      <w:r w:rsidRPr="00C27992">
        <w:rPr>
          <w:rStyle w:val="Textoennegrita"/>
          <w:b w:val="0"/>
        </w:rPr>
        <w:t>con un PER= 27,95 a finales de marzo de 2021, que podría ir sin sobresaltos a un valor más normal próximo a 20</w:t>
      </w:r>
      <w:r w:rsidRPr="00C27992">
        <w:t>, pues </w:t>
      </w:r>
      <w:hyperlink r:id="rId288" w:tgtFrame="_blank" w:history="1">
        <w:r w:rsidRPr="00C27992">
          <w:rPr>
            <w:rStyle w:val="Hipervnculo"/>
            <w:color w:val="auto"/>
            <w:u w:val="none"/>
          </w:rPr>
          <w:t>el efecto del impuesto corporativo mínimo de Biden, que va según barrios</w:t>
        </w:r>
      </w:hyperlink>
      <w:r w:rsidRPr="00C27992">
        <w:t>, parece estar digiriéndose bien.</w:t>
      </w:r>
    </w:p>
    <w:p w:rsidR="00DE4510" w:rsidRPr="00B12A45" w:rsidRDefault="00DE4510" w:rsidP="00FA4DA9">
      <w:pPr>
        <w:shd w:val="clear" w:color="auto" w:fill="FFFFFF"/>
        <w:spacing w:line="240" w:lineRule="auto"/>
        <w:jc w:val="both"/>
        <w:rPr>
          <w:rFonts w:ascii="Times New Roman" w:hAnsi="Times New Roman" w:cs="Times New Roman"/>
          <w:sz w:val="24"/>
          <w:szCs w:val="24"/>
        </w:rPr>
      </w:pPr>
      <w:r w:rsidRPr="00B12A45">
        <w:rPr>
          <w:rFonts w:ascii="Times New Roman" w:hAnsi="Times New Roman" w:cs="Times New Roman"/>
          <w:noProof/>
          <w:sz w:val="24"/>
          <w:szCs w:val="24"/>
          <w:lang w:eastAsia="es-ES"/>
        </w:rPr>
        <w:drawing>
          <wp:inline distT="0" distB="0" distL="0" distR="0" wp14:anchorId="0898514B" wp14:editId="56735BFF">
            <wp:extent cx="5626100" cy="2108200"/>
            <wp:effectExtent l="0" t="0" r="0" b="6350"/>
            <wp:docPr id="36" name="Imagen 36" descr="https://media.vozpopuli.com/2021/06/25/grafico-cuatro-1024x6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media.vozpopuli.com/2021/06/25/grafico-cuatro-1024x650.jpg"/>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5626100" cy="2108200"/>
                    </a:xfrm>
                    <a:prstGeom prst="rect">
                      <a:avLst/>
                    </a:prstGeom>
                    <a:noFill/>
                    <a:ln>
                      <a:noFill/>
                    </a:ln>
                  </pic:spPr>
                </pic:pic>
              </a:graphicData>
            </a:graphic>
          </wp:inline>
        </w:drawing>
      </w:r>
    </w:p>
    <w:p w:rsidR="00DE4510" w:rsidRPr="00C27992" w:rsidRDefault="00DE4510" w:rsidP="00FA4DA9">
      <w:pPr>
        <w:pStyle w:val="Ttulo2"/>
        <w:shd w:val="clear" w:color="auto" w:fill="FFFFFF"/>
        <w:spacing w:after="150" w:line="240" w:lineRule="auto"/>
        <w:jc w:val="both"/>
        <w:rPr>
          <w:rFonts w:ascii="Times New Roman" w:hAnsi="Times New Roman" w:cs="Times New Roman"/>
          <w:b w:val="0"/>
          <w:color w:val="404040"/>
          <w:sz w:val="24"/>
          <w:szCs w:val="24"/>
        </w:rPr>
      </w:pPr>
      <w:r w:rsidRPr="00C27992">
        <w:rPr>
          <w:rFonts w:ascii="Times New Roman" w:hAnsi="Times New Roman" w:cs="Times New Roman"/>
          <w:b w:val="0"/>
          <w:color w:val="404040"/>
          <w:sz w:val="24"/>
          <w:szCs w:val="24"/>
        </w:rPr>
        <w:lastRenderedPageBreak/>
        <w:t>El futuro previsible</w:t>
      </w:r>
    </w:p>
    <w:p w:rsidR="00DE4510" w:rsidRPr="00C27992" w:rsidRDefault="00DE4510" w:rsidP="00FA4DA9">
      <w:pPr>
        <w:pStyle w:val="NormalWeb"/>
        <w:shd w:val="clear" w:color="auto" w:fill="FFFFFF"/>
        <w:spacing w:after="360" w:afterAutospacing="0"/>
        <w:jc w:val="both"/>
        <w:rPr>
          <w:b/>
        </w:rPr>
      </w:pPr>
      <w:r w:rsidRPr="00C27992">
        <w:t>¿Y qué futuro se puede prever, </w:t>
      </w:r>
      <w:r w:rsidRPr="00C27992">
        <w:rPr>
          <w:rStyle w:val="Textoennegrita"/>
          <w:b w:val="0"/>
        </w:rPr>
        <w:t>qué se está comprando</w:t>
      </w:r>
      <w:r w:rsidRPr="00C27992">
        <w:t>? Aparte de </w:t>
      </w:r>
      <w:r w:rsidRPr="00C27992">
        <w:rPr>
          <w:rStyle w:val="Textoennegrita"/>
          <w:b w:val="0"/>
        </w:rPr>
        <w:t>la inflación de activos y beneficios que trae la FED</w:t>
      </w:r>
      <w:r w:rsidRPr="00C27992">
        <w:t>, que al menos ha enfatizado que luchará contra una espiral inflacionaria de bienes de consumo (¡menos mal!) y que subirá los tipos en 2023, el crecimiento futuro interno (el externo está en restructuración por el problema chino) da poco más de </w:t>
      </w:r>
      <w:r w:rsidRPr="00C27992">
        <w:rPr>
          <w:rStyle w:val="Textoennegrita"/>
          <w:b w:val="0"/>
        </w:rPr>
        <w:t>un 2% real anual</w:t>
      </w:r>
      <w:r w:rsidRPr="00C27992">
        <w:rPr>
          <w:rStyle w:val="Textoennegrita"/>
        </w:rPr>
        <w:t> </w:t>
      </w:r>
      <w:r w:rsidRPr="00C27992">
        <w:t>(línea amarilla siguiente gráfica),</w:t>
      </w:r>
      <w:r w:rsidRPr="00C27992">
        <w:rPr>
          <w:rStyle w:val="Textoennegrita"/>
        </w:rPr>
        <w:t> </w:t>
      </w:r>
      <w:r w:rsidRPr="00C27992">
        <w:rPr>
          <w:rStyle w:val="Textoennegrita"/>
          <w:b w:val="0"/>
        </w:rPr>
        <w:t>que es el </w:t>
      </w:r>
      <w:hyperlink r:id="rId290" w:history="1">
        <w:r w:rsidRPr="0057712A">
          <w:rPr>
            <w:rStyle w:val="Textoennegrita"/>
            <w:b w:val="0"/>
          </w:rPr>
          <w:t xml:space="preserve">crecimiento </w:t>
        </w:r>
        <w:r w:rsidR="00C27992" w:rsidRPr="0057712A">
          <w:rPr>
            <w:rStyle w:val="Textoennegrita"/>
            <w:b w:val="0"/>
          </w:rPr>
          <w:t>potencial que se estima para EE</w:t>
        </w:r>
        <w:r w:rsidRPr="0057712A">
          <w:rPr>
            <w:rStyle w:val="Textoennegrita"/>
            <w:b w:val="0"/>
          </w:rPr>
          <w:t>UU</w:t>
        </w:r>
        <w:r w:rsidRPr="0057712A">
          <w:rPr>
            <w:rStyle w:val="Hipervnculo"/>
            <w:b/>
            <w:color w:val="auto"/>
            <w:u w:val="none"/>
          </w:rPr>
          <w:t>.</w:t>
        </w:r>
      </w:hyperlink>
      <w:r w:rsidRPr="00C27992">
        <w:t> Los inversores solo pueden comprar</w:t>
      </w:r>
      <w:r w:rsidRPr="00C27992">
        <w:rPr>
          <w:rStyle w:val="Textoennegrita"/>
        </w:rPr>
        <w:t> </w:t>
      </w:r>
      <w:r w:rsidRPr="00C27992">
        <w:rPr>
          <w:rStyle w:val="Textoennegrita"/>
          <w:b w:val="0"/>
        </w:rPr>
        <w:t>poco crecimiento y una FED complaciente.</w:t>
      </w:r>
    </w:p>
    <w:p w:rsidR="00DE4510" w:rsidRPr="00C27992" w:rsidRDefault="00DE4510" w:rsidP="00FA4DA9">
      <w:pPr>
        <w:pStyle w:val="NormalWeb"/>
        <w:shd w:val="clear" w:color="auto" w:fill="FFFFFF"/>
        <w:spacing w:after="360" w:afterAutospacing="0"/>
        <w:jc w:val="both"/>
      </w:pPr>
      <w:r w:rsidRPr="00C27992">
        <w:t>El último dato disponible nos dice que, </w:t>
      </w:r>
      <w:r w:rsidRPr="00C27992">
        <w:rPr>
          <w:rStyle w:val="Textoennegrita"/>
          <w:b w:val="0"/>
        </w:rPr>
        <w:t>en el primer trimestre de 2021, el PIB fue similar al del mismo trimestre de 2020, cuando empezó el ajuste, y al de 2019</w:t>
      </w:r>
      <w:r w:rsidRPr="00C27992">
        <w:t>, con lo que a este ritmo este año se podría alcanzar el PIB total de 2019; tema distinto es que mientan con tasas anualizadas mal calculadas (crecimiento respeto al anterior trimestre multipl</w:t>
      </w:r>
      <w:r w:rsidR="00C27992">
        <w:t>icado por cuatro), se la creen “</w:t>
      </w:r>
      <w:hyperlink r:id="rId291" w:history="1">
        <w:r w:rsidRPr="00C27992">
          <w:rPr>
            <w:rStyle w:val="Hipervnculo"/>
            <w:color w:val="auto"/>
            <w:u w:val="none"/>
          </w:rPr>
          <w:t>y vendan que nos vamos a salir del mapa</w:t>
        </w:r>
      </w:hyperlink>
      <w:r w:rsidR="00C27992">
        <w:t>”</w:t>
      </w:r>
      <w:r w:rsidRPr="00C27992">
        <w:t>; seamos serios. Luego están las ensoñaciones del plan de inversión pública con más deuda pública y subida de impuestos de Biden, un mal camino más que conocido.</w:t>
      </w:r>
    </w:p>
    <w:p w:rsidR="00DE4510" w:rsidRPr="00C27992" w:rsidRDefault="00DE4510" w:rsidP="00FA4DA9">
      <w:pPr>
        <w:shd w:val="clear" w:color="auto" w:fill="FFFFFF"/>
        <w:spacing w:line="240" w:lineRule="auto"/>
        <w:rPr>
          <w:sz w:val="24"/>
          <w:szCs w:val="24"/>
        </w:rPr>
      </w:pPr>
      <w:r w:rsidRPr="00C27992">
        <w:rPr>
          <w:noProof/>
          <w:lang w:eastAsia="es-ES"/>
        </w:rPr>
        <w:drawing>
          <wp:inline distT="0" distB="0" distL="0" distR="0" wp14:anchorId="229D36DB" wp14:editId="044E34A5">
            <wp:extent cx="5410200" cy="2413000"/>
            <wp:effectExtent l="0" t="0" r="0" b="6350"/>
            <wp:docPr id="46" name="Imagen 46" descr="https://media.vozpopuli.com/2021/06/25/grafico-cinco-1024x6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media.vozpopuli.com/2021/06/25/grafico-cinco-1024x632.jpg"/>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5410200" cy="2413000"/>
                    </a:xfrm>
                    <a:prstGeom prst="rect">
                      <a:avLst/>
                    </a:prstGeom>
                    <a:noFill/>
                    <a:ln>
                      <a:noFill/>
                    </a:ln>
                  </pic:spPr>
                </pic:pic>
              </a:graphicData>
            </a:graphic>
          </wp:inline>
        </w:drawing>
      </w:r>
    </w:p>
    <w:p w:rsidR="00DE4510" w:rsidRPr="00C27992" w:rsidRDefault="00C27992" w:rsidP="00FA4DA9">
      <w:pPr>
        <w:pStyle w:val="Ttulo2"/>
        <w:shd w:val="clear" w:color="auto" w:fill="FFFFFF"/>
        <w:spacing w:after="150" w:line="240" w:lineRule="auto"/>
        <w:jc w:val="both"/>
        <w:rPr>
          <w:rFonts w:ascii="Times New Roman" w:hAnsi="Times New Roman" w:cs="Times New Roman"/>
          <w:b w:val="0"/>
          <w:color w:val="auto"/>
          <w:sz w:val="24"/>
          <w:szCs w:val="24"/>
        </w:rPr>
      </w:pPr>
      <w:r>
        <w:rPr>
          <w:rFonts w:ascii="Times New Roman" w:hAnsi="Times New Roman" w:cs="Times New Roman"/>
          <w:b w:val="0"/>
          <w:color w:val="auto"/>
          <w:sz w:val="24"/>
          <w:szCs w:val="24"/>
        </w:rPr>
        <w:t>“Trade the bubble!”</w:t>
      </w:r>
    </w:p>
    <w:p w:rsidR="00DE4510" w:rsidRPr="00C27992" w:rsidRDefault="00DE4510" w:rsidP="00FA4DA9">
      <w:pPr>
        <w:pStyle w:val="NormalWeb"/>
        <w:shd w:val="clear" w:color="auto" w:fill="FFFFFF"/>
        <w:spacing w:after="360" w:afterAutospacing="0"/>
        <w:jc w:val="both"/>
        <w:rPr>
          <w:u w:val="single"/>
        </w:rPr>
      </w:pPr>
      <w:r w:rsidRPr="00C27992">
        <w:rPr>
          <w:u w:val="single"/>
        </w:rPr>
        <w:t>Mientras haya música se sigue bailando. El camino de enorme endeudamiento público (</w:t>
      </w:r>
      <w:hyperlink r:id="rId293" w:history="1">
        <w:r w:rsidRPr="00C27992">
          <w:rPr>
            <w:rStyle w:val="Hipervnculo"/>
            <w:color w:val="auto"/>
          </w:rPr>
          <w:t>lo vimos</w:t>
        </w:r>
      </w:hyperlink>
      <w:r w:rsidRPr="00C27992">
        <w:rPr>
          <w:u w:val="single"/>
        </w:rPr>
        <w:t>) y Estado elefantiásico, que daña el crecimiento, y la burbuja bursátil que traen Biden y Powell, es el que lleva a </w:t>
      </w:r>
      <w:r w:rsidRPr="00C27992">
        <w:rPr>
          <w:rStyle w:val="Textoennegrita"/>
          <w:b w:val="0"/>
          <w:u w:val="single"/>
        </w:rPr>
        <w:t>una economía zombi</w:t>
      </w:r>
      <w:r w:rsidRPr="00C27992">
        <w:rPr>
          <w:u w:val="single"/>
        </w:rPr>
        <w:t>, como la italiana (y antes la japonesa) y que </w:t>
      </w:r>
      <w:r w:rsidRPr="00C27992">
        <w:rPr>
          <w:rStyle w:val="Textoennegrita"/>
          <w:b w:val="0"/>
          <w:u w:val="single"/>
        </w:rPr>
        <w:t>termina resultando en pérdidas reales del índice</w:t>
      </w:r>
      <w:r w:rsidRPr="00C27992">
        <w:rPr>
          <w:u w:val="single"/>
        </w:rPr>
        <w:t> y por tanto del patrimonio, en términos reales (descontada la inflación). Con eso, me temo, habrá que lidiar.</w:t>
      </w:r>
    </w:p>
    <w:p w:rsidR="00DE4510" w:rsidRPr="00C27992" w:rsidRDefault="00DE4510" w:rsidP="00FA4DA9">
      <w:pPr>
        <w:pStyle w:val="NormalWeb"/>
        <w:shd w:val="clear" w:color="auto" w:fill="FFFFFF"/>
        <w:spacing w:after="360" w:afterAutospacing="0"/>
        <w:jc w:val="both"/>
      </w:pPr>
      <w:r w:rsidRPr="00C27992">
        <w:t>En la coyuntura actual, forzada la recesión y superada la misma</w:t>
      </w:r>
      <w:r w:rsidRPr="00C27992">
        <w:rPr>
          <w:b/>
        </w:rPr>
        <w:t>, </w:t>
      </w:r>
      <w:r w:rsidRPr="00C27992">
        <w:rPr>
          <w:rStyle w:val="Textoennegrita"/>
          <w:b w:val="0"/>
        </w:rPr>
        <w:t>lo que debería iniciarse es un ciclo de crecimiento de 7 a 9 años con un ritmo medio anual en torno al 2% real</w:t>
      </w:r>
      <w:r w:rsidRPr="00C27992">
        <w:rPr>
          <w:b/>
        </w:rPr>
        <w:t>,</w:t>
      </w:r>
      <w:r w:rsidRPr="00C27992">
        <w:t xml:space="preserve"> incluso con un presidente perjudicial para el sector privado, sector imprescindible para generar contribuyentes netos que paguen la enorme deuda adicional </w:t>
      </w:r>
      <w:hyperlink r:id="rId294" w:history="1">
        <w:r w:rsidRPr="00C27992">
          <w:rPr>
            <w:rStyle w:val="Hipervnculo"/>
            <w:color w:val="auto"/>
          </w:rPr>
          <w:t>que va a generar y a los que, además, les subirá los impuestos para pagar sus vicios y clientela</w:t>
        </w:r>
      </w:hyperlink>
      <w:r w:rsidRPr="00C27992">
        <w:t>.</w:t>
      </w:r>
    </w:p>
    <w:p w:rsidR="00DE4510" w:rsidRPr="00C27992" w:rsidRDefault="00DE4510" w:rsidP="00FA4DA9">
      <w:pPr>
        <w:shd w:val="clear" w:color="auto" w:fill="FFFFFF"/>
        <w:spacing w:line="240" w:lineRule="auto"/>
        <w:jc w:val="both"/>
        <w:rPr>
          <w:rFonts w:ascii="Times New Roman" w:hAnsi="Times New Roman" w:cs="Times New Roman"/>
          <w:sz w:val="24"/>
          <w:szCs w:val="24"/>
        </w:rPr>
      </w:pPr>
      <w:r w:rsidRPr="00C27992">
        <w:rPr>
          <w:rFonts w:ascii="Times New Roman" w:hAnsi="Times New Roman" w:cs="Times New Roman"/>
          <w:noProof/>
          <w:sz w:val="24"/>
          <w:szCs w:val="24"/>
          <w:lang w:eastAsia="es-ES"/>
        </w:rPr>
        <w:lastRenderedPageBreak/>
        <w:drawing>
          <wp:inline distT="0" distB="0" distL="0" distR="0" wp14:anchorId="4746638D" wp14:editId="7265E83E">
            <wp:extent cx="5365750" cy="2292350"/>
            <wp:effectExtent l="0" t="0" r="6350" b="0"/>
            <wp:docPr id="47" name="Imagen 47" descr="https://media.vozpopuli.com/2021/06/25/grafico-seis-1024x6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media.vozpopuli.com/2021/06/25/grafico-seis-1024x627.jpg"/>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5365750" cy="2292350"/>
                    </a:xfrm>
                    <a:prstGeom prst="rect">
                      <a:avLst/>
                    </a:prstGeom>
                    <a:noFill/>
                    <a:ln>
                      <a:noFill/>
                    </a:ln>
                  </pic:spPr>
                </pic:pic>
              </a:graphicData>
            </a:graphic>
          </wp:inline>
        </w:drawing>
      </w:r>
    </w:p>
    <w:p w:rsidR="00DE4510" w:rsidRPr="00C27992" w:rsidRDefault="00DE4510" w:rsidP="00FA4DA9">
      <w:pPr>
        <w:pStyle w:val="Ttulo2"/>
        <w:shd w:val="clear" w:color="auto" w:fill="FFFFFF"/>
        <w:spacing w:after="150" w:line="240" w:lineRule="auto"/>
        <w:jc w:val="both"/>
        <w:rPr>
          <w:rFonts w:ascii="Times New Roman" w:hAnsi="Times New Roman" w:cs="Times New Roman"/>
          <w:b w:val="0"/>
          <w:color w:val="auto"/>
          <w:sz w:val="24"/>
          <w:szCs w:val="24"/>
        </w:rPr>
      </w:pPr>
      <w:r w:rsidRPr="00C27992">
        <w:rPr>
          <w:rFonts w:ascii="Times New Roman" w:hAnsi="Times New Roman" w:cs="Times New Roman"/>
          <w:b w:val="0"/>
          <w:color w:val="auto"/>
          <w:sz w:val="24"/>
          <w:szCs w:val="24"/>
        </w:rPr>
        <w:t>Defensa del patrimonio real</w:t>
      </w:r>
    </w:p>
    <w:p w:rsidR="00DE4510" w:rsidRPr="00C27992" w:rsidRDefault="00DE4510" w:rsidP="00FA4DA9">
      <w:pPr>
        <w:pStyle w:val="NormalWeb"/>
        <w:shd w:val="clear" w:color="auto" w:fill="FFFFFF"/>
        <w:spacing w:after="360" w:afterAutospacing="0"/>
        <w:jc w:val="both"/>
      </w:pPr>
      <w:r w:rsidRPr="00C27992">
        <w:t>En el escenario anterior, </w:t>
      </w:r>
      <w:hyperlink r:id="rId296" w:tgtFrame="_blank" w:history="1">
        <w:r w:rsidRPr="00C27992">
          <w:rPr>
            <w:rStyle w:val="Hipervnculo"/>
            <w:color w:val="auto"/>
            <w:u w:val="none"/>
          </w:rPr>
          <w:t>con unos riesgos muy peculiares</w:t>
        </w:r>
      </w:hyperlink>
      <w:r w:rsidRPr="00C27992">
        <w:t>, </w:t>
      </w:r>
      <w:r w:rsidRPr="00C27992">
        <w:rPr>
          <w:rStyle w:val="Textoennegrita"/>
          <w:b w:val="0"/>
        </w:rPr>
        <w:t>lo que hacemos es construir la cartera en los suelos seculares</w:t>
      </w:r>
      <w:r w:rsidRPr="00C27992">
        <w:rPr>
          <w:rStyle w:val="Textoennegrita"/>
        </w:rPr>
        <w:t xml:space="preserve"> (</w:t>
      </w:r>
      <w:hyperlink r:id="rId297" w:tgtFrame="_blank" w:history="1">
        <w:r w:rsidRPr="00C27992">
          <w:rPr>
            <w:rStyle w:val="Hipervnculo"/>
            <w:color w:val="auto"/>
            <w:u w:val="none"/>
          </w:rPr>
          <w:t>el de los 2.400, del 20 de marzo de 2020, lo avisamos por Twitter</w:t>
        </w:r>
      </w:hyperlink>
      <w:r w:rsidRPr="00C27992">
        <w:rPr>
          <w:rStyle w:val="Textoennegrita"/>
        </w:rPr>
        <w:t>)</w:t>
      </w:r>
      <w:r w:rsidRPr="00C27992">
        <w:t> y deconstruirla en las caídas (la última estuvo cantada) y, lo previs</w:t>
      </w:r>
      <w:r w:rsidR="00C27992">
        <w:t>ible, es que cuando empiece el “</w:t>
      </w:r>
      <w:r w:rsidR="00FC34C5">
        <w:t>taper”</w:t>
      </w:r>
      <w:r w:rsidRPr="00C27992">
        <w:t xml:space="preserve"> haga una traslación lateral similar a la anterior (óvalo naranja en la gráfica), teniendo hoy los 4.000 puntos como marca clave a vigilar, todo dicho, como siempre, con la debida </w:t>
      </w:r>
      <w:hyperlink r:id="rId298" w:tgtFrame="_blank" w:history="1">
        <w:r w:rsidRPr="00C27992">
          <w:rPr>
            <w:rStyle w:val="Hipervnculo"/>
            <w:color w:val="auto"/>
            <w:u w:val="none"/>
          </w:rPr>
          <w:t>reserva legal</w:t>
        </w:r>
      </w:hyperlink>
      <w:r w:rsidRPr="00C27992">
        <w:t>. Tenemos pues un momento difícil para los nuevos inversores que necesitan construir de cero su patrimonio bursátil.</w:t>
      </w:r>
    </w:p>
    <w:p w:rsidR="00DE4510" w:rsidRPr="00C27992" w:rsidRDefault="00DE4510" w:rsidP="00FA4DA9">
      <w:pPr>
        <w:pStyle w:val="NormalWeb"/>
        <w:shd w:val="clear" w:color="auto" w:fill="FFFFFF"/>
        <w:spacing w:after="360" w:afterAutospacing="0"/>
        <w:jc w:val="both"/>
        <w:rPr>
          <w:u w:val="single"/>
        </w:rPr>
      </w:pPr>
      <w:r w:rsidRPr="00C27992">
        <w:rPr>
          <w:u w:val="single"/>
        </w:rPr>
        <w:t>A más largo plazo, si sigue insistiéndose en la misma política progresista, el escenario es secular bajista hasta que se haga un ajuste serio del sector público, echando al ejército de parásitos activistas y demás vividores que expolian nuestras naciones. </w:t>
      </w:r>
      <w:r w:rsidRPr="00FC34C5">
        <w:rPr>
          <w:rStyle w:val="Textoennegrita"/>
          <w:b w:val="0"/>
          <w:u w:val="single"/>
        </w:rPr>
        <w:t>Cuando eso cambie, el orden será distinto y el despegue espectacular, como lo fue de 1949 a 1967</w:t>
      </w:r>
      <w:r w:rsidRPr="00C27992">
        <w:rPr>
          <w:u w:val="single"/>
        </w:rPr>
        <w:t>. Hasta que eso llegue, lo más que se puede esperar son momentos transitorios de menor riesgo y crecimiento paliativo como el actual. En todo caso, que tengan un feliz verano.</w:t>
      </w:r>
    </w:p>
    <w:p w:rsidR="00835296" w:rsidRPr="00363C36" w:rsidRDefault="00535EFA" w:rsidP="00FA4DA9">
      <w:pPr>
        <w:spacing w:line="240" w:lineRule="auto"/>
        <w:jc w:val="both"/>
        <w:rPr>
          <w:rFonts w:ascii="Times New Roman" w:hAnsi="Times New Roman" w:cs="Times New Roman"/>
          <w:sz w:val="24"/>
          <w:szCs w:val="24"/>
        </w:rPr>
      </w:pPr>
      <w:r w:rsidRPr="00363C36">
        <w:rPr>
          <w:rFonts w:ascii="Times New Roman" w:hAnsi="Times New Roman" w:cs="Times New Roman"/>
          <w:b/>
          <w:sz w:val="24"/>
          <w:szCs w:val="24"/>
        </w:rPr>
        <w:t>Nota</w:t>
      </w:r>
      <w:r>
        <w:rPr>
          <w:rFonts w:ascii="Times New Roman" w:hAnsi="Times New Roman" w:cs="Times New Roman"/>
          <w:sz w:val="24"/>
          <w:szCs w:val="24"/>
        </w:rPr>
        <w:t>:</w:t>
      </w:r>
      <w:r w:rsidR="00363C36">
        <w:rPr>
          <w:rFonts w:ascii="Times New Roman" w:hAnsi="Times New Roman" w:cs="Times New Roman"/>
          <w:sz w:val="24"/>
          <w:szCs w:val="24"/>
        </w:rPr>
        <w:t xml:space="preserve"> </w:t>
      </w:r>
      <w:r w:rsidR="00835296" w:rsidRPr="00363C36">
        <w:rPr>
          <w:rFonts w:ascii="Times New Roman" w:hAnsi="Times New Roman" w:cs="Times New Roman"/>
          <w:sz w:val="24"/>
          <w:szCs w:val="24"/>
        </w:rPr>
        <w:t xml:space="preserve">La </w:t>
      </w:r>
      <w:r w:rsidR="00B06032">
        <w:rPr>
          <w:rFonts w:ascii="Times New Roman" w:hAnsi="Times New Roman" w:cs="Times New Roman"/>
          <w:sz w:val="24"/>
          <w:szCs w:val="24"/>
        </w:rPr>
        <w:t>“</w:t>
      </w:r>
      <w:r w:rsidR="00835296" w:rsidRPr="00363C36">
        <w:rPr>
          <w:rFonts w:ascii="Times New Roman" w:hAnsi="Times New Roman" w:cs="Times New Roman"/>
          <w:sz w:val="24"/>
          <w:szCs w:val="24"/>
        </w:rPr>
        <w:t>decidida</w:t>
      </w:r>
      <w:r w:rsidR="00B06032">
        <w:rPr>
          <w:rFonts w:ascii="Times New Roman" w:hAnsi="Times New Roman" w:cs="Times New Roman"/>
          <w:sz w:val="24"/>
          <w:szCs w:val="24"/>
        </w:rPr>
        <w:t>”</w:t>
      </w:r>
      <w:r w:rsidR="00835296" w:rsidRPr="00363C36">
        <w:rPr>
          <w:rFonts w:ascii="Times New Roman" w:hAnsi="Times New Roman" w:cs="Times New Roman"/>
          <w:sz w:val="24"/>
          <w:szCs w:val="24"/>
        </w:rPr>
        <w:t xml:space="preserve"> actuación de las autoridades monetarias evitó un encarecimiento de la deuda de los países y ha servido de respaldo a las medidas excepcionales de los Gobiernos, pero, a cambio, se ha inyectado mu</w:t>
      </w:r>
      <w:r w:rsidR="00FC34C5" w:rsidRPr="00363C36">
        <w:rPr>
          <w:rFonts w:ascii="Times New Roman" w:hAnsi="Times New Roman" w:cs="Times New Roman"/>
          <w:sz w:val="24"/>
          <w:szCs w:val="24"/>
        </w:rPr>
        <w:t>cho dinero en el sistema. En EE</w:t>
      </w:r>
      <w:r w:rsidR="00835296" w:rsidRPr="00363C36">
        <w:rPr>
          <w:rFonts w:ascii="Times New Roman" w:hAnsi="Times New Roman" w:cs="Times New Roman"/>
          <w:sz w:val="24"/>
          <w:szCs w:val="24"/>
        </w:rPr>
        <w:t>UU, el dinero en circulación, medido a través del agregado monetario conocido como M3 (ver gráfico), se ha elevado en un año y medio un 31,2%, hasta máximos históricos.</w:t>
      </w:r>
    </w:p>
    <w:p w:rsidR="00835296" w:rsidRPr="00535EFA" w:rsidRDefault="00835296" w:rsidP="00FA4DA9">
      <w:pPr>
        <w:spacing w:line="240" w:lineRule="auto"/>
        <w:jc w:val="both"/>
        <w:rPr>
          <w:rFonts w:ascii="Times New Roman" w:hAnsi="Times New Roman" w:cs="Times New Roman"/>
          <w:sz w:val="24"/>
          <w:szCs w:val="24"/>
        </w:rPr>
      </w:pPr>
      <w:r w:rsidRPr="00535EFA">
        <w:rPr>
          <w:rFonts w:ascii="Times New Roman" w:hAnsi="Times New Roman" w:cs="Times New Roman"/>
          <w:noProof/>
          <w:sz w:val="24"/>
          <w:szCs w:val="24"/>
          <w:lang w:eastAsia="es-ES"/>
        </w:rPr>
        <w:drawing>
          <wp:inline distT="0" distB="0" distL="0" distR="0" wp14:anchorId="4A8B926D" wp14:editId="677D3BD5">
            <wp:extent cx="5727699" cy="2247900"/>
            <wp:effectExtent l="0" t="0" r="6985"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9"/>
                    <a:stretch>
                      <a:fillRect/>
                    </a:stretch>
                  </pic:blipFill>
                  <pic:spPr>
                    <a:xfrm>
                      <a:off x="0" y="0"/>
                      <a:ext cx="5731510" cy="2249396"/>
                    </a:xfrm>
                    <a:prstGeom prst="rect">
                      <a:avLst/>
                    </a:prstGeom>
                  </pic:spPr>
                </pic:pic>
              </a:graphicData>
            </a:graphic>
          </wp:inline>
        </w:drawing>
      </w:r>
    </w:p>
    <w:p w:rsidR="00835296" w:rsidRPr="00363C36" w:rsidRDefault="00835296" w:rsidP="00FA4DA9">
      <w:pPr>
        <w:spacing w:line="240" w:lineRule="auto"/>
        <w:jc w:val="both"/>
        <w:rPr>
          <w:rFonts w:ascii="Times New Roman" w:hAnsi="Times New Roman" w:cs="Times New Roman"/>
          <w:sz w:val="24"/>
          <w:szCs w:val="24"/>
        </w:rPr>
      </w:pPr>
      <w:r w:rsidRPr="00363C36">
        <w:rPr>
          <w:rFonts w:ascii="Times New Roman" w:hAnsi="Times New Roman" w:cs="Times New Roman"/>
          <w:sz w:val="24"/>
          <w:szCs w:val="24"/>
        </w:rPr>
        <w:lastRenderedPageBreak/>
        <w:t>En Europa, este agregado monetario también está en máximos históricos tras crecer un 13,7% desde finales de 2019. Desde que hay registros, nunca la Reserva Federal ni el Banco Central Europeo habían sido tan generosos, y el miedo es que la inflación obligue a dar marcha atrás a su generosidad.</w:t>
      </w:r>
    </w:p>
    <w:p w:rsidR="00835296" w:rsidRPr="00535EFA" w:rsidRDefault="00835296" w:rsidP="00FA4DA9">
      <w:pPr>
        <w:spacing w:line="240" w:lineRule="auto"/>
        <w:jc w:val="both"/>
        <w:rPr>
          <w:rFonts w:ascii="Times New Roman" w:hAnsi="Times New Roman" w:cs="Times New Roman"/>
          <w:sz w:val="24"/>
          <w:szCs w:val="24"/>
        </w:rPr>
      </w:pPr>
      <w:r w:rsidRPr="00535EFA">
        <w:rPr>
          <w:rFonts w:ascii="Times New Roman" w:hAnsi="Times New Roman" w:cs="Times New Roman"/>
          <w:noProof/>
          <w:sz w:val="24"/>
          <w:szCs w:val="24"/>
          <w:lang w:eastAsia="es-ES"/>
        </w:rPr>
        <w:drawing>
          <wp:inline distT="0" distB="0" distL="0" distR="0" wp14:anchorId="4A6D4B38" wp14:editId="5DEB9250">
            <wp:extent cx="5733376" cy="2425700"/>
            <wp:effectExtent l="0" t="0" r="127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0"/>
                    <a:stretch>
                      <a:fillRect/>
                    </a:stretch>
                  </pic:blipFill>
                  <pic:spPr>
                    <a:xfrm>
                      <a:off x="0" y="0"/>
                      <a:ext cx="5731510" cy="2424911"/>
                    </a:xfrm>
                    <a:prstGeom prst="rect">
                      <a:avLst/>
                    </a:prstGeom>
                  </pic:spPr>
                </pic:pic>
              </a:graphicData>
            </a:graphic>
          </wp:inline>
        </w:drawing>
      </w:r>
    </w:p>
    <w:p w:rsidR="00835296" w:rsidRPr="00535EFA" w:rsidRDefault="00835296" w:rsidP="00FA4DA9">
      <w:pPr>
        <w:spacing w:line="240" w:lineRule="auto"/>
        <w:jc w:val="both"/>
        <w:rPr>
          <w:rFonts w:ascii="Times New Roman" w:hAnsi="Times New Roman" w:cs="Times New Roman"/>
          <w:sz w:val="24"/>
          <w:szCs w:val="24"/>
        </w:rPr>
      </w:pPr>
    </w:p>
    <w:p w:rsidR="00835296" w:rsidRPr="00363C36" w:rsidRDefault="00835296" w:rsidP="00FA4DA9">
      <w:pPr>
        <w:spacing w:line="240" w:lineRule="auto"/>
        <w:jc w:val="both"/>
        <w:rPr>
          <w:rFonts w:ascii="Times New Roman" w:hAnsi="Times New Roman" w:cs="Times New Roman"/>
          <w:sz w:val="24"/>
          <w:szCs w:val="24"/>
        </w:rPr>
      </w:pPr>
      <w:r w:rsidRPr="00363C36">
        <w:rPr>
          <w:rFonts w:ascii="Times New Roman" w:hAnsi="Times New Roman" w:cs="Times New Roman"/>
          <w:sz w:val="24"/>
          <w:szCs w:val="24"/>
        </w:rPr>
        <w:t>El consumo en Estados Unidos está bastante por encima del nivel previo a la crisis. Allí, el Gobierno ha recurrido como medida para luchar contra las dificultades económicas a entregar cheques directamente a los bolsillos de la gente. Ese es un dinero muy fácil de gastar. En Estados Unidos se puede pensar que el repunte de la inflación tiene que ver, en parte, con el aumento de la masa monetaria.</w:t>
      </w:r>
    </w:p>
    <w:p w:rsidR="00835296" w:rsidRPr="00363C36" w:rsidRDefault="00835296" w:rsidP="00FA4DA9">
      <w:pPr>
        <w:spacing w:line="240" w:lineRule="auto"/>
        <w:jc w:val="both"/>
        <w:rPr>
          <w:rFonts w:ascii="Times New Roman" w:hAnsi="Times New Roman" w:cs="Times New Roman"/>
          <w:sz w:val="24"/>
          <w:szCs w:val="24"/>
        </w:rPr>
      </w:pPr>
      <w:r w:rsidRPr="00363C36">
        <w:rPr>
          <w:rFonts w:ascii="Times New Roman" w:hAnsi="Times New Roman" w:cs="Times New Roman"/>
          <w:sz w:val="24"/>
          <w:szCs w:val="24"/>
        </w:rPr>
        <w:t>Precisamente, a modo de señal confirmando que la máxima autoridad monetaria estadounidense es consciente de la preocupación, el pasado 16 de junio la Reserva Federal anunció que en 2023 espera realizar dos subidas en los tipos de interés del dólar. Esta medida es la respuesta monetaria que se suele dar cuando la inflación da problemas.</w:t>
      </w:r>
    </w:p>
    <w:p w:rsidR="00835296" w:rsidRPr="00363C36" w:rsidRDefault="00835296" w:rsidP="00FA4DA9">
      <w:pPr>
        <w:spacing w:line="240" w:lineRule="auto"/>
        <w:jc w:val="both"/>
        <w:rPr>
          <w:rFonts w:ascii="Times New Roman" w:hAnsi="Times New Roman" w:cs="Times New Roman"/>
          <w:sz w:val="24"/>
          <w:szCs w:val="24"/>
        </w:rPr>
      </w:pPr>
      <w:r w:rsidRPr="00363C36">
        <w:rPr>
          <w:rFonts w:ascii="Times New Roman" w:hAnsi="Times New Roman" w:cs="Times New Roman"/>
          <w:sz w:val="24"/>
          <w:szCs w:val="24"/>
        </w:rPr>
        <w:t xml:space="preserve">Distinta es la situación en Europa. No solo la inflación y el crecimiento de la masa monetaria es menor, también lo es el margen de maniobra del Banco Central Europeo, ya que retirar los estímulos tendría nefastas consecuencias para países como Italia (donde el aumento del coste de la deuda afectaría a una capacidad de inversión que ya de por sí es baja), o España (donde una retirada elevaría el coste de la deuda, lo que significaría retraer recursos a otras partidas presupuestarias; la deuda española se sitúa por encima del 125%, el déficit ronda el 10% y el Estado dedica alrededor del 47% del Presupuesto a pagar pensiones y prestaciones de de­sempleo). </w:t>
      </w:r>
    </w:p>
    <w:p w:rsidR="00835296" w:rsidRPr="00363C36" w:rsidRDefault="00835296" w:rsidP="00FA4DA9">
      <w:pPr>
        <w:spacing w:line="240" w:lineRule="auto"/>
        <w:jc w:val="both"/>
        <w:rPr>
          <w:rFonts w:ascii="Times New Roman" w:hAnsi="Times New Roman" w:cs="Times New Roman"/>
          <w:sz w:val="24"/>
          <w:szCs w:val="24"/>
        </w:rPr>
      </w:pPr>
      <w:r w:rsidRPr="00363C36">
        <w:rPr>
          <w:rFonts w:ascii="Times New Roman" w:hAnsi="Times New Roman" w:cs="Times New Roman"/>
          <w:sz w:val="24"/>
          <w:szCs w:val="24"/>
        </w:rPr>
        <w:t>Un fantasma recorre Estados Unidos. También Europa. Se trata del fantasma de la inflación. Aliada del crecimiento económico en su justa medida, brutal enemiga cuando se desboca o se esconde en tasas negativas. Hoy, vuelve a materializarse tras el año pasado permanecer invisible. El parón a todos los niveles provocado por la pandemia causó que los índices que sirven de termómetro de los precios se hundieran en medio de la falta de demanda. Mientras tanto, la oferta trató de resistir una debacle de ingresos en algunos casos absoluta mediante procesos de hibernación. Al calor del progresivo y no exento de problemas proceso de vacunación y la consiguiente movilidad que ha facilitado, la demanda ha despertado. Y con ella ha venido el crecimiento económico y, también, la inflación.</w:t>
      </w:r>
    </w:p>
    <w:p w:rsidR="00535EFA" w:rsidRPr="00363C36" w:rsidRDefault="00835296" w:rsidP="00FA4DA9">
      <w:pPr>
        <w:spacing w:line="240" w:lineRule="auto"/>
        <w:jc w:val="both"/>
        <w:rPr>
          <w:rFonts w:ascii="Times New Roman" w:hAnsi="Times New Roman" w:cs="Times New Roman"/>
          <w:b/>
          <w:sz w:val="24"/>
          <w:szCs w:val="24"/>
          <w:u w:val="single"/>
        </w:rPr>
      </w:pPr>
      <w:r w:rsidRPr="00363C36">
        <w:rPr>
          <w:rFonts w:ascii="Times New Roman" w:hAnsi="Times New Roman" w:cs="Times New Roman"/>
          <w:sz w:val="24"/>
          <w:szCs w:val="24"/>
        </w:rPr>
        <w:lastRenderedPageBreak/>
        <w:t>Los niveles de deuda pública y privada (empresas sobre todo) se encuentran en máximos de las últimas décadas, mientras que la inflación empieza a asomar la cabeza, azuzada por unas políticas fiscales (siguen incrementando la deuda pública)</w:t>
      </w:r>
      <w:r w:rsidR="00FC34C5" w:rsidRPr="00363C36">
        <w:rPr>
          <w:rFonts w:ascii="Times New Roman" w:hAnsi="Times New Roman" w:cs="Times New Roman"/>
          <w:sz w:val="24"/>
          <w:szCs w:val="24"/>
        </w:rPr>
        <w:t xml:space="preserve"> y monetarias sin precedentes</w:t>
      </w:r>
      <w:r w:rsidR="00FC34C5" w:rsidRPr="00363C36">
        <w:rPr>
          <w:rFonts w:ascii="Times New Roman" w:hAnsi="Times New Roman" w:cs="Times New Roman"/>
          <w:b/>
          <w:sz w:val="24"/>
          <w:szCs w:val="24"/>
        </w:rPr>
        <w:t xml:space="preserve">. </w:t>
      </w:r>
    </w:p>
    <w:p w:rsidR="00835296" w:rsidRPr="00363C36" w:rsidRDefault="00FC34C5" w:rsidP="00FA4DA9">
      <w:pPr>
        <w:spacing w:line="240" w:lineRule="auto"/>
        <w:jc w:val="both"/>
        <w:rPr>
          <w:rFonts w:ascii="Times New Roman" w:hAnsi="Times New Roman" w:cs="Times New Roman"/>
          <w:sz w:val="24"/>
          <w:szCs w:val="24"/>
          <w:u w:val="single"/>
        </w:rPr>
      </w:pPr>
      <w:r w:rsidRPr="00363C36">
        <w:rPr>
          <w:rFonts w:ascii="Times New Roman" w:hAnsi="Times New Roman" w:cs="Times New Roman"/>
          <w:b/>
          <w:sz w:val="24"/>
          <w:szCs w:val="24"/>
          <w:u w:val="single"/>
        </w:rPr>
        <w:t>“</w:t>
      </w:r>
      <w:r w:rsidR="00835296" w:rsidRPr="00363C36">
        <w:rPr>
          <w:rFonts w:ascii="Times New Roman" w:hAnsi="Times New Roman" w:cs="Times New Roman"/>
          <w:b/>
          <w:sz w:val="24"/>
          <w:szCs w:val="24"/>
          <w:u w:val="single"/>
        </w:rPr>
        <w:t>Se está preparando el escenario para la madre de las crisis de la deuda estanf</w:t>
      </w:r>
      <w:r w:rsidRPr="00363C36">
        <w:rPr>
          <w:rFonts w:ascii="Times New Roman" w:hAnsi="Times New Roman" w:cs="Times New Roman"/>
          <w:b/>
          <w:sz w:val="24"/>
          <w:szCs w:val="24"/>
          <w:u w:val="single"/>
        </w:rPr>
        <w:t>lacionaria en los próximos años”</w:t>
      </w:r>
      <w:r w:rsidR="00835296" w:rsidRPr="00363C36">
        <w:rPr>
          <w:rFonts w:ascii="Times New Roman" w:hAnsi="Times New Roman" w:cs="Times New Roman"/>
          <w:b/>
          <w:sz w:val="24"/>
          <w:szCs w:val="24"/>
          <w:u w:val="single"/>
        </w:rPr>
        <w:t>, asegura Nouriel Roubini en un artículo publicado en Project Syndicate</w:t>
      </w:r>
      <w:r w:rsidR="00835296" w:rsidRPr="00363C36">
        <w:rPr>
          <w:rFonts w:ascii="Times New Roman" w:hAnsi="Times New Roman" w:cs="Times New Roman"/>
          <w:sz w:val="24"/>
          <w:szCs w:val="24"/>
          <w:u w:val="single"/>
        </w:rPr>
        <w:t xml:space="preserve">. (El Economista - </w:t>
      </w:r>
      <w:r w:rsidR="00835296" w:rsidRPr="00363C36">
        <w:rPr>
          <w:rFonts w:ascii="Times New Roman" w:hAnsi="Times New Roman" w:cs="Times New Roman"/>
          <w:b/>
          <w:sz w:val="24"/>
          <w:szCs w:val="24"/>
          <w:u w:val="single"/>
        </w:rPr>
        <w:t>3/7/21</w:t>
      </w:r>
      <w:r w:rsidR="00835296" w:rsidRPr="00363C36">
        <w:rPr>
          <w:rFonts w:ascii="Times New Roman" w:hAnsi="Times New Roman" w:cs="Times New Roman"/>
          <w:sz w:val="24"/>
          <w:szCs w:val="24"/>
          <w:u w:val="single"/>
        </w:rPr>
        <w:t>)</w:t>
      </w:r>
    </w:p>
    <w:p w:rsidR="00835296" w:rsidRPr="00065074" w:rsidRDefault="00835296"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0410F">
        <w:rPr>
          <w:rFonts w:ascii="Times New Roman" w:hAnsi="Times New Roman" w:cs="Times New Roman"/>
          <w:sz w:val="24"/>
          <w:szCs w:val="24"/>
          <w:u w:val="single"/>
        </w:rPr>
        <w:t>Así será la nueva era de la inflación que predominará durante los próximos años, según los expertos</w:t>
      </w:r>
      <w:r>
        <w:rPr>
          <w:rFonts w:ascii="Times New Roman" w:hAnsi="Times New Roman" w:cs="Times New Roman"/>
          <w:sz w:val="24"/>
          <w:szCs w:val="24"/>
        </w:rPr>
        <w:t xml:space="preserve"> (El Economista - </w:t>
      </w:r>
      <w:r w:rsidRPr="0090410F">
        <w:rPr>
          <w:rFonts w:ascii="Times New Roman" w:hAnsi="Times New Roman" w:cs="Times New Roman"/>
          <w:b/>
          <w:sz w:val="24"/>
          <w:szCs w:val="24"/>
        </w:rPr>
        <w:t>15/7/21</w:t>
      </w:r>
      <w:r>
        <w:rPr>
          <w:rFonts w:ascii="Times New Roman" w:hAnsi="Times New Roman" w:cs="Times New Roman"/>
          <w:sz w:val="24"/>
          <w:szCs w:val="24"/>
        </w:rPr>
        <w:t>)</w:t>
      </w:r>
    </w:p>
    <w:p w:rsidR="00835296" w:rsidRPr="00065074" w:rsidRDefault="00835296"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065074">
        <w:rPr>
          <w:rFonts w:ascii="Times New Roman" w:hAnsi="Times New Roman" w:cs="Times New Roman"/>
          <w:sz w:val="24"/>
          <w:szCs w:val="24"/>
        </w:rPr>
        <w:t>Vicente Nieves</w:t>
      </w:r>
      <w:r>
        <w:rPr>
          <w:rFonts w:ascii="Times New Roman" w:hAnsi="Times New Roman" w:cs="Times New Roman"/>
          <w:sz w:val="24"/>
          <w:szCs w:val="24"/>
        </w:rPr>
        <w:t>)</w:t>
      </w:r>
    </w:p>
    <w:p w:rsidR="00835296" w:rsidRPr="00596F96" w:rsidRDefault="00835296" w:rsidP="00FA4DA9">
      <w:pPr>
        <w:spacing w:line="240" w:lineRule="auto"/>
        <w:jc w:val="both"/>
        <w:rPr>
          <w:rFonts w:ascii="Times New Roman" w:hAnsi="Times New Roman" w:cs="Times New Roman"/>
          <w:color w:val="FF0000"/>
          <w:sz w:val="24"/>
          <w:szCs w:val="24"/>
          <w:u w:val="single"/>
        </w:rPr>
      </w:pPr>
      <w:r w:rsidRPr="00596F96">
        <w:rPr>
          <w:rFonts w:ascii="Times New Roman" w:hAnsi="Times New Roman" w:cs="Times New Roman"/>
          <w:color w:val="FF0000"/>
          <w:sz w:val="24"/>
          <w:szCs w:val="24"/>
          <w:u w:val="single"/>
        </w:rPr>
        <w:t>La resurrección de la inflación este 2021 podría ser el comienzo de una nueva era para la evolución de los precios. Más allá del ruido que están generando las elevadas tasas de variación interanuales del IPC estos meses, en gran parte por factores transitorios, los países desarrollados podrían estar dando inicio a un cambio de era que dé a luz a una inflación estructural más alta que la de los últimos años.</w:t>
      </w:r>
    </w:p>
    <w:p w:rsidR="00835296" w:rsidRPr="00596F96" w:rsidRDefault="00835296" w:rsidP="00FA4DA9">
      <w:pPr>
        <w:spacing w:line="240" w:lineRule="auto"/>
        <w:jc w:val="both"/>
        <w:rPr>
          <w:rFonts w:ascii="Times New Roman" w:hAnsi="Times New Roman" w:cs="Times New Roman"/>
          <w:color w:val="FF0000"/>
          <w:sz w:val="24"/>
          <w:szCs w:val="24"/>
          <w:u w:val="single"/>
        </w:rPr>
      </w:pPr>
      <w:r w:rsidRPr="00596F96">
        <w:rPr>
          <w:rFonts w:ascii="Times New Roman" w:hAnsi="Times New Roman" w:cs="Times New Roman"/>
          <w:color w:val="FF0000"/>
          <w:sz w:val="24"/>
          <w:szCs w:val="24"/>
          <w:u w:val="single"/>
        </w:rPr>
        <w:t>La transición energética, el giro hacia unas cadenas de suministro más resilientes y más cercanas al consumidor final, un trasporte por mar estructuralmente más caro o la transición demográfica tienen el potencial para presionar al alza de forma sostenida a la inflación.</w:t>
      </w:r>
    </w:p>
    <w:p w:rsidR="00835296" w:rsidRPr="00065074" w:rsidRDefault="00835296" w:rsidP="00FA4DA9">
      <w:pPr>
        <w:spacing w:line="240" w:lineRule="auto"/>
        <w:jc w:val="both"/>
        <w:rPr>
          <w:rFonts w:ascii="Times New Roman" w:hAnsi="Times New Roman" w:cs="Times New Roman"/>
          <w:sz w:val="24"/>
          <w:szCs w:val="24"/>
        </w:rPr>
      </w:pPr>
      <w:r w:rsidRPr="0090410F">
        <w:rPr>
          <w:rFonts w:ascii="Times New Roman" w:hAnsi="Times New Roman" w:cs="Times New Roman"/>
          <w:noProof/>
          <w:sz w:val="24"/>
          <w:szCs w:val="24"/>
          <w:lang w:eastAsia="es-ES"/>
        </w:rPr>
        <w:drawing>
          <wp:inline distT="0" distB="0" distL="0" distR="0" wp14:anchorId="3158E147" wp14:editId="39C72EF2">
            <wp:extent cx="5734050" cy="4159250"/>
            <wp:effectExtent l="0" t="0" r="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1"/>
                    <a:stretch>
                      <a:fillRect/>
                    </a:stretch>
                  </pic:blipFill>
                  <pic:spPr>
                    <a:xfrm>
                      <a:off x="0" y="0"/>
                      <a:ext cx="5731510" cy="4157408"/>
                    </a:xfrm>
                    <a:prstGeom prst="rect">
                      <a:avLst/>
                    </a:prstGeom>
                  </pic:spPr>
                </pic:pic>
              </a:graphicData>
            </a:graphic>
          </wp:inline>
        </w:drawing>
      </w:r>
    </w:p>
    <w:p w:rsidR="00835296" w:rsidRPr="00FC34C5" w:rsidRDefault="00835296" w:rsidP="00FA4DA9">
      <w:pPr>
        <w:spacing w:line="240" w:lineRule="auto"/>
        <w:jc w:val="both"/>
        <w:rPr>
          <w:rFonts w:ascii="Times New Roman" w:hAnsi="Times New Roman" w:cs="Times New Roman"/>
          <w:color w:val="FF0000"/>
          <w:sz w:val="24"/>
          <w:szCs w:val="24"/>
          <w:u w:val="single"/>
        </w:rPr>
      </w:pPr>
      <w:r w:rsidRPr="00FC34C5">
        <w:rPr>
          <w:rFonts w:ascii="Times New Roman" w:hAnsi="Times New Roman" w:cs="Times New Roman"/>
          <w:color w:val="FF0000"/>
          <w:sz w:val="24"/>
          <w:szCs w:val="24"/>
          <w:u w:val="single"/>
        </w:rPr>
        <w:t xml:space="preserve">¿Qué está pasando ahora? Hasta esta parte de 2021 se ha podido ver un fuerte auge de los precios, que además no ha tocado techo según se desprende de los índices de precios al productor y de las encuestas a los diferentes sectores de la economía. La banca central lleva meses pregonando un discurso que es cada vez más cuestionado: esta inflación es transitoria </w:t>
      </w:r>
      <w:r w:rsidRPr="00FC34C5">
        <w:rPr>
          <w:rFonts w:ascii="Times New Roman" w:hAnsi="Times New Roman" w:cs="Times New Roman"/>
          <w:color w:val="FF0000"/>
          <w:sz w:val="24"/>
          <w:szCs w:val="24"/>
          <w:u w:val="single"/>
        </w:rPr>
        <w:lastRenderedPageBreak/>
        <w:t>y en 2022 el problema volverá a ser la dificultad para alcanzar ese 2%, como venía ocurriendo en los últimos años.</w:t>
      </w:r>
    </w:p>
    <w:p w:rsidR="00835296" w:rsidRPr="005373DB" w:rsidRDefault="00835296" w:rsidP="00FA4DA9">
      <w:pPr>
        <w:spacing w:line="240" w:lineRule="auto"/>
        <w:jc w:val="both"/>
        <w:rPr>
          <w:rFonts w:ascii="Times New Roman" w:hAnsi="Times New Roman" w:cs="Times New Roman"/>
          <w:color w:val="FF0000"/>
          <w:sz w:val="24"/>
          <w:szCs w:val="24"/>
          <w:u w:val="single"/>
        </w:rPr>
      </w:pPr>
      <w:r w:rsidRPr="00065074">
        <w:rPr>
          <w:rFonts w:ascii="Times New Roman" w:hAnsi="Times New Roman" w:cs="Times New Roman"/>
          <w:sz w:val="24"/>
          <w:szCs w:val="24"/>
        </w:rPr>
        <w:t xml:space="preserve">Durante meses </w:t>
      </w:r>
      <w:r w:rsidRPr="005373DB">
        <w:rPr>
          <w:rFonts w:ascii="Times New Roman" w:hAnsi="Times New Roman" w:cs="Times New Roman"/>
          <w:sz w:val="24"/>
          <w:szCs w:val="24"/>
          <w:u w:val="single"/>
        </w:rPr>
        <w:t>el consenso del mercado también ha sido que la inflación sería un fenómeno temporal</w:t>
      </w:r>
      <w:r w:rsidRPr="00065074">
        <w:rPr>
          <w:rFonts w:ascii="Times New Roman" w:hAnsi="Times New Roman" w:cs="Times New Roman"/>
          <w:sz w:val="24"/>
          <w:szCs w:val="24"/>
        </w:rPr>
        <w:t xml:space="preserve">. </w:t>
      </w:r>
      <w:r w:rsidRPr="005373DB">
        <w:rPr>
          <w:rFonts w:ascii="Times New Roman" w:hAnsi="Times New Roman" w:cs="Times New Roman"/>
          <w:color w:val="FF0000"/>
          <w:sz w:val="24"/>
          <w:szCs w:val="24"/>
          <w:u w:val="single"/>
        </w:rPr>
        <w:t>Ahora, poco a poco se va a estableciendo una nueva narrativa que habla de una posible reestructuración o una nueva era para la inflación. No se prevé una inflación con tasas interanuales constantemente por encima del 5% (último dato de EEUU), pero sí variaciones que podrían encontrarse entre el 2 y el 4%.</w:t>
      </w:r>
    </w:p>
    <w:p w:rsidR="00835296" w:rsidRPr="00065074" w:rsidRDefault="00835296" w:rsidP="00FA4DA9">
      <w:pPr>
        <w:spacing w:line="240" w:lineRule="auto"/>
        <w:jc w:val="both"/>
        <w:rPr>
          <w:rFonts w:ascii="Times New Roman" w:hAnsi="Times New Roman" w:cs="Times New Roman"/>
          <w:sz w:val="24"/>
          <w:szCs w:val="24"/>
        </w:rPr>
      </w:pPr>
      <w:r w:rsidRPr="00065074">
        <w:rPr>
          <w:rFonts w:ascii="Times New Roman" w:hAnsi="Times New Roman" w:cs="Times New Roman"/>
          <w:sz w:val="24"/>
          <w:szCs w:val="24"/>
        </w:rPr>
        <w:t>¿Qué puede impulsar la inflación?</w:t>
      </w:r>
    </w:p>
    <w:p w:rsidR="00835296" w:rsidRPr="00FC34C5" w:rsidRDefault="00835296" w:rsidP="00FA4DA9">
      <w:pPr>
        <w:spacing w:line="240" w:lineRule="auto"/>
        <w:jc w:val="both"/>
        <w:rPr>
          <w:rFonts w:ascii="Times New Roman" w:hAnsi="Times New Roman" w:cs="Times New Roman"/>
          <w:color w:val="FF0000"/>
          <w:sz w:val="24"/>
          <w:szCs w:val="24"/>
          <w:u w:val="single"/>
        </w:rPr>
      </w:pPr>
      <w:r w:rsidRPr="00FC34C5">
        <w:rPr>
          <w:rFonts w:ascii="Times New Roman" w:hAnsi="Times New Roman" w:cs="Times New Roman"/>
          <w:color w:val="FF0000"/>
          <w:sz w:val="24"/>
          <w:szCs w:val="24"/>
          <w:u w:val="single"/>
        </w:rPr>
        <w:t>¿Qué factores tienen potencial para generar unos precios estructuralmente más altos? Unos cuellos de botella que pueden durar mucho más de lo esperado, la transición energética (encarecerá la electricidad, la gasolina... durante un tiempo), la escasez cada vez más acuciante de algunos perfiles de trabajadores (presionará al alza los salarios en esas ramas de actividad), un proceso de cierta desglobalización o una mayor regulación y control de las cadenas alimentarias pueden presionar al alza los precios de forma duradera.</w:t>
      </w:r>
    </w:p>
    <w:p w:rsidR="00835296" w:rsidRPr="00FC34C5" w:rsidRDefault="00835296" w:rsidP="00FA4DA9">
      <w:pPr>
        <w:spacing w:line="240" w:lineRule="auto"/>
        <w:jc w:val="both"/>
        <w:rPr>
          <w:rFonts w:ascii="Times New Roman" w:hAnsi="Times New Roman" w:cs="Times New Roman"/>
          <w:color w:val="FF0000"/>
          <w:sz w:val="24"/>
          <w:szCs w:val="24"/>
          <w:u w:val="single"/>
        </w:rPr>
      </w:pPr>
      <w:r w:rsidRPr="00FC34C5">
        <w:rPr>
          <w:rFonts w:ascii="Times New Roman" w:hAnsi="Times New Roman" w:cs="Times New Roman"/>
          <w:color w:val="FF0000"/>
          <w:sz w:val="24"/>
          <w:szCs w:val="24"/>
          <w:u w:val="single"/>
        </w:rPr>
        <w:t>Esta es una serie de factores nada desdeñable</w:t>
      </w:r>
      <w:r w:rsidR="00535EFA">
        <w:rPr>
          <w:rFonts w:ascii="Times New Roman" w:hAnsi="Times New Roman" w:cs="Times New Roman"/>
          <w:color w:val="FF0000"/>
          <w:sz w:val="24"/>
          <w:szCs w:val="24"/>
          <w:u w:val="single"/>
        </w:rPr>
        <w:t>,</w:t>
      </w:r>
      <w:r w:rsidRPr="00FC34C5">
        <w:rPr>
          <w:rFonts w:ascii="Times New Roman" w:hAnsi="Times New Roman" w:cs="Times New Roman"/>
          <w:color w:val="FF0000"/>
          <w:sz w:val="24"/>
          <w:szCs w:val="24"/>
          <w:u w:val="single"/>
        </w:rPr>
        <w:t xml:space="preserve"> que presentan el potencial suficiente para que la inflación entre en una nueva era en la que los precios se sitúen en un nivel más elevado de forma estructural</w:t>
      </w:r>
      <w:r w:rsidRPr="005373DB">
        <w:rPr>
          <w:rFonts w:ascii="Times New Roman" w:hAnsi="Times New Roman" w:cs="Times New Roman"/>
          <w:sz w:val="24"/>
          <w:szCs w:val="24"/>
          <w:u w:val="single"/>
        </w:rPr>
        <w:t>.</w:t>
      </w:r>
      <w:r w:rsidRPr="00065074">
        <w:rPr>
          <w:rFonts w:ascii="Times New Roman" w:hAnsi="Times New Roman" w:cs="Times New Roman"/>
          <w:sz w:val="24"/>
          <w:szCs w:val="24"/>
        </w:rPr>
        <w:t xml:space="preserve"> </w:t>
      </w:r>
      <w:r w:rsidRPr="00FC34C5">
        <w:rPr>
          <w:rFonts w:ascii="Times New Roman" w:hAnsi="Times New Roman" w:cs="Times New Roman"/>
          <w:color w:val="FF0000"/>
          <w:sz w:val="24"/>
          <w:szCs w:val="24"/>
          <w:u w:val="single"/>
        </w:rPr>
        <w:t>Ben May, economista de la firma Oxford Economics, e</w:t>
      </w:r>
      <w:r w:rsidR="00FC34C5" w:rsidRPr="00FC34C5">
        <w:rPr>
          <w:rFonts w:ascii="Times New Roman" w:hAnsi="Times New Roman" w:cs="Times New Roman"/>
          <w:color w:val="FF0000"/>
          <w:sz w:val="24"/>
          <w:szCs w:val="24"/>
          <w:u w:val="single"/>
        </w:rPr>
        <w:t>xplica en una nota que incluso “</w:t>
      </w:r>
      <w:r w:rsidRPr="00FC34C5">
        <w:rPr>
          <w:rFonts w:ascii="Times New Roman" w:hAnsi="Times New Roman" w:cs="Times New Roman"/>
          <w:color w:val="FF0000"/>
          <w:sz w:val="24"/>
          <w:szCs w:val="24"/>
          <w:u w:val="single"/>
        </w:rPr>
        <w:t>un cambio a un nuevo régimen con una inflación mucho más alta y más volátil es una posibilidad que no puede ignorarse... Pero en nuestra opinión, si la pandemia desencadena efectos duraderos en el proceso de generación de inflación, un resultado más plausible es una nueva era de inflación algo más alta (que la de la última década) dentro del actual régimen de metas de in</w:t>
      </w:r>
      <w:r w:rsidR="00FC34C5" w:rsidRPr="00FC34C5">
        <w:rPr>
          <w:rFonts w:ascii="Times New Roman" w:hAnsi="Times New Roman" w:cs="Times New Roman"/>
          <w:color w:val="FF0000"/>
          <w:sz w:val="24"/>
          <w:szCs w:val="24"/>
          <w:u w:val="single"/>
        </w:rPr>
        <w:t>flación de los bancos centrales”</w:t>
      </w:r>
      <w:r w:rsidRPr="00FC34C5">
        <w:rPr>
          <w:rFonts w:ascii="Times New Roman" w:hAnsi="Times New Roman" w:cs="Times New Roman"/>
          <w:color w:val="FF0000"/>
          <w:sz w:val="24"/>
          <w:szCs w:val="24"/>
          <w:u w:val="single"/>
        </w:rPr>
        <w:t>. La propia banca central está cambiando su estrategia para dar mayor flexibilidad.</w:t>
      </w:r>
    </w:p>
    <w:p w:rsidR="00835296" w:rsidRPr="00FC34C5" w:rsidRDefault="00835296" w:rsidP="00FA4DA9">
      <w:pPr>
        <w:spacing w:line="240" w:lineRule="auto"/>
        <w:jc w:val="both"/>
        <w:rPr>
          <w:rFonts w:ascii="Times New Roman" w:hAnsi="Times New Roman" w:cs="Times New Roman"/>
          <w:color w:val="FF0000"/>
          <w:sz w:val="24"/>
          <w:szCs w:val="24"/>
          <w:u w:val="single"/>
        </w:rPr>
      </w:pPr>
      <w:r w:rsidRPr="00FC34C5">
        <w:rPr>
          <w:rFonts w:ascii="Times New Roman" w:hAnsi="Times New Roman" w:cs="Times New Roman"/>
          <w:color w:val="FF0000"/>
          <w:sz w:val="24"/>
          <w:szCs w:val="24"/>
          <w:u w:val="single"/>
        </w:rPr>
        <w:t>El equipo de investigación de ING señala en un informe reciente que muchos de los factores que han presionado a la baja la inflación (globalización, demografía, competencia, China...) en la última década podrían empezar a desvanecerse, aunque otros se mantienen en pie (digitalización).</w:t>
      </w:r>
    </w:p>
    <w:p w:rsidR="00835296" w:rsidRPr="00FC34C5" w:rsidRDefault="00835296" w:rsidP="00FA4DA9">
      <w:pPr>
        <w:spacing w:line="240" w:lineRule="auto"/>
        <w:jc w:val="both"/>
        <w:rPr>
          <w:rFonts w:ascii="Times New Roman" w:hAnsi="Times New Roman" w:cs="Times New Roman"/>
          <w:color w:val="FF0000"/>
          <w:sz w:val="24"/>
          <w:szCs w:val="24"/>
          <w:u w:val="single"/>
        </w:rPr>
      </w:pPr>
      <w:r w:rsidRPr="00FC34C5">
        <w:rPr>
          <w:rFonts w:ascii="Times New Roman" w:hAnsi="Times New Roman" w:cs="Times New Roman"/>
          <w:color w:val="FF0000"/>
          <w:sz w:val="24"/>
          <w:szCs w:val="24"/>
          <w:u w:val="single"/>
        </w:rPr>
        <w:t>Los economistas del banco holand</w:t>
      </w:r>
      <w:r w:rsidR="00FC34C5" w:rsidRPr="00FC34C5">
        <w:rPr>
          <w:rFonts w:ascii="Times New Roman" w:hAnsi="Times New Roman" w:cs="Times New Roman"/>
          <w:color w:val="FF0000"/>
          <w:sz w:val="24"/>
          <w:szCs w:val="24"/>
          <w:u w:val="single"/>
        </w:rPr>
        <w:t>és creen que en el largo plazo “</w:t>
      </w:r>
      <w:r w:rsidRPr="00FC34C5">
        <w:rPr>
          <w:rFonts w:ascii="Times New Roman" w:hAnsi="Times New Roman" w:cs="Times New Roman"/>
          <w:color w:val="FF0000"/>
          <w:sz w:val="24"/>
          <w:szCs w:val="24"/>
          <w:u w:val="single"/>
        </w:rPr>
        <w:t>la desglobalización, el proteccionismo y la regionalización de las cadenas de suministro podrían hac</w:t>
      </w:r>
      <w:r w:rsidR="00FC34C5" w:rsidRPr="00FC34C5">
        <w:rPr>
          <w:rFonts w:ascii="Times New Roman" w:hAnsi="Times New Roman" w:cs="Times New Roman"/>
          <w:color w:val="FF0000"/>
          <w:sz w:val="24"/>
          <w:szCs w:val="24"/>
          <w:u w:val="single"/>
        </w:rPr>
        <w:t>er subir los niveles de precios”</w:t>
      </w:r>
      <w:r w:rsidRPr="00FC34C5">
        <w:rPr>
          <w:rFonts w:ascii="Times New Roman" w:hAnsi="Times New Roman" w:cs="Times New Roman"/>
          <w:color w:val="FF0000"/>
          <w:sz w:val="24"/>
          <w:szCs w:val="24"/>
          <w:u w:val="single"/>
        </w:rPr>
        <w:t>. La vuelta de los centros de producción a los países avanzados supondría un auge de los costes de producción, mientras que el proteccionismo vendrá aparejado también de mayores costes (aranceles) y de pérdidas de eficiencia.</w:t>
      </w:r>
    </w:p>
    <w:p w:rsidR="00835296" w:rsidRPr="00065074" w:rsidRDefault="00835296" w:rsidP="00FA4DA9">
      <w:pPr>
        <w:spacing w:line="240" w:lineRule="auto"/>
        <w:jc w:val="both"/>
        <w:rPr>
          <w:rFonts w:ascii="Times New Roman" w:hAnsi="Times New Roman" w:cs="Times New Roman"/>
          <w:sz w:val="24"/>
          <w:szCs w:val="24"/>
        </w:rPr>
      </w:pPr>
      <w:r w:rsidRPr="00065074">
        <w:rPr>
          <w:rFonts w:ascii="Times New Roman" w:hAnsi="Times New Roman" w:cs="Times New Roman"/>
          <w:sz w:val="24"/>
          <w:szCs w:val="24"/>
        </w:rPr>
        <w:t>La transición energética</w:t>
      </w:r>
    </w:p>
    <w:p w:rsidR="00835296" w:rsidRPr="00FC34C5" w:rsidRDefault="00835296" w:rsidP="00FA4DA9">
      <w:pPr>
        <w:spacing w:line="240" w:lineRule="auto"/>
        <w:jc w:val="both"/>
        <w:rPr>
          <w:rFonts w:ascii="Times New Roman" w:hAnsi="Times New Roman" w:cs="Times New Roman"/>
          <w:color w:val="FF0000"/>
          <w:sz w:val="24"/>
          <w:szCs w:val="24"/>
          <w:u w:val="single"/>
        </w:rPr>
      </w:pPr>
      <w:r w:rsidRPr="00FC34C5">
        <w:rPr>
          <w:rFonts w:ascii="Times New Roman" w:hAnsi="Times New Roman" w:cs="Times New Roman"/>
          <w:color w:val="FF0000"/>
          <w:sz w:val="24"/>
          <w:szCs w:val="24"/>
          <w:u w:val="single"/>
        </w:rPr>
        <w:t>Otro factor que puede modificar el comportamiento de los precios es la transición energética. Hasta ahora, apuest</w:t>
      </w:r>
      <w:r w:rsidR="00FC34C5" w:rsidRPr="00FC34C5">
        <w:rPr>
          <w:rFonts w:ascii="Times New Roman" w:hAnsi="Times New Roman" w:cs="Times New Roman"/>
          <w:color w:val="FF0000"/>
          <w:sz w:val="24"/>
          <w:szCs w:val="24"/>
          <w:u w:val="single"/>
        </w:rPr>
        <w:t>a por las energías verdes y la “</w:t>
      </w:r>
      <w:r w:rsidRPr="00FC34C5">
        <w:rPr>
          <w:rFonts w:ascii="Times New Roman" w:hAnsi="Times New Roman" w:cs="Times New Roman"/>
          <w:color w:val="FF0000"/>
          <w:sz w:val="24"/>
          <w:szCs w:val="24"/>
          <w:u w:val="single"/>
        </w:rPr>
        <w:t>criminalización</w:t>
      </w:r>
      <w:r w:rsidR="00FC34C5" w:rsidRPr="00FC34C5">
        <w:rPr>
          <w:rFonts w:ascii="Times New Roman" w:hAnsi="Times New Roman" w:cs="Times New Roman"/>
          <w:color w:val="FF0000"/>
          <w:sz w:val="24"/>
          <w:szCs w:val="24"/>
          <w:u w:val="single"/>
        </w:rPr>
        <w:t>”</w:t>
      </w:r>
      <w:r w:rsidRPr="00FC34C5">
        <w:rPr>
          <w:rFonts w:ascii="Times New Roman" w:hAnsi="Times New Roman" w:cs="Times New Roman"/>
          <w:color w:val="FF0000"/>
          <w:sz w:val="24"/>
          <w:szCs w:val="24"/>
          <w:u w:val="single"/>
        </w:rPr>
        <w:t xml:space="preserve"> de las fósiles (petróleo, gas...) está retrasando el ciclo de inversión de las petroleras, generando un desajuste entre oferta y demanda que está conduciendo al petróleo a máximos de los últimos años. Pero este movimiento va más allá.</w:t>
      </w:r>
    </w:p>
    <w:p w:rsidR="00835296" w:rsidRPr="00065074" w:rsidRDefault="00835296" w:rsidP="00FA4DA9">
      <w:pPr>
        <w:spacing w:line="240" w:lineRule="auto"/>
        <w:jc w:val="both"/>
        <w:rPr>
          <w:rFonts w:ascii="Times New Roman" w:hAnsi="Times New Roman" w:cs="Times New Roman"/>
          <w:sz w:val="24"/>
          <w:szCs w:val="24"/>
        </w:rPr>
      </w:pPr>
      <w:r w:rsidRPr="00065074">
        <w:rPr>
          <w:rFonts w:ascii="Times New Roman" w:hAnsi="Times New Roman" w:cs="Times New Roman"/>
          <w:sz w:val="24"/>
          <w:szCs w:val="24"/>
        </w:rPr>
        <w:t>Stephen Foreman y Kiki Sondh, economistas de Oxford Economics, aseguran en una nota que aunque el vínculo histórico entre los precios de las materias primas y la inflación ha dism</w:t>
      </w:r>
      <w:r w:rsidR="00FC34C5">
        <w:rPr>
          <w:rFonts w:ascii="Times New Roman" w:hAnsi="Times New Roman" w:cs="Times New Roman"/>
          <w:sz w:val="24"/>
          <w:szCs w:val="24"/>
        </w:rPr>
        <w:t>inuido en las últimas décadas, “</w:t>
      </w:r>
      <w:r w:rsidRPr="00065074">
        <w:rPr>
          <w:rFonts w:ascii="Times New Roman" w:hAnsi="Times New Roman" w:cs="Times New Roman"/>
          <w:sz w:val="24"/>
          <w:szCs w:val="24"/>
        </w:rPr>
        <w:t>el impulso para descarbonizar la economía es un factor que podría explicar por qué el repunte de la inflación actual no será transitorio, ante un desajuste entre las ambiciones climáticas y la disponibilidad de ciertos materi</w:t>
      </w:r>
      <w:r w:rsidR="00FC34C5">
        <w:rPr>
          <w:rFonts w:ascii="Times New Roman" w:hAnsi="Times New Roman" w:cs="Times New Roman"/>
          <w:sz w:val="24"/>
          <w:szCs w:val="24"/>
        </w:rPr>
        <w:t>as clave para esta transición”</w:t>
      </w:r>
      <w:r>
        <w:rPr>
          <w:rFonts w:ascii="Times New Roman" w:hAnsi="Times New Roman" w:cs="Times New Roman"/>
          <w:sz w:val="24"/>
          <w:szCs w:val="24"/>
        </w:rPr>
        <w:t>.</w:t>
      </w:r>
    </w:p>
    <w:p w:rsidR="00835296" w:rsidRPr="00065074" w:rsidRDefault="00835296" w:rsidP="00FA4DA9">
      <w:pPr>
        <w:spacing w:line="240" w:lineRule="auto"/>
        <w:jc w:val="both"/>
        <w:rPr>
          <w:rFonts w:ascii="Times New Roman" w:hAnsi="Times New Roman" w:cs="Times New Roman"/>
          <w:sz w:val="24"/>
          <w:szCs w:val="24"/>
        </w:rPr>
      </w:pPr>
      <w:r w:rsidRPr="00065074">
        <w:rPr>
          <w:rFonts w:ascii="Times New Roman" w:hAnsi="Times New Roman" w:cs="Times New Roman"/>
          <w:sz w:val="24"/>
          <w:szCs w:val="24"/>
        </w:rPr>
        <w:lastRenderedPageBreak/>
        <w:t>Estos expertos creen que algunos minerales como el cobre, níquel, litio, estaño y cobalto, así como los combustibles fósiles como el petróleo pueden generar una mayor inflación. En el caso del cobre, es probable que el aumento de la demanda de vehículos eléctricos y la expansión de la capacidad de energía renovable aumenten significativamente la demanda. En el sector del automóvil, los vehículos eléctricos requieren al menos tres veces más cobre que los vehículos tradicionales. Este papel creciente ha llevado a algunos a señalar que el cobre será para el siglo XXI lo que fue el petróleo para el</w:t>
      </w:r>
      <w:r>
        <w:rPr>
          <w:rFonts w:ascii="Times New Roman" w:hAnsi="Times New Roman" w:cs="Times New Roman"/>
          <w:sz w:val="24"/>
          <w:szCs w:val="24"/>
        </w:rPr>
        <w:t xml:space="preserve"> XX.</w:t>
      </w:r>
    </w:p>
    <w:p w:rsidR="00835296" w:rsidRPr="00065074" w:rsidRDefault="00FC34C5"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835296" w:rsidRPr="00065074">
        <w:rPr>
          <w:rFonts w:ascii="Times New Roman" w:hAnsi="Times New Roman" w:cs="Times New Roman"/>
          <w:sz w:val="24"/>
          <w:szCs w:val="24"/>
        </w:rPr>
        <w:t>El impulso para descarbonizar también ha afectado a la inversión en combustibles fósiles porque las empresas están bajo presión y están manteniendo las inversiones en combustibles fósiles bajo control. Además, con un mercado potencialmente en contracción, la expansión en este sector puede parecer menos atractiva. Sin embargo, si las fuentes de energía verde no pueden satisfacer la demanda de energía, la producción futura de combustibles fósiles como el petróleo podría no cubrir la demanda, aumentando el riesgo de subida del precio del petróleo e impulso de las presion</w:t>
      </w:r>
      <w:r>
        <w:rPr>
          <w:rFonts w:ascii="Times New Roman" w:hAnsi="Times New Roman" w:cs="Times New Roman"/>
          <w:sz w:val="24"/>
          <w:szCs w:val="24"/>
        </w:rPr>
        <w:t>es inflacionarias a medio plazo”</w:t>
      </w:r>
      <w:r w:rsidR="00835296" w:rsidRPr="00065074">
        <w:rPr>
          <w:rFonts w:ascii="Times New Roman" w:hAnsi="Times New Roman" w:cs="Times New Roman"/>
          <w:sz w:val="24"/>
          <w:szCs w:val="24"/>
        </w:rPr>
        <w:t>, reconocen los expertos de Oxford Economics. Aunque casi todo el mundo está convencido de que es necesario acabar con el uso masivo del petróleo, también casi todo el mundo us</w:t>
      </w:r>
      <w:r w:rsidR="00835296">
        <w:rPr>
          <w:rFonts w:ascii="Times New Roman" w:hAnsi="Times New Roman" w:cs="Times New Roman"/>
          <w:sz w:val="24"/>
          <w:szCs w:val="24"/>
        </w:rPr>
        <w:t>a hoy el petróleo para moverse.</w:t>
      </w:r>
    </w:p>
    <w:p w:rsidR="00835296" w:rsidRPr="00065074" w:rsidRDefault="00835296" w:rsidP="00FA4DA9">
      <w:pPr>
        <w:spacing w:line="240" w:lineRule="auto"/>
        <w:jc w:val="both"/>
        <w:rPr>
          <w:rFonts w:ascii="Times New Roman" w:hAnsi="Times New Roman" w:cs="Times New Roman"/>
          <w:sz w:val="24"/>
          <w:szCs w:val="24"/>
        </w:rPr>
      </w:pPr>
      <w:r w:rsidRPr="00065074">
        <w:rPr>
          <w:rFonts w:ascii="Times New Roman" w:hAnsi="Times New Roman" w:cs="Times New Roman"/>
          <w:sz w:val="24"/>
          <w:szCs w:val="24"/>
        </w:rPr>
        <w:t>Cambios estructurales</w:t>
      </w:r>
    </w:p>
    <w:p w:rsidR="00835296" w:rsidRPr="00065074" w:rsidRDefault="00835296" w:rsidP="00FA4DA9">
      <w:pPr>
        <w:spacing w:line="240" w:lineRule="auto"/>
        <w:jc w:val="both"/>
        <w:rPr>
          <w:rFonts w:ascii="Times New Roman" w:hAnsi="Times New Roman" w:cs="Times New Roman"/>
          <w:sz w:val="24"/>
          <w:szCs w:val="24"/>
        </w:rPr>
      </w:pPr>
      <w:r w:rsidRPr="00FC34C5">
        <w:rPr>
          <w:rFonts w:ascii="Times New Roman" w:hAnsi="Times New Roman" w:cs="Times New Roman"/>
          <w:color w:val="FF0000"/>
          <w:sz w:val="24"/>
          <w:szCs w:val="24"/>
          <w:u w:val="single"/>
        </w:rPr>
        <w:t>De esta forma, muchos de los cuellos de botellas que hoy parecen puntuales y transitorios podrían estar escondiendo tendencias estructurales</w:t>
      </w:r>
      <w:r w:rsidRPr="00065074">
        <w:rPr>
          <w:rFonts w:ascii="Times New Roman" w:hAnsi="Times New Roman" w:cs="Times New Roman"/>
          <w:sz w:val="24"/>
          <w:szCs w:val="24"/>
        </w:rPr>
        <w:t>. Varios investigadores de la Fed de Dallas han publicado una nota este mes de julio en la que señalan que la escasez, por ejemplo, de chips semiconductores y una amplia gama de materias primas podría deberse no solo a la re</w:t>
      </w:r>
      <w:r>
        <w:rPr>
          <w:rFonts w:ascii="Times New Roman" w:hAnsi="Times New Roman" w:cs="Times New Roman"/>
          <w:sz w:val="24"/>
          <w:szCs w:val="24"/>
        </w:rPr>
        <w:t>apertura de la economía global.</w:t>
      </w:r>
    </w:p>
    <w:p w:rsidR="00835296" w:rsidRPr="00065074" w:rsidRDefault="00FC34C5"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835296" w:rsidRPr="00065074">
        <w:rPr>
          <w:rFonts w:ascii="Times New Roman" w:hAnsi="Times New Roman" w:cs="Times New Roman"/>
          <w:sz w:val="24"/>
          <w:szCs w:val="24"/>
        </w:rPr>
        <w:t>Muchos de nuest</w:t>
      </w:r>
      <w:r>
        <w:rPr>
          <w:rFonts w:ascii="Times New Roman" w:hAnsi="Times New Roman" w:cs="Times New Roman"/>
          <w:sz w:val="24"/>
          <w:szCs w:val="24"/>
        </w:rPr>
        <w:t>ros “informantes”</w:t>
      </w:r>
      <w:r w:rsidR="00835296" w:rsidRPr="00065074">
        <w:rPr>
          <w:rFonts w:ascii="Times New Roman" w:hAnsi="Times New Roman" w:cs="Times New Roman"/>
          <w:sz w:val="24"/>
          <w:szCs w:val="24"/>
        </w:rPr>
        <w:t xml:space="preserve"> esperan que esta escasez se vea agravada por una demanda sustancial de chips para los paneles solares, la electrificación del parque de automóviles y el aumento de la producción de bienes de consumo energéticamente eficientes relacionados con la transición en c</w:t>
      </w:r>
      <w:r>
        <w:rPr>
          <w:rFonts w:ascii="Times New Roman" w:hAnsi="Times New Roman" w:cs="Times New Roman"/>
          <w:sz w:val="24"/>
          <w:szCs w:val="24"/>
        </w:rPr>
        <w:t>urso hacia energías más limpias”</w:t>
      </w:r>
      <w:r w:rsidR="00835296" w:rsidRPr="00065074">
        <w:rPr>
          <w:rFonts w:ascii="Times New Roman" w:hAnsi="Times New Roman" w:cs="Times New Roman"/>
          <w:sz w:val="24"/>
          <w:szCs w:val="24"/>
        </w:rPr>
        <w:t>, sostiene el informe de la Fed de Dallas.</w:t>
      </w:r>
    </w:p>
    <w:p w:rsidR="00835296" w:rsidRPr="00FC34C5" w:rsidRDefault="00835296" w:rsidP="00FA4DA9">
      <w:pPr>
        <w:spacing w:line="240" w:lineRule="auto"/>
        <w:jc w:val="both"/>
        <w:rPr>
          <w:rFonts w:ascii="Times New Roman" w:hAnsi="Times New Roman" w:cs="Times New Roman"/>
          <w:color w:val="FF0000"/>
          <w:sz w:val="24"/>
          <w:szCs w:val="24"/>
          <w:u w:val="single"/>
        </w:rPr>
      </w:pPr>
      <w:r w:rsidRPr="00FC34C5">
        <w:rPr>
          <w:rFonts w:ascii="Times New Roman" w:hAnsi="Times New Roman" w:cs="Times New Roman"/>
          <w:color w:val="FF0000"/>
          <w:sz w:val="24"/>
          <w:szCs w:val="24"/>
          <w:u w:val="single"/>
        </w:rPr>
        <w:t>Además, estos expertos no creen que la holgura (capacidad excedente de trabajadores) del mercado laboral frene esta vez las presiones inflacionarias como sucedió despué</w:t>
      </w:r>
      <w:r w:rsidR="00FC34C5" w:rsidRPr="00FC34C5">
        <w:rPr>
          <w:rFonts w:ascii="Times New Roman" w:hAnsi="Times New Roman" w:cs="Times New Roman"/>
          <w:color w:val="FF0000"/>
          <w:sz w:val="24"/>
          <w:szCs w:val="24"/>
          <w:u w:val="single"/>
        </w:rPr>
        <w:t>s de la Gran Recesión de 2007. “</w:t>
      </w:r>
      <w:r w:rsidRPr="00FC34C5">
        <w:rPr>
          <w:rFonts w:ascii="Times New Roman" w:hAnsi="Times New Roman" w:cs="Times New Roman"/>
          <w:color w:val="FF0000"/>
          <w:sz w:val="24"/>
          <w:szCs w:val="24"/>
          <w:u w:val="single"/>
        </w:rPr>
        <w:t>A pesar de la elevada tasa de desempleo y el bajo nivel de empleo en relación con febrero de 2020, una amplia gama de indicadores del mercado laboral sugieren que las condiciones de mercado de trabajo están ajustadas y habrá un fuerte crecimiento de los salarios. De acuerdo con este argumento, nuestros contactos creen que los desequilibrios entre la oferta y la demanda de trabajo se traducirán en aumentos de precios en una variedad de bienes y servicios. Los aumentos de precios impulsados por estas fue</w:t>
      </w:r>
      <w:r w:rsidR="00FC34C5" w:rsidRPr="00FC34C5">
        <w:rPr>
          <w:rFonts w:ascii="Times New Roman" w:hAnsi="Times New Roman" w:cs="Times New Roman"/>
          <w:color w:val="FF0000"/>
          <w:sz w:val="24"/>
          <w:szCs w:val="24"/>
          <w:u w:val="single"/>
        </w:rPr>
        <w:t>rzas tienden a ser persistentes”</w:t>
      </w:r>
      <w:r w:rsidRPr="00FC34C5">
        <w:rPr>
          <w:rFonts w:ascii="Times New Roman" w:hAnsi="Times New Roman" w:cs="Times New Roman"/>
          <w:color w:val="FF0000"/>
          <w:sz w:val="24"/>
          <w:szCs w:val="24"/>
          <w:u w:val="single"/>
        </w:rPr>
        <w:t>, sentencian los investigadores de la Fed de Dallas.</w:t>
      </w:r>
    </w:p>
    <w:p w:rsidR="00835296" w:rsidRPr="00065074" w:rsidRDefault="00835296" w:rsidP="00FA4DA9">
      <w:pPr>
        <w:spacing w:line="240" w:lineRule="auto"/>
        <w:jc w:val="both"/>
        <w:rPr>
          <w:rFonts w:ascii="Times New Roman" w:hAnsi="Times New Roman" w:cs="Times New Roman"/>
          <w:sz w:val="24"/>
          <w:szCs w:val="24"/>
        </w:rPr>
      </w:pPr>
      <w:r w:rsidRPr="00065074">
        <w:rPr>
          <w:rFonts w:ascii="Times New Roman" w:hAnsi="Times New Roman" w:cs="Times New Roman"/>
          <w:sz w:val="24"/>
          <w:szCs w:val="24"/>
        </w:rPr>
        <w:t>También se está viendo una tendencia o un sesgo del consumidor que ahora pone el foco en artículos más caros (calidad, comida sana, ropa sostenible...) en detrimento de artículos relativamente más baratos, lo q</w:t>
      </w:r>
      <w:r>
        <w:rPr>
          <w:rFonts w:ascii="Times New Roman" w:hAnsi="Times New Roman" w:cs="Times New Roman"/>
          <w:sz w:val="24"/>
          <w:szCs w:val="24"/>
        </w:rPr>
        <w:t>ue a su vez eleva esos precios.</w:t>
      </w:r>
    </w:p>
    <w:p w:rsidR="00835296" w:rsidRPr="00FC34C5" w:rsidRDefault="00835296" w:rsidP="00FA4DA9">
      <w:pPr>
        <w:spacing w:line="240" w:lineRule="auto"/>
        <w:jc w:val="both"/>
        <w:rPr>
          <w:rFonts w:ascii="Times New Roman" w:hAnsi="Times New Roman" w:cs="Times New Roman"/>
          <w:b/>
          <w:color w:val="FF0000"/>
          <w:sz w:val="24"/>
          <w:szCs w:val="24"/>
          <w:u w:val="single"/>
        </w:rPr>
      </w:pPr>
      <w:r w:rsidRPr="00FC34C5">
        <w:rPr>
          <w:rFonts w:ascii="Times New Roman" w:hAnsi="Times New Roman" w:cs="Times New Roman"/>
          <w:b/>
          <w:color w:val="FF0000"/>
          <w:sz w:val="24"/>
          <w:szCs w:val="24"/>
          <w:u w:val="single"/>
        </w:rPr>
        <w:t>Los bancos centrales están flexibilizando sus objetivos de inflación con el objetivo de permitir que los precios rebasen (o se queden cortos) el 2% durante un tiempo, poniendo el foco más en la tendencia de largo plazo. Tras años de una inflación relativamente baja, la banca central podría permitir que el IPC rebase el 2% durante un tiempo, lo que a su vez aliviaría la carga de la deuda que acumulan los países.</w:t>
      </w:r>
    </w:p>
    <w:p w:rsidR="00835296" w:rsidRPr="00FC34C5" w:rsidRDefault="00835296" w:rsidP="00FA4DA9">
      <w:pPr>
        <w:spacing w:line="240" w:lineRule="auto"/>
        <w:jc w:val="both"/>
        <w:rPr>
          <w:rFonts w:ascii="Times New Roman" w:hAnsi="Times New Roman" w:cs="Times New Roman"/>
          <w:color w:val="FF0000"/>
          <w:sz w:val="24"/>
          <w:szCs w:val="24"/>
          <w:u w:val="single"/>
        </w:rPr>
      </w:pPr>
      <w:r w:rsidRPr="00FC34C5">
        <w:rPr>
          <w:rFonts w:ascii="Times New Roman" w:hAnsi="Times New Roman" w:cs="Times New Roman"/>
          <w:color w:val="FF0000"/>
          <w:sz w:val="24"/>
          <w:szCs w:val="24"/>
          <w:u w:val="single"/>
        </w:rPr>
        <w:lastRenderedPageBreak/>
        <w:t xml:space="preserve">Nouriel Roubini, profesor de Finanzas de la Universidad de Nueva York, aseguraba en una </w:t>
      </w:r>
      <w:r w:rsidR="00324F4A" w:rsidRPr="00FC34C5">
        <w:rPr>
          <w:rFonts w:ascii="Times New Roman" w:hAnsi="Times New Roman" w:cs="Times New Roman"/>
          <w:color w:val="FF0000"/>
          <w:sz w:val="24"/>
          <w:szCs w:val="24"/>
          <w:u w:val="single"/>
        </w:rPr>
        <w:t>columna</w:t>
      </w:r>
      <w:r w:rsidRPr="00FC34C5">
        <w:rPr>
          <w:rFonts w:ascii="Times New Roman" w:hAnsi="Times New Roman" w:cs="Times New Roman"/>
          <w:color w:val="FF0000"/>
          <w:sz w:val="24"/>
          <w:szCs w:val="24"/>
          <w:u w:val="single"/>
        </w:rPr>
        <w:t xml:space="preserve"> publicada en Projec</w:t>
      </w:r>
      <w:r w:rsidR="00FC34C5" w:rsidRPr="00FC34C5">
        <w:rPr>
          <w:rFonts w:ascii="Times New Roman" w:hAnsi="Times New Roman" w:cs="Times New Roman"/>
          <w:color w:val="FF0000"/>
          <w:sz w:val="24"/>
          <w:szCs w:val="24"/>
          <w:u w:val="single"/>
        </w:rPr>
        <w:t>t Syndicate hace unos días que “</w:t>
      </w:r>
      <w:r w:rsidRPr="00FC34C5">
        <w:rPr>
          <w:rFonts w:ascii="Times New Roman" w:hAnsi="Times New Roman" w:cs="Times New Roman"/>
          <w:color w:val="FF0000"/>
          <w:sz w:val="24"/>
          <w:szCs w:val="24"/>
          <w:u w:val="single"/>
        </w:rPr>
        <w:t>las mismas políticas flexibles (fiscales y monetarias) que están alimentando las burbujas de activos seguirán impulsando la inflación de los precios al consumidor... junto a unos shocks por el lado de la oferta que podrían derivarse del proteccionismo; envejecimiento demográfico en economías avanzadas y emergentes; restricciones a la inmigración en economías avanzadas; la reubicación de la industria en regiones con unos mayores costes laborales; o la balcanización de las cadenas de suministro glo</w:t>
      </w:r>
      <w:r w:rsidR="00FC34C5" w:rsidRPr="00FC34C5">
        <w:rPr>
          <w:rFonts w:ascii="Times New Roman" w:hAnsi="Times New Roman" w:cs="Times New Roman"/>
          <w:color w:val="FF0000"/>
          <w:sz w:val="24"/>
          <w:szCs w:val="24"/>
          <w:u w:val="single"/>
        </w:rPr>
        <w:t>bales”</w:t>
      </w:r>
      <w:r w:rsidRPr="00FC34C5">
        <w:rPr>
          <w:rFonts w:ascii="Times New Roman" w:hAnsi="Times New Roman" w:cs="Times New Roman"/>
          <w:color w:val="FF0000"/>
          <w:sz w:val="24"/>
          <w:szCs w:val="24"/>
          <w:u w:val="single"/>
        </w:rPr>
        <w:t>.</w:t>
      </w:r>
    </w:p>
    <w:p w:rsidR="00835296" w:rsidRPr="00065074" w:rsidRDefault="00835296" w:rsidP="00FA4DA9">
      <w:pPr>
        <w:spacing w:line="240" w:lineRule="auto"/>
        <w:jc w:val="both"/>
        <w:rPr>
          <w:rFonts w:ascii="Times New Roman" w:hAnsi="Times New Roman" w:cs="Times New Roman"/>
          <w:sz w:val="24"/>
          <w:szCs w:val="24"/>
        </w:rPr>
      </w:pPr>
      <w:r w:rsidRPr="00065074">
        <w:rPr>
          <w:rFonts w:ascii="Times New Roman" w:hAnsi="Times New Roman" w:cs="Times New Roman"/>
          <w:sz w:val="24"/>
          <w:szCs w:val="24"/>
        </w:rPr>
        <w:t>La escasez de perfiles digitales con una formación técnica (matemáticas, computación...) o incluso de perfiles más generales (a medida que la generación del baby boom se jubila) puede crear nuevos cuellos de botella. Si este tipo de capital humano escasea, las empresas estarán dispuestas a pagar más por estos trabajadores (mayores salarios), lo que supondrá otro incremento de los costes de producción que s</w:t>
      </w:r>
      <w:r>
        <w:rPr>
          <w:rFonts w:ascii="Times New Roman" w:hAnsi="Times New Roman" w:cs="Times New Roman"/>
          <w:sz w:val="24"/>
          <w:szCs w:val="24"/>
        </w:rPr>
        <w:t>e traducirá en precios mayores.</w:t>
      </w:r>
    </w:p>
    <w:p w:rsidR="00835296" w:rsidRPr="00065074" w:rsidRDefault="00835296" w:rsidP="00FA4DA9">
      <w:pPr>
        <w:spacing w:line="240" w:lineRule="auto"/>
        <w:jc w:val="both"/>
        <w:rPr>
          <w:rFonts w:ascii="Times New Roman" w:hAnsi="Times New Roman" w:cs="Times New Roman"/>
          <w:sz w:val="24"/>
          <w:szCs w:val="24"/>
        </w:rPr>
      </w:pPr>
      <w:r w:rsidRPr="00F71A32">
        <w:rPr>
          <w:rFonts w:ascii="Times New Roman" w:hAnsi="Times New Roman" w:cs="Times New Roman"/>
          <w:sz w:val="24"/>
          <w:szCs w:val="24"/>
          <w:u w:val="single"/>
        </w:rPr>
        <w:t>Por último, otros factores que también pueden tener su impacto están relacionados con las regulaciones medioambientales y de mejoras en la cría de animales</w:t>
      </w:r>
      <w:r w:rsidRPr="00065074">
        <w:rPr>
          <w:rFonts w:ascii="Times New Roman" w:hAnsi="Times New Roman" w:cs="Times New Roman"/>
          <w:sz w:val="24"/>
          <w:szCs w:val="24"/>
        </w:rPr>
        <w:t>. Por ejemplo, Bruselas pretende prohibir la cría de animales en jaulas dentro de la Unión Europea a partir de 2023. Esta decisión que va sin duda en la buena dirección encarecerá el coste de cría de estos animales, lo que tendrá un impacto en el precio final de la carne (salvo que se sustituya la carne europea por importaciones de países donde sí sea legal la cría de animales masiva en jaulas).</w:t>
      </w:r>
    </w:p>
    <w:p w:rsidR="00835296" w:rsidRPr="00065074" w:rsidRDefault="00835296" w:rsidP="00FA4DA9">
      <w:pPr>
        <w:spacing w:line="240" w:lineRule="auto"/>
        <w:jc w:val="both"/>
        <w:rPr>
          <w:rFonts w:ascii="Times New Roman" w:hAnsi="Times New Roman" w:cs="Times New Roman"/>
          <w:sz w:val="24"/>
          <w:szCs w:val="24"/>
        </w:rPr>
      </w:pPr>
      <w:r w:rsidRPr="00065074">
        <w:rPr>
          <w:rFonts w:ascii="Times New Roman" w:hAnsi="Times New Roman" w:cs="Times New Roman"/>
          <w:sz w:val="24"/>
          <w:szCs w:val="24"/>
        </w:rPr>
        <w:t>Frente a todo esto está el crecimiento de la productividad y la digitalización (ambas muy ligadas) de la economía, dos fuerzas desinflacionarias que hasta la fecha han sido dominantes. Sin embargo, la escasez de los perfiles más demandados en estos sectores (tecnología, chips, energías renovables...) junto a una población activa que comenzará a menguar a medida que se retire la generación del baby boom, puede con</w:t>
      </w:r>
      <w:r>
        <w:rPr>
          <w:rFonts w:ascii="Times New Roman" w:hAnsi="Times New Roman" w:cs="Times New Roman"/>
          <w:sz w:val="24"/>
          <w:szCs w:val="24"/>
        </w:rPr>
        <w:t>trarrestar a estas dos fuerzas.</w:t>
      </w:r>
    </w:p>
    <w:p w:rsidR="00835296" w:rsidRPr="00F71A32" w:rsidRDefault="00F71A32" w:rsidP="00FA4DA9">
      <w:pPr>
        <w:spacing w:line="240" w:lineRule="auto"/>
        <w:jc w:val="both"/>
        <w:rPr>
          <w:rFonts w:ascii="Times New Roman" w:hAnsi="Times New Roman" w:cs="Times New Roman"/>
          <w:b/>
          <w:color w:val="FF0000"/>
          <w:sz w:val="24"/>
          <w:szCs w:val="24"/>
          <w:u w:val="single"/>
        </w:rPr>
      </w:pPr>
      <w:r w:rsidRPr="00F71A32">
        <w:rPr>
          <w:rFonts w:ascii="Times New Roman" w:hAnsi="Times New Roman" w:cs="Times New Roman"/>
          <w:b/>
          <w:color w:val="FF0000"/>
          <w:sz w:val="24"/>
          <w:szCs w:val="24"/>
          <w:u w:val="single"/>
        </w:rPr>
        <w:t>“</w:t>
      </w:r>
      <w:r w:rsidR="00835296" w:rsidRPr="00F71A32">
        <w:rPr>
          <w:rFonts w:ascii="Times New Roman" w:hAnsi="Times New Roman" w:cs="Times New Roman"/>
          <w:b/>
          <w:color w:val="FF0000"/>
          <w:sz w:val="24"/>
          <w:szCs w:val="24"/>
          <w:u w:val="single"/>
        </w:rPr>
        <w:t xml:space="preserve">Por tanto, nuestro escenario base para los próximos cinco años puede caracterizarse como el inicio de una tercera era en la inflación que se encuentra esencialmente a medio camino entre las dos épocas anteriores. Por lo general, se espera que la inflación sea más alta que en la era posterior a la crisis financiera de 2007, pero se mantendrá un poco más baja que la observada desde mediados </w:t>
      </w:r>
      <w:r w:rsidRPr="00F71A32">
        <w:rPr>
          <w:rFonts w:ascii="Times New Roman" w:hAnsi="Times New Roman" w:cs="Times New Roman"/>
          <w:b/>
          <w:color w:val="FF0000"/>
          <w:sz w:val="24"/>
          <w:szCs w:val="24"/>
          <w:u w:val="single"/>
        </w:rPr>
        <w:t>de la década de 1990 hasta 2008”</w:t>
      </w:r>
      <w:r w:rsidR="00835296" w:rsidRPr="00F71A32">
        <w:rPr>
          <w:rFonts w:ascii="Times New Roman" w:hAnsi="Times New Roman" w:cs="Times New Roman"/>
          <w:b/>
          <w:color w:val="FF0000"/>
          <w:sz w:val="24"/>
          <w:szCs w:val="24"/>
          <w:u w:val="single"/>
        </w:rPr>
        <w:t>, culminan los expertos de Oxford Economics.</w:t>
      </w:r>
    </w:p>
    <w:p w:rsidR="00835296" w:rsidRPr="00F950BB" w:rsidRDefault="00835296"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950BB">
        <w:rPr>
          <w:rFonts w:ascii="Times New Roman" w:hAnsi="Times New Roman" w:cs="Times New Roman"/>
          <w:sz w:val="24"/>
          <w:szCs w:val="24"/>
          <w:u w:val="single"/>
        </w:rPr>
        <w:t>La mayor burbuja de la historia, en camino: así lo afirman siete afamados inversores</w:t>
      </w:r>
      <w:r>
        <w:rPr>
          <w:rFonts w:ascii="Times New Roman" w:hAnsi="Times New Roman" w:cs="Times New Roman"/>
          <w:sz w:val="24"/>
          <w:szCs w:val="24"/>
        </w:rPr>
        <w:t xml:space="preserve"> (El Economista - </w:t>
      </w:r>
      <w:r w:rsidRPr="00F950BB">
        <w:rPr>
          <w:rFonts w:ascii="Times New Roman" w:hAnsi="Times New Roman" w:cs="Times New Roman"/>
          <w:b/>
          <w:sz w:val="24"/>
          <w:szCs w:val="24"/>
        </w:rPr>
        <w:t>18/7/21</w:t>
      </w:r>
      <w:r>
        <w:rPr>
          <w:rFonts w:ascii="Times New Roman" w:hAnsi="Times New Roman" w:cs="Times New Roman"/>
          <w:sz w:val="24"/>
          <w:szCs w:val="24"/>
        </w:rPr>
        <w:t>)</w:t>
      </w:r>
    </w:p>
    <w:p w:rsidR="00835296" w:rsidRPr="000422CB" w:rsidRDefault="00835296" w:rsidP="00FA4DA9">
      <w:pPr>
        <w:spacing w:line="240" w:lineRule="auto"/>
        <w:jc w:val="both"/>
        <w:rPr>
          <w:rFonts w:ascii="Times New Roman" w:hAnsi="Times New Roman" w:cs="Times New Roman"/>
          <w:sz w:val="24"/>
          <w:szCs w:val="24"/>
          <w:u w:val="single"/>
        </w:rPr>
      </w:pPr>
      <w:r w:rsidRPr="000422CB">
        <w:rPr>
          <w:rFonts w:ascii="Times New Roman" w:hAnsi="Times New Roman" w:cs="Times New Roman"/>
          <w:sz w:val="24"/>
          <w:szCs w:val="24"/>
          <w:u w:val="single"/>
        </w:rPr>
        <w:t>Inversores de la talla de Michael Burry, Jeremy Grantham, Jeffrey Gundlach, Leon Cooperman, Stanley Druckenmiller, Gary Shilling y Robert Kiyosaki llevan tiempo advirtiendo sobre los efectos de una especulación desenfrenada que no puede mantener el pico en los precios de los activos para siempre. Para todos ellos, el mercado está muy sobrevalorado y anticipan un épico crack bursátil.</w:t>
      </w:r>
    </w:p>
    <w:p w:rsidR="00835296" w:rsidRPr="000422CB" w:rsidRDefault="00835296" w:rsidP="00FA4DA9">
      <w:pPr>
        <w:spacing w:line="240" w:lineRule="auto"/>
        <w:jc w:val="both"/>
        <w:rPr>
          <w:rFonts w:ascii="Times New Roman" w:hAnsi="Times New Roman" w:cs="Times New Roman"/>
          <w:color w:val="FF0000"/>
          <w:sz w:val="24"/>
          <w:szCs w:val="24"/>
          <w:u w:val="single"/>
        </w:rPr>
      </w:pPr>
      <w:r w:rsidRPr="000422CB">
        <w:rPr>
          <w:rFonts w:ascii="Times New Roman" w:hAnsi="Times New Roman" w:cs="Times New Roman"/>
          <w:color w:val="FF0000"/>
          <w:sz w:val="24"/>
          <w:szCs w:val="24"/>
          <w:u w:val="single"/>
        </w:rPr>
        <w:t>Michael Burry, que se hizo famoso por predecir la crisis hipotecaria de 2008, indicó hace meses que Tesla, GameStop, bitcoin, dogecoin, Robinhood y el mercado inmob</w:t>
      </w:r>
      <w:r w:rsidR="00F71A32">
        <w:rPr>
          <w:rFonts w:ascii="Times New Roman" w:hAnsi="Times New Roman" w:cs="Times New Roman"/>
          <w:color w:val="FF0000"/>
          <w:sz w:val="24"/>
          <w:szCs w:val="24"/>
          <w:u w:val="single"/>
        </w:rPr>
        <w:t>iliario estadounidense estaban “al rojo vivo”</w:t>
      </w:r>
      <w:r w:rsidRPr="000422CB">
        <w:rPr>
          <w:rFonts w:ascii="Times New Roman" w:hAnsi="Times New Roman" w:cs="Times New Roman"/>
          <w:color w:val="FF0000"/>
          <w:sz w:val="24"/>
          <w:szCs w:val="24"/>
          <w:u w:val="single"/>
        </w:rPr>
        <w:t xml:space="preserve"> y eso era un signo de excesos especulativos</w:t>
      </w:r>
      <w:r w:rsidRPr="00F950BB">
        <w:rPr>
          <w:rFonts w:ascii="Times New Roman" w:hAnsi="Times New Roman" w:cs="Times New Roman"/>
          <w:sz w:val="24"/>
          <w:szCs w:val="24"/>
        </w:rPr>
        <w:t xml:space="preserve">. Una dinámica que, </w:t>
      </w:r>
      <w:r w:rsidR="00F71A32">
        <w:rPr>
          <w:rFonts w:ascii="Times New Roman" w:hAnsi="Times New Roman" w:cs="Times New Roman"/>
          <w:sz w:val="24"/>
          <w:szCs w:val="24"/>
        </w:rPr>
        <w:t>a su juicio, desembocará en la “madre de todos los accidentes”</w:t>
      </w:r>
      <w:r w:rsidRPr="00F950BB">
        <w:rPr>
          <w:rFonts w:ascii="Times New Roman" w:hAnsi="Times New Roman" w:cs="Times New Roman"/>
          <w:sz w:val="24"/>
          <w:szCs w:val="24"/>
        </w:rPr>
        <w:t xml:space="preserve">. El fundador del hedge fund Scion Asset Management reincide en que </w:t>
      </w:r>
      <w:r w:rsidRPr="000422CB">
        <w:rPr>
          <w:rFonts w:ascii="Times New Roman" w:hAnsi="Times New Roman" w:cs="Times New Roman"/>
          <w:color w:val="FF0000"/>
          <w:sz w:val="24"/>
          <w:szCs w:val="24"/>
          <w:u w:val="single"/>
        </w:rPr>
        <w:t xml:space="preserve">los inversionistas están demasiado </w:t>
      </w:r>
      <w:r w:rsidRPr="000422CB">
        <w:rPr>
          <w:rFonts w:ascii="Times New Roman" w:hAnsi="Times New Roman" w:cs="Times New Roman"/>
          <w:color w:val="FF0000"/>
          <w:sz w:val="24"/>
          <w:szCs w:val="24"/>
          <w:u w:val="single"/>
        </w:rPr>
        <w:lastRenderedPageBreak/>
        <w:t>codiciosos, especulan salvajemente, asumen demasiado riesgo y luchan por rendimientos poco realistas.</w:t>
      </w:r>
    </w:p>
    <w:p w:rsidR="00835296" w:rsidRPr="000422CB" w:rsidRDefault="00835296" w:rsidP="00FA4DA9">
      <w:pPr>
        <w:spacing w:line="240" w:lineRule="auto"/>
        <w:jc w:val="both"/>
        <w:rPr>
          <w:rFonts w:ascii="Times New Roman" w:hAnsi="Times New Roman" w:cs="Times New Roman"/>
          <w:color w:val="FF0000"/>
          <w:sz w:val="24"/>
          <w:szCs w:val="24"/>
          <w:u w:val="single"/>
        </w:rPr>
      </w:pPr>
      <w:r w:rsidRPr="00F950BB">
        <w:rPr>
          <w:rFonts w:ascii="Times New Roman" w:hAnsi="Times New Roman" w:cs="Times New Roman"/>
          <w:sz w:val="24"/>
          <w:szCs w:val="24"/>
        </w:rPr>
        <w:t xml:space="preserve">En una opinión similar a la de Burry se encuentra </w:t>
      </w:r>
      <w:r w:rsidRPr="000422CB">
        <w:rPr>
          <w:rFonts w:ascii="Times New Roman" w:hAnsi="Times New Roman" w:cs="Times New Roman"/>
          <w:color w:val="FF0000"/>
          <w:sz w:val="24"/>
          <w:szCs w:val="24"/>
          <w:u w:val="single"/>
        </w:rPr>
        <w:t>Jeffrey Gundlach, quien aseguró en marzo que las acciones caerían mucho más del 15% cuando llegue la recesión. El llamado rey de la renta fija predijo que muchos inversores minoristas sufrirán un duro castigo cuando las acciones se giren a la baja, exacerbando la corrección inevitable</w:t>
      </w:r>
      <w:r w:rsidRPr="00F950BB">
        <w:rPr>
          <w:rFonts w:ascii="Times New Roman" w:hAnsi="Times New Roman" w:cs="Times New Roman"/>
          <w:sz w:val="24"/>
          <w:szCs w:val="24"/>
        </w:rPr>
        <w:t xml:space="preserve">. Para este inversor y fundador de DoubleLine Capital, </w:t>
      </w:r>
      <w:r w:rsidR="00F71A32">
        <w:rPr>
          <w:rFonts w:ascii="Times New Roman" w:hAnsi="Times New Roman" w:cs="Times New Roman"/>
          <w:color w:val="FF0000"/>
          <w:sz w:val="24"/>
          <w:szCs w:val="24"/>
          <w:u w:val="single"/>
        </w:rPr>
        <w:t>“</w:t>
      </w:r>
      <w:r w:rsidRPr="000422CB">
        <w:rPr>
          <w:rFonts w:ascii="Times New Roman" w:hAnsi="Times New Roman" w:cs="Times New Roman"/>
          <w:color w:val="FF0000"/>
          <w:sz w:val="24"/>
          <w:szCs w:val="24"/>
          <w:u w:val="single"/>
        </w:rPr>
        <w:t>tendremos una tremenda salida de gran parte del dinero que piensa que el mercado de val</w:t>
      </w:r>
      <w:r w:rsidR="00F71A32">
        <w:rPr>
          <w:rFonts w:ascii="Times New Roman" w:hAnsi="Times New Roman" w:cs="Times New Roman"/>
          <w:color w:val="FF0000"/>
          <w:sz w:val="24"/>
          <w:szCs w:val="24"/>
          <w:u w:val="single"/>
        </w:rPr>
        <w:t>ores es una cosa unidireccional”</w:t>
      </w:r>
      <w:r w:rsidRPr="000422CB">
        <w:rPr>
          <w:rFonts w:ascii="Times New Roman" w:hAnsi="Times New Roman" w:cs="Times New Roman"/>
          <w:color w:val="FF0000"/>
          <w:sz w:val="24"/>
          <w:szCs w:val="24"/>
          <w:u w:val="single"/>
        </w:rPr>
        <w:t>.</w:t>
      </w:r>
    </w:p>
    <w:p w:rsidR="00835296" w:rsidRPr="000422CB" w:rsidRDefault="00835296" w:rsidP="00FA4DA9">
      <w:pPr>
        <w:spacing w:line="240" w:lineRule="auto"/>
        <w:jc w:val="both"/>
        <w:rPr>
          <w:rFonts w:ascii="Times New Roman" w:hAnsi="Times New Roman" w:cs="Times New Roman"/>
          <w:color w:val="FF0000"/>
          <w:sz w:val="24"/>
          <w:szCs w:val="24"/>
          <w:u w:val="single"/>
        </w:rPr>
      </w:pPr>
      <w:r w:rsidRPr="00F950BB">
        <w:rPr>
          <w:rFonts w:ascii="Times New Roman" w:hAnsi="Times New Roman" w:cs="Times New Roman"/>
          <w:sz w:val="24"/>
          <w:szCs w:val="24"/>
        </w:rPr>
        <w:t xml:space="preserve">El legendario inversor </w:t>
      </w:r>
      <w:r w:rsidR="00F71A32">
        <w:rPr>
          <w:rFonts w:ascii="Times New Roman" w:hAnsi="Times New Roman" w:cs="Times New Roman"/>
          <w:color w:val="FF0000"/>
          <w:sz w:val="24"/>
          <w:szCs w:val="24"/>
          <w:u w:val="single"/>
        </w:rPr>
        <w:t>Jeremy Grantham añade que “</w:t>
      </w:r>
      <w:r w:rsidRPr="000422CB">
        <w:rPr>
          <w:rFonts w:ascii="Times New Roman" w:hAnsi="Times New Roman" w:cs="Times New Roman"/>
          <w:color w:val="FF0000"/>
          <w:sz w:val="24"/>
          <w:szCs w:val="24"/>
          <w:u w:val="single"/>
        </w:rPr>
        <w:t>todos los ratios que se utilizan para medir la valoración de los activos se encuentran en niveles preocupantes, al igual que los indicadores de riesgo especulativo como los volúmenes de opciones de compra, el volumen de operaciones individuales y las ca</w:t>
      </w:r>
      <w:r w:rsidR="00F71A32">
        <w:rPr>
          <w:rFonts w:ascii="Times New Roman" w:hAnsi="Times New Roman" w:cs="Times New Roman"/>
          <w:color w:val="FF0000"/>
          <w:sz w:val="24"/>
          <w:szCs w:val="24"/>
          <w:u w:val="single"/>
        </w:rPr>
        <w:t>ntidades de acciones de centavo”</w:t>
      </w:r>
      <w:r w:rsidRPr="000422CB">
        <w:rPr>
          <w:rFonts w:ascii="Times New Roman" w:hAnsi="Times New Roman" w:cs="Times New Roman"/>
          <w:color w:val="FF0000"/>
          <w:sz w:val="24"/>
          <w:szCs w:val="24"/>
          <w:u w:val="single"/>
        </w:rPr>
        <w:t>.</w:t>
      </w:r>
      <w:r w:rsidRPr="000422CB">
        <w:rPr>
          <w:rFonts w:ascii="Times New Roman" w:hAnsi="Times New Roman" w:cs="Times New Roman"/>
          <w:color w:val="FF0000"/>
          <w:sz w:val="24"/>
          <w:szCs w:val="24"/>
        </w:rPr>
        <w:t xml:space="preserve"> </w:t>
      </w:r>
      <w:r w:rsidRPr="00F950BB">
        <w:rPr>
          <w:rFonts w:ascii="Times New Roman" w:hAnsi="Times New Roman" w:cs="Times New Roman"/>
          <w:sz w:val="24"/>
          <w:szCs w:val="24"/>
        </w:rPr>
        <w:t xml:space="preserve">Para el historiador de la bolsa y cofundador de la firma de inversión GMO, </w:t>
      </w:r>
      <w:r w:rsidR="00F71A32">
        <w:rPr>
          <w:rFonts w:ascii="Times New Roman" w:hAnsi="Times New Roman" w:cs="Times New Roman"/>
          <w:color w:val="FF0000"/>
          <w:sz w:val="24"/>
          <w:szCs w:val="24"/>
          <w:u w:val="single"/>
        </w:rPr>
        <w:t>“</w:t>
      </w:r>
      <w:r w:rsidRPr="000422CB">
        <w:rPr>
          <w:rFonts w:ascii="Times New Roman" w:hAnsi="Times New Roman" w:cs="Times New Roman"/>
          <w:color w:val="FF0000"/>
          <w:sz w:val="24"/>
          <w:szCs w:val="24"/>
          <w:u w:val="single"/>
        </w:rPr>
        <w:t>tendremos que vivir con la que podría ser la mayor pérdida de valor de los activos bur</w:t>
      </w:r>
      <w:r w:rsidR="00F71A32">
        <w:rPr>
          <w:rFonts w:ascii="Times New Roman" w:hAnsi="Times New Roman" w:cs="Times New Roman"/>
          <w:color w:val="FF0000"/>
          <w:sz w:val="24"/>
          <w:szCs w:val="24"/>
          <w:u w:val="single"/>
        </w:rPr>
        <w:t>sátiles que hayamos visto jamás”</w:t>
      </w:r>
      <w:r w:rsidRPr="000422CB">
        <w:rPr>
          <w:rFonts w:ascii="Times New Roman" w:hAnsi="Times New Roman" w:cs="Times New Roman"/>
          <w:color w:val="FF0000"/>
          <w:sz w:val="24"/>
          <w:szCs w:val="24"/>
          <w:u w:val="single"/>
        </w:rPr>
        <w:t>.</w:t>
      </w:r>
    </w:p>
    <w:p w:rsidR="00835296" w:rsidRPr="000422CB" w:rsidRDefault="00835296" w:rsidP="00FA4DA9">
      <w:pPr>
        <w:spacing w:line="240" w:lineRule="auto"/>
        <w:jc w:val="both"/>
        <w:rPr>
          <w:rFonts w:ascii="Times New Roman" w:hAnsi="Times New Roman" w:cs="Times New Roman"/>
          <w:color w:val="FF0000"/>
          <w:sz w:val="24"/>
          <w:szCs w:val="24"/>
          <w:u w:val="single"/>
        </w:rPr>
      </w:pPr>
      <w:r w:rsidRPr="00F950BB">
        <w:rPr>
          <w:rFonts w:ascii="Times New Roman" w:hAnsi="Times New Roman" w:cs="Times New Roman"/>
          <w:sz w:val="24"/>
          <w:szCs w:val="24"/>
        </w:rPr>
        <w:t xml:space="preserve">Por su parte, </w:t>
      </w:r>
      <w:r w:rsidRPr="000422CB">
        <w:rPr>
          <w:rFonts w:ascii="Times New Roman" w:hAnsi="Times New Roman" w:cs="Times New Roman"/>
          <w:color w:val="FF0000"/>
          <w:sz w:val="24"/>
          <w:szCs w:val="24"/>
          <w:u w:val="single"/>
        </w:rPr>
        <w:t>Leon Cooperman advierte sobre una burbuja de bonos y una brutal caída de las acciones. El multimillonario inversor y responsable de Omega Advisors se suma al grupo que considera que, cuando el merc</w:t>
      </w:r>
      <w:r w:rsidR="00F71A32">
        <w:rPr>
          <w:rFonts w:ascii="Times New Roman" w:hAnsi="Times New Roman" w:cs="Times New Roman"/>
          <w:color w:val="FF0000"/>
          <w:sz w:val="24"/>
          <w:szCs w:val="24"/>
          <w:u w:val="single"/>
        </w:rPr>
        <w:t>ado tenga una razón para caer, “</w:t>
      </w:r>
      <w:r w:rsidRPr="000422CB">
        <w:rPr>
          <w:rFonts w:ascii="Times New Roman" w:hAnsi="Times New Roman" w:cs="Times New Roman"/>
          <w:color w:val="FF0000"/>
          <w:sz w:val="24"/>
          <w:szCs w:val="24"/>
          <w:u w:val="single"/>
        </w:rPr>
        <w:t>lo hará tan rápido que</w:t>
      </w:r>
      <w:r w:rsidR="00F71A32">
        <w:rPr>
          <w:rFonts w:ascii="Times New Roman" w:hAnsi="Times New Roman" w:cs="Times New Roman"/>
          <w:color w:val="FF0000"/>
          <w:sz w:val="24"/>
          <w:szCs w:val="24"/>
          <w:u w:val="single"/>
        </w:rPr>
        <w:t xml:space="preserve"> la cabeza nos va a dar vueltas”. “</w:t>
      </w:r>
      <w:r w:rsidRPr="000422CB">
        <w:rPr>
          <w:rFonts w:ascii="Times New Roman" w:hAnsi="Times New Roman" w:cs="Times New Roman"/>
          <w:color w:val="FF0000"/>
          <w:sz w:val="24"/>
          <w:szCs w:val="24"/>
          <w:u w:val="single"/>
        </w:rPr>
        <w:t>Todo lo que veo me hace tener precaución, t</w:t>
      </w:r>
      <w:r w:rsidR="00F71A32">
        <w:rPr>
          <w:rFonts w:ascii="Times New Roman" w:hAnsi="Times New Roman" w:cs="Times New Roman"/>
          <w:color w:val="FF0000"/>
          <w:sz w:val="24"/>
          <w:szCs w:val="24"/>
          <w:u w:val="single"/>
        </w:rPr>
        <w:t>anto a medio como a largo plazo”</w:t>
      </w:r>
      <w:r w:rsidRPr="000422CB">
        <w:rPr>
          <w:rFonts w:ascii="Times New Roman" w:hAnsi="Times New Roman" w:cs="Times New Roman"/>
          <w:color w:val="FF0000"/>
          <w:sz w:val="24"/>
          <w:szCs w:val="24"/>
          <w:u w:val="single"/>
        </w:rPr>
        <w:t>, apuntó en el mes de mayo.</w:t>
      </w:r>
    </w:p>
    <w:p w:rsidR="00835296" w:rsidRPr="000422CB" w:rsidRDefault="00835296" w:rsidP="00FA4DA9">
      <w:pPr>
        <w:spacing w:line="240" w:lineRule="auto"/>
        <w:jc w:val="both"/>
        <w:rPr>
          <w:rFonts w:ascii="Times New Roman" w:hAnsi="Times New Roman" w:cs="Times New Roman"/>
          <w:color w:val="FF0000"/>
          <w:sz w:val="24"/>
          <w:szCs w:val="24"/>
          <w:u w:val="single"/>
        </w:rPr>
      </w:pPr>
      <w:r w:rsidRPr="000422CB">
        <w:rPr>
          <w:rFonts w:ascii="Times New Roman" w:hAnsi="Times New Roman" w:cs="Times New Roman"/>
          <w:color w:val="FF0000"/>
          <w:sz w:val="24"/>
          <w:szCs w:val="24"/>
          <w:u w:val="single"/>
        </w:rPr>
        <w:t>Stanley Druckenmiller, fundador de Duquesne Capital en 1981, indicó en mayo que el mercado alcista le recordaba al boom de las puntocom, pero advirtió que los precios de los activos podrían segu</w:t>
      </w:r>
      <w:r w:rsidR="00F71A32">
        <w:rPr>
          <w:rFonts w:ascii="Times New Roman" w:hAnsi="Times New Roman" w:cs="Times New Roman"/>
          <w:color w:val="FF0000"/>
          <w:sz w:val="24"/>
          <w:szCs w:val="24"/>
          <w:u w:val="single"/>
        </w:rPr>
        <w:t>ir subiendo durante un tiempo. “</w:t>
      </w:r>
      <w:r w:rsidRPr="000422CB">
        <w:rPr>
          <w:rFonts w:ascii="Times New Roman" w:hAnsi="Times New Roman" w:cs="Times New Roman"/>
          <w:color w:val="FF0000"/>
          <w:sz w:val="24"/>
          <w:szCs w:val="24"/>
          <w:u w:val="single"/>
        </w:rPr>
        <w:t xml:space="preserve">No tengo ninguna duda de que estamos en una manía desenfrenada en todos los activos. Tampoco tengo ninguna duda de que no tengo </w:t>
      </w:r>
      <w:r w:rsidR="00F71A32">
        <w:rPr>
          <w:rFonts w:ascii="Times New Roman" w:hAnsi="Times New Roman" w:cs="Times New Roman"/>
          <w:color w:val="FF0000"/>
          <w:sz w:val="24"/>
          <w:szCs w:val="24"/>
          <w:u w:val="single"/>
        </w:rPr>
        <w:t>ni idea de cuándo va a terminar”</w:t>
      </w:r>
      <w:r w:rsidRPr="000422CB">
        <w:rPr>
          <w:rFonts w:ascii="Times New Roman" w:hAnsi="Times New Roman" w:cs="Times New Roman"/>
          <w:color w:val="FF0000"/>
          <w:sz w:val="24"/>
          <w:szCs w:val="24"/>
          <w:u w:val="single"/>
        </w:rPr>
        <w:t>, advirt</w:t>
      </w:r>
      <w:r w:rsidR="00F71A32">
        <w:rPr>
          <w:rFonts w:ascii="Times New Roman" w:hAnsi="Times New Roman" w:cs="Times New Roman"/>
          <w:color w:val="FF0000"/>
          <w:sz w:val="24"/>
          <w:szCs w:val="24"/>
          <w:u w:val="single"/>
        </w:rPr>
        <w:t>ió el célebre multimillonario. “</w:t>
      </w:r>
      <w:r w:rsidRPr="000422CB">
        <w:rPr>
          <w:rFonts w:ascii="Times New Roman" w:hAnsi="Times New Roman" w:cs="Times New Roman"/>
          <w:color w:val="FF0000"/>
          <w:sz w:val="24"/>
          <w:szCs w:val="24"/>
          <w:u w:val="single"/>
        </w:rPr>
        <w:t>Me sorprendería que no hayamos salido del mercado de valores para finales de este año. Las</w:t>
      </w:r>
      <w:r w:rsidR="00F71A32">
        <w:rPr>
          <w:rFonts w:ascii="Times New Roman" w:hAnsi="Times New Roman" w:cs="Times New Roman"/>
          <w:color w:val="FF0000"/>
          <w:sz w:val="24"/>
          <w:szCs w:val="24"/>
          <w:u w:val="single"/>
        </w:rPr>
        <w:t xml:space="preserve"> burbujas no pueden durar tanto”</w:t>
      </w:r>
      <w:r w:rsidRPr="000422CB">
        <w:rPr>
          <w:rFonts w:ascii="Times New Roman" w:hAnsi="Times New Roman" w:cs="Times New Roman"/>
          <w:color w:val="FF0000"/>
          <w:sz w:val="24"/>
          <w:szCs w:val="24"/>
          <w:u w:val="single"/>
        </w:rPr>
        <w:t>, aseguró.</w:t>
      </w:r>
    </w:p>
    <w:p w:rsidR="00835296" w:rsidRPr="00F950BB" w:rsidRDefault="00835296" w:rsidP="00FA4DA9">
      <w:pPr>
        <w:spacing w:line="240" w:lineRule="auto"/>
        <w:jc w:val="both"/>
        <w:rPr>
          <w:rFonts w:ascii="Times New Roman" w:hAnsi="Times New Roman" w:cs="Times New Roman"/>
          <w:sz w:val="24"/>
          <w:szCs w:val="24"/>
        </w:rPr>
      </w:pPr>
      <w:r w:rsidRPr="00F950BB">
        <w:rPr>
          <w:rFonts w:ascii="Times New Roman" w:hAnsi="Times New Roman" w:cs="Times New Roman"/>
          <w:sz w:val="24"/>
          <w:szCs w:val="24"/>
        </w:rPr>
        <w:t xml:space="preserve">El empresario estadounidense, creador y fundador de Cashflow Technologies y autor de Padre rico, padre pobre, </w:t>
      </w:r>
      <w:r w:rsidRPr="00EE3E37">
        <w:rPr>
          <w:rFonts w:ascii="Times New Roman" w:hAnsi="Times New Roman" w:cs="Times New Roman"/>
          <w:color w:val="FF0000"/>
          <w:sz w:val="24"/>
          <w:szCs w:val="24"/>
          <w:u w:val="single"/>
        </w:rPr>
        <w:t>Robert Kiyosaki, advierte de un devastador desplome del mercado e insta repetidamente a los inversores a</w:t>
      </w:r>
      <w:r w:rsidR="00F71A32">
        <w:rPr>
          <w:rFonts w:ascii="Times New Roman" w:hAnsi="Times New Roman" w:cs="Times New Roman"/>
          <w:color w:val="FF0000"/>
          <w:sz w:val="24"/>
          <w:szCs w:val="24"/>
          <w:u w:val="single"/>
        </w:rPr>
        <w:t xml:space="preserve"> comprar oro, plata y bitcoin. “</w:t>
      </w:r>
      <w:r w:rsidRPr="00EE3E37">
        <w:rPr>
          <w:rFonts w:ascii="Times New Roman" w:hAnsi="Times New Roman" w:cs="Times New Roman"/>
          <w:color w:val="FF0000"/>
          <w:sz w:val="24"/>
          <w:szCs w:val="24"/>
          <w:u w:val="single"/>
        </w:rPr>
        <w:t xml:space="preserve">El mejor momento para prepararse para una crisis es antes de la crisis. La mayor caída de la historia del mundo está por llegar. La buena noticia es que el mejor momento para enriquecerse es durante una crisis. La mala noticia es que la próxima caída será larga. Consigue más oro, plata y bitcoin </w:t>
      </w:r>
      <w:r w:rsidR="00F71A32">
        <w:rPr>
          <w:rFonts w:ascii="Times New Roman" w:hAnsi="Times New Roman" w:cs="Times New Roman"/>
          <w:color w:val="FF0000"/>
          <w:sz w:val="24"/>
          <w:szCs w:val="24"/>
          <w:u w:val="single"/>
        </w:rPr>
        <w:t>mientras puedas. Tengan cuidado”</w:t>
      </w:r>
      <w:r w:rsidRPr="00EE3E37">
        <w:rPr>
          <w:rFonts w:ascii="Times New Roman" w:hAnsi="Times New Roman" w:cs="Times New Roman"/>
          <w:color w:val="FF0000"/>
          <w:sz w:val="24"/>
          <w:szCs w:val="24"/>
          <w:u w:val="single"/>
        </w:rPr>
        <w:t>,</w:t>
      </w:r>
      <w:r w:rsidRPr="00F950BB">
        <w:rPr>
          <w:rFonts w:ascii="Times New Roman" w:hAnsi="Times New Roman" w:cs="Times New Roman"/>
          <w:sz w:val="24"/>
          <w:szCs w:val="24"/>
        </w:rPr>
        <w:t xml:space="preserve"> escribió recient</w:t>
      </w:r>
      <w:r>
        <w:rPr>
          <w:rFonts w:ascii="Times New Roman" w:hAnsi="Times New Roman" w:cs="Times New Roman"/>
          <w:sz w:val="24"/>
          <w:szCs w:val="24"/>
        </w:rPr>
        <w:t>emente en su cuenta de Twitter.</w:t>
      </w:r>
    </w:p>
    <w:p w:rsidR="00835296" w:rsidRPr="00EE3E37" w:rsidRDefault="00835296" w:rsidP="00FA4DA9">
      <w:pPr>
        <w:spacing w:line="240" w:lineRule="auto"/>
        <w:jc w:val="both"/>
        <w:rPr>
          <w:rFonts w:ascii="Times New Roman" w:hAnsi="Times New Roman" w:cs="Times New Roman"/>
          <w:color w:val="FF0000"/>
          <w:sz w:val="24"/>
          <w:szCs w:val="24"/>
          <w:u w:val="single"/>
        </w:rPr>
      </w:pPr>
      <w:r w:rsidRPr="00EE3E37">
        <w:rPr>
          <w:rFonts w:ascii="Times New Roman" w:hAnsi="Times New Roman" w:cs="Times New Roman"/>
          <w:color w:val="FF0000"/>
          <w:sz w:val="24"/>
          <w:szCs w:val="24"/>
          <w:u w:val="single"/>
        </w:rPr>
        <w:t>Gary Shilling, analista financiero que supo alertar sobre previos colapsos del mercado, cree que tanto las acciones globales como las criptomonedas viven un presente comparable a la crisis de los tulipanes de Holanda en el 1600</w:t>
      </w:r>
      <w:r w:rsidRPr="00F950BB">
        <w:rPr>
          <w:rFonts w:ascii="Times New Roman" w:hAnsi="Times New Roman" w:cs="Times New Roman"/>
          <w:sz w:val="24"/>
          <w:szCs w:val="24"/>
        </w:rPr>
        <w:t xml:space="preserve">. Para este prestigioso inversor, las políticas expansivas de la Reserva Federal y al Tesoro de los Estados Unidos inflaron los precios de los activos financieros en general. </w:t>
      </w:r>
      <w:r w:rsidRPr="00EE3E37">
        <w:rPr>
          <w:rFonts w:ascii="Times New Roman" w:hAnsi="Times New Roman" w:cs="Times New Roman"/>
          <w:color w:val="FF0000"/>
          <w:sz w:val="24"/>
          <w:szCs w:val="24"/>
          <w:u w:val="single"/>
        </w:rPr>
        <w:t>Además, apuntó que los temores a un repunte de la inflación están sin embargo exagerados e instó a los inversores a mantenerse al margen del frenesí de compras ante lo que estima será el estallido de una nueva burbuja.</w:t>
      </w:r>
    </w:p>
    <w:p w:rsidR="00835296" w:rsidRPr="00F950BB" w:rsidRDefault="00835296" w:rsidP="00FA4DA9">
      <w:pPr>
        <w:spacing w:line="240" w:lineRule="auto"/>
        <w:jc w:val="both"/>
        <w:rPr>
          <w:rFonts w:ascii="Times New Roman" w:hAnsi="Times New Roman" w:cs="Times New Roman"/>
          <w:sz w:val="24"/>
          <w:szCs w:val="24"/>
        </w:rPr>
      </w:pPr>
      <w:r w:rsidRPr="00F950BB">
        <w:rPr>
          <w:rFonts w:ascii="Times New Roman" w:hAnsi="Times New Roman" w:cs="Times New Roman"/>
          <w:sz w:val="24"/>
          <w:szCs w:val="24"/>
        </w:rPr>
        <w:t>Críticas a la Fed</w:t>
      </w:r>
    </w:p>
    <w:p w:rsidR="00835296" w:rsidRPr="00F71A32" w:rsidRDefault="00835296" w:rsidP="00FA4DA9">
      <w:pPr>
        <w:spacing w:line="240" w:lineRule="auto"/>
        <w:jc w:val="both"/>
        <w:rPr>
          <w:rFonts w:ascii="Times New Roman" w:hAnsi="Times New Roman" w:cs="Times New Roman"/>
          <w:b/>
          <w:color w:val="FF0000"/>
          <w:sz w:val="24"/>
          <w:szCs w:val="24"/>
          <w:u w:val="single"/>
        </w:rPr>
      </w:pPr>
      <w:r w:rsidRPr="00F71A32">
        <w:rPr>
          <w:rFonts w:ascii="Times New Roman" w:hAnsi="Times New Roman" w:cs="Times New Roman"/>
          <w:b/>
          <w:color w:val="FF0000"/>
          <w:sz w:val="24"/>
          <w:szCs w:val="24"/>
          <w:u w:val="single"/>
        </w:rPr>
        <w:t>La forma de actuar de la Reserva Federal de Estados Unidos (Fed) ha puesto de acuerdo a muchos de los actuales inversores, que no dudan en hacerla responsable de inflar el mercado y f</w:t>
      </w:r>
      <w:r w:rsidR="00F71A32" w:rsidRPr="00F71A32">
        <w:rPr>
          <w:rFonts w:ascii="Times New Roman" w:hAnsi="Times New Roman" w:cs="Times New Roman"/>
          <w:b/>
          <w:color w:val="FF0000"/>
          <w:sz w:val="24"/>
          <w:szCs w:val="24"/>
          <w:u w:val="single"/>
        </w:rPr>
        <w:t>omentar la especulación. Desde “</w:t>
      </w:r>
      <w:r w:rsidRPr="00F71A32">
        <w:rPr>
          <w:rFonts w:ascii="Times New Roman" w:hAnsi="Times New Roman" w:cs="Times New Roman"/>
          <w:b/>
          <w:color w:val="FF0000"/>
          <w:sz w:val="24"/>
          <w:szCs w:val="24"/>
          <w:u w:val="single"/>
        </w:rPr>
        <w:t>sobreestimular l</w:t>
      </w:r>
      <w:r w:rsidR="00F71A32" w:rsidRPr="00F71A32">
        <w:rPr>
          <w:rFonts w:ascii="Times New Roman" w:hAnsi="Times New Roman" w:cs="Times New Roman"/>
          <w:b/>
          <w:color w:val="FF0000"/>
          <w:sz w:val="24"/>
          <w:szCs w:val="24"/>
          <w:u w:val="single"/>
        </w:rPr>
        <w:t xml:space="preserve">os mercados y </w:t>
      </w:r>
      <w:r w:rsidR="00F71A32" w:rsidRPr="00F71A32">
        <w:rPr>
          <w:rFonts w:ascii="Times New Roman" w:hAnsi="Times New Roman" w:cs="Times New Roman"/>
          <w:b/>
          <w:color w:val="FF0000"/>
          <w:sz w:val="24"/>
          <w:szCs w:val="24"/>
          <w:u w:val="single"/>
        </w:rPr>
        <w:lastRenderedPageBreak/>
        <w:t>devaluar el dólar”</w:t>
      </w:r>
      <w:r w:rsidRPr="00F71A32">
        <w:rPr>
          <w:rFonts w:ascii="Times New Roman" w:hAnsi="Times New Roman" w:cs="Times New Roman"/>
          <w:b/>
          <w:color w:val="FF0000"/>
          <w:sz w:val="24"/>
          <w:szCs w:val="24"/>
          <w:u w:val="single"/>
        </w:rPr>
        <w:t xml:space="preserve"> (Kiyosaki), se</w:t>
      </w:r>
      <w:r w:rsidR="00F71A32" w:rsidRPr="00F71A32">
        <w:rPr>
          <w:rFonts w:ascii="Times New Roman" w:hAnsi="Times New Roman" w:cs="Times New Roman"/>
          <w:b/>
          <w:color w:val="FF0000"/>
          <w:sz w:val="24"/>
          <w:szCs w:val="24"/>
          <w:u w:val="single"/>
        </w:rPr>
        <w:t>r la “</w:t>
      </w:r>
      <w:r w:rsidRPr="00F71A32">
        <w:rPr>
          <w:rFonts w:ascii="Times New Roman" w:hAnsi="Times New Roman" w:cs="Times New Roman"/>
          <w:b/>
          <w:color w:val="FF0000"/>
          <w:sz w:val="24"/>
          <w:szCs w:val="24"/>
          <w:u w:val="single"/>
        </w:rPr>
        <w:t>responsable del dogecoin, bitcoin y otras crip</w:t>
      </w:r>
      <w:r w:rsidR="00F71A32" w:rsidRPr="00F71A32">
        <w:rPr>
          <w:rFonts w:ascii="Times New Roman" w:hAnsi="Times New Roman" w:cs="Times New Roman"/>
          <w:b/>
          <w:color w:val="FF0000"/>
          <w:sz w:val="24"/>
          <w:szCs w:val="24"/>
          <w:u w:val="single"/>
        </w:rPr>
        <w:t>todivisas, todas especulaciones” (Shilling), “</w:t>
      </w:r>
      <w:r w:rsidRPr="00F71A32">
        <w:rPr>
          <w:rFonts w:ascii="Times New Roman" w:hAnsi="Times New Roman" w:cs="Times New Roman"/>
          <w:b/>
          <w:color w:val="FF0000"/>
          <w:sz w:val="24"/>
          <w:szCs w:val="24"/>
          <w:u w:val="single"/>
        </w:rPr>
        <w:t>amenazar el futuro del dól</w:t>
      </w:r>
      <w:r w:rsidR="00F71A32" w:rsidRPr="00F71A32">
        <w:rPr>
          <w:rFonts w:ascii="Times New Roman" w:hAnsi="Times New Roman" w:cs="Times New Roman"/>
          <w:b/>
          <w:color w:val="FF0000"/>
          <w:sz w:val="24"/>
          <w:szCs w:val="24"/>
          <w:u w:val="single"/>
        </w:rPr>
        <w:t>ar con sus políticas expansivas”</w:t>
      </w:r>
      <w:r w:rsidRPr="00F71A32">
        <w:rPr>
          <w:rFonts w:ascii="Times New Roman" w:hAnsi="Times New Roman" w:cs="Times New Roman"/>
          <w:b/>
          <w:color w:val="FF0000"/>
          <w:sz w:val="24"/>
          <w:szCs w:val="24"/>
          <w:u w:val="single"/>
        </w:rPr>
        <w:t xml:space="preserve"> (Druckenmiller), ser la culpable de que los inversores asumieran mayores riesgos (Cooperman), hasta</w:t>
      </w:r>
      <w:r w:rsidR="00F71A32" w:rsidRPr="00F71A32">
        <w:rPr>
          <w:rFonts w:ascii="Times New Roman" w:hAnsi="Times New Roman" w:cs="Times New Roman"/>
          <w:b/>
          <w:color w:val="FF0000"/>
          <w:sz w:val="24"/>
          <w:szCs w:val="24"/>
          <w:u w:val="single"/>
        </w:rPr>
        <w:t xml:space="preserve"> “</w:t>
      </w:r>
      <w:r w:rsidRPr="00F71A32">
        <w:rPr>
          <w:rFonts w:ascii="Times New Roman" w:hAnsi="Times New Roman" w:cs="Times New Roman"/>
          <w:b/>
          <w:color w:val="FF0000"/>
          <w:sz w:val="24"/>
          <w:szCs w:val="24"/>
          <w:u w:val="single"/>
        </w:rPr>
        <w:t>acusarla de que no hay nad</w:t>
      </w:r>
      <w:r w:rsidR="00F71A32" w:rsidRPr="00F71A32">
        <w:rPr>
          <w:rFonts w:ascii="Times New Roman" w:hAnsi="Times New Roman" w:cs="Times New Roman"/>
          <w:b/>
          <w:color w:val="FF0000"/>
          <w:sz w:val="24"/>
          <w:szCs w:val="24"/>
          <w:u w:val="single"/>
        </w:rPr>
        <w:t>ie al volante desde hace tiempo”</w:t>
      </w:r>
      <w:r w:rsidRPr="00F71A32">
        <w:rPr>
          <w:rFonts w:ascii="Times New Roman" w:hAnsi="Times New Roman" w:cs="Times New Roman"/>
          <w:b/>
          <w:color w:val="FF0000"/>
          <w:sz w:val="24"/>
          <w:szCs w:val="24"/>
          <w:u w:val="single"/>
        </w:rPr>
        <w:t xml:space="preserve"> (Grantham).</w:t>
      </w:r>
    </w:p>
    <w:p w:rsidR="00835296" w:rsidRPr="00400D2D" w:rsidRDefault="00835296"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00D2D">
        <w:rPr>
          <w:rFonts w:ascii="Times New Roman" w:hAnsi="Times New Roman" w:cs="Times New Roman"/>
          <w:sz w:val="24"/>
          <w:szCs w:val="24"/>
          <w:u w:val="single"/>
        </w:rPr>
        <w:t>La deuda pública de la zona euro supera por primera vez el 100% de su PIB</w:t>
      </w:r>
      <w:r>
        <w:rPr>
          <w:rFonts w:ascii="Times New Roman" w:hAnsi="Times New Roman" w:cs="Times New Roman"/>
          <w:sz w:val="24"/>
          <w:szCs w:val="24"/>
        </w:rPr>
        <w:t xml:space="preserve"> (Cinco Días - </w:t>
      </w:r>
      <w:r w:rsidRPr="00400D2D">
        <w:rPr>
          <w:rFonts w:ascii="Times New Roman" w:hAnsi="Times New Roman" w:cs="Times New Roman"/>
          <w:b/>
          <w:sz w:val="24"/>
          <w:szCs w:val="24"/>
        </w:rPr>
        <w:t>22/7/21</w:t>
      </w:r>
      <w:r>
        <w:rPr>
          <w:rFonts w:ascii="Times New Roman" w:hAnsi="Times New Roman" w:cs="Times New Roman"/>
          <w:sz w:val="24"/>
          <w:szCs w:val="24"/>
        </w:rPr>
        <w:t>)</w:t>
      </w:r>
    </w:p>
    <w:p w:rsidR="00835296" w:rsidRPr="00400D2D" w:rsidRDefault="00835296"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400D2D">
        <w:rPr>
          <w:rFonts w:ascii="Times New Roman" w:hAnsi="Times New Roman" w:cs="Times New Roman"/>
          <w:sz w:val="24"/>
          <w:szCs w:val="24"/>
        </w:rPr>
        <w:t>J. Portillo</w:t>
      </w:r>
      <w:r>
        <w:rPr>
          <w:rFonts w:ascii="Times New Roman" w:hAnsi="Times New Roman" w:cs="Times New Roman"/>
          <w:sz w:val="24"/>
          <w:szCs w:val="24"/>
        </w:rPr>
        <w:t>)</w:t>
      </w:r>
    </w:p>
    <w:p w:rsidR="00835296" w:rsidRPr="00F71A32" w:rsidRDefault="00835296" w:rsidP="00FA4DA9">
      <w:pPr>
        <w:spacing w:line="240" w:lineRule="auto"/>
        <w:jc w:val="both"/>
        <w:rPr>
          <w:rFonts w:ascii="Times New Roman" w:hAnsi="Times New Roman" w:cs="Times New Roman"/>
          <w:b/>
          <w:color w:val="FF0000"/>
          <w:sz w:val="24"/>
          <w:szCs w:val="24"/>
          <w:u w:val="single"/>
        </w:rPr>
      </w:pPr>
      <w:r w:rsidRPr="00F71A32">
        <w:rPr>
          <w:rFonts w:ascii="Times New Roman" w:hAnsi="Times New Roman" w:cs="Times New Roman"/>
          <w:b/>
          <w:color w:val="FF0000"/>
          <w:sz w:val="24"/>
          <w:szCs w:val="24"/>
          <w:u w:val="single"/>
        </w:rPr>
        <w:t>La deuda de la zona euro es ya, por primera vez en su historia, mayor que el conjunto de su economía. Así lo arrojan los datos publicados este jueves por la oficina estadística comunitaria, Eurostat, que revela que el endeudamiento de la eurozona escaló en el primer trimestre del año al 100,5% del PIB, tras culminar 2020 en el 97,8%, como resultado de los sobreesfuerzos realizadas para abonar la factura de la pandemia.</w:t>
      </w:r>
    </w:p>
    <w:p w:rsidR="00835296" w:rsidRDefault="00835296" w:rsidP="00FA4DA9">
      <w:pPr>
        <w:spacing w:line="240" w:lineRule="auto"/>
        <w:jc w:val="both"/>
        <w:rPr>
          <w:rFonts w:ascii="Times New Roman" w:hAnsi="Times New Roman" w:cs="Times New Roman"/>
          <w:b/>
          <w:color w:val="FF0000"/>
          <w:sz w:val="24"/>
          <w:szCs w:val="24"/>
          <w:u w:val="single"/>
        </w:rPr>
      </w:pPr>
      <w:r w:rsidRPr="00F71A32">
        <w:rPr>
          <w:rFonts w:ascii="Times New Roman" w:hAnsi="Times New Roman" w:cs="Times New Roman"/>
          <w:b/>
          <w:color w:val="FF0000"/>
          <w:sz w:val="24"/>
          <w:szCs w:val="24"/>
          <w:u w:val="single"/>
        </w:rPr>
        <w:t>La subida también ha sido destacable en la Unión Europea, aunque sin superar el PIB conjunto de los Veintisiete Estados miembros, elevándose del 90,5% al 92,9% a cierre de marzo de este año. Las cifras suponen una deuda total de 11,43 billones en la eurozona y de 12,42 en la UE.</w:t>
      </w:r>
    </w:p>
    <w:p w:rsidR="00535EFA" w:rsidRPr="00400D2D" w:rsidRDefault="00535EFA" w:rsidP="00FA4DA9">
      <w:pPr>
        <w:spacing w:line="240" w:lineRule="auto"/>
        <w:jc w:val="both"/>
        <w:rPr>
          <w:rFonts w:ascii="Times New Roman" w:hAnsi="Times New Roman" w:cs="Times New Roman"/>
          <w:sz w:val="24"/>
          <w:szCs w:val="24"/>
        </w:rPr>
      </w:pPr>
      <w:r w:rsidRPr="00CA4AB1">
        <w:rPr>
          <w:rFonts w:ascii="Times New Roman" w:hAnsi="Times New Roman" w:cs="Times New Roman"/>
          <w:sz w:val="24"/>
          <w:szCs w:val="24"/>
          <w:u w:val="single"/>
        </w:rPr>
        <w:t>El ascenso en el último año, que arroja la diferencia producida desde el estallido de la pandemia en Europa</w:t>
      </w:r>
      <w:r w:rsidRPr="00400D2D">
        <w:rPr>
          <w:rFonts w:ascii="Times New Roman" w:hAnsi="Times New Roman" w:cs="Times New Roman"/>
          <w:sz w:val="24"/>
          <w:szCs w:val="24"/>
        </w:rPr>
        <w:t xml:space="preserve">, refleja un incremento del 86,1% al 100,5% en la eurozona, del 79,2% al 92,9% en la UE y del 95,5% al 125,2% en España. </w:t>
      </w:r>
      <w:r w:rsidRPr="00CA4AB1">
        <w:rPr>
          <w:rFonts w:ascii="Times New Roman" w:hAnsi="Times New Roman" w:cs="Times New Roman"/>
          <w:sz w:val="24"/>
          <w:szCs w:val="24"/>
          <w:u w:val="single"/>
        </w:rPr>
        <w:t>El monto ronda los 1,4 billones</w:t>
      </w:r>
      <w:r w:rsidRPr="00400D2D">
        <w:rPr>
          <w:rFonts w:ascii="Times New Roman" w:hAnsi="Times New Roman" w:cs="Times New Roman"/>
          <w:sz w:val="24"/>
          <w:szCs w:val="24"/>
        </w:rPr>
        <w:t>.</w:t>
      </w:r>
    </w:p>
    <w:p w:rsidR="00535EFA" w:rsidRPr="00CA4AB1" w:rsidRDefault="00535EFA" w:rsidP="00FA4DA9">
      <w:pPr>
        <w:spacing w:line="240" w:lineRule="auto"/>
        <w:jc w:val="both"/>
        <w:rPr>
          <w:rFonts w:ascii="Times New Roman" w:hAnsi="Times New Roman" w:cs="Times New Roman"/>
          <w:sz w:val="24"/>
          <w:szCs w:val="24"/>
          <w:u w:val="single"/>
        </w:rPr>
      </w:pPr>
      <w:r w:rsidRPr="00CA4AB1">
        <w:rPr>
          <w:rFonts w:ascii="Times New Roman" w:hAnsi="Times New Roman" w:cs="Times New Roman"/>
          <w:sz w:val="24"/>
          <w:szCs w:val="24"/>
          <w:u w:val="single"/>
        </w:rPr>
        <w:t>Cuatro países, sin embargo, superan el nivel de endeudamiento alcanzado por España como consecuencia de los costes asociados a combatir el virus y los efectos de la crisis económica que ha abierto en todo el planeta. Se trata de Grecia (209,3%), Italia (160%), Portugal (137,2%) y Chipre (125,7%).</w:t>
      </w:r>
    </w:p>
    <w:p w:rsidR="00535EFA" w:rsidRPr="00CA4AB1" w:rsidRDefault="00535EFA" w:rsidP="00FA4DA9">
      <w:pPr>
        <w:spacing w:line="240" w:lineRule="auto"/>
        <w:jc w:val="both"/>
        <w:rPr>
          <w:rFonts w:ascii="Times New Roman" w:hAnsi="Times New Roman" w:cs="Times New Roman"/>
          <w:sz w:val="24"/>
          <w:szCs w:val="24"/>
          <w:u w:val="single"/>
        </w:rPr>
      </w:pPr>
      <w:r w:rsidRPr="00400D2D">
        <w:rPr>
          <w:rFonts w:ascii="Times New Roman" w:hAnsi="Times New Roman" w:cs="Times New Roman"/>
          <w:sz w:val="24"/>
          <w:szCs w:val="24"/>
        </w:rPr>
        <w:t xml:space="preserve">Quedan justo por debajo Bélgica (118,6%) y Francia (118%), </w:t>
      </w:r>
      <w:r w:rsidRPr="00CA4AB1">
        <w:rPr>
          <w:rFonts w:ascii="Times New Roman" w:hAnsi="Times New Roman" w:cs="Times New Roman"/>
          <w:sz w:val="24"/>
          <w:szCs w:val="24"/>
          <w:u w:val="single"/>
        </w:rPr>
        <w:t>mientras que los menores niveles de endeudamiento se dan en Estonia (18,5%), Bulgaria (25,1%) y Luxemburgo (28,1%).</w:t>
      </w:r>
    </w:p>
    <w:p w:rsidR="00535EFA" w:rsidRDefault="00535EFA" w:rsidP="00FA4DA9">
      <w:pPr>
        <w:spacing w:line="240" w:lineRule="auto"/>
        <w:jc w:val="both"/>
        <w:rPr>
          <w:rFonts w:ascii="Times New Roman" w:hAnsi="Times New Roman" w:cs="Times New Roman"/>
          <w:sz w:val="24"/>
          <w:szCs w:val="24"/>
        </w:rPr>
      </w:pPr>
      <w:r w:rsidRPr="00400D2D">
        <w:rPr>
          <w:rFonts w:ascii="Times New Roman" w:hAnsi="Times New Roman" w:cs="Times New Roman"/>
          <w:sz w:val="24"/>
          <w:szCs w:val="24"/>
        </w:rPr>
        <w:t>España sella, en todo caso, el tercer mayor aumento trimestral (de 5,3 puntos, tras los 6,5 de Chipre y los 6,3 de la República Checa) y el tercer mayor salto anual (26,2 puntos, tras los 29,5 de Chipre y los 28,6 de Grecia).</w:t>
      </w:r>
    </w:p>
    <w:p w:rsidR="00B06032" w:rsidRPr="00400D2D" w:rsidRDefault="00B06032" w:rsidP="00B06032">
      <w:pPr>
        <w:spacing w:line="240" w:lineRule="auto"/>
        <w:jc w:val="both"/>
        <w:rPr>
          <w:rFonts w:ascii="Times New Roman" w:hAnsi="Times New Roman" w:cs="Times New Roman"/>
          <w:sz w:val="24"/>
          <w:szCs w:val="24"/>
        </w:rPr>
      </w:pPr>
      <w:r w:rsidRPr="00400D2D">
        <w:rPr>
          <w:rFonts w:ascii="Times New Roman" w:hAnsi="Times New Roman" w:cs="Times New Roman"/>
          <w:sz w:val="24"/>
          <w:szCs w:val="24"/>
        </w:rPr>
        <w:t>Relajación del déficit</w:t>
      </w:r>
    </w:p>
    <w:p w:rsidR="00B06032" w:rsidRPr="00F71A32" w:rsidRDefault="00B06032" w:rsidP="00B06032">
      <w:pPr>
        <w:spacing w:line="240" w:lineRule="auto"/>
        <w:jc w:val="both"/>
        <w:rPr>
          <w:rFonts w:ascii="Times New Roman" w:hAnsi="Times New Roman" w:cs="Times New Roman"/>
          <w:color w:val="FF0000"/>
          <w:sz w:val="24"/>
          <w:szCs w:val="24"/>
          <w:u w:val="single"/>
        </w:rPr>
      </w:pPr>
      <w:r w:rsidRPr="00CA4AB1">
        <w:rPr>
          <w:rFonts w:ascii="Times New Roman" w:hAnsi="Times New Roman" w:cs="Times New Roman"/>
          <w:color w:val="FF0000"/>
          <w:sz w:val="24"/>
          <w:szCs w:val="24"/>
          <w:u w:val="single"/>
        </w:rPr>
        <w:t>En paralelo a la evolución de la deuda pública, el déficit de la eurozona se relaja en el primer trimestre de 2021 del 8,1% de cierre del año pasado al 7,4%, mientras que el</w:t>
      </w:r>
      <w:r>
        <w:rPr>
          <w:rFonts w:ascii="Times New Roman" w:hAnsi="Times New Roman" w:cs="Times New Roman"/>
          <w:color w:val="FF0000"/>
          <w:sz w:val="24"/>
          <w:szCs w:val="24"/>
          <w:u w:val="single"/>
        </w:rPr>
        <w:t xml:space="preserve"> de la UE cae del 7,5% al 6,8%.</w:t>
      </w:r>
    </w:p>
    <w:p w:rsidR="00B06032" w:rsidRPr="00CA4AB1" w:rsidRDefault="00B06032" w:rsidP="00B06032">
      <w:pPr>
        <w:spacing w:line="240" w:lineRule="auto"/>
        <w:jc w:val="both"/>
        <w:rPr>
          <w:rFonts w:ascii="Times New Roman" w:hAnsi="Times New Roman" w:cs="Times New Roman"/>
          <w:sz w:val="24"/>
          <w:szCs w:val="24"/>
          <w:u w:val="single"/>
        </w:rPr>
      </w:pPr>
      <w:r w:rsidRPr="00400D2D">
        <w:rPr>
          <w:rFonts w:ascii="Times New Roman" w:hAnsi="Times New Roman" w:cs="Times New Roman"/>
          <w:sz w:val="24"/>
          <w:szCs w:val="24"/>
        </w:rPr>
        <w:t>La evolución se produce gracias a la moderación del gasto asociado a la crisis, pues los ingresos se mantuvieron estables, según Eurostat. En concreto</w:t>
      </w:r>
      <w:r w:rsidRPr="00CA4AB1">
        <w:rPr>
          <w:rFonts w:ascii="Times New Roman" w:hAnsi="Times New Roman" w:cs="Times New Roman"/>
          <w:sz w:val="24"/>
          <w:szCs w:val="24"/>
          <w:u w:val="single"/>
        </w:rPr>
        <w:t>, el conjunto de los ingresos de la eurozona se mantiene en el 46,6% del PIB, mientras que el gasto desciende del 54,7% al 54%. En el conjunto de la UE, los ingresos se mantienen en el 46,3% y el gasto cae del 53,9% al 53,1%.</w:t>
      </w:r>
    </w:p>
    <w:p w:rsidR="00B06032" w:rsidRPr="00CA4AB1" w:rsidRDefault="00B06032" w:rsidP="00B06032">
      <w:pPr>
        <w:spacing w:line="240" w:lineRule="auto"/>
        <w:jc w:val="both"/>
        <w:rPr>
          <w:rFonts w:ascii="Times New Roman" w:hAnsi="Times New Roman" w:cs="Times New Roman"/>
          <w:color w:val="FF0000"/>
          <w:sz w:val="24"/>
          <w:szCs w:val="24"/>
          <w:u w:val="single"/>
        </w:rPr>
      </w:pPr>
      <w:r w:rsidRPr="00CA4AB1">
        <w:rPr>
          <w:rFonts w:ascii="Times New Roman" w:hAnsi="Times New Roman" w:cs="Times New Roman"/>
          <w:color w:val="FF0000"/>
          <w:sz w:val="24"/>
          <w:szCs w:val="24"/>
          <w:u w:val="single"/>
        </w:rPr>
        <w:t xml:space="preserve">En el caso de España, donde el déficit saltó del 2,8% al 11,9% durante el pasado año (llegando a alcanzar un 19,6% en primavera de 2020), el desequilibrio presupuestario se </w:t>
      </w:r>
      <w:r w:rsidRPr="00CA4AB1">
        <w:rPr>
          <w:rFonts w:ascii="Times New Roman" w:hAnsi="Times New Roman" w:cs="Times New Roman"/>
          <w:color w:val="FF0000"/>
          <w:sz w:val="24"/>
          <w:szCs w:val="24"/>
          <w:u w:val="single"/>
        </w:rPr>
        <w:lastRenderedPageBreak/>
        <w:t>relaja hasta el 8,2% del PIB a cierre de marzo, lo que sigue suponiendo la cuarta mayor marca de la eurozona y la séptima de la UE.</w:t>
      </w:r>
    </w:p>
    <w:p w:rsidR="00B06032" w:rsidRPr="00400D2D" w:rsidRDefault="00B06032" w:rsidP="00B06032">
      <w:pPr>
        <w:spacing w:line="240" w:lineRule="auto"/>
        <w:jc w:val="both"/>
        <w:rPr>
          <w:rFonts w:ascii="Times New Roman" w:hAnsi="Times New Roman" w:cs="Times New Roman"/>
          <w:sz w:val="24"/>
          <w:szCs w:val="24"/>
        </w:rPr>
      </w:pPr>
      <w:r w:rsidRPr="00400D2D">
        <w:rPr>
          <w:rFonts w:ascii="Times New Roman" w:hAnsi="Times New Roman" w:cs="Times New Roman"/>
          <w:sz w:val="24"/>
          <w:szCs w:val="24"/>
        </w:rPr>
        <w:t>Superan el agujero fiscal español Malta (9,8%), Francia (9,3%) y República Checa (8,8%), Hu</w:t>
      </w:r>
      <w:r>
        <w:rPr>
          <w:rFonts w:ascii="Times New Roman" w:hAnsi="Times New Roman" w:cs="Times New Roman"/>
          <w:sz w:val="24"/>
          <w:szCs w:val="24"/>
        </w:rPr>
        <w:t>ngría (-8,5%) y Rumanía (8,3%).</w:t>
      </w:r>
    </w:p>
    <w:p w:rsidR="00B06032" w:rsidRDefault="00B06032" w:rsidP="00B06032">
      <w:pPr>
        <w:spacing w:line="240" w:lineRule="auto"/>
        <w:jc w:val="both"/>
        <w:rPr>
          <w:rFonts w:ascii="Times New Roman" w:hAnsi="Times New Roman" w:cs="Times New Roman"/>
          <w:sz w:val="24"/>
          <w:szCs w:val="24"/>
        </w:rPr>
      </w:pPr>
      <w:r w:rsidRPr="00400D2D">
        <w:rPr>
          <w:rFonts w:ascii="Times New Roman" w:hAnsi="Times New Roman" w:cs="Times New Roman"/>
          <w:sz w:val="24"/>
          <w:szCs w:val="24"/>
        </w:rPr>
        <w:t>De este modo, en el primer trimestre de 2021, únicamente Luxemburgo (+3%) y Dinamarca (+0,3%) registraron superávit presupuestario, mientras que los mayores desequilibrios negativos correspondieron a Malta (-9,8%), Francia (-9,3%), Chequia (-8,8%), Hungría (-8,5%) y Rumanía (-8,3%).</w:t>
      </w:r>
    </w:p>
    <w:p w:rsidR="00B06032" w:rsidRDefault="00B06032" w:rsidP="00FA4DA9">
      <w:pPr>
        <w:spacing w:line="240" w:lineRule="auto"/>
        <w:jc w:val="both"/>
        <w:rPr>
          <w:rFonts w:ascii="Times New Roman" w:hAnsi="Times New Roman" w:cs="Times New Roman"/>
          <w:sz w:val="24"/>
          <w:szCs w:val="24"/>
        </w:rPr>
      </w:pPr>
    </w:p>
    <w:p w:rsidR="00C16E76" w:rsidRPr="00400D2D" w:rsidRDefault="00C16E76" w:rsidP="00FA4DA9">
      <w:pPr>
        <w:spacing w:line="240" w:lineRule="auto"/>
        <w:jc w:val="both"/>
        <w:rPr>
          <w:rFonts w:ascii="Times New Roman" w:hAnsi="Times New Roman" w:cs="Times New Roman"/>
          <w:sz w:val="24"/>
          <w:szCs w:val="24"/>
        </w:rPr>
      </w:pPr>
      <w:r>
        <w:rPr>
          <w:noProof/>
          <w:lang w:eastAsia="es-ES"/>
        </w:rPr>
        <w:drawing>
          <wp:inline distT="0" distB="0" distL="0" distR="0" wp14:anchorId="2960BEB3" wp14:editId="7F80A91F">
            <wp:extent cx="5727700" cy="6045200"/>
            <wp:effectExtent l="0" t="0" r="6350" b="0"/>
            <wp:docPr id="112" name="Imagen 112" descr="Déficit y deu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éficit y deuda"/>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5731510" cy="6049221"/>
                    </a:xfrm>
                    <a:prstGeom prst="rect">
                      <a:avLst/>
                    </a:prstGeom>
                    <a:noFill/>
                    <a:ln>
                      <a:noFill/>
                    </a:ln>
                  </pic:spPr>
                </pic:pic>
              </a:graphicData>
            </a:graphic>
          </wp:inline>
        </w:drawing>
      </w:r>
    </w:p>
    <w:p w:rsidR="00835296" w:rsidRPr="00907B9F" w:rsidRDefault="00835296"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07B9F">
        <w:rPr>
          <w:rFonts w:ascii="Times New Roman" w:hAnsi="Times New Roman" w:cs="Times New Roman"/>
          <w:sz w:val="24"/>
          <w:szCs w:val="24"/>
          <w:u w:val="single"/>
        </w:rPr>
        <w:t>Las políticas económicas de Biden y Trump</w:t>
      </w:r>
      <w:r>
        <w:rPr>
          <w:rFonts w:ascii="Times New Roman" w:hAnsi="Times New Roman" w:cs="Times New Roman"/>
          <w:sz w:val="24"/>
          <w:szCs w:val="24"/>
        </w:rPr>
        <w:t xml:space="preserve"> (El Español - </w:t>
      </w:r>
      <w:r w:rsidRPr="00907B9F">
        <w:rPr>
          <w:rFonts w:ascii="Times New Roman" w:hAnsi="Times New Roman" w:cs="Times New Roman"/>
          <w:b/>
          <w:sz w:val="24"/>
          <w:szCs w:val="24"/>
        </w:rPr>
        <w:t>26/7/21</w:t>
      </w:r>
      <w:r>
        <w:rPr>
          <w:rFonts w:ascii="Times New Roman" w:hAnsi="Times New Roman" w:cs="Times New Roman"/>
          <w:sz w:val="24"/>
          <w:szCs w:val="24"/>
        </w:rPr>
        <w:t>)</w:t>
      </w:r>
    </w:p>
    <w:p w:rsidR="00835296" w:rsidRPr="00907B9F" w:rsidRDefault="00835296"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(Por</w:t>
      </w:r>
      <w:r w:rsidRPr="00907B9F">
        <w:rPr>
          <w:rFonts w:ascii="Times New Roman" w:hAnsi="Times New Roman" w:cs="Times New Roman"/>
          <w:sz w:val="24"/>
          <w:szCs w:val="24"/>
        </w:rPr>
        <w:t xml:space="preserve"> Juan </w:t>
      </w:r>
      <w:r>
        <w:rPr>
          <w:rFonts w:ascii="Times New Roman" w:hAnsi="Times New Roman" w:cs="Times New Roman"/>
          <w:sz w:val="24"/>
          <w:szCs w:val="24"/>
        </w:rPr>
        <w:t>Ignacio Crespo)</w:t>
      </w:r>
    </w:p>
    <w:p w:rsidR="00835296" w:rsidRPr="00907B9F" w:rsidRDefault="00835296" w:rsidP="00FA4DA9">
      <w:pPr>
        <w:spacing w:line="240" w:lineRule="auto"/>
        <w:jc w:val="both"/>
        <w:rPr>
          <w:rFonts w:ascii="Times New Roman" w:hAnsi="Times New Roman" w:cs="Times New Roman"/>
          <w:sz w:val="24"/>
          <w:szCs w:val="24"/>
        </w:rPr>
      </w:pPr>
      <w:r w:rsidRPr="00907B9F">
        <w:rPr>
          <w:rFonts w:ascii="Times New Roman" w:hAnsi="Times New Roman" w:cs="Times New Roman"/>
          <w:sz w:val="24"/>
          <w:szCs w:val="24"/>
        </w:rPr>
        <w:lastRenderedPageBreak/>
        <w:t xml:space="preserve">La llegada a la presidencia de EEUU de Joe Biden despertó grandes esperanzas de que las guerras comerciales iniciadas por Donald Trump </w:t>
      </w:r>
      <w:r w:rsidR="00F71A32" w:rsidRPr="00907B9F">
        <w:rPr>
          <w:rFonts w:ascii="Times New Roman" w:hAnsi="Times New Roman" w:cs="Times New Roman"/>
          <w:sz w:val="24"/>
          <w:szCs w:val="24"/>
        </w:rPr>
        <w:t>desaparecieran</w:t>
      </w:r>
      <w:r w:rsidRPr="00907B9F">
        <w:rPr>
          <w:rFonts w:ascii="Times New Roman" w:hAnsi="Times New Roman" w:cs="Times New Roman"/>
          <w:sz w:val="24"/>
          <w:szCs w:val="24"/>
        </w:rPr>
        <w:t>. Craso error. Como suelen decir en los países de habl</w:t>
      </w:r>
      <w:r w:rsidR="00F71A32">
        <w:rPr>
          <w:rFonts w:ascii="Times New Roman" w:hAnsi="Times New Roman" w:cs="Times New Roman"/>
          <w:sz w:val="24"/>
          <w:szCs w:val="24"/>
        </w:rPr>
        <w:t>a inglesa, el nuevo presidente “</w:t>
      </w:r>
      <w:r w:rsidRPr="00907B9F">
        <w:rPr>
          <w:rFonts w:ascii="Times New Roman" w:hAnsi="Times New Roman" w:cs="Times New Roman"/>
          <w:sz w:val="24"/>
          <w:szCs w:val="24"/>
        </w:rPr>
        <w:t>h</w:t>
      </w:r>
      <w:r w:rsidR="00F71A32">
        <w:rPr>
          <w:rFonts w:ascii="Times New Roman" w:hAnsi="Times New Roman" w:cs="Times New Roman"/>
          <w:sz w:val="24"/>
          <w:szCs w:val="24"/>
        </w:rPr>
        <w:t>a tomado prestadas unas páginas”</w:t>
      </w:r>
      <w:r w:rsidRPr="00907B9F">
        <w:rPr>
          <w:rFonts w:ascii="Times New Roman" w:hAnsi="Times New Roman" w:cs="Times New Roman"/>
          <w:sz w:val="24"/>
          <w:szCs w:val="24"/>
        </w:rPr>
        <w:t xml:space="preserve"> del libro de estilo comercial del anterior. Lo curioso es que poca</w:t>
      </w:r>
      <w:r>
        <w:rPr>
          <w:rFonts w:ascii="Times New Roman" w:hAnsi="Times New Roman" w:cs="Times New Roman"/>
          <w:sz w:val="24"/>
          <w:szCs w:val="24"/>
        </w:rPr>
        <w:t xml:space="preserve"> gente manifiesta su decepción.</w:t>
      </w:r>
    </w:p>
    <w:p w:rsidR="00835296" w:rsidRPr="00111367" w:rsidRDefault="00835296" w:rsidP="00FA4DA9">
      <w:pPr>
        <w:spacing w:line="240" w:lineRule="auto"/>
        <w:jc w:val="both"/>
        <w:rPr>
          <w:rFonts w:ascii="Times New Roman" w:hAnsi="Times New Roman" w:cs="Times New Roman"/>
          <w:sz w:val="24"/>
          <w:szCs w:val="24"/>
          <w:u w:val="single"/>
        </w:rPr>
      </w:pPr>
      <w:r w:rsidRPr="00111367">
        <w:rPr>
          <w:rFonts w:ascii="Times New Roman" w:hAnsi="Times New Roman" w:cs="Times New Roman"/>
          <w:sz w:val="24"/>
          <w:szCs w:val="24"/>
          <w:u w:val="single"/>
        </w:rPr>
        <w:t>Ya era muy claro antes de que Trump perdiera las elecciones que, ganara quien las ganara, la guerra fría con China iba a continuar. Lo que no parecía tan evidente era que las tensiones comerciales de EEUU con Europa no fueran a apaciguarse. Pero eso es lo que está sucediendo. Y en este momento la iniciativa la está tomando la Unión Europea.</w:t>
      </w:r>
    </w:p>
    <w:p w:rsidR="00835296" w:rsidRPr="00111367" w:rsidRDefault="00835296" w:rsidP="00FA4DA9">
      <w:pPr>
        <w:spacing w:line="240" w:lineRule="auto"/>
        <w:jc w:val="both"/>
        <w:rPr>
          <w:rFonts w:ascii="Times New Roman" w:hAnsi="Times New Roman" w:cs="Times New Roman"/>
          <w:color w:val="FF0000"/>
          <w:sz w:val="24"/>
          <w:szCs w:val="24"/>
          <w:u w:val="single"/>
        </w:rPr>
      </w:pPr>
      <w:r w:rsidRPr="00111367">
        <w:rPr>
          <w:rFonts w:ascii="Times New Roman" w:hAnsi="Times New Roman" w:cs="Times New Roman"/>
          <w:color w:val="FF0000"/>
          <w:sz w:val="24"/>
          <w:szCs w:val="24"/>
          <w:u w:val="single"/>
        </w:rPr>
        <w:t>El hecho de que Europa vaya por delante de los USA en las medidas adoptadas para frenar el cambio climático va a ser una de las fuentes del conflicto al adoptar la UE nuevos aranceles aplicables a los productos provenientes de países que no han puesto en marcha medidas contundentes para reducir su huella de carbono, tal es el caso de EEUU, lo que podría llevar a estos a subir la apuesta de las represalias comerciales con nuevos o más elevados aranceles también.</w:t>
      </w:r>
    </w:p>
    <w:p w:rsidR="00835296" w:rsidRPr="00907B9F" w:rsidRDefault="00835296" w:rsidP="00FA4DA9">
      <w:pPr>
        <w:spacing w:line="240" w:lineRule="auto"/>
        <w:jc w:val="both"/>
        <w:rPr>
          <w:rFonts w:ascii="Times New Roman" w:hAnsi="Times New Roman" w:cs="Times New Roman"/>
          <w:sz w:val="24"/>
          <w:szCs w:val="24"/>
        </w:rPr>
      </w:pPr>
      <w:r w:rsidRPr="00907B9F">
        <w:rPr>
          <w:rFonts w:ascii="Times New Roman" w:hAnsi="Times New Roman" w:cs="Times New Roman"/>
          <w:sz w:val="24"/>
          <w:szCs w:val="24"/>
        </w:rPr>
        <w:t>Quien tenga dudas sobre lo poco que han cambiado las cosas en los problemas comerciales con USA que ya se venían arrastrando puede preguntar a las grandes empresas eólicas españolas</w:t>
      </w:r>
      <w:r>
        <w:rPr>
          <w:rFonts w:ascii="Times New Roman" w:hAnsi="Times New Roman" w:cs="Times New Roman"/>
          <w:sz w:val="24"/>
          <w:szCs w:val="24"/>
        </w:rPr>
        <w:t xml:space="preserve"> o en el sector de la aceituna.</w:t>
      </w:r>
    </w:p>
    <w:p w:rsidR="00835296" w:rsidRPr="00F71A32" w:rsidRDefault="00835296" w:rsidP="00FA4DA9">
      <w:pPr>
        <w:spacing w:line="240" w:lineRule="auto"/>
        <w:jc w:val="both"/>
        <w:rPr>
          <w:rFonts w:ascii="Times New Roman" w:hAnsi="Times New Roman" w:cs="Times New Roman"/>
          <w:b/>
          <w:color w:val="FF0000"/>
          <w:sz w:val="24"/>
          <w:szCs w:val="24"/>
          <w:u w:val="single"/>
        </w:rPr>
      </w:pPr>
      <w:r w:rsidRPr="00F71A32">
        <w:rPr>
          <w:rFonts w:ascii="Times New Roman" w:hAnsi="Times New Roman" w:cs="Times New Roman"/>
          <w:b/>
          <w:color w:val="FF0000"/>
          <w:sz w:val="24"/>
          <w:szCs w:val="24"/>
          <w:u w:val="single"/>
        </w:rPr>
        <w:t>Por ahora, la mayor diferencia entre las políticas de Donald Trump y las de Joe Biden se detecta en el terreno puramente cuantitativo y en lo que este tiene de ideológico: frente a los planes de estímulo económico de Trump por valor de 3,9 billones (trillion) de dólares (tres de ellos en la primavera del año 2000 y 0,9 billones en diciembre pasado) se alzan los 1,9 billones de gasto de Biden aprobados en marzo de 2021 y los anunciados 2 billones para infraestructuras que, ahora, parecen haberse transformado en un plan plurianual de 3,5 billones que los demócratas han aprobado dentro de su grupo parlamentario pero que, en lo que atañe al acuerdo con los republicanos no pasa, de momento, de los 1,2 billones.</w:t>
      </w:r>
    </w:p>
    <w:p w:rsidR="00835296" w:rsidRPr="00111367" w:rsidRDefault="00835296" w:rsidP="00FA4DA9">
      <w:pPr>
        <w:spacing w:line="240" w:lineRule="auto"/>
        <w:jc w:val="both"/>
        <w:rPr>
          <w:rFonts w:ascii="Times New Roman" w:hAnsi="Times New Roman" w:cs="Times New Roman"/>
          <w:b/>
          <w:color w:val="FF0000"/>
          <w:sz w:val="24"/>
          <w:szCs w:val="24"/>
          <w:u w:val="single"/>
        </w:rPr>
      </w:pPr>
      <w:r w:rsidRPr="00111367">
        <w:rPr>
          <w:rFonts w:ascii="Times New Roman" w:hAnsi="Times New Roman" w:cs="Times New Roman"/>
          <w:b/>
          <w:color w:val="FF0000"/>
          <w:sz w:val="24"/>
          <w:szCs w:val="24"/>
          <w:u w:val="single"/>
        </w:rPr>
        <w:t>O, dicho de otra manera: los EEUU han acumulado hasta ahora tres billones de dólares de déficit presupuestario e</w:t>
      </w:r>
      <w:r>
        <w:rPr>
          <w:rFonts w:ascii="Times New Roman" w:hAnsi="Times New Roman" w:cs="Times New Roman"/>
          <w:b/>
          <w:color w:val="FF0000"/>
          <w:sz w:val="24"/>
          <w:szCs w:val="24"/>
          <w:u w:val="single"/>
        </w:rPr>
        <w:t>n 2020 y otros tres billones de</w:t>
      </w:r>
      <w:r w:rsidRPr="00111367">
        <w:rPr>
          <w:rFonts w:ascii="Times New Roman" w:hAnsi="Times New Roman" w:cs="Times New Roman"/>
          <w:b/>
          <w:color w:val="FF0000"/>
          <w:sz w:val="24"/>
          <w:szCs w:val="24"/>
          <w:u w:val="single"/>
        </w:rPr>
        <w:t xml:space="preserve"> 2021. Más lo que vendrá.</w:t>
      </w:r>
    </w:p>
    <w:p w:rsidR="00835296" w:rsidRPr="00907B9F" w:rsidRDefault="00835296" w:rsidP="00FA4DA9">
      <w:pPr>
        <w:spacing w:line="240" w:lineRule="auto"/>
        <w:jc w:val="both"/>
        <w:rPr>
          <w:rFonts w:ascii="Times New Roman" w:hAnsi="Times New Roman" w:cs="Times New Roman"/>
          <w:sz w:val="24"/>
          <w:szCs w:val="24"/>
        </w:rPr>
      </w:pPr>
      <w:r w:rsidRPr="00907B9F">
        <w:rPr>
          <w:rFonts w:ascii="Times New Roman" w:hAnsi="Times New Roman" w:cs="Times New Roman"/>
          <w:sz w:val="24"/>
          <w:szCs w:val="24"/>
        </w:rPr>
        <w:t>Probablemente parte de ese incremento nuevo del gasto se hubiera producido igualmente si Donald Trump hubiera conseguido revalidar su presidencia. Las políticas desde el poder siempre se dirigen a conservarlo y un aumento de los estímulos iba de sí que se hubie</w:t>
      </w:r>
      <w:r>
        <w:rPr>
          <w:rFonts w:ascii="Times New Roman" w:hAnsi="Times New Roman" w:cs="Times New Roman"/>
          <w:sz w:val="24"/>
          <w:szCs w:val="24"/>
        </w:rPr>
        <w:t>ra producido con Trump también.</w:t>
      </w:r>
    </w:p>
    <w:p w:rsidR="00835296" w:rsidRPr="00907B9F" w:rsidRDefault="00835296" w:rsidP="00FA4DA9">
      <w:pPr>
        <w:spacing w:line="240" w:lineRule="auto"/>
        <w:jc w:val="both"/>
        <w:rPr>
          <w:rFonts w:ascii="Times New Roman" w:hAnsi="Times New Roman" w:cs="Times New Roman"/>
          <w:sz w:val="24"/>
          <w:szCs w:val="24"/>
        </w:rPr>
      </w:pPr>
      <w:r w:rsidRPr="00907B9F">
        <w:rPr>
          <w:rFonts w:ascii="Times New Roman" w:hAnsi="Times New Roman" w:cs="Times New Roman"/>
          <w:sz w:val="24"/>
          <w:szCs w:val="24"/>
        </w:rPr>
        <w:t>La otra gran línea de diferencia con Trump se produce asimismo en el terreno fiscal, pero en este caso por la vía de los ingresos: 1) la subida de los impuestos de la Administración Biden marca una gran diferencia con lo que cabía esperar de Trump. Si Trump redujo el Impuesto de Sociedades desde el 35% al 21%, Joe Biden pretende subirlo del 21% al 28%, y 2) la fiscalidad internacional, con Joe Biden impulsando un acuerdo (en el G7, primero; y después en el G20 y, con inusitada rapidez en la OCDE, excepto con nueve países miembros de esta) para que las grandes multinacionales paguen un impuesto mínimo del 15% en los países en los que operan.</w:t>
      </w:r>
    </w:p>
    <w:p w:rsidR="00835296" w:rsidRPr="00907B9F" w:rsidRDefault="00835296" w:rsidP="00FA4DA9">
      <w:pPr>
        <w:spacing w:line="240" w:lineRule="auto"/>
        <w:jc w:val="both"/>
        <w:rPr>
          <w:rFonts w:ascii="Times New Roman" w:hAnsi="Times New Roman" w:cs="Times New Roman"/>
          <w:sz w:val="24"/>
          <w:szCs w:val="24"/>
        </w:rPr>
      </w:pPr>
      <w:r w:rsidRPr="00907B9F">
        <w:rPr>
          <w:rFonts w:ascii="Times New Roman" w:hAnsi="Times New Roman" w:cs="Times New Roman"/>
          <w:sz w:val="24"/>
          <w:szCs w:val="24"/>
        </w:rPr>
        <w:t>Aunque este último acuerdo está sujeto aún a algunas incertidumbres, sí que señala una gran diferencia con las políticas pasadas de Trump y también con las que hubiera sido previsible que iniciara en un eventual segundo mandato que no llegó.</w:t>
      </w:r>
    </w:p>
    <w:p w:rsidR="00835296" w:rsidRPr="00907B9F" w:rsidRDefault="00835296" w:rsidP="00FA4DA9">
      <w:pPr>
        <w:spacing w:line="240" w:lineRule="auto"/>
        <w:jc w:val="both"/>
        <w:rPr>
          <w:rFonts w:ascii="Times New Roman" w:hAnsi="Times New Roman" w:cs="Times New Roman"/>
          <w:sz w:val="24"/>
          <w:szCs w:val="24"/>
        </w:rPr>
      </w:pPr>
      <w:r w:rsidRPr="00907B9F">
        <w:rPr>
          <w:rFonts w:ascii="Times New Roman" w:hAnsi="Times New Roman" w:cs="Times New Roman"/>
          <w:sz w:val="24"/>
          <w:szCs w:val="24"/>
        </w:rPr>
        <w:lastRenderedPageBreak/>
        <w:t>Aún queda entre esas incertidumbres la mayor de todas: que el acuerdo pueda pasar la criba del Senado de EEUU, ya que exigirá la modificación de tratados internacionales que tiene firmados EEUU y cuya tramitación exige una mayoría del 60% en el Senado, mayoría de la que no goza ni de lejos en la actualidad Joe Biden y que exigiría el apoyo de al men</w:t>
      </w:r>
      <w:r>
        <w:rPr>
          <w:rFonts w:ascii="Times New Roman" w:hAnsi="Times New Roman" w:cs="Times New Roman"/>
          <w:sz w:val="24"/>
          <w:szCs w:val="24"/>
        </w:rPr>
        <w:t>os diez senadores republicanos.</w:t>
      </w:r>
    </w:p>
    <w:p w:rsidR="00835296" w:rsidRPr="00111367" w:rsidRDefault="00835296" w:rsidP="00FA4DA9">
      <w:pPr>
        <w:spacing w:line="240" w:lineRule="auto"/>
        <w:jc w:val="both"/>
        <w:rPr>
          <w:rFonts w:ascii="Times New Roman" w:hAnsi="Times New Roman" w:cs="Times New Roman"/>
          <w:color w:val="FF0000"/>
          <w:sz w:val="24"/>
          <w:szCs w:val="24"/>
          <w:u w:val="single"/>
        </w:rPr>
      </w:pPr>
      <w:r w:rsidRPr="00111367">
        <w:rPr>
          <w:rFonts w:ascii="Times New Roman" w:hAnsi="Times New Roman" w:cs="Times New Roman"/>
          <w:color w:val="FF0000"/>
          <w:sz w:val="24"/>
          <w:szCs w:val="24"/>
          <w:u w:val="single"/>
        </w:rPr>
        <w:t>Como se ve, en la agenda económica de Biden hay algunos cambios que lo desmarcan de Trump cualitativamente (subida del Impuesto de Sociedades e iniciativa del impuesto internacional de un mínimo del 15%) y otros cuantitativamente (mayor incremento esperado del gasto público) sin que sea totalmente descartable pensar que Trump pudiera haber dado pasos en la dirección de aumentar la recaudación por vía de aumentar algo los impuestos.</w:t>
      </w:r>
    </w:p>
    <w:p w:rsidR="00835296" w:rsidRPr="00111367" w:rsidRDefault="00835296" w:rsidP="00FA4DA9">
      <w:pPr>
        <w:spacing w:line="240" w:lineRule="auto"/>
        <w:jc w:val="both"/>
        <w:rPr>
          <w:rFonts w:ascii="Times New Roman" w:hAnsi="Times New Roman" w:cs="Times New Roman"/>
          <w:sz w:val="24"/>
          <w:szCs w:val="24"/>
          <w:u w:val="single"/>
        </w:rPr>
      </w:pPr>
      <w:r w:rsidRPr="00111367">
        <w:rPr>
          <w:rFonts w:ascii="Times New Roman" w:hAnsi="Times New Roman" w:cs="Times New Roman"/>
          <w:sz w:val="24"/>
          <w:szCs w:val="24"/>
          <w:u w:val="single"/>
        </w:rPr>
        <w:t>El resto son migajas ideológicas que, por ahora, no han dado ningún fruto tangible ni diferenciable entre un presidente y otro.</w:t>
      </w:r>
    </w:p>
    <w:p w:rsidR="00835296" w:rsidRPr="00111367" w:rsidRDefault="00835296" w:rsidP="00FA4DA9">
      <w:pPr>
        <w:spacing w:line="240" w:lineRule="auto"/>
        <w:jc w:val="both"/>
        <w:rPr>
          <w:rFonts w:ascii="Times New Roman" w:hAnsi="Times New Roman" w:cs="Times New Roman"/>
          <w:sz w:val="24"/>
          <w:szCs w:val="24"/>
          <w:u w:val="single"/>
        </w:rPr>
      </w:pPr>
      <w:r w:rsidRPr="00111367">
        <w:rPr>
          <w:rFonts w:ascii="Times New Roman" w:hAnsi="Times New Roman" w:cs="Times New Roman"/>
          <w:sz w:val="24"/>
          <w:szCs w:val="24"/>
          <w:u w:val="single"/>
        </w:rPr>
        <w:t>Las Bolsas reconocieron eso de manera inmediata y reaccionaron al alza con la victoria de Biden, tal y como lo habían hecho con la victoria de Trump cuatro años antes.</w:t>
      </w:r>
    </w:p>
    <w:p w:rsidR="00835296" w:rsidRPr="00907B9F" w:rsidRDefault="00835296" w:rsidP="00FA4DA9">
      <w:pPr>
        <w:spacing w:line="240" w:lineRule="auto"/>
        <w:jc w:val="both"/>
        <w:rPr>
          <w:rFonts w:ascii="Times New Roman" w:hAnsi="Times New Roman" w:cs="Times New Roman"/>
          <w:sz w:val="24"/>
          <w:szCs w:val="24"/>
        </w:rPr>
      </w:pPr>
      <w:r w:rsidRPr="00907B9F">
        <w:rPr>
          <w:rFonts w:ascii="Times New Roman" w:hAnsi="Times New Roman" w:cs="Times New Roman"/>
          <w:sz w:val="24"/>
          <w:szCs w:val="24"/>
        </w:rPr>
        <w:t>Algo que todo el mundo ha acogido sin sorpresa y sin reparar en que, a pesar de que se suele considerar al Partido Demócrata de los EEUU como menos proclive al mundo de los negocios, la subida de las Bolsas desde noviembre de 2020 (cuando se produjo la elección de Biden) ha sido superior a la que tuvo lugar tras el último gran cambio ideológico, que se produjo en la política norteamericana con la llegada de Ronald Reagan: al cumplirse 8 meses de la victoria de Biden, el S&amp;P 500 subía más de un 32% mientras que en idéntico período tras ganar Reagan a Jimmy Carter (el otro único presidente de un único mandato, con cambio de partido, en los últim</w:t>
      </w:r>
      <w:r>
        <w:rPr>
          <w:rFonts w:ascii="Times New Roman" w:hAnsi="Times New Roman" w:cs="Times New Roman"/>
          <w:sz w:val="24"/>
          <w:szCs w:val="24"/>
        </w:rPr>
        <w:t>os 90 años) no ganaba ni un 1%.</w:t>
      </w:r>
    </w:p>
    <w:p w:rsidR="00835296" w:rsidRPr="00907B9F" w:rsidRDefault="00835296" w:rsidP="00FA4DA9">
      <w:pPr>
        <w:spacing w:line="240" w:lineRule="auto"/>
        <w:jc w:val="both"/>
        <w:rPr>
          <w:rFonts w:ascii="Times New Roman" w:hAnsi="Times New Roman" w:cs="Times New Roman"/>
          <w:sz w:val="24"/>
          <w:szCs w:val="24"/>
        </w:rPr>
      </w:pPr>
      <w:r w:rsidRPr="00907B9F">
        <w:rPr>
          <w:rFonts w:ascii="Times New Roman" w:hAnsi="Times New Roman" w:cs="Times New Roman"/>
          <w:sz w:val="24"/>
          <w:szCs w:val="24"/>
        </w:rPr>
        <w:t xml:space="preserve">Es verdad que inmediatamente después de acceder Ronald Reagan al poder el presidente de la Reserva Federal, Paul Volcker, tuvo que subir drásticamente los tipos de interés (del 11% al 19%) para yugular la inflación mientras que ahora, con la confianza en que esta será transitoria, la subida de los tipos de interés parece aplazada sine </w:t>
      </w:r>
      <w:r>
        <w:rPr>
          <w:rFonts w:ascii="Times New Roman" w:hAnsi="Times New Roman" w:cs="Times New Roman"/>
          <w:sz w:val="24"/>
          <w:szCs w:val="24"/>
        </w:rPr>
        <w:t>die (como muy pronto, en 2023).</w:t>
      </w:r>
    </w:p>
    <w:p w:rsidR="00835296" w:rsidRDefault="00F71A32"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Así es la realidad. Siempre “cabalgando contradicciones”</w:t>
      </w:r>
      <w:r w:rsidR="00835296" w:rsidRPr="00907B9F">
        <w:rPr>
          <w:rFonts w:ascii="Times New Roman" w:hAnsi="Times New Roman" w:cs="Times New Roman"/>
          <w:sz w:val="24"/>
          <w:szCs w:val="24"/>
        </w:rPr>
        <w:t xml:space="preserve">. Siempre mostrándose multifacética frente a las simplezas de la lucha partidista. </w:t>
      </w:r>
    </w:p>
    <w:p w:rsidR="00835296" w:rsidRDefault="00835296" w:rsidP="00FA4DA9">
      <w:pPr>
        <w:pStyle w:val="NormalWeb"/>
        <w:spacing w:after="0"/>
        <w:jc w:val="both"/>
      </w:pPr>
      <w:r>
        <w:t xml:space="preserve">- </w:t>
      </w:r>
      <w:r w:rsidRPr="00DF2874">
        <w:rPr>
          <w:u w:val="single"/>
        </w:rPr>
        <w:t>España registra el mayor repunte de deuda pública de las grandes potencias de la UE en año de pandemia</w:t>
      </w:r>
      <w:r>
        <w:t xml:space="preserve"> (El Economista - </w:t>
      </w:r>
      <w:r w:rsidRPr="00DF2874">
        <w:rPr>
          <w:b/>
        </w:rPr>
        <w:t>2/8/21</w:t>
      </w:r>
      <w:r>
        <w:t>)</w:t>
      </w:r>
    </w:p>
    <w:p w:rsidR="00835296" w:rsidRDefault="00835296" w:rsidP="00FA4DA9">
      <w:pPr>
        <w:pStyle w:val="NormalWeb"/>
        <w:spacing w:after="0"/>
        <w:jc w:val="both"/>
      </w:pPr>
      <w:r>
        <w:t>(Por Gonzalo Velarde)</w:t>
      </w:r>
    </w:p>
    <w:p w:rsidR="00835296" w:rsidRPr="00E515C2" w:rsidRDefault="00835296" w:rsidP="00FA4DA9">
      <w:pPr>
        <w:pStyle w:val="NormalWeb"/>
        <w:spacing w:after="0"/>
        <w:jc w:val="both"/>
        <w:rPr>
          <w:color w:val="FF0000"/>
          <w:u w:val="single"/>
        </w:rPr>
      </w:pPr>
      <w:r w:rsidRPr="00E515C2">
        <w:rPr>
          <w:u w:val="single"/>
        </w:rPr>
        <w:t>Si bien es cierto que la pandemia ha impactado en todas las potencias del mundo sin excepción y ha trastocado en alguna medida las economías de los países, la respuesta en términos de despliegue de recursos y medidas para combatirla no ha sido homogénea</w:t>
      </w:r>
      <w:r>
        <w:t xml:space="preserve">. Un reflejo de este hecho se observa en las variaciones de los niveles de deuda pública de los diferentes países en el año de pandemia, </w:t>
      </w:r>
      <w:r w:rsidRPr="00E515C2">
        <w:rPr>
          <w:u w:val="single"/>
        </w:rPr>
        <w:t>entre 2020 y 2021, y en el caso de Europa, aparece España como el país de las grandes potencias del Viejo Continente que más ha elevado su nivel de deuda con motivo de la respuesta al Covid-19</w:t>
      </w:r>
      <w:r>
        <w:t xml:space="preserve">. </w:t>
      </w:r>
      <w:r w:rsidRPr="00E515C2">
        <w:rPr>
          <w:color w:val="FF0000"/>
          <w:u w:val="single"/>
        </w:rPr>
        <w:t>Concretamente, nuestro país, entre el primer trimestre del pasado año y los primeros tres meses de 2021, ha aumentado un 26,2% su nivel de deuda pública, que ya alcanza el 125,2% del PIB, según los últimos datos de Eurostat, el servicio de estudios estadísticos de la Comisión Europea.</w:t>
      </w:r>
    </w:p>
    <w:p w:rsidR="00835296" w:rsidRDefault="00835296" w:rsidP="00FA4DA9">
      <w:pPr>
        <w:pStyle w:val="NormalWeb"/>
        <w:spacing w:after="0"/>
        <w:jc w:val="both"/>
      </w:pPr>
      <w:r w:rsidRPr="00E515C2">
        <w:rPr>
          <w:u w:val="single"/>
        </w:rPr>
        <w:lastRenderedPageBreak/>
        <w:t>Es más, solo dos países del entorno comunitario han sumado más deuda pública en el último año: los mayores aumentos de la ratio se registraron en Chipre (29,5 puntos porcentuales más), Grecia (28,6 puntos porcentuales más).</w:t>
      </w:r>
      <w:r>
        <w:t xml:space="preserve"> De este modo, se aprecia como el esfuerzo del Ejecutivo español para hacer frente a los efectos de la pandemia, que se sustanció en la aprobación de medidas que han compuesto el conocido como escudo social -y que aún siguen vigentes como los Erte o la ayuda extraordinaria para autónomos por cese de actividad, además de las moratorias concedidas-, ha imprimido un fuerte ritmo al repunte de deuda pública en los últimos meses.</w:t>
      </w:r>
    </w:p>
    <w:p w:rsidR="00C16E76" w:rsidRPr="00E515C2" w:rsidRDefault="00C16E76" w:rsidP="00FA4DA9">
      <w:pPr>
        <w:pStyle w:val="NormalWeb"/>
        <w:spacing w:after="0"/>
        <w:jc w:val="both"/>
        <w:rPr>
          <w:color w:val="FF0000"/>
          <w:u w:val="single"/>
        </w:rPr>
      </w:pPr>
      <w:r w:rsidRPr="00E515C2">
        <w:rPr>
          <w:color w:val="FF0000"/>
          <w:u w:val="single"/>
        </w:rPr>
        <w:t>Detrás de España, en esta variación de deuda del último ejercicio, se encuentra Italia (+22,1 puntos porcentuales) y Portugal (+18,0 puntos porcentuales), mientras que los menores aumentos se observaron en Irlanda (+1,7 puntos porcentuales), Suecia (+4,5 puntos porcentuales), Bulgaria (+5 puntos porcentuales), Países Bajos (+5,6 puntos porcentuales), Finlandia (+5,9 puntos porcentuales) y Luxemburgo (+6 puntos porcentuales).</w:t>
      </w:r>
    </w:p>
    <w:p w:rsidR="00C16E76" w:rsidRDefault="00C16E76" w:rsidP="00FA4DA9">
      <w:pPr>
        <w:pStyle w:val="NormalWeb"/>
        <w:spacing w:after="0"/>
        <w:jc w:val="both"/>
      </w:pPr>
      <w:r>
        <w:t>En el “top 5”</w:t>
      </w:r>
    </w:p>
    <w:p w:rsidR="00C16E76" w:rsidRDefault="00C16E76" w:rsidP="00FA4DA9">
      <w:pPr>
        <w:pStyle w:val="NormalWeb"/>
        <w:spacing w:after="0"/>
        <w:jc w:val="both"/>
      </w:pPr>
      <w:r>
        <w:t xml:space="preserve">Al final del primer trimestre de 2021, todavía afectado en gran medida por las medidas políticas para mitigar el impacto económico y social de la pandemia de coronavirus y las medidas de recuperación, que siguieron materializándose en un aumento de las necesidades de financiación, </w:t>
      </w:r>
      <w:r w:rsidRPr="00E515C2">
        <w:rPr>
          <w:u w:val="single"/>
        </w:rPr>
        <w:t>la relación entre la deuda pública y el PIB en la zona del euro superó el 100% por primera vez: la relación se situó en el 100,5%, frente al 97,8% al final del cuarto trimestre de 2020. En la UE, la proporción aumentó del 90,5% al 92,9%. En comparación con el primer trimestre de 2020, la relación entre la deuda pública y el PIB aumentó tanto en la zona del euro (del 86,1% al 100,5%) como en la UE (del 79,2% al 92,9%).</w:t>
      </w:r>
    </w:p>
    <w:p w:rsidR="00C16E76" w:rsidRPr="00E515C2" w:rsidRDefault="00C16E76" w:rsidP="00FA4DA9">
      <w:pPr>
        <w:pStyle w:val="NormalWeb"/>
        <w:spacing w:after="0"/>
        <w:jc w:val="both"/>
        <w:rPr>
          <w:color w:val="FF0000"/>
          <w:u w:val="single"/>
        </w:rPr>
      </w:pPr>
      <w:r w:rsidRPr="00E515C2">
        <w:rPr>
          <w:color w:val="FF0000"/>
          <w:u w:val="single"/>
        </w:rPr>
        <w:t>De este modo, las mayores proporciones de deuda pública en relación con el PIB al final del primer trimestre de 2021 se registraron en Grecia (209,3%), Italia (160,0%), Portugal (137,2%), Chipre (125,7%), España (125,2%), Bélgica (118,6%) y Francia (118,0%), y los más bajos en Estonia (18,5%), Bulgaria (25,1%) y Luxemburgo (28,1%).</w:t>
      </w:r>
    </w:p>
    <w:p w:rsidR="00C16E76" w:rsidRDefault="00C16E76" w:rsidP="00FA4DA9">
      <w:pPr>
        <w:pStyle w:val="NormalWeb"/>
        <w:spacing w:after="0"/>
        <w:jc w:val="both"/>
        <w:rPr>
          <w:color w:val="FF0000"/>
          <w:u w:val="single"/>
        </w:rPr>
      </w:pPr>
      <w:r w:rsidRPr="00E515C2">
        <w:rPr>
          <w:color w:val="FF0000"/>
          <w:u w:val="single"/>
        </w:rPr>
        <w:t>En comparación con el cuarto trimestre de 2020, veintitrés Estados miembros registraron un aumento de su ratio de deuda en relación con el PIB al final del primer trimestre de 2021, dos una disminución, mientras que la ratio se mantuvo estable en Eslovaquia y Bulgaria. Los mayores aumentos de la ratio se observaron en Chipre (+6,5 puntos porcentuales), Chequia (+6,3%), España (+5,3%), Eslovenia (+5,2%), Bélgica (+4,4%), Malta e Italia (ambos +4,2%). Los descensos se registraron en Lituani</w:t>
      </w:r>
      <w:r>
        <w:rPr>
          <w:color w:val="FF0000"/>
          <w:u w:val="single"/>
        </w:rPr>
        <w:t>a (-1,5%), y Dinamarca (-1,4%).</w:t>
      </w:r>
    </w:p>
    <w:p w:rsidR="00E65A04" w:rsidRDefault="00E65A04" w:rsidP="00E65A04">
      <w:pPr>
        <w:pStyle w:val="NormalWeb"/>
        <w:spacing w:after="0"/>
        <w:jc w:val="both"/>
      </w:pPr>
      <w:r>
        <w:t>Horizonte sujeto a pensiones</w:t>
      </w:r>
    </w:p>
    <w:p w:rsidR="00E65A04" w:rsidRPr="00E515C2" w:rsidRDefault="00E65A04" w:rsidP="00E65A04">
      <w:pPr>
        <w:pStyle w:val="NormalWeb"/>
        <w:spacing w:after="0"/>
        <w:jc w:val="both"/>
        <w:rPr>
          <w:u w:val="single"/>
        </w:rPr>
      </w:pPr>
      <w:r>
        <w:t xml:space="preserve">Más allá, con los fondos de recuperación europeos a las puertas y sujeto a un plan de reformas concreto, ya comprometido con Bruselas, </w:t>
      </w:r>
      <w:r w:rsidRPr="00E515C2">
        <w:rPr>
          <w:u w:val="single"/>
        </w:rPr>
        <w:t>un elemento que podría catalizar otro salto de deuda para España es el efecto económico de la reforma del sistema de pensiones.</w:t>
      </w:r>
    </w:p>
    <w:p w:rsidR="00E65A04" w:rsidRDefault="00E65A04" w:rsidP="00E65A04">
      <w:pPr>
        <w:pStyle w:val="NormalWeb"/>
        <w:spacing w:after="0"/>
        <w:jc w:val="both"/>
      </w:pPr>
      <w:r w:rsidRPr="00E515C2">
        <w:rPr>
          <w:u w:val="single"/>
        </w:rPr>
        <w:t>El Gobierno asume ya una máxima que resultará del proceso de reforma del sistema público de pensiones: las medidas que se adopten elevarán el gasto anual en esta partida a cargo de la Seguridad Social, para la que se destinarán en este año 135.000 millones de euros.</w:t>
      </w:r>
      <w:r>
        <w:t xml:space="preserve"> Concretamente, la derogación del factor de sostenibilidad unido a la sustitución del IRP por el IPC como guía para la revalorización de las pagas supone endosar a la factura anual otros 40.000 millones de euros. De modo que si en 2019 el desembolso en prestaciones alcanzaba </w:t>
      </w:r>
      <w:r>
        <w:lastRenderedPageBreak/>
        <w:t>el 10,9% del PIB, y según las estimaciones de la AIReF, estas dos medidas harán que en 2050 este coste ascienda a 14,2 puntos porcentuales del PIB.</w:t>
      </w:r>
    </w:p>
    <w:p w:rsidR="00E65A04" w:rsidRPr="00E65A04" w:rsidRDefault="00E65A04" w:rsidP="00FA4DA9">
      <w:pPr>
        <w:pStyle w:val="NormalWeb"/>
        <w:spacing w:after="0"/>
        <w:jc w:val="both"/>
        <w:rPr>
          <w:u w:val="single"/>
        </w:rPr>
      </w:pPr>
      <w:r w:rsidRPr="00E515C2">
        <w:rPr>
          <w:u w:val="single"/>
        </w:rPr>
        <w:t>Pero más allá, este aumento del gasto provocaría según la AIReF asumir un volumen de deuda letal para la economía, en el entorno del 165% del PIB.</w:t>
      </w:r>
      <w:r>
        <w:t xml:space="preserve"> Sin embargo, de no introducirse un elemento corrector del gasto asociado a la evolución demográfica, como el anunciado factor de equidad intergeneracional o la extensión del periodo de cálculo de pensión, </w:t>
      </w:r>
      <w:r w:rsidRPr="009D4779">
        <w:rPr>
          <w:u w:val="single"/>
        </w:rPr>
        <w:t>la deuda pública ascendería hasta el 175% del PIB como producto de la reforma que está llevando a cabo el Gobierno.</w:t>
      </w:r>
    </w:p>
    <w:p w:rsidR="00F71A32" w:rsidRDefault="00C16E76" w:rsidP="00FA4DA9">
      <w:pPr>
        <w:pStyle w:val="NormalWeb"/>
        <w:spacing w:after="0"/>
        <w:jc w:val="both"/>
      </w:pPr>
      <w:r>
        <w:t xml:space="preserve">                                           </w:t>
      </w:r>
      <w:r w:rsidR="00F71A32">
        <w:rPr>
          <w:noProof/>
        </w:rPr>
        <w:drawing>
          <wp:inline distT="0" distB="0" distL="0" distR="0" wp14:anchorId="05E51123" wp14:editId="3FCF1D65">
            <wp:extent cx="2381250" cy="7016750"/>
            <wp:effectExtent l="0" t="0" r="0" b="0"/>
            <wp:docPr id="159" name="Imagen 159" descr="https://s03.s3c.es/imag/_v0/431x2189/1/c/3/250x_020821-PIB-gonza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431x2189/1/c/3/250x_020821-PIB-gonzalo.jpg"/>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2381250" cy="7016750"/>
                    </a:xfrm>
                    <a:prstGeom prst="rect">
                      <a:avLst/>
                    </a:prstGeom>
                    <a:noFill/>
                    <a:ln>
                      <a:noFill/>
                    </a:ln>
                  </pic:spPr>
                </pic:pic>
              </a:graphicData>
            </a:graphic>
          </wp:inline>
        </w:drawing>
      </w:r>
    </w:p>
    <w:p w:rsidR="00835296" w:rsidRPr="00B61810" w:rsidRDefault="00835296"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B61810">
        <w:rPr>
          <w:rFonts w:ascii="Times New Roman" w:hAnsi="Times New Roman" w:cs="Times New Roman"/>
          <w:sz w:val="24"/>
          <w:szCs w:val="24"/>
          <w:u w:val="single"/>
        </w:rPr>
        <w:t>El mar de liquidez que inunda EEUU hace saltar las alarmas sobre la estabilidad financiera</w:t>
      </w:r>
      <w:r>
        <w:rPr>
          <w:rFonts w:ascii="Times New Roman" w:hAnsi="Times New Roman" w:cs="Times New Roman"/>
          <w:sz w:val="24"/>
          <w:szCs w:val="24"/>
        </w:rPr>
        <w:t xml:space="preserve"> (El Economista - </w:t>
      </w:r>
      <w:r w:rsidRPr="00B61810">
        <w:rPr>
          <w:rFonts w:ascii="Times New Roman" w:hAnsi="Times New Roman" w:cs="Times New Roman"/>
          <w:b/>
          <w:sz w:val="24"/>
          <w:szCs w:val="24"/>
        </w:rPr>
        <w:t>9/8/21</w:t>
      </w:r>
      <w:r>
        <w:rPr>
          <w:rFonts w:ascii="Times New Roman" w:hAnsi="Times New Roman" w:cs="Times New Roman"/>
          <w:sz w:val="24"/>
          <w:szCs w:val="24"/>
        </w:rPr>
        <w:t>)</w:t>
      </w:r>
    </w:p>
    <w:p w:rsidR="00835296" w:rsidRPr="00C16E76" w:rsidRDefault="00835296" w:rsidP="00FA4DA9">
      <w:pPr>
        <w:spacing w:line="240" w:lineRule="auto"/>
        <w:jc w:val="both"/>
        <w:rPr>
          <w:rFonts w:ascii="Times New Roman" w:hAnsi="Times New Roman" w:cs="Times New Roman"/>
          <w:b/>
          <w:color w:val="FF0000"/>
          <w:sz w:val="24"/>
          <w:szCs w:val="24"/>
          <w:u w:val="single"/>
        </w:rPr>
      </w:pPr>
      <w:r w:rsidRPr="00C16E76">
        <w:rPr>
          <w:rFonts w:ascii="Times New Roman" w:hAnsi="Times New Roman" w:cs="Times New Roman"/>
          <w:b/>
          <w:color w:val="FF0000"/>
          <w:sz w:val="24"/>
          <w:szCs w:val="24"/>
          <w:u w:val="single"/>
        </w:rPr>
        <w:t xml:space="preserve">La política monetaria lleva años navegando aguas desconocidas (desde la crisis financiera de 2007) con los riesgos que ello conlleva. Una muestra de ello es que en las últimas semanas, la Reserva Federal de EEUU está viviendo algo inaudito. Fondos de inversión, bancos </w:t>
      </w:r>
      <w:r w:rsidR="00F71A32" w:rsidRPr="00C16E76">
        <w:rPr>
          <w:rFonts w:ascii="Times New Roman" w:hAnsi="Times New Roman" w:cs="Times New Roman"/>
          <w:b/>
          <w:color w:val="FF0000"/>
          <w:sz w:val="24"/>
          <w:szCs w:val="24"/>
          <w:u w:val="single"/>
        </w:rPr>
        <w:t>y otras entidades financieras, “emborrachadas”</w:t>
      </w:r>
      <w:r w:rsidRPr="00C16E76">
        <w:rPr>
          <w:rFonts w:ascii="Times New Roman" w:hAnsi="Times New Roman" w:cs="Times New Roman"/>
          <w:b/>
          <w:color w:val="FF0000"/>
          <w:sz w:val="24"/>
          <w:szCs w:val="24"/>
          <w:u w:val="single"/>
        </w:rPr>
        <w:t xml:space="preserve"> de liquidez, está</w:t>
      </w:r>
      <w:r w:rsidR="00F71A32" w:rsidRPr="00C16E76">
        <w:rPr>
          <w:rFonts w:ascii="Times New Roman" w:hAnsi="Times New Roman" w:cs="Times New Roman"/>
          <w:b/>
          <w:color w:val="FF0000"/>
          <w:sz w:val="24"/>
          <w:szCs w:val="24"/>
          <w:u w:val="single"/>
        </w:rPr>
        <w:t>n acudiendo a la ventanilla de “repos inversas”</w:t>
      </w:r>
      <w:r w:rsidRPr="00C16E76">
        <w:rPr>
          <w:rFonts w:ascii="Times New Roman" w:hAnsi="Times New Roman" w:cs="Times New Roman"/>
          <w:b/>
          <w:color w:val="FF0000"/>
          <w:sz w:val="24"/>
          <w:szCs w:val="24"/>
          <w:u w:val="single"/>
        </w:rPr>
        <w:t xml:space="preserve"> o recompra inversa para cambiar sus reservas (liquidez) por bonos del Tesoro, que aunque parezca sorprendente escasean.</w:t>
      </w:r>
    </w:p>
    <w:p w:rsidR="00835296" w:rsidRPr="002F5EBA" w:rsidRDefault="00835296" w:rsidP="00FA4DA9">
      <w:pPr>
        <w:spacing w:line="240" w:lineRule="auto"/>
        <w:jc w:val="both"/>
        <w:rPr>
          <w:rFonts w:ascii="Times New Roman" w:hAnsi="Times New Roman" w:cs="Times New Roman"/>
          <w:sz w:val="24"/>
          <w:szCs w:val="24"/>
          <w:u w:val="single"/>
        </w:rPr>
      </w:pPr>
      <w:r w:rsidRPr="002F5EBA">
        <w:rPr>
          <w:rFonts w:ascii="Times New Roman" w:hAnsi="Times New Roman" w:cs="Times New Roman"/>
          <w:sz w:val="24"/>
          <w:szCs w:val="24"/>
          <w:u w:val="single"/>
        </w:rPr>
        <w:t>¿Cómo pueden escasear los bonos del Tesoro ante los grandes déficits públicos de un país en plena expansión fiscal?</w:t>
      </w:r>
      <w:r w:rsidRPr="00B61810">
        <w:rPr>
          <w:rFonts w:ascii="Times New Roman" w:hAnsi="Times New Roman" w:cs="Times New Roman"/>
          <w:sz w:val="24"/>
          <w:szCs w:val="24"/>
        </w:rPr>
        <w:t xml:space="preserve"> El Tesoro está emitiendo grandes cantidades de bonos (oferta) para financiar la recuperación económica, pero la escasez no solo tiene que ver con la oferta, la demanda es igual de importante. </w:t>
      </w:r>
      <w:r w:rsidRPr="002F5EBA">
        <w:rPr>
          <w:rFonts w:ascii="Times New Roman" w:hAnsi="Times New Roman" w:cs="Times New Roman"/>
          <w:sz w:val="24"/>
          <w:szCs w:val="24"/>
          <w:u w:val="single"/>
        </w:rPr>
        <w:t xml:space="preserve">Los bonos del Tesoro de EEUU se han convertido en un activo muy preciado para los bancos, fondos de pensiones, de inversión... </w:t>
      </w:r>
    </w:p>
    <w:p w:rsidR="00835296" w:rsidRDefault="00835296" w:rsidP="00FA4DA9">
      <w:pPr>
        <w:spacing w:line="240" w:lineRule="auto"/>
        <w:jc w:val="both"/>
        <w:rPr>
          <w:rFonts w:ascii="Times New Roman" w:hAnsi="Times New Roman" w:cs="Times New Roman"/>
          <w:sz w:val="24"/>
          <w:szCs w:val="24"/>
        </w:rPr>
      </w:pPr>
      <w:r w:rsidRPr="00B61810">
        <w:rPr>
          <w:rFonts w:ascii="Times New Roman" w:hAnsi="Times New Roman" w:cs="Times New Roman"/>
          <w:sz w:val="24"/>
          <w:szCs w:val="24"/>
        </w:rPr>
        <w:t>Más allá de la demanda en el mercado secundario, para conseguir estos activos, bancos, fondos de inversión y otras firmas financieras</w:t>
      </w:r>
      <w:r w:rsidR="00F95839">
        <w:rPr>
          <w:rFonts w:ascii="Times New Roman" w:hAnsi="Times New Roman" w:cs="Times New Roman"/>
          <w:sz w:val="24"/>
          <w:szCs w:val="24"/>
        </w:rPr>
        <w:t xml:space="preserve"> acuden noche tras noche a las “repos inversas”</w:t>
      </w:r>
      <w:r w:rsidRPr="00B61810">
        <w:rPr>
          <w:rFonts w:ascii="Times New Roman" w:hAnsi="Times New Roman" w:cs="Times New Roman"/>
          <w:sz w:val="24"/>
          <w:szCs w:val="24"/>
        </w:rPr>
        <w:t xml:space="preserve"> de la Fed (reverse repurchase agreement, reverse repo o RRP en inglés) en las que dejan su liquidez a cambio de conseguir estos activos de renta fija. Todo lo contrario oc</w:t>
      </w:r>
      <w:r w:rsidR="00F95839">
        <w:rPr>
          <w:rFonts w:ascii="Times New Roman" w:hAnsi="Times New Roman" w:cs="Times New Roman"/>
          <w:sz w:val="24"/>
          <w:szCs w:val="24"/>
        </w:rPr>
        <w:t>urrió durante 2019, cuando las “repo”</w:t>
      </w:r>
      <w:r w:rsidRPr="00B61810">
        <w:rPr>
          <w:rFonts w:ascii="Times New Roman" w:hAnsi="Times New Roman" w:cs="Times New Roman"/>
          <w:sz w:val="24"/>
          <w:szCs w:val="24"/>
        </w:rPr>
        <w:t xml:space="preserve"> convencionales (la entidad deja un bono en la Fed a cambio de liquidez) tuvieron que ampliarse para satisfacer las necesidades de reservas del mercado monetario en un intento por evitar que los tipos de interés se descontrolasen. </w:t>
      </w:r>
    </w:p>
    <w:p w:rsidR="00835296" w:rsidRPr="00B61810" w:rsidRDefault="00835296" w:rsidP="00FA4DA9">
      <w:pPr>
        <w:spacing w:line="240" w:lineRule="auto"/>
        <w:jc w:val="both"/>
        <w:rPr>
          <w:rFonts w:ascii="Times New Roman" w:hAnsi="Times New Roman" w:cs="Times New Roman"/>
          <w:sz w:val="24"/>
          <w:szCs w:val="24"/>
        </w:rPr>
      </w:pPr>
      <w:r w:rsidRPr="00B61810">
        <w:rPr>
          <w:rFonts w:ascii="Times New Roman" w:hAnsi="Times New Roman" w:cs="Times New Roman"/>
          <w:noProof/>
          <w:sz w:val="24"/>
          <w:szCs w:val="24"/>
          <w:lang w:eastAsia="es-ES"/>
        </w:rPr>
        <w:drawing>
          <wp:inline distT="0" distB="0" distL="0" distR="0" wp14:anchorId="07A76F95" wp14:editId="3D7049F9">
            <wp:extent cx="5733276" cy="3663950"/>
            <wp:effectExtent l="0" t="0" r="1270"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4"/>
                    <a:stretch>
                      <a:fillRect/>
                    </a:stretch>
                  </pic:blipFill>
                  <pic:spPr>
                    <a:xfrm>
                      <a:off x="0" y="0"/>
                      <a:ext cx="5731510" cy="3662822"/>
                    </a:xfrm>
                    <a:prstGeom prst="rect">
                      <a:avLst/>
                    </a:prstGeom>
                  </pic:spPr>
                </pic:pic>
              </a:graphicData>
            </a:graphic>
          </wp:inline>
        </w:drawing>
      </w:r>
    </w:p>
    <w:p w:rsidR="00835296" w:rsidRPr="002F5EBA" w:rsidRDefault="00F71A32" w:rsidP="00FA4DA9">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Ahora es la facilidad de “</w:t>
      </w:r>
      <w:r w:rsidR="00DA4BFE">
        <w:rPr>
          <w:rFonts w:ascii="Times New Roman" w:hAnsi="Times New Roman" w:cs="Times New Roman"/>
          <w:sz w:val="24"/>
          <w:szCs w:val="24"/>
          <w:u w:val="single"/>
        </w:rPr>
        <w:t>repo inversa”</w:t>
      </w:r>
      <w:r w:rsidR="00835296" w:rsidRPr="002F5EBA">
        <w:rPr>
          <w:rFonts w:ascii="Times New Roman" w:hAnsi="Times New Roman" w:cs="Times New Roman"/>
          <w:sz w:val="24"/>
          <w:szCs w:val="24"/>
          <w:u w:val="single"/>
        </w:rPr>
        <w:t xml:space="preserve"> la que está alcanzando récords históricos. Según datos de la Fed, esta ventanilla acumula alrededor de un billón de dólares, cuando lo normal es que se mueve en cantidades que no superan los 10.000 millones de dólares diarios.  Esta pelea por comprar bonos del Teso</w:t>
      </w:r>
      <w:r w:rsidR="00DA4BFE">
        <w:rPr>
          <w:rFonts w:ascii="Times New Roman" w:hAnsi="Times New Roman" w:cs="Times New Roman"/>
          <w:sz w:val="24"/>
          <w:szCs w:val="24"/>
          <w:u w:val="single"/>
        </w:rPr>
        <w:t>ro en el mercado secundario ha “aplastado”</w:t>
      </w:r>
      <w:r w:rsidR="00835296" w:rsidRPr="002F5EBA">
        <w:rPr>
          <w:rFonts w:ascii="Times New Roman" w:hAnsi="Times New Roman" w:cs="Times New Roman"/>
          <w:sz w:val="24"/>
          <w:szCs w:val="24"/>
          <w:u w:val="single"/>
        </w:rPr>
        <w:t xml:space="preserve"> la rentabilidad de estos activos (y disparado su precio) pese a unas expectativas de inflación crecientes y el fuerte crecimiento de la economía.</w:t>
      </w:r>
    </w:p>
    <w:p w:rsidR="00835296" w:rsidRPr="00B61810" w:rsidRDefault="00835296" w:rsidP="00FA4DA9">
      <w:pPr>
        <w:spacing w:line="240" w:lineRule="auto"/>
        <w:jc w:val="both"/>
        <w:rPr>
          <w:rFonts w:ascii="Times New Roman" w:hAnsi="Times New Roman" w:cs="Times New Roman"/>
          <w:sz w:val="24"/>
          <w:szCs w:val="24"/>
        </w:rPr>
      </w:pPr>
      <w:r w:rsidRPr="00B61810">
        <w:rPr>
          <w:rFonts w:ascii="Times New Roman" w:hAnsi="Times New Roman" w:cs="Times New Roman"/>
          <w:sz w:val="24"/>
          <w:szCs w:val="24"/>
        </w:rPr>
        <w:lastRenderedPageBreak/>
        <w:t xml:space="preserve">Este </w:t>
      </w:r>
      <w:r w:rsidR="00DA4BFE">
        <w:rPr>
          <w:rFonts w:ascii="Times New Roman" w:hAnsi="Times New Roman" w:cs="Times New Roman"/>
          <w:sz w:val="24"/>
          <w:szCs w:val="24"/>
        </w:rPr>
        <w:t>fuerte auge de las “repos inversas”</w:t>
      </w:r>
      <w:r w:rsidRPr="00B61810">
        <w:rPr>
          <w:rFonts w:ascii="Times New Roman" w:hAnsi="Times New Roman" w:cs="Times New Roman"/>
          <w:sz w:val="24"/>
          <w:szCs w:val="24"/>
        </w:rPr>
        <w:t xml:space="preserve"> no solo se debe a que las entidades estén buscando bonos del Tesoro. Por un lado, la Fed ha inundado de liquidez el mercado durante la crisis del covid, comprando b</w:t>
      </w:r>
      <w:r w:rsidR="00DA4BFE">
        <w:rPr>
          <w:rFonts w:ascii="Times New Roman" w:hAnsi="Times New Roman" w:cs="Times New Roman"/>
          <w:sz w:val="24"/>
          <w:szCs w:val="24"/>
        </w:rPr>
        <w:t>onos en el mercado a cambio de “dinero”</w:t>
      </w:r>
      <w:r w:rsidRPr="00B61810">
        <w:rPr>
          <w:rFonts w:ascii="Times New Roman" w:hAnsi="Times New Roman" w:cs="Times New Roman"/>
          <w:sz w:val="24"/>
          <w:szCs w:val="24"/>
        </w:rPr>
        <w:t xml:space="preserve"> (el exceso de reservas ha llegado a superar los 3 billones de dólares). Ahora, muchas firmas no saben qué hacer con tanta liquidez que no está remunerada. También la Fed ha ampliado recientemente el número de firmas financieras que pueden acceder a este tipo de facilidad y elevó en junio desde el 0 hasta el 0,05% el interés que reciben las entidades por realizar </w:t>
      </w:r>
      <w:r>
        <w:rPr>
          <w:rFonts w:ascii="Times New Roman" w:hAnsi="Times New Roman" w:cs="Times New Roman"/>
          <w:sz w:val="24"/>
          <w:szCs w:val="24"/>
        </w:rPr>
        <w:t>la operación de 'repo inversa'.</w:t>
      </w:r>
    </w:p>
    <w:p w:rsidR="00835296" w:rsidRPr="00B61810" w:rsidRDefault="00835296" w:rsidP="00FA4DA9">
      <w:pPr>
        <w:spacing w:line="240" w:lineRule="auto"/>
        <w:jc w:val="both"/>
        <w:rPr>
          <w:rFonts w:ascii="Times New Roman" w:hAnsi="Times New Roman" w:cs="Times New Roman"/>
          <w:sz w:val="24"/>
          <w:szCs w:val="24"/>
        </w:rPr>
      </w:pPr>
      <w:r w:rsidRPr="00B61810">
        <w:rPr>
          <w:rFonts w:ascii="Times New Roman" w:hAnsi="Times New Roman" w:cs="Times New Roman"/>
          <w:sz w:val="24"/>
          <w:szCs w:val="24"/>
        </w:rPr>
        <w:t>Además,</w:t>
      </w:r>
      <w:r w:rsidR="00DA4BFE">
        <w:rPr>
          <w:rFonts w:ascii="Times New Roman" w:hAnsi="Times New Roman" w:cs="Times New Roman"/>
          <w:sz w:val="24"/>
          <w:szCs w:val="24"/>
        </w:rPr>
        <w:t xml:space="preserve"> la demanda de la facilidad de “repo inversa”</w:t>
      </w:r>
      <w:r w:rsidRPr="00B61810">
        <w:rPr>
          <w:rFonts w:ascii="Times New Roman" w:hAnsi="Times New Roman" w:cs="Times New Roman"/>
          <w:sz w:val="24"/>
          <w:szCs w:val="24"/>
        </w:rPr>
        <w:t xml:space="preserve"> de la Fed ha aumentado a medida que se acerca el techo de la deuda de EEUU, lo que obliga al Tesoro a reducir la emisión de bonos y letras, a reducir la liquidez que tiene en su cuenta de la Fed (una cuenta estanca que al inyectarla en la economía se crea aún más liquidez), mientras que las empresas financieras luchan por encontrar lugares para invertir su exceso de reservas. Pese a todo, la Fed se muestra tranquila y ve estos movimientos como algo normal y que no debe preocupa</w:t>
      </w:r>
      <w:r>
        <w:rPr>
          <w:rFonts w:ascii="Times New Roman" w:hAnsi="Times New Roman" w:cs="Times New Roman"/>
          <w:sz w:val="24"/>
          <w:szCs w:val="24"/>
        </w:rPr>
        <w:t xml:space="preserve">r al mercado ni a la economía. </w:t>
      </w:r>
    </w:p>
    <w:p w:rsidR="00835296" w:rsidRPr="00B61810" w:rsidRDefault="00835296" w:rsidP="00FA4DA9">
      <w:pPr>
        <w:spacing w:line="240" w:lineRule="auto"/>
        <w:jc w:val="both"/>
        <w:rPr>
          <w:rFonts w:ascii="Times New Roman" w:hAnsi="Times New Roman" w:cs="Times New Roman"/>
          <w:sz w:val="24"/>
          <w:szCs w:val="24"/>
        </w:rPr>
      </w:pPr>
      <w:r w:rsidRPr="00B61810">
        <w:rPr>
          <w:rFonts w:ascii="Times New Roman" w:hAnsi="Times New Roman" w:cs="Times New Roman"/>
          <w:sz w:val="24"/>
          <w:szCs w:val="24"/>
        </w:rPr>
        <w:t>La función de este mercado</w:t>
      </w:r>
    </w:p>
    <w:p w:rsidR="00835296" w:rsidRPr="002F5EBA" w:rsidRDefault="00835296" w:rsidP="00FA4DA9">
      <w:pPr>
        <w:spacing w:line="240" w:lineRule="auto"/>
        <w:jc w:val="both"/>
        <w:rPr>
          <w:rFonts w:ascii="Times New Roman" w:hAnsi="Times New Roman" w:cs="Times New Roman"/>
          <w:sz w:val="24"/>
          <w:szCs w:val="24"/>
          <w:u w:val="single"/>
        </w:rPr>
      </w:pPr>
      <w:r w:rsidRPr="00B61810">
        <w:rPr>
          <w:rFonts w:ascii="Times New Roman" w:hAnsi="Times New Roman" w:cs="Times New Roman"/>
          <w:sz w:val="24"/>
          <w:szCs w:val="24"/>
        </w:rPr>
        <w:t xml:space="preserve">Los inversores aseguran en declaraciones a The Wall Street Journal que analizar estos datos es clave para evaluar la salud de los mercados de bonos y el mercado monetario. </w:t>
      </w:r>
      <w:r w:rsidR="00DA4BFE">
        <w:rPr>
          <w:rFonts w:ascii="Times New Roman" w:hAnsi="Times New Roman" w:cs="Times New Roman"/>
          <w:sz w:val="24"/>
          <w:szCs w:val="24"/>
          <w:u w:val="single"/>
        </w:rPr>
        <w:t>Para la Fed, la recompra o “repo”</w:t>
      </w:r>
      <w:r w:rsidRPr="002F5EBA">
        <w:rPr>
          <w:rFonts w:ascii="Times New Roman" w:hAnsi="Times New Roman" w:cs="Times New Roman"/>
          <w:sz w:val="24"/>
          <w:szCs w:val="24"/>
          <w:u w:val="single"/>
        </w:rPr>
        <w:t xml:space="preserve"> está destinada a evitar que los tipos de interés a un día suban demasiado (como ocurrió en 2019 cuando escaseaban las reservas o liqu</w:t>
      </w:r>
      <w:r w:rsidR="00DA4BFE">
        <w:rPr>
          <w:rFonts w:ascii="Times New Roman" w:hAnsi="Times New Roman" w:cs="Times New Roman"/>
          <w:sz w:val="24"/>
          <w:szCs w:val="24"/>
          <w:u w:val="single"/>
        </w:rPr>
        <w:t>idez), y la recompra inversa o “repo inversa”</w:t>
      </w:r>
      <w:r w:rsidRPr="002F5EBA">
        <w:rPr>
          <w:rFonts w:ascii="Times New Roman" w:hAnsi="Times New Roman" w:cs="Times New Roman"/>
          <w:sz w:val="24"/>
          <w:szCs w:val="24"/>
          <w:u w:val="single"/>
        </w:rPr>
        <w:t xml:space="preserve"> está destinada a evitar que bajen demasiado. La Fed reduce la oferta de bonos (aumenta la de liquidez) con la primera y la incrementa con la segunda, con el consecuente impacto en los tipos de interés. Estos movimientos tan drásticos generan ciertas dudas sobre la estabilidad financiera de la mayor economía del mundo.</w:t>
      </w:r>
    </w:p>
    <w:p w:rsidR="00835296" w:rsidRPr="00B61810" w:rsidRDefault="00DA4BFE"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835296" w:rsidRPr="00B61810">
        <w:rPr>
          <w:rFonts w:ascii="Times New Roman" w:hAnsi="Times New Roman" w:cs="Times New Roman"/>
          <w:sz w:val="24"/>
          <w:szCs w:val="24"/>
        </w:rPr>
        <w:t>Ayuda con la implemen</w:t>
      </w:r>
      <w:r>
        <w:rPr>
          <w:rFonts w:ascii="Times New Roman" w:hAnsi="Times New Roman" w:cs="Times New Roman"/>
          <w:sz w:val="24"/>
          <w:szCs w:val="24"/>
        </w:rPr>
        <w:t>tación de la política monetaria”</w:t>
      </w:r>
      <w:r w:rsidR="00835296" w:rsidRPr="00B61810">
        <w:rPr>
          <w:rFonts w:ascii="Times New Roman" w:hAnsi="Times New Roman" w:cs="Times New Roman"/>
          <w:sz w:val="24"/>
          <w:szCs w:val="24"/>
        </w:rPr>
        <w:t>, asegura Darrell Duffie, profesor de finanzas en la Escuela de Graduados de Negocios de la Universidad de Stanf</w:t>
      </w:r>
      <w:r>
        <w:rPr>
          <w:rFonts w:ascii="Times New Roman" w:hAnsi="Times New Roman" w:cs="Times New Roman"/>
          <w:sz w:val="24"/>
          <w:szCs w:val="24"/>
        </w:rPr>
        <w:t>ord a The Wall Street Journal. “</w:t>
      </w:r>
      <w:r w:rsidR="00835296" w:rsidRPr="00B61810">
        <w:rPr>
          <w:rFonts w:ascii="Times New Roman" w:hAnsi="Times New Roman" w:cs="Times New Roman"/>
          <w:sz w:val="24"/>
          <w:szCs w:val="24"/>
        </w:rPr>
        <w:t>Si no hubiera una facilidad de recompra inversa de un día para otro, el tipo de las repo caería y haría bajar otros tipos de interés del mercado a corto plazo, lo que podría arrastrar a los tipos de interés efectivos por debajo</w:t>
      </w:r>
      <w:r>
        <w:rPr>
          <w:rFonts w:ascii="Times New Roman" w:hAnsi="Times New Roman" w:cs="Times New Roman"/>
          <w:sz w:val="24"/>
          <w:szCs w:val="24"/>
        </w:rPr>
        <w:t xml:space="preserve"> del rango objetivo de la Fed”</w:t>
      </w:r>
      <w:r w:rsidR="00835296">
        <w:rPr>
          <w:rFonts w:ascii="Times New Roman" w:hAnsi="Times New Roman" w:cs="Times New Roman"/>
          <w:sz w:val="24"/>
          <w:szCs w:val="24"/>
        </w:rPr>
        <w:t>.</w:t>
      </w:r>
    </w:p>
    <w:p w:rsidR="00835296" w:rsidRPr="00B61810" w:rsidRDefault="00835296" w:rsidP="00FA4DA9">
      <w:pPr>
        <w:spacing w:line="240" w:lineRule="auto"/>
        <w:jc w:val="both"/>
        <w:rPr>
          <w:rFonts w:ascii="Times New Roman" w:hAnsi="Times New Roman" w:cs="Times New Roman"/>
          <w:sz w:val="24"/>
          <w:szCs w:val="24"/>
        </w:rPr>
      </w:pPr>
      <w:r w:rsidRPr="00B61810">
        <w:rPr>
          <w:rFonts w:ascii="Times New Roman" w:hAnsi="Times New Roman" w:cs="Times New Roman"/>
          <w:sz w:val="24"/>
          <w:szCs w:val="24"/>
        </w:rPr>
        <w:t>Un mercado opaco</w:t>
      </w:r>
    </w:p>
    <w:p w:rsidR="00835296" w:rsidRPr="00E34173" w:rsidRDefault="00835296" w:rsidP="00FA4DA9">
      <w:pPr>
        <w:spacing w:line="240" w:lineRule="auto"/>
        <w:jc w:val="both"/>
        <w:rPr>
          <w:rFonts w:ascii="Times New Roman" w:hAnsi="Times New Roman" w:cs="Times New Roman"/>
          <w:sz w:val="24"/>
          <w:szCs w:val="24"/>
        </w:rPr>
      </w:pPr>
      <w:r w:rsidRPr="00B61810">
        <w:rPr>
          <w:rFonts w:ascii="Times New Roman" w:hAnsi="Times New Roman" w:cs="Times New Roman"/>
          <w:sz w:val="24"/>
          <w:szCs w:val="24"/>
        </w:rPr>
        <w:t>A pesar de la evidente importancia de este mercado, no siempre está claro cuál es la dinámica que lo mueve. Los analistas describen el mercado de repos como opaco, con poca información pública sobre las operaciones, garantías o incluso los participantes para una gran parte de las transacciones, y dicen que algunos aspectos del mismo apenas han cambiado desde su creación en la década de 1980.</w:t>
      </w:r>
    </w:p>
    <w:p w:rsidR="00835296" w:rsidRPr="00BC44B8" w:rsidRDefault="00835296"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C44B8">
        <w:rPr>
          <w:rFonts w:ascii="Times New Roman" w:hAnsi="Times New Roman" w:cs="Times New Roman"/>
          <w:sz w:val="24"/>
          <w:szCs w:val="24"/>
          <w:u w:val="single"/>
        </w:rPr>
        <w:t>Los analistas ven lógica una corrección bursátil y no creen que sea momento de comprar</w:t>
      </w:r>
      <w:r>
        <w:rPr>
          <w:rFonts w:ascii="Times New Roman" w:hAnsi="Times New Roman" w:cs="Times New Roman"/>
          <w:sz w:val="24"/>
          <w:szCs w:val="24"/>
        </w:rPr>
        <w:t xml:space="preserve"> (Cinco Días - </w:t>
      </w:r>
      <w:r w:rsidRPr="00BC44B8">
        <w:rPr>
          <w:rFonts w:ascii="Times New Roman" w:hAnsi="Times New Roman" w:cs="Times New Roman"/>
          <w:b/>
          <w:sz w:val="24"/>
          <w:szCs w:val="24"/>
        </w:rPr>
        <w:t>20/8/21</w:t>
      </w:r>
      <w:r>
        <w:rPr>
          <w:rFonts w:ascii="Times New Roman" w:hAnsi="Times New Roman" w:cs="Times New Roman"/>
          <w:sz w:val="24"/>
          <w:szCs w:val="24"/>
        </w:rPr>
        <w:t>)</w:t>
      </w:r>
    </w:p>
    <w:p w:rsidR="00835296" w:rsidRDefault="00835296"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BC44B8">
        <w:rPr>
          <w:rFonts w:ascii="Times New Roman" w:hAnsi="Times New Roman" w:cs="Times New Roman"/>
          <w:sz w:val="24"/>
          <w:szCs w:val="24"/>
        </w:rPr>
        <w:t>N. Salobral</w:t>
      </w:r>
      <w:r>
        <w:rPr>
          <w:rFonts w:ascii="Times New Roman" w:hAnsi="Times New Roman" w:cs="Times New Roman"/>
          <w:sz w:val="24"/>
          <w:szCs w:val="24"/>
        </w:rPr>
        <w:t>)</w:t>
      </w:r>
    </w:p>
    <w:p w:rsidR="00E65A04" w:rsidRPr="00C16E76" w:rsidRDefault="00E65A04" w:rsidP="00E65A04">
      <w:pPr>
        <w:spacing w:line="240" w:lineRule="auto"/>
        <w:jc w:val="both"/>
        <w:rPr>
          <w:rFonts w:ascii="Times New Roman" w:hAnsi="Times New Roman" w:cs="Times New Roman"/>
          <w:color w:val="FF0000"/>
          <w:sz w:val="24"/>
          <w:szCs w:val="24"/>
          <w:u w:val="single"/>
        </w:rPr>
      </w:pPr>
      <w:r w:rsidRPr="00C16E76">
        <w:rPr>
          <w:rFonts w:ascii="Times New Roman" w:hAnsi="Times New Roman" w:cs="Times New Roman"/>
          <w:color w:val="FF0000"/>
          <w:sz w:val="24"/>
          <w:szCs w:val="24"/>
          <w:u w:val="single"/>
        </w:rPr>
        <w:t xml:space="preserve">La corrección tenía que llegar a la Bolsa y ayer pareció el momento. La intensidad de las ventas con que comenzó la jornada se fue moderando pero dejó el toque de atención al mercado que muchos ya anticipaban y los inversores encontraron en el temor a un freno al crecimiento económico y en la retirada de estímulos de la Reserva Federal los argumentos para la recogida de beneficios. </w:t>
      </w:r>
    </w:p>
    <w:p w:rsidR="00E65A04" w:rsidRPr="00BC44B8" w:rsidRDefault="00E65A04" w:rsidP="00FA4DA9">
      <w:pPr>
        <w:spacing w:line="240" w:lineRule="auto"/>
        <w:jc w:val="both"/>
        <w:rPr>
          <w:rFonts w:ascii="Times New Roman" w:hAnsi="Times New Roman" w:cs="Times New Roman"/>
          <w:sz w:val="24"/>
          <w:szCs w:val="24"/>
        </w:rPr>
      </w:pPr>
    </w:p>
    <w:p w:rsidR="00835296" w:rsidRDefault="00835296" w:rsidP="00FA4DA9">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17D29AB2" wp14:editId="05854BDA">
            <wp:extent cx="5731510" cy="3084098"/>
            <wp:effectExtent l="0" t="0" r="2540" b="2540"/>
            <wp:docPr id="91" name="Imagen 91" descr="Los analistas ven lógica una corrección bursátil y no creen que sea momento de compr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s analistas ven lógica una corrección bursátil y no creen que sea momento de comprar"/>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5731510" cy="3084098"/>
                    </a:xfrm>
                    <a:prstGeom prst="rect">
                      <a:avLst/>
                    </a:prstGeom>
                    <a:noFill/>
                    <a:ln>
                      <a:noFill/>
                    </a:ln>
                  </pic:spPr>
                </pic:pic>
              </a:graphicData>
            </a:graphic>
          </wp:inline>
        </w:drawing>
      </w:r>
    </w:p>
    <w:p w:rsidR="00835296" w:rsidRDefault="00835296" w:rsidP="00FA4DA9">
      <w:pPr>
        <w:spacing w:line="240" w:lineRule="auto"/>
        <w:jc w:val="both"/>
        <w:rPr>
          <w:rFonts w:ascii="Times New Roman" w:hAnsi="Times New Roman" w:cs="Times New Roman"/>
          <w:sz w:val="24"/>
          <w:szCs w:val="24"/>
        </w:rPr>
      </w:pPr>
    </w:p>
    <w:p w:rsidR="00835296" w:rsidRPr="00BC44B8" w:rsidRDefault="00835296" w:rsidP="00FA4DA9">
      <w:pPr>
        <w:spacing w:line="240" w:lineRule="auto"/>
        <w:jc w:val="both"/>
        <w:rPr>
          <w:rFonts w:ascii="Times New Roman" w:hAnsi="Times New Roman" w:cs="Times New Roman"/>
          <w:sz w:val="24"/>
          <w:szCs w:val="24"/>
        </w:rPr>
      </w:pPr>
      <w:r w:rsidRPr="00BC44B8">
        <w:rPr>
          <w:rFonts w:ascii="Times New Roman" w:hAnsi="Times New Roman" w:cs="Times New Roman"/>
          <w:sz w:val="24"/>
          <w:szCs w:val="24"/>
        </w:rPr>
        <w:t>Esas inquietudes ya pululaban por el mercado desde hace semanas pero ayer hubo dos detonantes claros: la drástica bajada de la p</w:t>
      </w:r>
      <w:r w:rsidR="00F95839">
        <w:rPr>
          <w:rFonts w:ascii="Times New Roman" w:hAnsi="Times New Roman" w:cs="Times New Roman"/>
          <w:sz w:val="24"/>
          <w:szCs w:val="24"/>
        </w:rPr>
        <w:t>revisión de alza de PIB para EE</w:t>
      </w:r>
      <w:r w:rsidRPr="00BC44B8">
        <w:rPr>
          <w:rFonts w:ascii="Times New Roman" w:hAnsi="Times New Roman" w:cs="Times New Roman"/>
          <w:sz w:val="24"/>
          <w:szCs w:val="24"/>
        </w:rPr>
        <w:t>UU en el tercer trimestre por parte de Goldman Sachs, que pasa del 9% al 5,5% a causa del impacto de la variante delta del coronavirus, y la publicación de la víspera de las actas de la Reserva Federal. El banco central no avanzó nada distinto de lo ya conocido pero la mera confirmación de que debate ya el inicio de la reducción de las compras de deuda y de que el recorte podría materializarse a finales de año bastó para iny</w:t>
      </w:r>
      <w:r>
        <w:rPr>
          <w:rFonts w:ascii="Times New Roman" w:hAnsi="Times New Roman" w:cs="Times New Roman"/>
          <w:sz w:val="24"/>
          <w:szCs w:val="24"/>
        </w:rPr>
        <w:t>ectar nerviosismo en el parqué.</w:t>
      </w:r>
    </w:p>
    <w:p w:rsidR="00835296" w:rsidRPr="00BC44B8" w:rsidRDefault="00DA4BFE"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835296" w:rsidRPr="00BC44B8">
        <w:rPr>
          <w:rFonts w:ascii="Times New Roman" w:hAnsi="Times New Roman" w:cs="Times New Roman"/>
          <w:sz w:val="24"/>
          <w:szCs w:val="24"/>
        </w:rPr>
        <w:t>Ha sido un movimiento normal, sin pánico vendedor, en un mercado con señales de sobrecompra. El factor principal es que varios índices (S&amp;P, Dow Jones o Cac) finalizaron la semana pasada en máximos históricos y otros ta</w:t>
      </w:r>
      <w:r>
        <w:rPr>
          <w:rFonts w:ascii="Times New Roman" w:hAnsi="Times New Roman" w:cs="Times New Roman"/>
          <w:sz w:val="24"/>
          <w:szCs w:val="24"/>
        </w:rPr>
        <w:t>ntos índices en máximos anuales”</w:t>
      </w:r>
      <w:r w:rsidR="00835296" w:rsidRPr="00BC44B8">
        <w:rPr>
          <w:rFonts w:ascii="Times New Roman" w:hAnsi="Times New Roman" w:cs="Times New Roman"/>
          <w:sz w:val="24"/>
          <w:szCs w:val="24"/>
        </w:rPr>
        <w:t>, explica Juan Fernández Figares, director de análisis de Link Securities. El experto recuerda que el S&amp;P acumula este año casi 200 sesiones sin sumar una corrección del 5%, algo que sucede de forma habitual en cada ejercicio y en varias ocasion</w:t>
      </w:r>
      <w:r>
        <w:rPr>
          <w:rFonts w:ascii="Times New Roman" w:hAnsi="Times New Roman" w:cs="Times New Roman"/>
          <w:sz w:val="24"/>
          <w:szCs w:val="24"/>
        </w:rPr>
        <w:t>es. En su opinión, “ya tocaba”</w:t>
      </w:r>
      <w:r w:rsidR="00835296">
        <w:rPr>
          <w:rFonts w:ascii="Times New Roman" w:hAnsi="Times New Roman" w:cs="Times New Roman"/>
          <w:sz w:val="24"/>
          <w:szCs w:val="24"/>
        </w:rPr>
        <w:t>.</w:t>
      </w:r>
    </w:p>
    <w:p w:rsidR="00835296" w:rsidRPr="00BC44B8" w:rsidRDefault="00835296" w:rsidP="00FA4DA9">
      <w:pPr>
        <w:spacing w:line="240" w:lineRule="auto"/>
        <w:jc w:val="both"/>
        <w:rPr>
          <w:rFonts w:ascii="Times New Roman" w:hAnsi="Times New Roman" w:cs="Times New Roman"/>
          <w:sz w:val="24"/>
          <w:szCs w:val="24"/>
        </w:rPr>
      </w:pPr>
      <w:r w:rsidRPr="00BC44B8">
        <w:rPr>
          <w:rFonts w:ascii="Times New Roman" w:hAnsi="Times New Roman" w:cs="Times New Roman"/>
          <w:sz w:val="24"/>
          <w:szCs w:val="24"/>
        </w:rPr>
        <w:t>Para Nuria</w:t>
      </w:r>
      <w:r w:rsidR="00DA4BFE">
        <w:rPr>
          <w:rFonts w:ascii="Times New Roman" w:hAnsi="Times New Roman" w:cs="Times New Roman"/>
          <w:sz w:val="24"/>
          <w:szCs w:val="24"/>
        </w:rPr>
        <w:t xml:space="preserve"> Álvarez, analista de Renta 4, “</w:t>
      </w:r>
      <w:r w:rsidRPr="00BC44B8">
        <w:rPr>
          <w:rFonts w:ascii="Times New Roman" w:hAnsi="Times New Roman" w:cs="Times New Roman"/>
          <w:sz w:val="24"/>
          <w:szCs w:val="24"/>
        </w:rPr>
        <w:t>el mercado ha obviado bastante el entorno macro más reciente y las revisiones a la baja que se están viendo para el crecimien</w:t>
      </w:r>
      <w:r w:rsidR="00DA4BFE">
        <w:rPr>
          <w:rFonts w:ascii="Times New Roman" w:hAnsi="Times New Roman" w:cs="Times New Roman"/>
          <w:sz w:val="24"/>
          <w:szCs w:val="24"/>
        </w:rPr>
        <w:t>to de China y de EEUU este año</w:t>
      </w:r>
      <w:r w:rsidRPr="00BC44B8">
        <w:rPr>
          <w:rFonts w:ascii="Times New Roman" w:hAnsi="Times New Roman" w:cs="Times New Roman"/>
          <w:sz w:val="24"/>
          <w:szCs w:val="24"/>
        </w:rPr>
        <w:t xml:space="preserve">. Hasta ahora, agosto había transcurrido con sorprendente tranquilidad para un mes tradicionalmente volátil, en el que el reducido volumen de negocio suele amplificar los movimientos del mercado. Sin embargo, no prevé que las caídas bursátiles vayan a ir mucho </w:t>
      </w:r>
      <w:r w:rsidR="00DA4BFE">
        <w:rPr>
          <w:rFonts w:ascii="Times New Roman" w:hAnsi="Times New Roman" w:cs="Times New Roman"/>
          <w:sz w:val="24"/>
          <w:szCs w:val="24"/>
        </w:rPr>
        <w:t>más allá. “</w:t>
      </w:r>
      <w:r w:rsidRPr="00BC44B8">
        <w:rPr>
          <w:rFonts w:ascii="Times New Roman" w:hAnsi="Times New Roman" w:cs="Times New Roman"/>
          <w:sz w:val="24"/>
          <w:szCs w:val="24"/>
        </w:rPr>
        <w:t>La liquidez es enorme. Siempre que el mercado cae un poco,</w:t>
      </w:r>
      <w:r w:rsidR="00DA4BFE">
        <w:rPr>
          <w:rFonts w:ascii="Times New Roman" w:hAnsi="Times New Roman" w:cs="Times New Roman"/>
          <w:sz w:val="24"/>
          <w:szCs w:val="24"/>
        </w:rPr>
        <w:t xml:space="preserve"> vuelve a entra dinero”</w:t>
      </w:r>
      <w:r>
        <w:rPr>
          <w:rFonts w:ascii="Times New Roman" w:hAnsi="Times New Roman" w:cs="Times New Roman"/>
          <w:sz w:val="24"/>
          <w:szCs w:val="24"/>
        </w:rPr>
        <w:t>, añade.</w:t>
      </w:r>
    </w:p>
    <w:p w:rsidR="00835296" w:rsidRPr="00BC44B8" w:rsidRDefault="00835296" w:rsidP="00FA4DA9">
      <w:pPr>
        <w:spacing w:line="240" w:lineRule="auto"/>
        <w:jc w:val="both"/>
        <w:rPr>
          <w:rFonts w:ascii="Times New Roman" w:hAnsi="Times New Roman" w:cs="Times New Roman"/>
          <w:sz w:val="24"/>
          <w:szCs w:val="24"/>
        </w:rPr>
      </w:pPr>
      <w:r w:rsidRPr="00BC44B8">
        <w:rPr>
          <w:rFonts w:ascii="Times New Roman" w:hAnsi="Times New Roman" w:cs="Times New Roman"/>
          <w:sz w:val="24"/>
          <w:szCs w:val="24"/>
        </w:rPr>
        <w:t>De hecho, hay varios factores que explican el rally alcista de la Bolsa y su continuidad desde los mínimos, el más reciente el positivo balance que dejan los r</w:t>
      </w:r>
      <w:r w:rsidR="00DA4BFE">
        <w:rPr>
          <w:rFonts w:ascii="Times New Roman" w:hAnsi="Times New Roman" w:cs="Times New Roman"/>
          <w:sz w:val="24"/>
          <w:szCs w:val="24"/>
        </w:rPr>
        <w:t>esultados del primer semestre. “</w:t>
      </w:r>
      <w:r w:rsidRPr="00BC44B8">
        <w:rPr>
          <w:rFonts w:ascii="Times New Roman" w:hAnsi="Times New Roman" w:cs="Times New Roman"/>
          <w:sz w:val="24"/>
          <w:szCs w:val="24"/>
        </w:rPr>
        <w:t>El mercado no está barato pero no es de extrañar que si los beneficios suben con fuer</w:t>
      </w:r>
      <w:r w:rsidR="00DA4BFE">
        <w:rPr>
          <w:rFonts w:ascii="Times New Roman" w:hAnsi="Times New Roman" w:cs="Times New Roman"/>
          <w:sz w:val="24"/>
          <w:szCs w:val="24"/>
        </w:rPr>
        <w:t>za, las Bolsas lo hagan también”</w:t>
      </w:r>
      <w:r w:rsidRPr="00BC44B8">
        <w:rPr>
          <w:rFonts w:ascii="Times New Roman" w:hAnsi="Times New Roman" w:cs="Times New Roman"/>
          <w:sz w:val="24"/>
          <w:szCs w:val="24"/>
        </w:rPr>
        <w:t>, sostiene Ignacio Cantos, director de inversiones de atl Capital. El experto también cree justificado el nerviosismo del mercado ante la re</w:t>
      </w:r>
      <w:r w:rsidR="00DA4BFE">
        <w:rPr>
          <w:rFonts w:ascii="Times New Roman" w:hAnsi="Times New Roman" w:cs="Times New Roman"/>
          <w:sz w:val="24"/>
          <w:szCs w:val="24"/>
        </w:rPr>
        <w:t>tirada de estímulos de la Fed. “</w:t>
      </w:r>
      <w:r w:rsidRPr="00BC44B8">
        <w:rPr>
          <w:rFonts w:ascii="Times New Roman" w:hAnsi="Times New Roman" w:cs="Times New Roman"/>
          <w:sz w:val="24"/>
          <w:szCs w:val="24"/>
        </w:rPr>
        <w:t>El último anuncio de retirada de estímulos, el de 2018, dejó un año ma</w:t>
      </w:r>
      <w:r w:rsidR="00DA4BFE">
        <w:rPr>
          <w:rFonts w:ascii="Times New Roman" w:hAnsi="Times New Roman" w:cs="Times New Roman"/>
          <w:sz w:val="24"/>
          <w:szCs w:val="24"/>
        </w:rPr>
        <w:t>lo en los mercados”</w:t>
      </w:r>
      <w:r>
        <w:rPr>
          <w:rFonts w:ascii="Times New Roman" w:hAnsi="Times New Roman" w:cs="Times New Roman"/>
          <w:sz w:val="24"/>
          <w:szCs w:val="24"/>
        </w:rPr>
        <w:t xml:space="preserve">, recuerda. </w:t>
      </w:r>
    </w:p>
    <w:p w:rsidR="00835296" w:rsidRPr="00BC44B8" w:rsidRDefault="00835296" w:rsidP="00FA4DA9">
      <w:pPr>
        <w:spacing w:line="240" w:lineRule="auto"/>
        <w:jc w:val="both"/>
        <w:rPr>
          <w:rFonts w:ascii="Times New Roman" w:hAnsi="Times New Roman" w:cs="Times New Roman"/>
          <w:sz w:val="24"/>
          <w:szCs w:val="24"/>
        </w:rPr>
      </w:pPr>
      <w:r w:rsidRPr="00BC44B8">
        <w:rPr>
          <w:rFonts w:ascii="Times New Roman" w:hAnsi="Times New Roman" w:cs="Times New Roman"/>
          <w:sz w:val="24"/>
          <w:szCs w:val="24"/>
        </w:rPr>
        <w:lastRenderedPageBreak/>
        <w:t xml:space="preserve">Tras las caídas, muy concentradas en la sesión de ayer en los sectores más cíclicos, los expertos no creen sin embargo </w:t>
      </w:r>
      <w:r w:rsidR="00DA4BFE">
        <w:rPr>
          <w:rFonts w:ascii="Times New Roman" w:hAnsi="Times New Roman" w:cs="Times New Roman"/>
          <w:sz w:val="24"/>
          <w:szCs w:val="24"/>
        </w:rPr>
        <w:t>llegado el momento de comprar. “</w:t>
      </w:r>
      <w:r w:rsidRPr="00BC44B8">
        <w:rPr>
          <w:rFonts w:ascii="Times New Roman" w:hAnsi="Times New Roman" w:cs="Times New Roman"/>
          <w:sz w:val="24"/>
          <w:szCs w:val="24"/>
        </w:rPr>
        <w:t xml:space="preserve">Habría </w:t>
      </w:r>
      <w:r w:rsidR="00DA4BFE">
        <w:rPr>
          <w:rFonts w:ascii="Times New Roman" w:hAnsi="Times New Roman" w:cs="Times New Roman"/>
          <w:sz w:val="24"/>
          <w:szCs w:val="24"/>
        </w:rPr>
        <w:t>que esperar a mayores descensos”, apunta Cantos. “</w:t>
      </w:r>
      <w:r w:rsidRPr="00BC44B8">
        <w:rPr>
          <w:rFonts w:ascii="Times New Roman" w:hAnsi="Times New Roman" w:cs="Times New Roman"/>
          <w:sz w:val="24"/>
          <w:szCs w:val="24"/>
        </w:rPr>
        <w:t>Pueden surgir oportunidades en valores de corte cícl</w:t>
      </w:r>
      <w:r w:rsidR="00DA4BFE">
        <w:rPr>
          <w:rFonts w:ascii="Times New Roman" w:hAnsi="Times New Roman" w:cs="Times New Roman"/>
          <w:sz w:val="24"/>
          <w:szCs w:val="24"/>
        </w:rPr>
        <w:t>ico, pero con caídas superiores”</w:t>
      </w:r>
      <w:r>
        <w:rPr>
          <w:rFonts w:ascii="Times New Roman" w:hAnsi="Times New Roman" w:cs="Times New Roman"/>
          <w:sz w:val="24"/>
          <w:szCs w:val="24"/>
        </w:rPr>
        <w:t>, añaden desde Link Securities.</w:t>
      </w:r>
    </w:p>
    <w:p w:rsidR="00835296" w:rsidRDefault="00835296" w:rsidP="00FA4DA9">
      <w:pPr>
        <w:spacing w:line="240" w:lineRule="auto"/>
        <w:jc w:val="both"/>
        <w:rPr>
          <w:rFonts w:ascii="Times New Roman" w:hAnsi="Times New Roman" w:cs="Times New Roman"/>
          <w:sz w:val="24"/>
          <w:szCs w:val="24"/>
        </w:rPr>
      </w:pPr>
      <w:r w:rsidRPr="00BC44B8">
        <w:rPr>
          <w:rFonts w:ascii="Times New Roman" w:hAnsi="Times New Roman" w:cs="Times New Roman"/>
          <w:sz w:val="24"/>
          <w:szCs w:val="24"/>
        </w:rPr>
        <w:t>Los expertos coinciden en que, pese a los máximos alcanzados, continúa habiendo argumentos para la continuidad de las subidas, empezando por los beneficios empresariales, la continuidad del apoyo de los bancos centrales y la expectativa de que una potencial retirada será gradual, la enorme liquidez y la falta de alternativas de inversión a la Bolsa. De hecho, fuera de la renta variable, los rendimientos de otros activos como la renta fija</w:t>
      </w:r>
      <w:r>
        <w:rPr>
          <w:rFonts w:ascii="Times New Roman" w:hAnsi="Times New Roman" w:cs="Times New Roman"/>
          <w:sz w:val="24"/>
          <w:szCs w:val="24"/>
        </w:rPr>
        <w:t xml:space="preserve"> son mínimos.</w:t>
      </w:r>
    </w:p>
    <w:p w:rsidR="00835296" w:rsidRPr="00A75D74" w:rsidRDefault="00835296"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92E7B">
        <w:rPr>
          <w:rFonts w:ascii="Times New Roman" w:hAnsi="Times New Roman" w:cs="Times New Roman"/>
          <w:sz w:val="24"/>
          <w:szCs w:val="24"/>
          <w:u w:val="single"/>
        </w:rPr>
        <w:t>Bank of America alerta sobre el cr</w:t>
      </w:r>
      <w:r w:rsidR="00DA4BFE">
        <w:rPr>
          <w:rFonts w:ascii="Times New Roman" w:hAnsi="Times New Roman" w:cs="Times New Roman"/>
          <w:sz w:val="24"/>
          <w:szCs w:val="24"/>
          <w:u w:val="single"/>
        </w:rPr>
        <w:t>eciente riesgo de una “recesión repentina”</w:t>
      </w:r>
      <w:r>
        <w:rPr>
          <w:rFonts w:ascii="Times New Roman" w:hAnsi="Times New Roman" w:cs="Times New Roman"/>
          <w:sz w:val="24"/>
          <w:szCs w:val="24"/>
        </w:rPr>
        <w:t xml:space="preserve"> (El Economista - </w:t>
      </w:r>
      <w:r w:rsidRPr="00592E7B">
        <w:rPr>
          <w:rFonts w:ascii="Times New Roman" w:hAnsi="Times New Roman" w:cs="Times New Roman"/>
          <w:b/>
          <w:sz w:val="24"/>
          <w:szCs w:val="24"/>
        </w:rPr>
        <w:t>23/8/21</w:t>
      </w:r>
      <w:r>
        <w:rPr>
          <w:rFonts w:ascii="Times New Roman" w:hAnsi="Times New Roman" w:cs="Times New Roman"/>
          <w:sz w:val="24"/>
          <w:szCs w:val="24"/>
        </w:rPr>
        <w:t>)</w:t>
      </w:r>
    </w:p>
    <w:p w:rsidR="00835296" w:rsidRPr="00614066" w:rsidRDefault="00835296" w:rsidP="00FA4DA9">
      <w:pPr>
        <w:spacing w:line="240" w:lineRule="auto"/>
        <w:jc w:val="both"/>
        <w:rPr>
          <w:rFonts w:ascii="Times New Roman" w:hAnsi="Times New Roman" w:cs="Times New Roman"/>
          <w:sz w:val="24"/>
          <w:szCs w:val="24"/>
          <w:u w:val="single"/>
        </w:rPr>
      </w:pPr>
      <w:r w:rsidRPr="00ED444A">
        <w:rPr>
          <w:rFonts w:ascii="Times New Roman" w:hAnsi="Times New Roman" w:cs="Times New Roman"/>
          <w:b/>
          <w:color w:val="FF0000"/>
          <w:sz w:val="24"/>
          <w:szCs w:val="24"/>
          <w:u w:val="single"/>
        </w:rPr>
        <w:t>Michael Hartnett, el estratega jefe de inversión de Bank of America, no descarta una contracción súbita en los próximos meses</w:t>
      </w:r>
      <w:r w:rsidRPr="00614066">
        <w:rPr>
          <w:rFonts w:ascii="Times New Roman" w:hAnsi="Times New Roman" w:cs="Times New Roman"/>
          <w:sz w:val="24"/>
          <w:szCs w:val="24"/>
          <w:u w:val="single"/>
        </w:rPr>
        <w:t>. En un informe distribuido entre sus clientes, Hartnett y su equipo reconocen cómo la recuperación económic</w:t>
      </w:r>
      <w:r w:rsidR="00ED444A">
        <w:rPr>
          <w:rFonts w:ascii="Times New Roman" w:hAnsi="Times New Roman" w:cs="Times New Roman"/>
          <w:sz w:val="24"/>
          <w:szCs w:val="24"/>
          <w:u w:val="single"/>
        </w:rPr>
        <w:t>a global en forma de V ha sido “muy fuerte”</w:t>
      </w:r>
      <w:r w:rsidRPr="00614066">
        <w:rPr>
          <w:rFonts w:ascii="Times New Roman" w:hAnsi="Times New Roman" w:cs="Times New Roman"/>
          <w:sz w:val="24"/>
          <w:szCs w:val="24"/>
          <w:u w:val="single"/>
        </w:rPr>
        <w:t>. Sin embargo comienzan a observar múltiples factores que podrían desencadenar más de un susto entre los inversores.</w:t>
      </w:r>
    </w:p>
    <w:p w:rsidR="00835296" w:rsidRPr="00614066" w:rsidRDefault="00835296" w:rsidP="00FA4DA9">
      <w:pPr>
        <w:spacing w:line="240" w:lineRule="auto"/>
        <w:jc w:val="both"/>
        <w:rPr>
          <w:rFonts w:ascii="Times New Roman" w:hAnsi="Times New Roman" w:cs="Times New Roman"/>
          <w:color w:val="FF0000"/>
          <w:sz w:val="24"/>
          <w:szCs w:val="24"/>
          <w:u w:val="single"/>
        </w:rPr>
      </w:pPr>
      <w:r w:rsidRPr="00ED444A">
        <w:rPr>
          <w:rFonts w:ascii="Times New Roman" w:hAnsi="Times New Roman" w:cs="Times New Roman"/>
          <w:b/>
          <w:color w:val="FF0000"/>
          <w:sz w:val="24"/>
          <w:szCs w:val="24"/>
          <w:u w:val="single"/>
        </w:rPr>
        <w:t>Entre ellos mencionan que la inflación ahora induce a la estanflación</w:t>
      </w:r>
      <w:r w:rsidRPr="00614066">
        <w:rPr>
          <w:rFonts w:ascii="Times New Roman" w:hAnsi="Times New Roman" w:cs="Times New Roman"/>
          <w:color w:val="FF0000"/>
          <w:sz w:val="24"/>
          <w:szCs w:val="24"/>
          <w:u w:val="single"/>
        </w:rPr>
        <w:t>. También señalan cómo los índices de sorpresa económica son negativos en EEUU, China y Japón, la producción de automóviles ha caído en EEUU, Alemania y Japón mientras la confianza de los consumidores estadounidense se ha desplomado a mínimos de 10 años. Tampoco pasan por alto que las ventas de viviendas a este lado del Atlántico han caído un 13% desde su máximo más reciente.</w:t>
      </w:r>
    </w:p>
    <w:p w:rsidR="00835296" w:rsidRPr="00614066" w:rsidRDefault="00ED444A" w:rsidP="00FA4DA9">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835296" w:rsidRPr="00614066">
        <w:rPr>
          <w:rFonts w:ascii="Times New Roman" w:hAnsi="Times New Roman" w:cs="Times New Roman"/>
          <w:color w:val="FF0000"/>
          <w:sz w:val="24"/>
          <w:szCs w:val="24"/>
          <w:u w:val="single"/>
        </w:rPr>
        <w:t xml:space="preserve">El crecimiento de China se tambalea, el consumo de EEUU ha tocado techo, el optimismo fiscal se desvanece </w:t>
      </w:r>
      <w:r>
        <w:rPr>
          <w:rFonts w:ascii="Times New Roman" w:hAnsi="Times New Roman" w:cs="Times New Roman"/>
          <w:color w:val="FF0000"/>
          <w:sz w:val="24"/>
          <w:szCs w:val="24"/>
          <w:u w:val="single"/>
        </w:rPr>
        <w:t>y un potencial “error”</w:t>
      </w:r>
      <w:r w:rsidR="00835296" w:rsidRPr="00614066">
        <w:rPr>
          <w:rFonts w:ascii="Times New Roman" w:hAnsi="Times New Roman" w:cs="Times New Roman"/>
          <w:color w:val="FF0000"/>
          <w:sz w:val="24"/>
          <w:szCs w:val="24"/>
          <w:u w:val="single"/>
        </w:rPr>
        <w:t xml:space="preserve"> de la Reserva Federal aumentan el riesgo de una recesión repentina en otoño (probablemente telegrafiada a través de la fue</w:t>
      </w:r>
      <w:r>
        <w:rPr>
          <w:rFonts w:ascii="Times New Roman" w:hAnsi="Times New Roman" w:cs="Times New Roman"/>
          <w:color w:val="FF0000"/>
          <w:sz w:val="24"/>
          <w:szCs w:val="24"/>
          <w:u w:val="single"/>
        </w:rPr>
        <w:t>rte caída de los PMI mundiales)”</w:t>
      </w:r>
      <w:r w:rsidR="00835296" w:rsidRPr="00614066">
        <w:rPr>
          <w:rFonts w:ascii="Times New Roman" w:hAnsi="Times New Roman" w:cs="Times New Roman"/>
          <w:color w:val="FF0000"/>
          <w:sz w:val="24"/>
          <w:szCs w:val="24"/>
          <w:u w:val="single"/>
        </w:rPr>
        <w:t>, destaca Hartnett.</w:t>
      </w:r>
    </w:p>
    <w:p w:rsidR="00835296" w:rsidRPr="00614066" w:rsidRDefault="00835296" w:rsidP="00FA4DA9">
      <w:pPr>
        <w:spacing w:line="240" w:lineRule="auto"/>
        <w:jc w:val="both"/>
        <w:rPr>
          <w:rFonts w:ascii="Times New Roman" w:hAnsi="Times New Roman" w:cs="Times New Roman"/>
          <w:b/>
          <w:color w:val="FF0000"/>
          <w:sz w:val="24"/>
          <w:szCs w:val="24"/>
          <w:u w:val="single"/>
        </w:rPr>
      </w:pPr>
      <w:r w:rsidRPr="00614066">
        <w:rPr>
          <w:rFonts w:ascii="Times New Roman" w:hAnsi="Times New Roman" w:cs="Times New Roman"/>
          <w:b/>
          <w:color w:val="FF0000"/>
          <w:sz w:val="24"/>
          <w:szCs w:val="24"/>
          <w:u w:val="single"/>
        </w:rPr>
        <w:t>Los estímulos han provocado una inmensa inflación de los activos tanto en Wall Street como en la economía a pie de calle. La Reserva Federal ha comprado bonos por valor de 4 billones de dólares en los últimos 18 meses (el doble de lo que EEUU ha gastado en la guerra de Afganistán en los últimos 20 años), los bancos centrales de todo el mundo han gastado 834 millones de dólares cada hora en la compra de bonos desde la crisis financiera mientras que el gobierno de EEUU ha desembolsado 875 millones de dólares a la hora en lo que llevamos de año.</w:t>
      </w:r>
    </w:p>
    <w:p w:rsidR="00835296" w:rsidRPr="00A75D74" w:rsidRDefault="00835296" w:rsidP="00FA4DA9">
      <w:pPr>
        <w:spacing w:line="240" w:lineRule="auto"/>
        <w:jc w:val="both"/>
        <w:rPr>
          <w:rFonts w:ascii="Times New Roman" w:hAnsi="Times New Roman" w:cs="Times New Roman"/>
          <w:sz w:val="24"/>
          <w:szCs w:val="24"/>
        </w:rPr>
      </w:pPr>
      <w:r w:rsidRPr="00ED444A">
        <w:rPr>
          <w:rFonts w:ascii="Times New Roman" w:hAnsi="Times New Roman" w:cs="Times New Roman"/>
          <w:b/>
          <w:color w:val="FF0000"/>
          <w:sz w:val="24"/>
          <w:szCs w:val="24"/>
          <w:u w:val="single"/>
        </w:rPr>
        <w:t>En estas circunstancias, el IPC de EEUU anualizado en los últimos seis meses hasta julio es del 7,8% y la lectura subyacente es del 6,8%, según señalan desde BofA Securities</w:t>
      </w:r>
      <w:r w:rsidRPr="00A75D74">
        <w:rPr>
          <w:rFonts w:ascii="Times New Roman" w:hAnsi="Times New Roman" w:cs="Times New Roman"/>
          <w:sz w:val="24"/>
          <w:szCs w:val="24"/>
        </w:rPr>
        <w:t>. Al mismo tiempo, los precios de la vivienda (mayo) han subido un 19,7%, el IPC de Canadá es el más alto de los últimos 20 años mientras el sector inmobiliario de Reino Unido, Canadá, Nueva Zelanda y Aus</w:t>
      </w:r>
      <w:r>
        <w:rPr>
          <w:rFonts w:ascii="Times New Roman" w:hAnsi="Times New Roman" w:cs="Times New Roman"/>
          <w:sz w:val="24"/>
          <w:szCs w:val="24"/>
        </w:rPr>
        <w:t>tralia comienza a recalentarse.</w:t>
      </w:r>
    </w:p>
    <w:p w:rsidR="00835296" w:rsidRPr="00614066" w:rsidRDefault="00835296" w:rsidP="00FA4DA9">
      <w:pPr>
        <w:spacing w:line="240" w:lineRule="auto"/>
        <w:jc w:val="both"/>
        <w:rPr>
          <w:rFonts w:ascii="Times New Roman" w:hAnsi="Times New Roman" w:cs="Times New Roman"/>
          <w:color w:val="FF0000"/>
          <w:sz w:val="24"/>
          <w:szCs w:val="24"/>
          <w:u w:val="single"/>
        </w:rPr>
      </w:pPr>
      <w:r w:rsidRPr="00614066">
        <w:rPr>
          <w:rFonts w:ascii="Times New Roman" w:hAnsi="Times New Roman" w:cs="Times New Roman"/>
          <w:color w:val="FF0000"/>
          <w:sz w:val="24"/>
          <w:szCs w:val="24"/>
          <w:u w:val="single"/>
        </w:rPr>
        <w:t>El banco señala tres razones por las que los inversores parecen estar preocupados por el crecimiento económico. En primer lugar, la curva de rendimiento, o la diferencia entre los rendimientos de los bonos a largo y a corto plazo, ha disminuido. Esto significa que los inversores ven un debilitamiento de la demanda económica en el futuro, incluso mientras la inflación se mantiene al alza.</w:t>
      </w:r>
    </w:p>
    <w:p w:rsidR="00835296" w:rsidRPr="00614066" w:rsidRDefault="00835296" w:rsidP="00FA4DA9">
      <w:pPr>
        <w:spacing w:line="240" w:lineRule="auto"/>
        <w:jc w:val="both"/>
        <w:rPr>
          <w:rFonts w:ascii="Times New Roman" w:hAnsi="Times New Roman" w:cs="Times New Roman"/>
          <w:color w:val="FF0000"/>
          <w:sz w:val="24"/>
          <w:szCs w:val="24"/>
          <w:u w:val="single"/>
        </w:rPr>
      </w:pPr>
      <w:r w:rsidRPr="00614066">
        <w:rPr>
          <w:rFonts w:ascii="Times New Roman" w:hAnsi="Times New Roman" w:cs="Times New Roman"/>
          <w:color w:val="FF0000"/>
          <w:sz w:val="24"/>
          <w:szCs w:val="24"/>
          <w:u w:val="single"/>
        </w:rPr>
        <w:lastRenderedPageBreak/>
        <w:t>En segundo lugar, los precios de las materias primas, que responden a la demanda económica, han caído: el petróleo y el cobre han bajado un 16% y un 13%, respectivamente, desde sus máximos de 2021.</w:t>
      </w:r>
    </w:p>
    <w:p w:rsidR="00835296" w:rsidRPr="00614066" w:rsidRDefault="00835296" w:rsidP="00FA4DA9">
      <w:pPr>
        <w:spacing w:line="240" w:lineRule="auto"/>
        <w:jc w:val="both"/>
        <w:rPr>
          <w:rFonts w:ascii="Times New Roman" w:hAnsi="Times New Roman" w:cs="Times New Roman"/>
          <w:color w:val="FF0000"/>
          <w:sz w:val="24"/>
          <w:szCs w:val="24"/>
          <w:u w:val="single"/>
        </w:rPr>
      </w:pPr>
      <w:r w:rsidRPr="00614066">
        <w:rPr>
          <w:rFonts w:ascii="Times New Roman" w:hAnsi="Times New Roman" w:cs="Times New Roman"/>
          <w:color w:val="FF0000"/>
          <w:sz w:val="24"/>
          <w:szCs w:val="24"/>
          <w:u w:val="single"/>
        </w:rPr>
        <w:t>En tercer lugar, las empresas de pequeña capitalización, cuyos beneficios son más sensibles a los cambios en la demanda económica, han sufrido. El índice Russell 2000 ha bajado casi un 8% desde su máximo histórico, alcanzado a mediados de marzo.</w:t>
      </w:r>
    </w:p>
    <w:p w:rsidR="00835296" w:rsidRPr="00A75D74" w:rsidRDefault="00835296" w:rsidP="00FA4DA9">
      <w:pPr>
        <w:spacing w:line="240" w:lineRule="auto"/>
        <w:jc w:val="both"/>
        <w:rPr>
          <w:rFonts w:ascii="Times New Roman" w:hAnsi="Times New Roman" w:cs="Times New Roman"/>
          <w:sz w:val="24"/>
          <w:szCs w:val="24"/>
        </w:rPr>
      </w:pPr>
      <w:r w:rsidRPr="00A75D74">
        <w:rPr>
          <w:rFonts w:ascii="Times New Roman" w:hAnsi="Times New Roman" w:cs="Times New Roman"/>
          <w:sz w:val="24"/>
          <w:szCs w:val="24"/>
        </w:rPr>
        <w:t>Si la demanda económica se debilita a partir de aquí, los estrategas creen que el sector manufacturero podría sufrir en particular. La actividad manufacturera, medida por el Índice de Gerentes de Compras del Instituto de Gestión y Abastecimiento (ISM), creció casi un 50% interanual a principios de este año, su mayor tasa de c</w:t>
      </w:r>
      <w:r>
        <w:rPr>
          <w:rFonts w:ascii="Times New Roman" w:hAnsi="Times New Roman" w:cs="Times New Roman"/>
          <w:sz w:val="24"/>
          <w:szCs w:val="24"/>
        </w:rPr>
        <w:t>recimiento desde antes de 2011.</w:t>
      </w:r>
    </w:p>
    <w:p w:rsidR="00835296" w:rsidRPr="00A75D74" w:rsidRDefault="00835296" w:rsidP="00FA4DA9">
      <w:pPr>
        <w:spacing w:line="240" w:lineRule="auto"/>
        <w:jc w:val="both"/>
        <w:rPr>
          <w:rFonts w:ascii="Times New Roman" w:hAnsi="Times New Roman" w:cs="Times New Roman"/>
          <w:sz w:val="24"/>
          <w:szCs w:val="24"/>
        </w:rPr>
      </w:pPr>
      <w:r w:rsidRPr="00A75D74">
        <w:rPr>
          <w:rFonts w:ascii="Times New Roman" w:hAnsi="Times New Roman" w:cs="Times New Roman"/>
          <w:sz w:val="24"/>
          <w:szCs w:val="24"/>
        </w:rPr>
        <w:t>Desde entonces, el crecimiento se ha ralentizado hasta aproximadamente el 10% y es probable que se contraiga en octubre. Este descenso sería probablemente coherente con una disminución de la producción económica glo</w:t>
      </w:r>
      <w:r>
        <w:rPr>
          <w:rFonts w:ascii="Times New Roman" w:hAnsi="Times New Roman" w:cs="Times New Roman"/>
          <w:sz w:val="24"/>
          <w:szCs w:val="24"/>
        </w:rPr>
        <w:t>bal, o un crecimiento negativo.</w:t>
      </w:r>
    </w:p>
    <w:p w:rsidR="00835296" w:rsidRPr="00614066" w:rsidRDefault="00835296" w:rsidP="00FA4DA9">
      <w:pPr>
        <w:spacing w:line="240" w:lineRule="auto"/>
        <w:jc w:val="both"/>
        <w:rPr>
          <w:rFonts w:ascii="Times New Roman" w:hAnsi="Times New Roman" w:cs="Times New Roman"/>
          <w:color w:val="FF0000"/>
          <w:sz w:val="24"/>
          <w:szCs w:val="24"/>
          <w:u w:val="single"/>
        </w:rPr>
      </w:pPr>
      <w:r w:rsidRPr="00614066">
        <w:rPr>
          <w:rFonts w:ascii="Times New Roman" w:hAnsi="Times New Roman" w:cs="Times New Roman"/>
          <w:color w:val="FF0000"/>
          <w:sz w:val="24"/>
          <w:szCs w:val="24"/>
          <w:u w:val="single"/>
        </w:rPr>
        <w:t>Cualquier descenso de la actividad manufacturera sería negativo para el mercado bursátil, según los datos de Bank of America. Existe una estrecha correlación entre los movimientos interanuales del PMI y los del S&amp;P 500. Si la actividad manufacturera se contrae, el S&amp;P 500 caería con fuerza.</w:t>
      </w:r>
    </w:p>
    <w:p w:rsidR="00835296" w:rsidRPr="00614066" w:rsidRDefault="00835296" w:rsidP="00FA4DA9">
      <w:pPr>
        <w:spacing w:line="240" w:lineRule="auto"/>
        <w:jc w:val="both"/>
        <w:rPr>
          <w:rFonts w:ascii="Times New Roman" w:hAnsi="Times New Roman" w:cs="Times New Roman"/>
          <w:color w:val="FF0000"/>
          <w:sz w:val="24"/>
          <w:szCs w:val="24"/>
          <w:u w:val="single"/>
        </w:rPr>
      </w:pPr>
      <w:r w:rsidRPr="00614066">
        <w:rPr>
          <w:rFonts w:ascii="Times New Roman" w:hAnsi="Times New Roman" w:cs="Times New Roman"/>
          <w:color w:val="FF0000"/>
          <w:sz w:val="24"/>
          <w:szCs w:val="24"/>
          <w:u w:val="single"/>
        </w:rPr>
        <w:t>De hecho Hartnett y su equipo proyectan rendimientos negativos de las acciones y el crédito en el segundo semestre y recomiendan poseer valores y activos de calidad defensiva.</w:t>
      </w:r>
    </w:p>
    <w:p w:rsidR="00835296" w:rsidRPr="00E8463E" w:rsidRDefault="00835296"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8463E">
        <w:rPr>
          <w:rFonts w:ascii="Times New Roman" w:hAnsi="Times New Roman" w:cs="Times New Roman"/>
          <w:sz w:val="24"/>
          <w:szCs w:val="24"/>
          <w:u w:val="single"/>
        </w:rPr>
        <w:t>La máquina de imprimir dinero, versión 2021</w:t>
      </w:r>
      <w:r>
        <w:rPr>
          <w:rFonts w:ascii="Times New Roman" w:hAnsi="Times New Roman" w:cs="Times New Roman"/>
          <w:sz w:val="24"/>
          <w:szCs w:val="24"/>
        </w:rPr>
        <w:t xml:space="preserve"> (El Confidencial - </w:t>
      </w:r>
      <w:r w:rsidRPr="00E8463E">
        <w:rPr>
          <w:rFonts w:ascii="Times New Roman" w:hAnsi="Times New Roman" w:cs="Times New Roman"/>
          <w:b/>
          <w:sz w:val="24"/>
          <w:szCs w:val="24"/>
        </w:rPr>
        <w:t>26/8/21</w:t>
      </w:r>
      <w:r>
        <w:rPr>
          <w:rFonts w:ascii="Times New Roman" w:hAnsi="Times New Roman" w:cs="Times New Roman"/>
          <w:sz w:val="24"/>
          <w:szCs w:val="24"/>
        </w:rPr>
        <w:t>)</w:t>
      </w:r>
    </w:p>
    <w:p w:rsidR="00835296" w:rsidRPr="00E8463E" w:rsidRDefault="00835296"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8463E">
        <w:rPr>
          <w:rFonts w:ascii="Times New Roman" w:hAnsi="Times New Roman" w:cs="Times New Roman"/>
          <w:sz w:val="24"/>
          <w:szCs w:val="24"/>
        </w:rPr>
        <w:t>Por Juan Gómez Bada</w:t>
      </w:r>
      <w:r>
        <w:rPr>
          <w:rFonts w:ascii="Times New Roman" w:hAnsi="Times New Roman" w:cs="Times New Roman"/>
          <w:sz w:val="24"/>
          <w:szCs w:val="24"/>
        </w:rPr>
        <w:t>)</w:t>
      </w:r>
    </w:p>
    <w:p w:rsidR="00835296" w:rsidRPr="00486252" w:rsidRDefault="00835296" w:rsidP="00FA4DA9">
      <w:pPr>
        <w:spacing w:line="240" w:lineRule="auto"/>
        <w:jc w:val="both"/>
        <w:rPr>
          <w:rFonts w:ascii="Times New Roman" w:hAnsi="Times New Roman" w:cs="Times New Roman"/>
          <w:color w:val="FF0000"/>
          <w:sz w:val="24"/>
          <w:szCs w:val="24"/>
          <w:u w:val="single"/>
        </w:rPr>
      </w:pPr>
      <w:r w:rsidRPr="00486252">
        <w:rPr>
          <w:rFonts w:ascii="Times New Roman" w:hAnsi="Times New Roman" w:cs="Times New Roman"/>
          <w:color w:val="FF0000"/>
          <w:sz w:val="24"/>
          <w:szCs w:val="24"/>
          <w:u w:val="single"/>
        </w:rPr>
        <w:t>Han pasado 50 años desde la mayor quiebra de la historia. El 15 de agosto de 1971, Richard Nixon puso fin a la convertibilidad de los dólares en oro. Fue el mayor incumplimiento de un emisor de lo pactado con quienes compraban un determinado activo: dólares. Desde entonces, los Estados que se endeudan en sus propias divisas no pueden quebrar. Siempre podrán emitir más dólares, euros, libras o yuanes para hacer frente a los pagos. Desde entonces, quienes invierten en divisas o en bonos denominados en ellas asumen un mayor riesgo de depreciación de las monedas frente a otros activos reales.</w:t>
      </w:r>
    </w:p>
    <w:p w:rsidR="00835296" w:rsidRPr="00486252" w:rsidRDefault="00835296" w:rsidP="00FA4DA9">
      <w:pPr>
        <w:spacing w:line="240" w:lineRule="auto"/>
        <w:jc w:val="both"/>
        <w:rPr>
          <w:rFonts w:ascii="Times New Roman" w:hAnsi="Times New Roman" w:cs="Times New Roman"/>
          <w:sz w:val="24"/>
          <w:szCs w:val="24"/>
          <w:u w:val="single"/>
        </w:rPr>
      </w:pPr>
      <w:r w:rsidRPr="00486252">
        <w:rPr>
          <w:rFonts w:ascii="Times New Roman" w:hAnsi="Times New Roman" w:cs="Times New Roman"/>
          <w:sz w:val="24"/>
          <w:szCs w:val="24"/>
          <w:u w:val="single"/>
        </w:rPr>
        <w:t>Medio siglo después, lejos de arrepentirnos de aquella decisión, seguimos innovando para incrementar la oferta monetaria. Los pilares que sostenían el primer sistema fiduciario están por los suelos y todavía no ha pasado nada grave. Repasemos las principal</w:t>
      </w:r>
      <w:r w:rsidR="00ED444A">
        <w:rPr>
          <w:rFonts w:ascii="Times New Roman" w:hAnsi="Times New Roman" w:cs="Times New Roman"/>
          <w:sz w:val="24"/>
          <w:szCs w:val="24"/>
          <w:u w:val="single"/>
        </w:rPr>
        <w:t>es características del sistema “fiat”</w:t>
      </w:r>
      <w:r w:rsidRPr="00486252">
        <w:rPr>
          <w:rFonts w:ascii="Times New Roman" w:hAnsi="Times New Roman" w:cs="Times New Roman"/>
          <w:sz w:val="24"/>
          <w:szCs w:val="24"/>
          <w:u w:val="single"/>
        </w:rPr>
        <w:t xml:space="preserve"> actual: </w:t>
      </w:r>
    </w:p>
    <w:p w:rsidR="00835296" w:rsidRPr="00486252" w:rsidRDefault="00835296" w:rsidP="00FA4DA9">
      <w:pPr>
        <w:spacing w:line="240" w:lineRule="auto"/>
        <w:jc w:val="both"/>
        <w:rPr>
          <w:rFonts w:ascii="Times New Roman" w:hAnsi="Times New Roman" w:cs="Times New Roman"/>
          <w:color w:val="FF0000"/>
          <w:sz w:val="24"/>
          <w:szCs w:val="24"/>
        </w:rPr>
      </w:pPr>
      <w:r w:rsidRPr="00486252">
        <w:rPr>
          <w:rFonts w:ascii="Times New Roman" w:hAnsi="Times New Roman" w:cs="Times New Roman"/>
          <w:color w:val="FF0000"/>
          <w:sz w:val="24"/>
          <w:szCs w:val="24"/>
        </w:rPr>
        <w:t xml:space="preserve">1.º) </w:t>
      </w:r>
      <w:r w:rsidRPr="00ED444A">
        <w:rPr>
          <w:rFonts w:ascii="Times New Roman" w:hAnsi="Times New Roman" w:cs="Times New Roman"/>
          <w:b/>
          <w:color w:val="FF0000"/>
          <w:sz w:val="24"/>
          <w:szCs w:val="24"/>
        </w:rPr>
        <w:t>Los bancos centrales ahora financian directamente los presupuestos públicos y se han convertido en los principales inversores de deuda pública</w:t>
      </w:r>
      <w:r w:rsidRPr="00486252">
        <w:rPr>
          <w:rFonts w:ascii="Times New Roman" w:hAnsi="Times New Roman" w:cs="Times New Roman"/>
          <w:color w:val="FF0000"/>
          <w:sz w:val="24"/>
          <w:szCs w:val="24"/>
        </w:rPr>
        <w:t>. En otras palabras, hacen lo que dijeron que nunca harían.</w:t>
      </w:r>
    </w:p>
    <w:p w:rsidR="00835296" w:rsidRPr="00ED444A" w:rsidRDefault="00835296" w:rsidP="00FA4DA9">
      <w:pPr>
        <w:spacing w:line="240" w:lineRule="auto"/>
        <w:jc w:val="both"/>
        <w:rPr>
          <w:rFonts w:ascii="Times New Roman" w:hAnsi="Times New Roman" w:cs="Times New Roman"/>
          <w:b/>
          <w:color w:val="FF0000"/>
          <w:sz w:val="24"/>
          <w:szCs w:val="24"/>
        </w:rPr>
      </w:pPr>
      <w:r w:rsidRPr="00486252">
        <w:rPr>
          <w:rFonts w:ascii="Times New Roman" w:hAnsi="Times New Roman" w:cs="Times New Roman"/>
          <w:color w:val="FF0000"/>
          <w:sz w:val="24"/>
          <w:szCs w:val="24"/>
        </w:rPr>
        <w:t xml:space="preserve"> 2.º) </w:t>
      </w:r>
      <w:r w:rsidRPr="00ED444A">
        <w:rPr>
          <w:rFonts w:ascii="Times New Roman" w:hAnsi="Times New Roman" w:cs="Times New Roman"/>
          <w:b/>
          <w:color w:val="FF0000"/>
          <w:sz w:val="24"/>
          <w:szCs w:val="24"/>
        </w:rPr>
        <w:t>La autoridad monetaria ya no controla únicamente los tipos a corto plazo</w:t>
      </w:r>
      <w:r w:rsidRPr="00486252">
        <w:rPr>
          <w:rFonts w:ascii="Times New Roman" w:hAnsi="Times New Roman" w:cs="Times New Roman"/>
          <w:color w:val="FF0000"/>
          <w:sz w:val="24"/>
          <w:szCs w:val="24"/>
        </w:rPr>
        <w:t xml:space="preserve">. A través de sus operaciones de compra de bonos, ahora decide cuál es el tipo de interés a largo plazo al que se financian Estados y muchos emisores privados. Esto lo ha conseguido desplazando a los inversores privados. </w:t>
      </w:r>
      <w:r w:rsidRPr="00ED444A">
        <w:rPr>
          <w:rFonts w:ascii="Times New Roman" w:hAnsi="Times New Roman" w:cs="Times New Roman"/>
          <w:b/>
          <w:color w:val="FF0000"/>
          <w:sz w:val="24"/>
          <w:szCs w:val="24"/>
        </w:rPr>
        <w:t xml:space="preserve">Ha pasado de ser prestamista último para convertirse en prestamista único. </w:t>
      </w:r>
    </w:p>
    <w:p w:rsidR="00835296" w:rsidRPr="00ED444A" w:rsidRDefault="00835296" w:rsidP="00FA4DA9">
      <w:pPr>
        <w:spacing w:line="240" w:lineRule="auto"/>
        <w:jc w:val="both"/>
        <w:rPr>
          <w:rFonts w:ascii="Times New Roman" w:hAnsi="Times New Roman" w:cs="Times New Roman"/>
          <w:b/>
          <w:color w:val="FF0000"/>
          <w:sz w:val="24"/>
          <w:szCs w:val="24"/>
        </w:rPr>
      </w:pPr>
      <w:r w:rsidRPr="00486252">
        <w:rPr>
          <w:rFonts w:ascii="Times New Roman" w:hAnsi="Times New Roman" w:cs="Times New Roman"/>
          <w:color w:val="FF0000"/>
          <w:sz w:val="24"/>
          <w:szCs w:val="24"/>
        </w:rPr>
        <w:lastRenderedPageBreak/>
        <w:t xml:space="preserve">3.º) </w:t>
      </w:r>
      <w:r w:rsidRPr="00ED444A">
        <w:rPr>
          <w:rFonts w:ascii="Times New Roman" w:hAnsi="Times New Roman" w:cs="Times New Roman"/>
          <w:b/>
          <w:color w:val="FF0000"/>
          <w:sz w:val="24"/>
          <w:szCs w:val="24"/>
        </w:rPr>
        <w:t>Los bancos centrales ofrecen subvenciones directas al sector privado</w:t>
      </w:r>
      <w:r w:rsidRPr="00486252">
        <w:rPr>
          <w:rFonts w:ascii="Times New Roman" w:hAnsi="Times New Roman" w:cs="Times New Roman"/>
          <w:color w:val="FF0000"/>
          <w:sz w:val="24"/>
          <w:szCs w:val="24"/>
        </w:rPr>
        <w:t xml:space="preserve">. Un ejemplo son las operaciones de financiación a plazo más largo con objetivo específico (TLTRO) que ofrece el BCE a los bancos. Les da financiación al -1% anual a tres años para que presten a empresas y consumidores. </w:t>
      </w:r>
      <w:r w:rsidRPr="00ED444A">
        <w:rPr>
          <w:rFonts w:ascii="Times New Roman" w:hAnsi="Times New Roman" w:cs="Times New Roman"/>
          <w:b/>
          <w:color w:val="FF0000"/>
          <w:sz w:val="24"/>
          <w:szCs w:val="24"/>
        </w:rPr>
        <w:t>Es decir, les presta sin intereses a tres años y les regala un tres por ciento, que no tienen que devolver.</w:t>
      </w:r>
    </w:p>
    <w:p w:rsidR="00835296" w:rsidRPr="00ED444A" w:rsidRDefault="00835296" w:rsidP="00FA4DA9">
      <w:pPr>
        <w:spacing w:line="240" w:lineRule="auto"/>
        <w:jc w:val="both"/>
        <w:rPr>
          <w:rFonts w:ascii="Times New Roman" w:hAnsi="Times New Roman" w:cs="Times New Roman"/>
          <w:b/>
          <w:color w:val="FF0000"/>
          <w:sz w:val="24"/>
          <w:szCs w:val="24"/>
        </w:rPr>
      </w:pPr>
      <w:r w:rsidRPr="00486252">
        <w:rPr>
          <w:rFonts w:ascii="Times New Roman" w:hAnsi="Times New Roman" w:cs="Times New Roman"/>
          <w:color w:val="FF0000"/>
          <w:sz w:val="24"/>
          <w:szCs w:val="24"/>
        </w:rPr>
        <w:t xml:space="preserve">4.º) </w:t>
      </w:r>
      <w:r w:rsidRPr="00ED444A">
        <w:rPr>
          <w:rFonts w:ascii="Times New Roman" w:hAnsi="Times New Roman" w:cs="Times New Roman"/>
          <w:b/>
          <w:color w:val="FF0000"/>
          <w:sz w:val="24"/>
          <w:szCs w:val="24"/>
        </w:rPr>
        <w:t>La refinanciación como único medio de pago. Tal es el volumen de deuda acumulada, que la inmensa mayoría de los Estados y de las grandes empresas no pueden pagar las deudas cuando vencen sus emisiones con sus ingresos ordinarios</w:t>
      </w:r>
      <w:r w:rsidRPr="00486252">
        <w:rPr>
          <w:rFonts w:ascii="Times New Roman" w:hAnsi="Times New Roman" w:cs="Times New Roman"/>
          <w:color w:val="FF0000"/>
          <w:sz w:val="24"/>
          <w:szCs w:val="24"/>
        </w:rPr>
        <w:t>. Para hacer frente al pago de la deuda</w:t>
      </w:r>
      <w:r w:rsidR="00ED444A">
        <w:rPr>
          <w:rFonts w:ascii="Times New Roman" w:hAnsi="Times New Roman" w:cs="Times New Roman"/>
          <w:color w:val="FF0000"/>
          <w:sz w:val="24"/>
          <w:szCs w:val="24"/>
        </w:rPr>
        <w:t>,</w:t>
      </w:r>
      <w:r w:rsidRPr="00486252">
        <w:rPr>
          <w:rFonts w:ascii="Times New Roman" w:hAnsi="Times New Roman" w:cs="Times New Roman"/>
          <w:color w:val="FF0000"/>
          <w:sz w:val="24"/>
          <w:szCs w:val="24"/>
        </w:rPr>
        <w:t xml:space="preserve"> deben refinanciarla</w:t>
      </w:r>
      <w:r w:rsidR="00C16E76">
        <w:rPr>
          <w:rFonts w:ascii="Times New Roman" w:hAnsi="Times New Roman" w:cs="Times New Roman"/>
          <w:color w:val="FF0000"/>
          <w:sz w:val="24"/>
          <w:szCs w:val="24"/>
        </w:rPr>
        <w:t>,</w:t>
      </w:r>
      <w:r w:rsidRPr="00486252">
        <w:rPr>
          <w:rFonts w:ascii="Times New Roman" w:hAnsi="Times New Roman" w:cs="Times New Roman"/>
          <w:color w:val="FF0000"/>
          <w:sz w:val="24"/>
          <w:szCs w:val="24"/>
        </w:rPr>
        <w:t xml:space="preserve"> o vender activos a otros agentes económicos. </w:t>
      </w:r>
      <w:r w:rsidRPr="00ED444A">
        <w:rPr>
          <w:rFonts w:ascii="Times New Roman" w:hAnsi="Times New Roman" w:cs="Times New Roman"/>
          <w:b/>
          <w:color w:val="FF0000"/>
          <w:sz w:val="24"/>
          <w:szCs w:val="24"/>
        </w:rPr>
        <w:t xml:space="preserve">Esto es especialmente relevante para los presupuestos públicos: no necesitan que se condone la deuda porque se puede renovar indefinidamente a tipo cero y no se minora la cantidad disponible para el gasto público. </w:t>
      </w:r>
    </w:p>
    <w:p w:rsidR="00835296" w:rsidRPr="00ED444A" w:rsidRDefault="00835296" w:rsidP="00FA4DA9">
      <w:pPr>
        <w:spacing w:line="240" w:lineRule="auto"/>
        <w:jc w:val="both"/>
        <w:rPr>
          <w:rFonts w:ascii="Times New Roman" w:hAnsi="Times New Roman" w:cs="Times New Roman"/>
          <w:b/>
          <w:color w:val="FF0000"/>
          <w:sz w:val="24"/>
          <w:szCs w:val="24"/>
        </w:rPr>
      </w:pPr>
      <w:r w:rsidRPr="00486252">
        <w:rPr>
          <w:rFonts w:ascii="Times New Roman" w:hAnsi="Times New Roman" w:cs="Times New Roman"/>
          <w:color w:val="FF0000"/>
          <w:sz w:val="24"/>
          <w:szCs w:val="24"/>
        </w:rPr>
        <w:t xml:space="preserve">5.º) </w:t>
      </w:r>
      <w:r w:rsidRPr="00ED444A">
        <w:rPr>
          <w:rFonts w:ascii="Times New Roman" w:hAnsi="Times New Roman" w:cs="Times New Roman"/>
          <w:b/>
          <w:color w:val="FF0000"/>
          <w:sz w:val="24"/>
          <w:szCs w:val="24"/>
        </w:rPr>
        <w:t>Si la economía se ralentiza, se crea más dinero para impulsarla</w:t>
      </w:r>
      <w:r w:rsidRPr="00486252">
        <w:rPr>
          <w:rFonts w:ascii="Times New Roman" w:hAnsi="Times New Roman" w:cs="Times New Roman"/>
          <w:color w:val="FF0000"/>
          <w:sz w:val="24"/>
          <w:szCs w:val="24"/>
        </w:rPr>
        <w:t xml:space="preserve">. </w:t>
      </w:r>
      <w:r w:rsidRPr="00ED444A">
        <w:rPr>
          <w:rFonts w:ascii="Times New Roman" w:hAnsi="Times New Roman" w:cs="Times New Roman"/>
          <w:b/>
          <w:color w:val="FF0000"/>
          <w:sz w:val="24"/>
          <w:szCs w:val="24"/>
        </w:rPr>
        <w:t>Los mercados han aprendido cómo reaccionan los bancos centrales. Saben que ante todo tipo de dificultades se aplica el mismo remedio: más oferta monetaria</w:t>
      </w:r>
      <w:r w:rsidRPr="00486252">
        <w:rPr>
          <w:rFonts w:ascii="Times New Roman" w:hAnsi="Times New Roman" w:cs="Times New Roman"/>
          <w:color w:val="FF0000"/>
          <w:sz w:val="24"/>
          <w:szCs w:val="24"/>
        </w:rPr>
        <w:t xml:space="preserve">. En conclusión, el sistema fiduciario actual es muy diferente al de finales del siglo pasado. </w:t>
      </w:r>
      <w:r w:rsidRPr="00ED444A">
        <w:rPr>
          <w:rFonts w:ascii="Times New Roman" w:hAnsi="Times New Roman" w:cs="Times New Roman"/>
          <w:b/>
          <w:color w:val="FF0000"/>
          <w:sz w:val="24"/>
          <w:szCs w:val="24"/>
        </w:rPr>
        <w:t>Hemos descubierto la fuente de la eterna riqueza, un modelo monetario que parece no tener límites. Todo esto se sostiene mientras sigamos confia</w:t>
      </w:r>
      <w:r w:rsidR="00ED444A" w:rsidRPr="00ED444A">
        <w:rPr>
          <w:rFonts w:ascii="Times New Roman" w:hAnsi="Times New Roman" w:cs="Times New Roman"/>
          <w:b/>
          <w:color w:val="FF0000"/>
          <w:sz w:val="24"/>
          <w:szCs w:val="24"/>
        </w:rPr>
        <w:t>ndo en el valor de las divisas “fiat”</w:t>
      </w:r>
      <w:r w:rsidRPr="00ED444A">
        <w:rPr>
          <w:rFonts w:ascii="Times New Roman" w:hAnsi="Times New Roman" w:cs="Times New Roman"/>
          <w:b/>
          <w:color w:val="FF0000"/>
          <w:sz w:val="24"/>
          <w:szCs w:val="24"/>
        </w:rPr>
        <w:t xml:space="preserve">, esos papeles que imprimen los bancos centrales. </w:t>
      </w:r>
    </w:p>
    <w:p w:rsidR="00835296" w:rsidRDefault="00ED444A"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835296" w:rsidRPr="00E8463E">
        <w:rPr>
          <w:rFonts w:ascii="Times New Roman" w:hAnsi="Times New Roman" w:cs="Times New Roman"/>
          <w:sz w:val="24"/>
          <w:szCs w:val="24"/>
        </w:rPr>
        <w:t>Juan Gómez Bada es director de Inversiones de Avantage Capital y asesor de Av</w:t>
      </w:r>
      <w:r>
        <w:rPr>
          <w:rFonts w:ascii="Times New Roman" w:hAnsi="Times New Roman" w:cs="Times New Roman"/>
          <w:sz w:val="24"/>
          <w:szCs w:val="24"/>
        </w:rPr>
        <w:t>antage Fund)</w:t>
      </w:r>
    </w:p>
    <w:p w:rsidR="00835296" w:rsidRPr="00A528B6" w:rsidRDefault="00835296"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528B6">
        <w:rPr>
          <w:rFonts w:ascii="Times New Roman" w:hAnsi="Times New Roman" w:cs="Times New Roman"/>
          <w:sz w:val="24"/>
          <w:szCs w:val="24"/>
        </w:rPr>
        <w:t>¿</w:t>
      </w:r>
      <w:r w:rsidRPr="00A528B6">
        <w:rPr>
          <w:rFonts w:ascii="Times New Roman" w:hAnsi="Times New Roman" w:cs="Times New Roman"/>
          <w:sz w:val="24"/>
          <w:szCs w:val="24"/>
          <w:u w:val="single"/>
        </w:rPr>
        <w:t>Qué implicaciones tendrá el inicio de la retirada de estímulos de la Fed</w:t>
      </w:r>
      <w:r w:rsidRPr="00A528B6">
        <w:rPr>
          <w:rFonts w:ascii="Times New Roman" w:hAnsi="Times New Roman" w:cs="Times New Roman"/>
          <w:sz w:val="24"/>
          <w:szCs w:val="24"/>
        </w:rPr>
        <w:t>?</w:t>
      </w:r>
      <w:r>
        <w:rPr>
          <w:rFonts w:ascii="Times New Roman" w:hAnsi="Times New Roman" w:cs="Times New Roman"/>
          <w:sz w:val="24"/>
          <w:szCs w:val="24"/>
        </w:rPr>
        <w:t xml:space="preserve"> (Cinco Días - </w:t>
      </w:r>
      <w:r w:rsidRPr="00A528B6">
        <w:rPr>
          <w:rFonts w:ascii="Times New Roman" w:hAnsi="Times New Roman" w:cs="Times New Roman"/>
          <w:b/>
          <w:sz w:val="24"/>
          <w:szCs w:val="24"/>
        </w:rPr>
        <w:t>27/8/21</w:t>
      </w:r>
      <w:r>
        <w:rPr>
          <w:rFonts w:ascii="Times New Roman" w:hAnsi="Times New Roman" w:cs="Times New Roman"/>
          <w:sz w:val="24"/>
          <w:szCs w:val="24"/>
        </w:rPr>
        <w:t>)</w:t>
      </w:r>
    </w:p>
    <w:p w:rsidR="00835296" w:rsidRPr="00A528B6" w:rsidRDefault="00835296"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A528B6">
        <w:rPr>
          <w:rFonts w:ascii="Times New Roman" w:hAnsi="Times New Roman" w:cs="Times New Roman"/>
          <w:sz w:val="24"/>
          <w:szCs w:val="24"/>
        </w:rPr>
        <w:t>Miguel Moreno Mendieta</w:t>
      </w:r>
      <w:r>
        <w:rPr>
          <w:rFonts w:ascii="Times New Roman" w:hAnsi="Times New Roman" w:cs="Times New Roman"/>
          <w:sz w:val="24"/>
          <w:szCs w:val="24"/>
        </w:rPr>
        <w:t>)</w:t>
      </w:r>
    </w:p>
    <w:p w:rsidR="00835296" w:rsidRPr="00A528B6" w:rsidRDefault="00835296" w:rsidP="00FA4DA9">
      <w:pPr>
        <w:spacing w:line="240" w:lineRule="auto"/>
        <w:jc w:val="both"/>
        <w:rPr>
          <w:rFonts w:ascii="Times New Roman" w:hAnsi="Times New Roman" w:cs="Times New Roman"/>
          <w:sz w:val="24"/>
          <w:szCs w:val="24"/>
        </w:rPr>
      </w:pPr>
      <w:r w:rsidRPr="00ED444A">
        <w:rPr>
          <w:rFonts w:ascii="Times New Roman" w:hAnsi="Times New Roman" w:cs="Times New Roman"/>
          <w:b/>
          <w:color w:val="FF0000"/>
          <w:sz w:val="24"/>
          <w:szCs w:val="24"/>
          <w:u w:val="single"/>
        </w:rPr>
        <w:t>La política monetaria de la Reserva Federal de Estados Unidos (Fed) desencadena ondas sísmicas que acaban afectando a casi cualquier activo financiero del planeta</w:t>
      </w:r>
      <w:r w:rsidRPr="00A528B6">
        <w:rPr>
          <w:rFonts w:ascii="Times New Roman" w:hAnsi="Times New Roman" w:cs="Times New Roman"/>
          <w:sz w:val="24"/>
          <w:szCs w:val="24"/>
        </w:rPr>
        <w:t>. El simple anuncio de que la Fed está empezando a debatir cuándo comenzará a reducir su programa de compra de deuda tiene implicaciones no solo en la valoración de los bonos estadounidenses, también en las divisas o en las Bolsas de los paí</w:t>
      </w:r>
      <w:r>
        <w:rPr>
          <w:rFonts w:ascii="Times New Roman" w:hAnsi="Times New Roman" w:cs="Times New Roman"/>
          <w:sz w:val="24"/>
          <w:szCs w:val="24"/>
        </w:rPr>
        <w:t>ses emergentes y desarrollados.</w:t>
      </w:r>
    </w:p>
    <w:p w:rsidR="00835296" w:rsidRPr="00ED444A" w:rsidRDefault="00835296" w:rsidP="00FA4DA9">
      <w:pPr>
        <w:spacing w:line="240" w:lineRule="auto"/>
        <w:jc w:val="both"/>
        <w:rPr>
          <w:rFonts w:ascii="Times New Roman" w:hAnsi="Times New Roman" w:cs="Times New Roman"/>
          <w:b/>
          <w:color w:val="FF0000"/>
          <w:sz w:val="24"/>
          <w:szCs w:val="24"/>
          <w:u w:val="single"/>
        </w:rPr>
      </w:pPr>
      <w:r w:rsidRPr="00ED444A">
        <w:rPr>
          <w:rFonts w:ascii="Times New Roman" w:hAnsi="Times New Roman" w:cs="Times New Roman"/>
          <w:b/>
          <w:color w:val="FF0000"/>
          <w:sz w:val="24"/>
          <w:szCs w:val="24"/>
          <w:u w:val="single"/>
        </w:rPr>
        <w:t>El banco central de Estados Unidos puso en marcha en 2020 una inyección colosal de fondos para tratar de paliar el impacto económico provocado por la pandemia del coronavirus. En primer lugar, fijó el tipo de interés entre el 0% y el 0,25%, para aliviar los costes de financiación. Y, en segundo lugar, activó un programa de compra de bonos del Tesoro y titulizaciones hipotecarias por valor de 120.000 millones de dólares al mes (102.000 millones de euros).</w:t>
      </w:r>
    </w:p>
    <w:p w:rsidR="00835296" w:rsidRPr="00A528B6" w:rsidRDefault="00835296" w:rsidP="00FA4DA9">
      <w:pPr>
        <w:spacing w:line="240" w:lineRule="auto"/>
        <w:jc w:val="both"/>
        <w:rPr>
          <w:rFonts w:ascii="Times New Roman" w:hAnsi="Times New Roman" w:cs="Times New Roman"/>
          <w:sz w:val="24"/>
          <w:szCs w:val="24"/>
        </w:rPr>
      </w:pPr>
      <w:r w:rsidRPr="00ED444A">
        <w:rPr>
          <w:rFonts w:ascii="Times New Roman" w:hAnsi="Times New Roman" w:cs="Times New Roman"/>
          <w:color w:val="FF0000"/>
          <w:sz w:val="24"/>
          <w:szCs w:val="24"/>
          <w:u w:val="single"/>
        </w:rPr>
        <w:t>La Fed ya ha avisado de que no subirá los tipos al menos hasta 2023, pero sí que está debatiendo si empieza ya este año a rebajar las compras de deuda</w:t>
      </w:r>
      <w:r w:rsidRPr="00A528B6">
        <w:rPr>
          <w:rFonts w:ascii="Times New Roman" w:hAnsi="Times New Roman" w:cs="Times New Roman"/>
          <w:sz w:val="24"/>
          <w:szCs w:val="24"/>
        </w:rPr>
        <w:t>. Algunos de los miembros de la Fed temen que el exceso de estímulos haya sobrecalentado a la economía de Estados Unidos, disparando los precios, y defienden que ya en septiembre se anuncie l</w:t>
      </w:r>
      <w:r>
        <w:rPr>
          <w:rFonts w:ascii="Times New Roman" w:hAnsi="Times New Roman" w:cs="Times New Roman"/>
          <w:sz w:val="24"/>
          <w:szCs w:val="24"/>
        </w:rPr>
        <w:t>a rebaja en la compra de bonos.</w:t>
      </w:r>
    </w:p>
    <w:p w:rsidR="00835296" w:rsidRDefault="00835296" w:rsidP="00FA4DA9">
      <w:pPr>
        <w:spacing w:line="240" w:lineRule="auto"/>
        <w:jc w:val="both"/>
        <w:rPr>
          <w:rFonts w:ascii="Times New Roman" w:hAnsi="Times New Roman" w:cs="Times New Roman"/>
          <w:sz w:val="24"/>
          <w:szCs w:val="24"/>
        </w:rPr>
      </w:pPr>
      <w:r w:rsidRPr="00ED444A">
        <w:rPr>
          <w:rFonts w:ascii="Times New Roman" w:hAnsi="Times New Roman" w:cs="Times New Roman"/>
          <w:color w:val="FF0000"/>
          <w:sz w:val="24"/>
          <w:szCs w:val="24"/>
          <w:u w:val="single"/>
        </w:rPr>
        <w:t>Este debate ha provocado ya una ligera depreciación de los bonos del Tesoro estadounidense</w:t>
      </w:r>
      <w:r w:rsidRPr="00A528B6">
        <w:rPr>
          <w:rFonts w:ascii="Times New Roman" w:hAnsi="Times New Roman" w:cs="Times New Roman"/>
          <w:sz w:val="24"/>
          <w:szCs w:val="24"/>
        </w:rPr>
        <w:t xml:space="preserve">, que se ha acelerado ante el encuentro de banqueros centrales de Jackson Hole. Si la Fed va retirando el programa de compras, esta deuda pierde a su principal valedor. En la renta fija, la </w:t>
      </w:r>
      <w:r w:rsidRPr="00A528B6">
        <w:rPr>
          <w:rFonts w:ascii="Times New Roman" w:hAnsi="Times New Roman" w:cs="Times New Roman"/>
          <w:sz w:val="24"/>
          <w:szCs w:val="24"/>
        </w:rPr>
        <w:lastRenderedPageBreak/>
        <w:t>pérdida de valor conlleva que hay que pagar un mayor tipo de interés. Los bonos a 10 años de Estados Unidos han pasado de ofrecer una rentabilidad del 1,24% hace una semana a cotizar ahora en el 1,346%. Es decir, que poco a poco, al país le costará más financ</w:t>
      </w:r>
      <w:r>
        <w:rPr>
          <w:rFonts w:ascii="Times New Roman" w:hAnsi="Times New Roman" w:cs="Times New Roman"/>
          <w:sz w:val="24"/>
          <w:szCs w:val="24"/>
        </w:rPr>
        <w:t>iarse.</w:t>
      </w:r>
    </w:p>
    <w:p w:rsidR="00ED444A" w:rsidRPr="00A528B6" w:rsidRDefault="00ED444A"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Las bolsas se instalan en la duda</w:t>
      </w:r>
    </w:p>
    <w:p w:rsidR="00835296" w:rsidRPr="00A528B6" w:rsidRDefault="00835296" w:rsidP="00FA4DA9">
      <w:pPr>
        <w:spacing w:line="240" w:lineRule="auto"/>
        <w:jc w:val="both"/>
        <w:rPr>
          <w:rFonts w:ascii="Times New Roman" w:hAnsi="Times New Roman" w:cs="Times New Roman"/>
          <w:sz w:val="24"/>
          <w:szCs w:val="24"/>
        </w:rPr>
      </w:pPr>
      <w:r w:rsidRPr="00ED444A">
        <w:rPr>
          <w:rFonts w:ascii="Times New Roman" w:hAnsi="Times New Roman" w:cs="Times New Roman"/>
          <w:color w:val="FF0000"/>
          <w:sz w:val="24"/>
          <w:szCs w:val="24"/>
          <w:u w:val="single"/>
        </w:rPr>
        <w:t>Los mercados bursátiles se mueven este mes de agosto</w:t>
      </w:r>
      <w:r w:rsidR="00C16E76">
        <w:rPr>
          <w:rFonts w:ascii="Times New Roman" w:hAnsi="Times New Roman" w:cs="Times New Roman"/>
          <w:color w:val="FF0000"/>
          <w:sz w:val="24"/>
          <w:szCs w:val="24"/>
          <w:u w:val="single"/>
        </w:rPr>
        <w:t>,</w:t>
      </w:r>
      <w:r w:rsidRPr="00ED444A">
        <w:rPr>
          <w:rFonts w:ascii="Times New Roman" w:hAnsi="Times New Roman" w:cs="Times New Roman"/>
          <w:color w:val="FF0000"/>
          <w:sz w:val="24"/>
          <w:szCs w:val="24"/>
          <w:u w:val="single"/>
        </w:rPr>
        <w:t xml:space="preserve"> mecidos por la mano de la Fed</w:t>
      </w:r>
      <w:r w:rsidRPr="00416895">
        <w:rPr>
          <w:rFonts w:ascii="Times New Roman" w:hAnsi="Times New Roman" w:cs="Times New Roman"/>
          <w:color w:val="FF0000"/>
          <w:sz w:val="24"/>
          <w:szCs w:val="24"/>
          <w:u w:val="single"/>
        </w:rPr>
        <w:t>. La percepción de un adelanto o un retraso en la política de estímulos monetarios condiciona la valoración y las perspectivas de compañías de todo el mundo.</w:t>
      </w:r>
      <w:r w:rsidRPr="00A528B6">
        <w:rPr>
          <w:rFonts w:ascii="Times New Roman" w:hAnsi="Times New Roman" w:cs="Times New Roman"/>
          <w:sz w:val="24"/>
          <w:szCs w:val="24"/>
        </w:rPr>
        <w:t xml:space="preserve"> Ayer, la mayoría de las Bolsas mundiales cerraron con ligeras caídas, a la espera del discurso que hoy pronunciará Powell en el seminario de Jackson Hole. El Ibex 35 cerró la sesión con una caída del 0,92%, hasta los 8.892,6 puntos. El resto de mercados europeos también acabó la sesión en números rojos. El Dax alemán perdía un 0,42%, el Cac francés un 0,16% y el Footsie británico un 0,35%. La semana pasada, de hecho, los índices europeos registraron su mayor corrección desde febrero. No fue mucho, tan solo un 1,5%, pero indica el momento de indeterminación que están viviendo los mercados, con la duda de si la variante delta echará por tierra la recuperación, de si la economía china vuelve a arrancar, si la inflación llega a la react</w:t>
      </w:r>
      <w:r>
        <w:rPr>
          <w:rFonts w:ascii="Times New Roman" w:hAnsi="Times New Roman" w:cs="Times New Roman"/>
          <w:sz w:val="24"/>
          <w:szCs w:val="24"/>
        </w:rPr>
        <w:t>ivación de Estados Unidos...</w:t>
      </w:r>
    </w:p>
    <w:p w:rsidR="00835296" w:rsidRPr="00A528B6" w:rsidRDefault="00835296" w:rsidP="00FA4DA9">
      <w:pPr>
        <w:spacing w:line="240" w:lineRule="auto"/>
        <w:jc w:val="both"/>
        <w:rPr>
          <w:rFonts w:ascii="Times New Roman" w:hAnsi="Times New Roman" w:cs="Times New Roman"/>
          <w:sz w:val="24"/>
          <w:szCs w:val="24"/>
        </w:rPr>
      </w:pPr>
      <w:r w:rsidRPr="00A528B6">
        <w:rPr>
          <w:rFonts w:ascii="Times New Roman" w:hAnsi="Times New Roman" w:cs="Times New Roman"/>
          <w:sz w:val="24"/>
          <w:szCs w:val="24"/>
        </w:rPr>
        <w:t xml:space="preserve">El precio del petróleo, que llevaba varias sesiones al alza animado por la reactivación de la demanda mundial, cerró ayer con una caída. El barril de Brent se pagaba a 67,75 dólares, un 0,9% menos que la sesión anterior. El temor a que la pandemia </w:t>
      </w:r>
      <w:r>
        <w:rPr>
          <w:rFonts w:ascii="Times New Roman" w:hAnsi="Times New Roman" w:cs="Times New Roman"/>
          <w:sz w:val="24"/>
          <w:szCs w:val="24"/>
        </w:rPr>
        <w:t>resurja ha enfriado la demanda.</w:t>
      </w:r>
    </w:p>
    <w:p w:rsidR="00835296" w:rsidRPr="00A528B6" w:rsidRDefault="00835296" w:rsidP="00FA4DA9">
      <w:pPr>
        <w:spacing w:line="240" w:lineRule="auto"/>
        <w:jc w:val="both"/>
        <w:rPr>
          <w:rFonts w:ascii="Times New Roman" w:hAnsi="Times New Roman" w:cs="Times New Roman"/>
          <w:sz w:val="24"/>
          <w:szCs w:val="24"/>
        </w:rPr>
      </w:pPr>
      <w:r w:rsidRPr="00A528B6">
        <w:rPr>
          <w:rFonts w:ascii="Times New Roman" w:hAnsi="Times New Roman" w:cs="Times New Roman"/>
          <w:sz w:val="24"/>
          <w:szCs w:val="24"/>
        </w:rPr>
        <w:t xml:space="preserve">El lingote de oro al contado, en cambio, subió ayer un 0,05% hasta los 1792 dólares, alargando la buena racha </w:t>
      </w:r>
      <w:r>
        <w:rPr>
          <w:rFonts w:ascii="Times New Roman" w:hAnsi="Times New Roman" w:cs="Times New Roman"/>
          <w:sz w:val="24"/>
          <w:szCs w:val="24"/>
        </w:rPr>
        <w:t>alcista de las últimas semanas.</w:t>
      </w:r>
    </w:p>
    <w:p w:rsidR="00835296" w:rsidRPr="00A528B6" w:rsidRDefault="00835296" w:rsidP="00FA4DA9">
      <w:pPr>
        <w:spacing w:line="240" w:lineRule="auto"/>
        <w:jc w:val="both"/>
        <w:rPr>
          <w:rFonts w:ascii="Times New Roman" w:hAnsi="Times New Roman" w:cs="Times New Roman"/>
          <w:sz w:val="24"/>
          <w:szCs w:val="24"/>
        </w:rPr>
      </w:pPr>
      <w:r w:rsidRPr="00A528B6">
        <w:rPr>
          <w:rFonts w:ascii="Times New Roman" w:hAnsi="Times New Roman" w:cs="Times New Roman"/>
          <w:sz w:val="24"/>
          <w:szCs w:val="24"/>
        </w:rPr>
        <w:t xml:space="preserve">La rentabilidad </w:t>
      </w:r>
      <w:r w:rsidR="00C16E76">
        <w:rPr>
          <w:rFonts w:ascii="Times New Roman" w:hAnsi="Times New Roman" w:cs="Times New Roman"/>
          <w:sz w:val="24"/>
          <w:szCs w:val="24"/>
        </w:rPr>
        <w:t>de los bonos a 10 años de EE</w:t>
      </w:r>
      <w:r w:rsidRPr="00A528B6">
        <w:rPr>
          <w:rFonts w:ascii="Times New Roman" w:hAnsi="Times New Roman" w:cs="Times New Roman"/>
          <w:sz w:val="24"/>
          <w:szCs w:val="24"/>
        </w:rPr>
        <w:t>UU, la referencia más utilizada por el mercado, cotizan a su nivel más alto de las últimas dos semanas, a la espera de si el presidente de la Reserva Federal, Jerome Powell, da alguna pista hoy, en su intervención en el seminario de Jackson Hole, sobre el calendario de</w:t>
      </w:r>
      <w:r>
        <w:rPr>
          <w:rFonts w:ascii="Times New Roman" w:hAnsi="Times New Roman" w:cs="Times New Roman"/>
          <w:sz w:val="24"/>
          <w:szCs w:val="24"/>
        </w:rPr>
        <w:t xml:space="preserve"> la retirada de estímulos.</w:t>
      </w:r>
    </w:p>
    <w:p w:rsidR="00835296" w:rsidRPr="00A528B6" w:rsidRDefault="00835296" w:rsidP="00FA4DA9">
      <w:pPr>
        <w:spacing w:line="240" w:lineRule="auto"/>
        <w:jc w:val="both"/>
        <w:rPr>
          <w:rFonts w:ascii="Times New Roman" w:hAnsi="Times New Roman" w:cs="Times New Roman"/>
          <w:sz w:val="24"/>
          <w:szCs w:val="24"/>
        </w:rPr>
      </w:pPr>
      <w:r w:rsidRPr="00A528B6">
        <w:rPr>
          <w:rFonts w:ascii="Times New Roman" w:hAnsi="Times New Roman" w:cs="Times New Roman"/>
          <w:sz w:val="24"/>
          <w:szCs w:val="24"/>
        </w:rPr>
        <w:t>“Habrá que ver qué mensajes salen de Jackson Hole. Nuestro escenario base es que será en noviembre cuando haya un anuncio formal de retirada de estímulos en noviembre, y que empezará a aplicarse en diciembre”, apunta Paolo Zanghieri, economista senior en</w:t>
      </w:r>
      <w:r>
        <w:rPr>
          <w:rFonts w:ascii="Times New Roman" w:hAnsi="Times New Roman" w:cs="Times New Roman"/>
          <w:sz w:val="24"/>
          <w:szCs w:val="24"/>
        </w:rPr>
        <w:t xml:space="preserve"> Generali Investments Partners.</w:t>
      </w:r>
    </w:p>
    <w:p w:rsidR="00835296" w:rsidRPr="00A528B6" w:rsidRDefault="00835296"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Efectos colaterales</w:t>
      </w:r>
    </w:p>
    <w:p w:rsidR="00835296" w:rsidRPr="00A528B6" w:rsidRDefault="00835296" w:rsidP="00FA4DA9">
      <w:pPr>
        <w:spacing w:line="240" w:lineRule="auto"/>
        <w:jc w:val="both"/>
        <w:rPr>
          <w:rFonts w:ascii="Times New Roman" w:hAnsi="Times New Roman" w:cs="Times New Roman"/>
          <w:sz w:val="24"/>
          <w:szCs w:val="24"/>
        </w:rPr>
      </w:pPr>
      <w:r w:rsidRPr="003310C0">
        <w:rPr>
          <w:rFonts w:ascii="Times New Roman" w:hAnsi="Times New Roman" w:cs="Times New Roman"/>
          <w:sz w:val="24"/>
          <w:szCs w:val="24"/>
          <w:u w:val="single"/>
        </w:rPr>
        <w:t>Uno de los activos más sensibles a la evolución de los bonos de Estados Unidos son los bonos de países emergentes</w:t>
      </w:r>
      <w:r w:rsidRPr="00A528B6">
        <w:rPr>
          <w:rFonts w:ascii="Times New Roman" w:hAnsi="Times New Roman" w:cs="Times New Roman"/>
          <w:sz w:val="24"/>
          <w:szCs w:val="24"/>
        </w:rPr>
        <w:t>. El aument</w:t>
      </w:r>
      <w:r w:rsidR="00416895">
        <w:rPr>
          <w:rFonts w:ascii="Times New Roman" w:hAnsi="Times New Roman" w:cs="Times New Roman"/>
          <w:sz w:val="24"/>
          <w:szCs w:val="24"/>
        </w:rPr>
        <w:t>o de los tipos de interés en EE</w:t>
      </w:r>
      <w:r w:rsidRPr="00A528B6">
        <w:rPr>
          <w:rFonts w:ascii="Times New Roman" w:hAnsi="Times New Roman" w:cs="Times New Roman"/>
          <w:sz w:val="24"/>
          <w:szCs w:val="24"/>
        </w:rPr>
        <w:t>UU reduce el atractivo de las inversiones en otras monedas, ejerciendo presión sobre los tipos de cambio y los precios de lo</w:t>
      </w:r>
      <w:r>
        <w:rPr>
          <w:rFonts w:ascii="Times New Roman" w:hAnsi="Times New Roman" w:cs="Times New Roman"/>
          <w:sz w:val="24"/>
          <w:szCs w:val="24"/>
        </w:rPr>
        <w:t>s bonos de mercados emergentes.</w:t>
      </w:r>
    </w:p>
    <w:p w:rsidR="00835296" w:rsidRPr="00A528B6" w:rsidRDefault="00835296" w:rsidP="00FA4DA9">
      <w:pPr>
        <w:spacing w:line="240" w:lineRule="auto"/>
        <w:jc w:val="both"/>
        <w:rPr>
          <w:rFonts w:ascii="Times New Roman" w:hAnsi="Times New Roman" w:cs="Times New Roman"/>
          <w:sz w:val="24"/>
          <w:szCs w:val="24"/>
        </w:rPr>
      </w:pPr>
      <w:r w:rsidRPr="00A528B6">
        <w:rPr>
          <w:rFonts w:ascii="Times New Roman" w:hAnsi="Times New Roman" w:cs="Times New Roman"/>
          <w:sz w:val="24"/>
          <w:szCs w:val="24"/>
        </w:rPr>
        <w:t>En 2013, por ejemplo, la retirada de estímulos por parte de la Reserva Federal antes de lo previsto, hizo que saliera mucho dinero de deuda soberana emergente, hundiendo su valoración en varios países. También en 2018, el giro en la política monetaria de Estados Unidos restó atractiv</w:t>
      </w:r>
      <w:r>
        <w:rPr>
          <w:rFonts w:ascii="Times New Roman" w:hAnsi="Times New Roman" w:cs="Times New Roman"/>
          <w:sz w:val="24"/>
          <w:szCs w:val="24"/>
        </w:rPr>
        <w:t>o a la inversión en emergentes.</w:t>
      </w:r>
    </w:p>
    <w:p w:rsidR="00835296" w:rsidRPr="00A528B6" w:rsidRDefault="00835296" w:rsidP="00FA4DA9">
      <w:pPr>
        <w:spacing w:line="240" w:lineRule="auto"/>
        <w:jc w:val="both"/>
        <w:rPr>
          <w:rFonts w:ascii="Times New Roman" w:hAnsi="Times New Roman" w:cs="Times New Roman"/>
          <w:sz w:val="24"/>
          <w:szCs w:val="24"/>
        </w:rPr>
      </w:pPr>
      <w:r w:rsidRPr="00A528B6">
        <w:rPr>
          <w:rFonts w:ascii="Times New Roman" w:hAnsi="Times New Roman" w:cs="Times New Roman"/>
          <w:sz w:val="24"/>
          <w:szCs w:val="24"/>
        </w:rPr>
        <w:t>Con todo, los economistas consideran que muchos de estos países, especialmente los asiáticos, están ahora más preparados para encajar este golpe, con unas cuentas públicas más saneadas y recibiendo inversiones y flujos de divisas gracias a la recuperación del mercado de las materias primas.</w:t>
      </w:r>
    </w:p>
    <w:p w:rsidR="00835296" w:rsidRPr="00416895" w:rsidRDefault="00835296" w:rsidP="00FA4DA9">
      <w:pPr>
        <w:spacing w:line="240" w:lineRule="auto"/>
        <w:jc w:val="both"/>
        <w:rPr>
          <w:rFonts w:ascii="Times New Roman" w:hAnsi="Times New Roman" w:cs="Times New Roman"/>
          <w:color w:val="FF0000"/>
          <w:sz w:val="24"/>
          <w:szCs w:val="24"/>
          <w:u w:val="single"/>
        </w:rPr>
      </w:pPr>
      <w:r w:rsidRPr="00416895">
        <w:rPr>
          <w:rFonts w:ascii="Times New Roman" w:hAnsi="Times New Roman" w:cs="Times New Roman"/>
          <w:color w:val="FF0000"/>
          <w:sz w:val="24"/>
          <w:szCs w:val="24"/>
          <w:u w:val="single"/>
        </w:rPr>
        <w:lastRenderedPageBreak/>
        <w:t>En lo que coinciden todos los economistas es que la Fed ha aprendido de sus errores de comunicación del pasado. El anuncio precipitado de 2013, con Ben Bernanke como presidente de la Reserva Federal, provocó un descalabro en los merados de renta fija, que aún se recuerda, por lo que ahora se medirán mucho más las palabras y los tiempos.</w:t>
      </w:r>
    </w:p>
    <w:p w:rsidR="00835296" w:rsidRPr="00A528B6" w:rsidRDefault="00835296" w:rsidP="00FA4DA9">
      <w:pPr>
        <w:spacing w:line="240" w:lineRule="auto"/>
        <w:jc w:val="both"/>
        <w:rPr>
          <w:rFonts w:ascii="Times New Roman" w:hAnsi="Times New Roman" w:cs="Times New Roman"/>
          <w:sz w:val="24"/>
          <w:szCs w:val="24"/>
        </w:rPr>
      </w:pPr>
      <w:r w:rsidRPr="00A528B6">
        <w:rPr>
          <w:rFonts w:ascii="Times New Roman" w:hAnsi="Times New Roman" w:cs="Times New Roman"/>
          <w:sz w:val="24"/>
          <w:szCs w:val="24"/>
        </w:rPr>
        <w:t>Aunque los bonos de países emergentes, en teoría, son los más expuestos al punto de inflexión de la política monetaria de Estados Unidos, también la deuda europea está reaccionando, con ligeros repuntes en los tipos de interés de los bonos soberanos. El rendimiento de los bonos españoles a 10 años subió ayer hasta el 0,315% y el de</w:t>
      </w:r>
      <w:r>
        <w:rPr>
          <w:rFonts w:ascii="Times New Roman" w:hAnsi="Times New Roman" w:cs="Times New Roman"/>
          <w:sz w:val="24"/>
          <w:szCs w:val="24"/>
        </w:rPr>
        <w:t xml:space="preserve"> los italianos hasta el 0,675%.</w:t>
      </w:r>
    </w:p>
    <w:p w:rsidR="00835296" w:rsidRPr="00416895" w:rsidRDefault="00835296" w:rsidP="00FA4DA9">
      <w:pPr>
        <w:spacing w:line="240" w:lineRule="auto"/>
        <w:jc w:val="both"/>
        <w:rPr>
          <w:rFonts w:ascii="Times New Roman" w:hAnsi="Times New Roman" w:cs="Times New Roman"/>
          <w:color w:val="FF0000"/>
          <w:sz w:val="24"/>
          <w:szCs w:val="24"/>
          <w:u w:val="single"/>
        </w:rPr>
      </w:pPr>
      <w:r w:rsidRPr="00416895">
        <w:rPr>
          <w:rFonts w:ascii="Times New Roman" w:hAnsi="Times New Roman" w:cs="Times New Roman"/>
          <w:color w:val="FF0000"/>
          <w:sz w:val="24"/>
          <w:szCs w:val="24"/>
          <w:u w:val="single"/>
        </w:rPr>
        <w:t>Aunque el Banco Central Europeo (BCE) aún no tiene ninguna intención de recortar su propio programa de compra de deuda, los analistas indican que la futura normalización de la política monetaria de EE UU acabará añadiendo presión al otro lado del Atlántico.</w:t>
      </w:r>
    </w:p>
    <w:p w:rsidR="00835296" w:rsidRPr="003310C0" w:rsidRDefault="00835296" w:rsidP="00FA4DA9">
      <w:pPr>
        <w:spacing w:line="240" w:lineRule="auto"/>
        <w:jc w:val="both"/>
        <w:rPr>
          <w:rFonts w:ascii="Times New Roman" w:hAnsi="Times New Roman" w:cs="Times New Roman"/>
          <w:sz w:val="24"/>
          <w:szCs w:val="24"/>
          <w:u w:val="single"/>
        </w:rPr>
      </w:pPr>
      <w:r w:rsidRPr="00416895">
        <w:rPr>
          <w:rFonts w:ascii="Times New Roman" w:hAnsi="Times New Roman" w:cs="Times New Roman"/>
          <w:color w:val="FF0000"/>
          <w:sz w:val="24"/>
          <w:szCs w:val="24"/>
          <w:u w:val="single"/>
        </w:rPr>
        <w:t>La expectación por la política de la Fed también está afectando a los mercados de divisas. Una subida de tipos atraerá capitales que quieren invertir en dólares, lo que fortalecerá a la moneda norteamericana</w:t>
      </w:r>
      <w:r w:rsidRPr="003310C0">
        <w:rPr>
          <w:rFonts w:ascii="Times New Roman" w:hAnsi="Times New Roman" w:cs="Times New Roman"/>
          <w:sz w:val="24"/>
          <w:szCs w:val="24"/>
          <w:u w:val="single"/>
        </w:rPr>
        <w:t>. De hecho, el dólar lleva desde mayo reforzándose respecto a una cesta con las 10 principales divisas. En lo que va de año, acumula subidas de 2% y el 8% frente a las monedas asiáticas más importantes.</w:t>
      </w:r>
    </w:p>
    <w:p w:rsidR="00835296" w:rsidRDefault="00835296" w:rsidP="00FA4DA9">
      <w:pPr>
        <w:spacing w:line="240" w:lineRule="auto"/>
        <w:jc w:val="both"/>
        <w:rPr>
          <w:rFonts w:ascii="Times New Roman" w:hAnsi="Times New Roman" w:cs="Times New Roman"/>
          <w:sz w:val="24"/>
          <w:szCs w:val="24"/>
        </w:rPr>
      </w:pPr>
      <w:r w:rsidRPr="00A528B6">
        <w:rPr>
          <w:rFonts w:ascii="Times New Roman" w:hAnsi="Times New Roman" w:cs="Times New Roman"/>
          <w:sz w:val="24"/>
          <w:szCs w:val="24"/>
        </w:rPr>
        <w:t>El dólar alcanzó hace una semana su máxima valoración desde noviembre, pagándose el euro a 1,167 dólares. La percepción de inicios de verano de que la Reserva Federal iba a adelantar su retirada de estímulos, espoleó a la divisa americana. A ello se sumó la preocupación sobre la recuperación de la economía mundial y la expansión de la variante delta, con lo que el dinero buscó refugio en el dólar. El euro sin embargo ha recuperado de nuevo los 1,17.</w:t>
      </w:r>
    </w:p>
    <w:p w:rsidR="00835296" w:rsidRDefault="00835296" w:rsidP="00FA4DA9">
      <w:pPr>
        <w:pStyle w:val="bbc-bm53ic"/>
        <w:shd w:val="clear" w:color="auto" w:fill="FDFDFD"/>
        <w:spacing w:before="0" w:beforeAutospacing="0" w:after="0" w:afterAutospacing="0"/>
        <w:jc w:val="both"/>
        <w:textAlignment w:val="top"/>
      </w:pPr>
      <w:r>
        <w:t xml:space="preserve">- </w:t>
      </w:r>
      <w:r w:rsidR="00416895">
        <w:rPr>
          <w:u w:val="single"/>
        </w:rPr>
        <w:t>Powell sugiere el “tapering”</w:t>
      </w:r>
      <w:r w:rsidRPr="008622F8">
        <w:rPr>
          <w:u w:val="single"/>
        </w:rPr>
        <w:t xml:space="preserve"> para fin de año pero no tiene prisa para subir tipos</w:t>
      </w:r>
      <w:r>
        <w:t xml:space="preserve"> (Cinco Días - </w:t>
      </w:r>
      <w:r w:rsidRPr="008622F8">
        <w:rPr>
          <w:b/>
        </w:rPr>
        <w:t>28/8/21</w:t>
      </w:r>
      <w:r>
        <w:t>)</w:t>
      </w:r>
    </w:p>
    <w:p w:rsidR="00835296" w:rsidRDefault="00835296" w:rsidP="00FA4DA9">
      <w:pPr>
        <w:pStyle w:val="bbc-bm53ic"/>
        <w:shd w:val="clear" w:color="auto" w:fill="FDFDFD"/>
        <w:spacing w:after="0"/>
        <w:jc w:val="both"/>
        <w:textAlignment w:val="top"/>
      </w:pPr>
      <w:r>
        <w:t>(Por N. Salobral)</w:t>
      </w:r>
    </w:p>
    <w:p w:rsidR="00835296" w:rsidRPr="00416895" w:rsidRDefault="00835296" w:rsidP="00FA4DA9">
      <w:pPr>
        <w:pStyle w:val="bbc-bm53ic"/>
        <w:shd w:val="clear" w:color="auto" w:fill="FDFDFD"/>
        <w:spacing w:after="0"/>
        <w:jc w:val="both"/>
        <w:textAlignment w:val="top"/>
        <w:rPr>
          <w:b/>
          <w:color w:val="FF0000"/>
          <w:u w:val="single"/>
        </w:rPr>
      </w:pPr>
      <w:r w:rsidRPr="00416895">
        <w:rPr>
          <w:b/>
          <w:color w:val="FF0000"/>
          <w:u w:val="single"/>
        </w:rPr>
        <w:t>El oráculo de los mercados financieros habló. Los inversores llevan todo el mes de agosto esperando la intervención de hoy del presidente de la Reserva Federal en el foro de Jackson Hole y Jerome Powell ha dado su visión de cuál es el rumbo de la mayor economía del mundo, una información clave para anticipar cuándo comenzará la reducción de las compras de deuda por parte de la Fed.</w:t>
      </w:r>
    </w:p>
    <w:p w:rsidR="00835296" w:rsidRPr="00416895" w:rsidRDefault="00835296" w:rsidP="00FA4DA9">
      <w:pPr>
        <w:pStyle w:val="bbc-bm53ic"/>
        <w:shd w:val="clear" w:color="auto" w:fill="FDFDFD"/>
        <w:spacing w:after="0"/>
        <w:jc w:val="both"/>
        <w:textAlignment w:val="top"/>
        <w:rPr>
          <w:b/>
          <w:color w:val="FF0000"/>
          <w:u w:val="single"/>
        </w:rPr>
      </w:pPr>
      <w:r w:rsidRPr="00416895">
        <w:rPr>
          <w:b/>
          <w:color w:val="FF0000"/>
          <w:u w:val="single"/>
        </w:rPr>
        <w:t>El presidente de la Fed ha señalado que “sería apropiado” iniciar el tapering este año, aunque ha insistido en que eso no significa que a continuación vaya a llegar la subida de tipos de interés, que en la actualidad la institución no contempla hasta 2023.</w:t>
      </w:r>
    </w:p>
    <w:p w:rsidR="00835296" w:rsidRPr="00416895" w:rsidRDefault="00835296" w:rsidP="00FA4DA9">
      <w:pPr>
        <w:pStyle w:val="bbc-bm53ic"/>
        <w:shd w:val="clear" w:color="auto" w:fill="FDFDFD"/>
        <w:spacing w:after="0"/>
        <w:jc w:val="both"/>
        <w:textAlignment w:val="top"/>
        <w:rPr>
          <w:color w:val="FF0000"/>
          <w:u w:val="single"/>
        </w:rPr>
      </w:pPr>
      <w:r w:rsidRPr="00416895">
        <w:rPr>
          <w:color w:val="FF0000"/>
          <w:u w:val="single"/>
        </w:rPr>
        <w:t>Powell ha aludido a la pasada reunión de julio de la Fed. “Yo fui de la opinión, como la mayoría de los participantes, de que si la economía evolucionaba ampliamente como se anticipó, podría ser apropiado iniciar la reducción de las compras de deuda este año”, ha afirmado Powell.</w:t>
      </w:r>
    </w:p>
    <w:p w:rsidR="00835296" w:rsidRDefault="00835296" w:rsidP="00FA4DA9">
      <w:pPr>
        <w:pStyle w:val="bbc-bm53ic"/>
        <w:shd w:val="clear" w:color="auto" w:fill="FDFDFD"/>
        <w:spacing w:after="0"/>
        <w:jc w:val="both"/>
        <w:textAlignment w:val="top"/>
      </w:pPr>
      <w:r w:rsidRPr="00416895">
        <w:rPr>
          <w:b/>
          <w:color w:val="FF0000"/>
          <w:u w:val="single"/>
        </w:rPr>
        <w:t>El presidente de la Reserva Federal ha tenido mucho cuidado en todo caso en dar un mensaje tranquilizador al mercado y al tiempo que ha apuntado a que el tapering bien puede llegar este mismo año, también ha insistido en que ello no supondrá acelerar el calendario para una subida de los tipos de interés</w:t>
      </w:r>
      <w:r>
        <w:t xml:space="preserve">. “El calendario y el ritmo de la </w:t>
      </w:r>
      <w:r>
        <w:lastRenderedPageBreak/>
        <w:t>reducción de compras venidera no tendrá el propósito de lanzar una señal directa sobre el calendario de despegue para los tipos de interés, para lo que hemos desarrollado un análisis diferente y notablemente más estricto”, ha asegurado Powell.</w:t>
      </w:r>
    </w:p>
    <w:p w:rsidR="00835296" w:rsidRPr="00416895" w:rsidRDefault="00835296" w:rsidP="00FA4DA9">
      <w:pPr>
        <w:pStyle w:val="bbc-bm53ic"/>
        <w:shd w:val="clear" w:color="auto" w:fill="FDFDFD"/>
        <w:spacing w:after="0"/>
        <w:jc w:val="both"/>
        <w:textAlignment w:val="top"/>
        <w:rPr>
          <w:b/>
          <w:color w:val="FF0000"/>
          <w:u w:val="single"/>
        </w:rPr>
      </w:pPr>
      <w:r w:rsidRPr="00416895">
        <w:rPr>
          <w:b/>
          <w:color w:val="FF0000"/>
          <w:u w:val="single"/>
        </w:rPr>
        <w:t>El presidente de la Fed ha recordado además que la institución “continuará manteniendo el actual nivel de tipos de interés hasta que la economía alcance unas condiciones consistentes de máximo empleo”. “Tenemos mucho terreno por delante hasta alcanzar el pleno empleo y el tiempo dirá si hemos alcanzado el 2% de inflación de forma sostenible”, ha añadido Powell.</w:t>
      </w:r>
    </w:p>
    <w:p w:rsidR="00835296" w:rsidRPr="00C16E76" w:rsidRDefault="00835296" w:rsidP="00FA4DA9">
      <w:pPr>
        <w:pStyle w:val="bbc-bm53ic"/>
        <w:shd w:val="clear" w:color="auto" w:fill="FDFDFD"/>
        <w:spacing w:after="0"/>
        <w:jc w:val="both"/>
        <w:textAlignment w:val="top"/>
        <w:rPr>
          <w:u w:val="single"/>
        </w:rPr>
      </w:pPr>
      <w:r w:rsidRPr="00416895">
        <w:rPr>
          <w:b/>
          <w:color w:val="FF0000"/>
          <w:u w:val="single"/>
        </w:rPr>
        <w:t>En cuanto a la inflación, que con una tasa interanual en julio del 5,4% está en máximos de 2008, Powell ha reconocido que “representa un motivo de preocupación”, si bien si</w:t>
      </w:r>
      <w:r w:rsidR="00416895" w:rsidRPr="00416895">
        <w:rPr>
          <w:b/>
          <w:color w:val="FF0000"/>
          <w:u w:val="single"/>
        </w:rPr>
        <w:t>gue creyendo que “</w:t>
      </w:r>
      <w:r w:rsidRPr="00416895">
        <w:rPr>
          <w:b/>
          <w:color w:val="FF0000"/>
          <w:u w:val="single"/>
        </w:rPr>
        <w:t>estas lecturas elevadas pr</w:t>
      </w:r>
      <w:r w:rsidR="00416895" w:rsidRPr="00416895">
        <w:rPr>
          <w:b/>
          <w:color w:val="FF0000"/>
          <w:u w:val="single"/>
        </w:rPr>
        <w:t>obablemente resulten temporales”</w:t>
      </w:r>
      <w:r w:rsidRPr="00416895">
        <w:rPr>
          <w:b/>
          <w:color w:val="FF0000"/>
          <w:u w:val="single"/>
        </w:rPr>
        <w:t>.</w:t>
      </w:r>
      <w:r w:rsidRPr="00D25E58">
        <w:rPr>
          <w:color w:val="FF0000"/>
        </w:rPr>
        <w:t xml:space="preserve"> </w:t>
      </w:r>
      <w:r>
        <w:t>Así, ha explicado que las presiones inflacionistas se han concentrado en un grupo reducido de bienes y servicios directamente afectados por la pandemia y la reapertura de la economía, además de ene la energía, con lo que las alzas de precios deberían revertir más adelante. Además, no aprecia señales de que las actuales tasas de inflación vayan a trasladarse al conjunto de la economía a tr</w:t>
      </w:r>
      <w:r w:rsidR="00416895">
        <w:t xml:space="preserve">avés del alza de los salarios. </w:t>
      </w:r>
      <w:r w:rsidR="00416895" w:rsidRPr="00C16E76">
        <w:rPr>
          <w:u w:val="single"/>
        </w:rPr>
        <w:t>“</w:t>
      </w:r>
      <w:r w:rsidRPr="00C16E76">
        <w:rPr>
          <w:u w:val="single"/>
        </w:rPr>
        <w:t xml:space="preserve">Hoy vemos poca evidencia de aumentos salariales que puedan </w:t>
      </w:r>
      <w:r w:rsidR="00416895" w:rsidRPr="00C16E76">
        <w:rPr>
          <w:u w:val="single"/>
        </w:rPr>
        <w:t>amenazar una inflación excesiva”</w:t>
      </w:r>
      <w:r w:rsidRPr="00C16E76">
        <w:rPr>
          <w:u w:val="single"/>
        </w:rPr>
        <w:t>, ha señalado Powell.</w:t>
      </w:r>
    </w:p>
    <w:p w:rsidR="00835296" w:rsidRPr="00416895" w:rsidRDefault="00835296" w:rsidP="00FA4DA9">
      <w:pPr>
        <w:pStyle w:val="bbc-bm53ic"/>
        <w:shd w:val="clear" w:color="auto" w:fill="FDFDFD"/>
        <w:spacing w:after="0"/>
        <w:jc w:val="both"/>
        <w:textAlignment w:val="top"/>
        <w:rPr>
          <w:color w:val="FF0000"/>
          <w:u w:val="single"/>
        </w:rPr>
      </w:pPr>
      <w:r>
        <w:t>En su discurso, tampoco ha cargado las tintas sobre las amenazas que puedan c</w:t>
      </w:r>
      <w:r w:rsidR="00416895">
        <w:t>ernirse sobre la economía de EE</w:t>
      </w:r>
      <w:r>
        <w:t xml:space="preserve">UU. Respecto a la variante delta, Powell ha asegurado que la Fed “analizará cuidadosamente los próximos indicadores y la evolución de los riesgos”. </w:t>
      </w:r>
      <w:r w:rsidRPr="00416895">
        <w:rPr>
          <w:color w:val="FF0000"/>
          <w:u w:val="single"/>
        </w:rPr>
        <w:t>En definitiva, el presidente de la Fed ha lanzado un mensaje de política monetaria acomodaticia: la Fed ajustará sus compras de deuda a una economía en franca recuperación pero que aún necesita de unos tipos de interés muy bajos para recuperar todo el empleo perdido con la crisis</w:t>
      </w:r>
      <w:r w:rsidR="00416895" w:rsidRPr="00416895">
        <w:rPr>
          <w:color w:val="FF0000"/>
          <w:u w:val="single"/>
        </w:rPr>
        <w:t>. Así, el nivel de empleo de EE</w:t>
      </w:r>
      <w:r w:rsidRPr="00416895">
        <w:rPr>
          <w:color w:val="FF0000"/>
          <w:u w:val="single"/>
        </w:rPr>
        <w:t>UU aún está alrededor de 6 millones de puestos de trabajo por debajo del nivel previo a la pandemia. Y aunque los indicadores de junio y julio han mostrado altas tasas de creación de empleo, está por ver el efecto que la propagación de la variante delta tendrá en los próximos meses.</w:t>
      </w:r>
    </w:p>
    <w:p w:rsidR="00835296" w:rsidRPr="00416895" w:rsidRDefault="00835296" w:rsidP="00FA4DA9">
      <w:pPr>
        <w:pStyle w:val="bbc-bm53ic"/>
        <w:shd w:val="clear" w:color="auto" w:fill="FDFDFD"/>
        <w:spacing w:after="0"/>
        <w:jc w:val="both"/>
        <w:textAlignment w:val="top"/>
        <w:rPr>
          <w:color w:val="FF0000"/>
          <w:u w:val="single"/>
        </w:rPr>
      </w:pPr>
      <w:r w:rsidRPr="00416895">
        <w:rPr>
          <w:color w:val="FF0000"/>
          <w:u w:val="single"/>
        </w:rPr>
        <w:t>Los inversores asumen que el conocido como tapering está al llegar</w:t>
      </w:r>
      <w:r w:rsidRPr="00D25E58">
        <w:rPr>
          <w:u w:val="single"/>
        </w:rPr>
        <w:t>, aunque el discurso de Powell ha enfriado la expectativa de que vaya a anunciarse en la próxima reunión de la Fed del 21 y 22 de septiembre</w:t>
      </w:r>
      <w:r>
        <w:t xml:space="preserve">. La Reserva Federal ya contará entonces con los datos de creación de empleo de agosto, que se conocerán el próximo día 3, y la confirmación sobre si la inflación subyacente sigue bajando o no, según apuntan desde ING. </w:t>
      </w:r>
      <w:r w:rsidRPr="00416895">
        <w:rPr>
          <w:color w:val="FF0000"/>
          <w:u w:val="single"/>
        </w:rPr>
        <w:t>“Pero también podría posponer el anuncio, porque en contra de lo que muchos esperaban, Powell no se ha comprometido a hacer nada en septiembre”, añade la firma holandesa. De hecho, califica el mensaje de Powell de “grata sorpresa para los mercados”.</w:t>
      </w:r>
    </w:p>
    <w:p w:rsidR="00835296" w:rsidRDefault="00835296" w:rsidP="00FA4DA9">
      <w:pPr>
        <w:pStyle w:val="bbc-bm53ic"/>
        <w:shd w:val="clear" w:color="auto" w:fill="FDFDFD"/>
        <w:spacing w:after="0"/>
        <w:jc w:val="both"/>
        <w:textAlignment w:val="top"/>
      </w:pPr>
      <w:r>
        <w:t>A pesar de la tibieza en el mensaje de Powell, en la Fed también hay voces abiertamente partidarias de iniciar el tapering. El presidente de la reserva federal de Dallas, Robert Kaplan, aseguró también el viernes, poco antes del discurso de Powell, que la Fed “debería empezar el ajuste de sus compras de activos lo antes posible”. Si bien matizó, al igual que Powell, que esa reducción no significa adelantar el momen</w:t>
      </w:r>
      <w:r w:rsidR="00E5717E">
        <w:t xml:space="preserve">to de un alza de tipos. </w:t>
      </w:r>
      <w:r>
        <w:t>El presidente de la Reserva Federal de San Louis, James Bullard, considerado como una de las voces más duras, afirmó el jueves que “probablemente no sean necesarias las compras de deuda en este momento”.</w:t>
      </w:r>
    </w:p>
    <w:p w:rsidR="00835296" w:rsidRDefault="00416895" w:rsidP="00FA4DA9">
      <w:pPr>
        <w:pStyle w:val="bbc-bm53ic"/>
        <w:shd w:val="clear" w:color="auto" w:fill="FDFDFD"/>
        <w:spacing w:before="0" w:beforeAutospacing="0" w:after="0" w:afterAutospacing="0"/>
        <w:jc w:val="both"/>
        <w:textAlignment w:val="top"/>
      </w:pPr>
      <w:r>
        <w:lastRenderedPageBreak/>
        <w:t>La economía de EE</w:t>
      </w:r>
      <w:r w:rsidR="00835296">
        <w:t>UU crece con fuerza, para este año la propia Fed espera un aumento del PIB del 7% este año, un alza que en junio revisó desde el 6,5% anterior. Y la tasa de inflación crece a un ritmo interanual del 5,4%, muy por encima del objetivo de estabilidad de precios del banco central estadounidense, del 2%. La recuperación de la economía del país se ha consolidado, después de que la Fed respondiera de forma contundente al estallido de la pandemia con una rebaja a la banda del 0% al 0,25% de los tipos de interés y con unas compras mensuales de deuda que en la actualidad están en los 120.000 millones.</w:t>
      </w:r>
    </w:p>
    <w:p w:rsidR="00835296" w:rsidRPr="00416895" w:rsidRDefault="00416895" w:rsidP="00FA4DA9">
      <w:pPr>
        <w:pStyle w:val="NormalWeb"/>
        <w:spacing w:before="240" w:beforeAutospacing="0" w:after="240" w:afterAutospacing="0"/>
        <w:jc w:val="both"/>
        <w:textAlignment w:val="baseline"/>
        <w:outlineLvl w:val="1"/>
        <w:rPr>
          <w:bCs/>
          <w:kern w:val="36"/>
          <w:lang w:val="en-US"/>
        </w:rPr>
      </w:pPr>
      <w:r w:rsidRPr="00416895">
        <w:rPr>
          <w:rFonts w:eastAsiaTheme="minorHAnsi"/>
          <w:lang w:val="en-US" w:eastAsia="en-US"/>
        </w:rPr>
        <w:t xml:space="preserve">- </w:t>
      </w:r>
      <w:r w:rsidR="00835296" w:rsidRPr="00416895">
        <w:rPr>
          <w:bCs/>
          <w:kern w:val="36"/>
          <w:u w:val="single"/>
          <w:lang w:val="en-US"/>
        </w:rPr>
        <w:t>FMI: Predicting inflation using cumulative wage gaps</w:t>
      </w:r>
      <w:r>
        <w:rPr>
          <w:bCs/>
          <w:kern w:val="36"/>
          <w:lang w:val="en-US"/>
        </w:rPr>
        <w:t xml:space="preserve"> (</w:t>
      </w:r>
      <w:r w:rsidRPr="00416895">
        <w:rPr>
          <w:b/>
          <w:bCs/>
          <w:kern w:val="36"/>
          <w:lang w:val="en-US"/>
        </w:rPr>
        <w:t>16/10/21</w:t>
      </w:r>
      <w:r>
        <w:rPr>
          <w:bCs/>
          <w:kern w:val="36"/>
          <w:lang w:val="en-US"/>
        </w:rPr>
        <w:t>)</w:t>
      </w:r>
    </w:p>
    <w:p w:rsidR="00835296" w:rsidRPr="00416895" w:rsidRDefault="00416895" w:rsidP="00FA4DA9">
      <w:pPr>
        <w:pStyle w:val="NormalWeb"/>
        <w:spacing w:before="0" w:beforeAutospacing="0" w:after="0" w:afterAutospacing="0"/>
        <w:jc w:val="both"/>
        <w:textAlignment w:val="baseline"/>
        <w:rPr>
          <w:b/>
          <w:lang w:val="en-US"/>
        </w:rPr>
      </w:pPr>
      <w:r w:rsidRPr="00416895">
        <w:rPr>
          <w:rStyle w:val="Textoennegrita"/>
          <w:rFonts w:eastAsiaTheme="majorEastAsia"/>
          <w:b w:val="0"/>
          <w:bdr w:val="none" w:sz="0" w:space="0" w:color="auto" w:frame="1"/>
          <w:lang w:val="en-US"/>
        </w:rPr>
        <w:t xml:space="preserve">(By </w:t>
      </w:r>
      <w:r w:rsidR="00835296" w:rsidRPr="00416895">
        <w:rPr>
          <w:rStyle w:val="Textoennegrita"/>
          <w:rFonts w:eastAsiaTheme="majorEastAsia"/>
          <w:b w:val="0"/>
          <w:bdr w:val="none" w:sz="0" w:space="0" w:color="auto" w:frame="1"/>
          <w:lang w:val="en-US"/>
        </w:rPr>
        <w:t>Liviu Voinea, Prakash Loungani</w:t>
      </w:r>
      <w:r w:rsidRPr="00416895">
        <w:rPr>
          <w:rStyle w:val="Textoennegrita"/>
          <w:rFonts w:eastAsiaTheme="majorEastAsia"/>
          <w:b w:val="0"/>
          <w:bdr w:val="none" w:sz="0" w:space="0" w:color="auto" w:frame="1"/>
          <w:lang w:val="en-US"/>
        </w:rPr>
        <w:t>)</w:t>
      </w:r>
      <w:r w:rsidR="00835296" w:rsidRPr="00416895">
        <w:rPr>
          <w:b/>
          <w:bdr w:val="none" w:sz="0" w:space="0" w:color="auto" w:frame="1"/>
          <w:lang w:val="en-US"/>
        </w:rPr>
        <w:t> </w:t>
      </w:r>
    </w:p>
    <w:p w:rsidR="00835296" w:rsidRPr="00416895" w:rsidRDefault="00835296" w:rsidP="00FA4DA9">
      <w:pPr>
        <w:pStyle w:val="NormalWeb"/>
        <w:spacing w:before="240" w:beforeAutospacing="0" w:after="240" w:afterAutospacing="0"/>
        <w:jc w:val="both"/>
        <w:textAlignment w:val="baseline"/>
        <w:rPr>
          <w:i/>
          <w:iCs/>
          <w:lang w:val="en-US"/>
        </w:rPr>
      </w:pPr>
      <w:r w:rsidRPr="00416895">
        <w:rPr>
          <w:i/>
          <w:iCs/>
          <w:lang w:val="en-US"/>
        </w:rPr>
        <w:t>Over the past three decades, post-crisis inflation in OECD economies has only picked up once the gap between current wages and peak pre-crisis wages has closed. This column explores the role of the cumulative wage gap in driving inflation, with a particular focus on Covid-19. The authors argue that the increase in inflation in recent months, which appears driven by one-off increases in income and supply bottlenecks, will not be sustained, as long as cumulative wage gaps remain wide.</w:t>
      </w:r>
    </w:p>
    <w:p w:rsidR="00835296" w:rsidRPr="00416895" w:rsidRDefault="004C6999" w:rsidP="00FA4DA9">
      <w:pPr>
        <w:numPr>
          <w:ilvl w:val="0"/>
          <w:numId w:val="14"/>
        </w:numPr>
        <w:spacing w:after="0" w:line="240" w:lineRule="auto"/>
        <w:ind w:left="600"/>
        <w:jc w:val="both"/>
        <w:textAlignment w:val="baseline"/>
        <w:rPr>
          <w:rFonts w:ascii="Times New Roman" w:hAnsi="Times New Roman" w:cs="Times New Roman"/>
          <w:bCs/>
          <w:sz w:val="24"/>
          <w:szCs w:val="24"/>
          <w:lang w:val="en-US"/>
        </w:rPr>
      </w:pPr>
      <w:hyperlink r:id="rId306" w:history="1">
        <w:r w:rsidR="00835296" w:rsidRPr="00416895">
          <w:rPr>
            <w:rStyle w:val="Hipervnculo"/>
            <w:rFonts w:ascii="Times New Roman" w:hAnsi="Times New Roman" w:cs="Times New Roman"/>
            <w:bCs/>
            <w:color w:val="auto"/>
            <w:sz w:val="24"/>
            <w:szCs w:val="24"/>
            <w:bdr w:val="none" w:sz="0" w:space="0" w:color="auto" w:frame="1"/>
            <w:lang w:val="en-US"/>
          </w:rPr>
          <w:t>US inflation: Set for take-off?</w:t>
        </w:r>
      </w:hyperlink>
    </w:p>
    <w:p w:rsidR="00835296" w:rsidRPr="00416895" w:rsidRDefault="00835296" w:rsidP="00FA4DA9">
      <w:pPr>
        <w:spacing w:line="240" w:lineRule="auto"/>
        <w:ind w:left="600"/>
        <w:jc w:val="both"/>
        <w:textAlignment w:val="baseline"/>
        <w:rPr>
          <w:rFonts w:ascii="Times New Roman" w:hAnsi="Times New Roman" w:cs="Times New Roman"/>
          <w:sz w:val="24"/>
          <w:szCs w:val="24"/>
          <w:lang w:val="en-US"/>
        </w:rPr>
      </w:pPr>
      <w:r w:rsidRPr="00416895">
        <w:rPr>
          <w:rFonts w:ascii="Times New Roman" w:hAnsi="Times New Roman" w:cs="Times New Roman"/>
          <w:sz w:val="24"/>
          <w:szCs w:val="24"/>
          <w:lang w:val="en-US"/>
        </w:rPr>
        <w:t>Laurence Ball, Gita Gopinath, Daniel Leigh, Prachi Mishra, Antonio Spilimbergo</w:t>
      </w:r>
    </w:p>
    <w:p w:rsidR="00835296" w:rsidRPr="00416895" w:rsidRDefault="004C6999" w:rsidP="00FA4DA9">
      <w:pPr>
        <w:numPr>
          <w:ilvl w:val="0"/>
          <w:numId w:val="14"/>
        </w:numPr>
        <w:spacing w:after="0" w:line="240" w:lineRule="auto"/>
        <w:ind w:left="600"/>
        <w:jc w:val="both"/>
        <w:textAlignment w:val="baseline"/>
        <w:rPr>
          <w:rFonts w:ascii="Times New Roman" w:hAnsi="Times New Roman" w:cs="Times New Roman"/>
          <w:bCs/>
          <w:sz w:val="24"/>
          <w:szCs w:val="24"/>
          <w:lang w:val="en-US"/>
        </w:rPr>
      </w:pPr>
      <w:hyperlink r:id="rId307" w:history="1">
        <w:r w:rsidR="00835296" w:rsidRPr="00416895">
          <w:rPr>
            <w:rStyle w:val="Hipervnculo"/>
            <w:rFonts w:ascii="Times New Roman" w:hAnsi="Times New Roman" w:cs="Times New Roman"/>
            <w:bCs/>
            <w:color w:val="auto"/>
            <w:sz w:val="24"/>
            <w:szCs w:val="24"/>
            <w:bdr w:val="none" w:sz="0" w:space="0" w:color="auto" w:frame="1"/>
            <w:lang w:val="en-US"/>
          </w:rPr>
          <w:t>Workers’ bargaining power, business cycle fluctuations, and the Phillips curve</w:t>
        </w:r>
      </w:hyperlink>
    </w:p>
    <w:p w:rsidR="00835296" w:rsidRPr="00416895" w:rsidRDefault="00835296" w:rsidP="00FA4DA9">
      <w:pPr>
        <w:spacing w:line="240" w:lineRule="auto"/>
        <w:ind w:left="600"/>
        <w:jc w:val="both"/>
        <w:textAlignment w:val="baseline"/>
        <w:rPr>
          <w:rFonts w:ascii="Times New Roman" w:hAnsi="Times New Roman" w:cs="Times New Roman"/>
          <w:sz w:val="24"/>
          <w:szCs w:val="24"/>
        </w:rPr>
      </w:pPr>
      <w:r w:rsidRPr="00416895">
        <w:rPr>
          <w:rFonts w:ascii="Times New Roman" w:hAnsi="Times New Roman" w:cs="Times New Roman"/>
          <w:sz w:val="24"/>
          <w:szCs w:val="24"/>
        </w:rPr>
        <w:t>Marco Lombardi, Marianna Riggi, Eliana Viviano</w:t>
      </w:r>
    </w:p>
    <w:p w:rsidR="00835296" w:rsidRPr="00416895" w:rsidRDefault="004C6999" w:rsidP="00FA4DA9">
      <w:pPr>
        <w:numPr>
          <w:ilvl w:val="0"/>
          <w:numId w:val="14"/>
        </w:numPr>
        <w:spacing w:after="0" w:line="240" w:lineRule="auto"/>
        <w:ind w:left="600"/>
        <w:jc w:val="both"/>
        <w:textAlignment w:val="baseline"/>
        <w:rPr>
          <w:rFonts w:ascii="Times New Roman" w:hAnsi="Times New Roman" w:cs="Times New Roman"/>
          <w:bCs/>
          <w:sz w:val="24"/>
          <w:szCs w:val="24"/>
          <w:lang w:val="en-US"/>
        </w:rPr>
      </w:pPr>
      <w:hyperlink r:id="rId308" w:history="1">
        <w:r w:rsidR="00835296" w:rsidRPr="00416895">
          <w:rPr>
            <w:rStyle w:val="Hipervnculo"/>
            <w:rFonts w:ascii="Times New Roman" w:hAnsi="Times New Roman" w:cs="Times New Roman"/>
            <w:bCs/>
            <w:color w:val="auto"/>
            <w:sz w:val="24"/>
            <w:szCs w:val="24"/>
            <w:bdr w:val="none" w:sz="0" w:space="0" w:color="auto" w:frame="1"/>
            <w:lang w:val="en-US"/>
          </w:rPr>
          <w:t>COVID-19 will raise inequality if past pandemics are a guide</w:t>
        </w:r>
      </w:hyperlink>
    </w:p>
    <w:p w:rsidR="00835296" w:rsidRPr="00416895" w:rsidRDefault="00835296" w:rsidP="00FA4DA9">
      <w:pPr>
        <w:spacing w:line="240" w:lineRule="auto"/>
        <w:ind w:left="600"/>
        <w:jc w:val="both"/>
        <w:textAlignment w:val="baseline"/>
        <w:rPr>
          <w:rFonts w:ascii="Times New Roman" w:hAnsi="Times New Roman" w:cs="Times New Roman"/>
          <w:sz w:val="24"/>
          <w:szCs w:val="24"/>
          <w:lang w:val="en-US"/>
        </w:rPr>
      </w:pPr>
      <w:r w:rsidRPr="00416895">
        <w:rPr>
          <w:rFonts w:ascii="Times New Roman" w:hAnsi="Times New Roman" w:cs="Times New Roman"/>
          <w:sz w:val="24"/>
          <w:szCs w:val="24"/>
          <w:lang w:val="en-US"/>
        </w:rPr>
        <w:t>Davide Furceri, Prakash Loungani, Jonathan D. Ostry, Pietro Pizzuto</w:t>
      </w:r>
    </w:p>
    <w:p w:rsidR="00835296" w:rsidRPr="00416895" w:rsidRDefault="00835296" w:rsidP="00FA4DA9">
      <w:pPr>
        <w:pStyle w:val="NormalWeb"/>
        <w:spacing w:before="240" w:beforeAutospacing="0" w:after="240" w:afterAutospacing="0"/>
        <w:jc w:val="both"/>
        <w:textAlignment w:val="baseline"/>
        <w:rPr>
          <w:lang w:val="en-US"/>
        </w:rPr>
      </w:pPr>
      <w:r w:rsidRPr="00416895">
        <w:rPr>
          <w:u w:val="single"/>
          <w:lang w:val="en-US"/>
        </w:rPr>
        <w:t>Whether the current pick-up in inflation in many advanced countries will be short-lived or forewarns a return to the high inflation of the 1970s is one of the major economic debates of the day</w:t>
      </w:r>
      <w:r w:rsidRPr="00416895">
        <w:rPr>
          <w:lang w:val="en-US"/>
        </w:rPr>
        <w:t>. For the US, Ball et al. (2021) argue that “if the fiscal expansion is temporary and monetary policy remains clearly communicated and decisive, there is little risk of a 1960s-</w:t>
      </w:r>
      <w:r w:rsidR="00416895">
        <w:rPr>
          <w:lang w:val="en-US"/>
        </w:rPr>
        <w:t>type inflationary spiral” -</w:t>
      </w:r>
      <w:r w:rsidRPr="00416895">
        <w:rPr>
          <w:lang w:val="en-US"/>
        </w:rPr>
        <w:t xml:space="preserve"> a view shared by Gagnon (2021), Krugman (2021), and Bernstein and Tadeschi (2021). Central bankers remain confident that they have successfully anchored inflation expectations to such an extent that recent increases will not lead to an inflationary spiral (Powell 2021). Recent BIS work (Budianto et al. 2021) argues that the pickup in inflation in many countries is due largely to temporary factors, while medium-term inflation is “moving towards central bank targets”.</w:t>
      </w:r>
    </w:p>
    <w:p w:rsidR="00835296" w:rsidRPr="00416895" w:rsidRDefault="00835296" w:rsidP="00FA4DA9">
      <w:pPr>
        <w:pStyle w:val="NormalWeb"/>
        <w:spacing w:before="240" w:beforeAutospacing="0" w:after="240" w:afterAutospacing="0"/>
        <w:jc w:val="both"/>
        <w:textAlignment w:val="baseline"/>
        <w:rPr>
          <w:lang w:val="en-US"/>
        </w:rPr>
      </w:pPr>
      <w:r w:rsidRPr="00416895">
        <w:rPr>
          <w:lang w:val="en-US"/>
        </w:rPr>
        <w:t>Other observers are less sanguine. For example, Blanchard (2021) and Summers (2021) argue that fiscal stimuli of the magnitude contemplated by the US administration carry substantial risks of raising inflationary expectations and triggering sustained inflation.  </w:t>
      </w:r>
    </w:p>
    <w:p w:rsidR="00835296" w:rsidRPr="00416895" w:rsidRDefault="00835296" w:rsidP="00FA4DA9">
      <w:pPr>
        <w:pStyle w:val="Ttulo2"/>
        <w:spacing w:before="60" w:line="240" w:lineRule="auto"/>
        <w:jc w:val="both"/>
        <w:textAlignment w:val="baseline"/>
        <w:rPr>
          <w:rFonts w:ascii="Times New Roman" w:hAnsi="Times New Roman" w:cs="Times New Roman"/>
          <w:b w:val="0"/>
          <w:color w:val="auto"/>
          <w:sz w:val="24"/>
          <w:szCs w:val="24"/>
          <w:lang w:val="en-US"/>
        </w:rPr>
      </w:pPr>
      <w:r w:rsidRPr="00416895">
        <w:rPr>
          <w:rFonts w:ascii="Times New Roman" w:hAnsi="Times New Roman" w:cs="Times New Roman"/>
          <w:b w:val="0"/>
          <w:color w:val="auto"/>
          <w:sz w:val="24"/>
          <w:szCs w:val="24"/>
          <w:lang w:val="en-US"/>
        </w:rPr>
        <w:t>Inflation and wage gaps</w:t>
      </w:r>
    </w:p>
    <w:p w:rsidR="00835296" w:rsidRPr="00416895" w:rsidRDefault="00835296" w:rsidP="00FA4DA9">
      <w:pPr>
        <w:pStyle w:val="NormalWeb"/>
        <w:spacing w:before="240" w:beforeAutospacing="0" w:after="240" w:afterAutospacing="0"/>
        <w:jc w:val="both"/>
        <w:textAlignment w:val="baseline"/>
        <w:rPr>
          <w:lang w:val="en-US"/>
        </w:rPr>
      </w:pPr>
      <w:r w:rsidRPr="00416895">
        <w:rPr>
          <w:lang w:val="en-US"/>
        </w:rPr>
        <w:t>Part of the uncertainty over the future of inflation arises because of instability in the Phillips curve – a key component of the intellectual scaffolding that economists use to analyse and forecast the course of inflation. Recent research (Voinea 2021) shows a stable relationship between inflation and the cumulative wage gap (the cumulative difference between current real wages and the last peak real wage prior to an episode of income loss). The ‘defensive expectations’ theory behind the relationship asserts that after an income loss, households will not spend more until they fully recover what they have lost. </w:t>
      </w:r>
    </w:p>
    <w:p w:rsidR="00835296" w:rsidRPr="00416895" w:rsidRDefault="00835296" w:rsidP="00FA4DA9">
      <w:pPr>
        <w:pStyle w:val="NormalWeb"/>
        <w:spacing w:before="240" w:beforeAutospacing="0" w:after="240" w:afterAutospacing="0"/>
        <w:jc w:val="both"/>
        <w:textAlignment w:val="baseline"/>
        <w:rPr>
          <w:lang w:val="en-US"/>
        </w:rPr>
      </w:pPr>
      <w:r w:rsidRPr="00416895">
        <w:rPr>
          <w:lang w:val="en-US"/>
        </w:rPr>
        <w:lastRenderedPageBreak/>
        <w:t>The theory is consistent with historical views. Duesenberry (1952) posited that consumption is dependent not just on the absolute level of income but on “current income relative to past income”; Akerlof (1982) argued that individuals’ perceptions of a fair wage were influenced by their wages in past periods; and Deaton (1991) and Carroll (1997) see savings behaviour as driven in part by a desire to maintain a target wealth-to-income ratio.</w:t>
      </w:r>
    </w:p>
    <w:p w:rsidR="00835296" w:rsidRDefault="00835296" w:rsidP="00FA4DA9">
      <w:pPr>
        <w:pStyle w:val="NormalWeb"/>
        <w:spacing w:before="240" w:beforeAutospacing="0" w:after="240" w:afterAutospacing="0"/>
        <w:jc w:val="both"/>
        <w:textAlignment w:val="baseline"/>
        <w:rPr>
          <w:lang w:val="en-US"/>
        </w:rPr>
      </w:pPr>
      <w:r w:rsidRPr="00416895">
        <w:rPr>
          <w:lang w:val="en-US"/>
        </w:rPr>
        <w:t>The implication of this more realistic view of household consumption and savings for aggregate demand (and thus for inflation) is that inflation will not rise above its long-run target level until the cumulative wage gap closes. A stylistic representation of the process is shown in Figure 1. Inflation falls below its long-run target level when the economy suffers an episode of income loss (e.g. during a recession or financial crisis) and remains there even as the economy starts to recover as long as real wages remain below their previous peak. It is only after the cumulative wage gap is closed that inflation rises above the long-run level. </w:t>
      </w:r>
    </w:p>
    <w:p w:rsidR="00E65A04" w:rsidRPr="00416895" w:rsidRDefault="00E65A04" w:rsidP="00FA4DA9">
      <w:pPr>
        <w:pStyle w:val="NormalWeb"/>
        <w:spacing w:before="240" w:beforeAutospacing="0" w:after="240" w:afterAutospacing="0"/>
        <w:jc w:val="both"/>
        <w:textAlignment w:val="baseline"/>
        <w:rPr>
          <w:lang w:val="en-US"/>
        </w:rPr>
      </w:pPr>
    </w:p>
    <w:p w:rsidR="00835296" w:rsidRPr="00416895" w:rsidRDefault="00835296" w:rsidP="00FA4DA9">
      <w:pPr>
        <w:pStyle w:val="NormalWeb"/>
        <w:spacing w:before="0" w:beforeAutospacing="0" w:after="0" w:afterAutospacing="0"/>
        <w:jc w:val="both"/>
        <w:textAlignment w:val="baseline"/>
        <w:rPr>
          <w:lang w:val="en-US"/>
        </w:rPr>
      </w:pPr>
      <w:r w:rsidRPr="00416895">
        <w:rPr>
          <w:rStyle w:val="Textoennegrita"/>
          <w:rFonts w:eastAsiaTheme="majorEastAsia"/>
          <w:bdr w:val="none" w:sz="0" w:space="0" w:color="auto" w:frame="1"/>
          <w:lang w:val="en-US"/>
        </w:rPr>
        <w:t>Figure 1</w:t>
      </w:r>
      <w:r w:rsidRPr="00416895">
        <w:rPr>
          <w:lang w:val="en-US"/>
        </w:rPr>
        <w:t> The cumulative wage gap Phillips curve</w:t>
      </w:r>
    </w:p>
    <w:p w:rsidR="00835296" w:rsidRPr="00416895" w:rsidRDefault="00835296" w:rsidP="00FA4DA9">
      <w:pPr>
        <w:pStyle w:val="NormalWeb"/>
        <w:spacing w:before="240" w:beforeAutospacing="0" w:after="240" w:afterAutospacing="0"/>
        <w:jc w:val="both"/>
        <w:textAlignment w:val="baseline"/>
        <w:rPr>
          <w:lang w:val="en-US"/>
        </w:rPr>
      </w:pPr>
      <w:r w:rsidRPr="00416895">
        <w:rPr>
          <w:noProof/>
        </w:rPr>
        <w:drawing>
          <wp:inline distT="0" distB="0" distL="0" distR="0" wp14:anchorId="65BB8B9D" wp14:editId="66E7E052">
            <wp:extent cx="5162550" cy="2597150"/>
            <wp:effectExtent l="0" t="0" r="0" b="0"/>
            <wp:docPr id="95" name="Imagen 95" descr="https://voxeu.org/sites/default/files/image/FromMay2014/loungani16aug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voxeu.org/sites/default/files/image/FromMay2014/loungani16augfig1.png"/>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5162550" cy="2597150"/>
                    </a:xfrm>
                    <a:prstGeom prst="rect">
                      <a:avLst/>
                    </a:prstGeom>
                    <a:noFill/>
                    <a:ln>
                      <a:noFill/>
                    </a:ln>
                  </pic:spPr>
                </pic:pic>
              </a:graphicData>
            </a:graphic>
          </wp:inline>
        </w:drawing>
      </w:r>
      <w:r w:rsidRPr="00416895">
        <w:rPr>
          <w:lang w:val="en-US"/>
        </w:rPr>
        <w:t>                      </w:t>
      </w:r>
      <w:r w:rsidRPr="00416895">
        <w:rPr>
          <w:rStyle w:val="nfasis"/>
          <w:bdr w:val="none" w:sz="0" w:space="0" w:color="auto" w:frame="1"/>
          <w:lang w:val="en-US"/>
        </w:rPr>
        <w:t>Source</w:t>
      </w:r>
      <w:r w:rsidRPr="00416895">
        <w:rPr>
          <w:bdr w:val="none" w:sz="0" w:space="0" w:color="auto" w:frame="1"/>
          <w:lang w:val="en-US"/>
        </w:rPr>
        <w:t>: Voinea (2021)</w:t>
      </w:r>
    </w:p>
    <w:p w:rsidR="00E65A04" w:rsidRDefault="00E65A04" w:rsidP="00FA4DA9">
      <w:pPr>
        <w:pStyle w:val="NormalWeb"/>
        <w:spacing w:before="240" w:beforeAutospacing="0" w:after="240" w:afterAutospacing="0"/>
        <w:jc w:val="both"/>
        <w:textAlignment w:val="baseline"/>
        <w:rPr>
          <w:lang w:val="en-US"/>
        </w:rPr>
      </w:pPr>
    </w:p>
    <w:p w:rsidR="00835296" w:rsidRDefault="00835296" w:rsidP="00FA4DA9">
      <w:pPr>
        <w:pStyle w:val="NormalWeb"/>
        <w:spacing w:before="240" w:beforeAutospacing="0" w:after="240" w:afterAutospacing="0"/>
        <w:jc w:val="both"/>
        <w:textAlignment w:val="baseline"/>
        <w:rPr>
          <w:lang w:val="en-US"/>
        </w:rPr>
      </w:pPr>
      <w:r w:rsidRPr="00416895">
        <w:rPr>
          <w:lang w:val="en-US"/>
        </w:rPr>
        <w:t>Empirical support for the theory (the counterpart to the fitted curve shown in Figure 1) comes from data for 35 OECD countries over the last three decades. Using panel estimation, with country fixed effects included in the regressions, there is a stable relationship between the inflation gap (the difference between inflation and either the central bank target or a long-run average) and the cumulative wage gap. This is shown in first two rows of Table 1, which reports estimates of the Phillips Curve slope using two alternate wage indicators.</w:t>
      </w:r>
    </w:p>
    <w:p w:rsidR="00E65A04" w:rsidRDefault="00E65A04" w:rsidP="00FA4DA9">
      <w:pPr>
        <w:pStyle w:val="NormalWeb"/>
        <w:spacing w:before="240" w:beforeAutospacing="0" w:after="240" w:afterAutospacing="0"/>
        <w:jc w:val="both"/>
        <w:textAlignment w:val="baseline"/>
        <w:rPr>
          <w:lang w:val="en-US"/>
        </w:rPr>
      </w:pPr>
    </w:p>
    <w:p w:rsidR="00E65A04" w:rsidRDefault="00E65A04" w:rsidP="00FA4DA9">
      <w:pPr>
        <w:pStyle w:val="NormalWeb"/>
        <w:spacing w:before="240" w:beforeAutospacing="0" w:after="240" w:afterAutospacing="0"/>
        <w:jc w:val="both"/>
        <w:textAlignment w:val="baseline"/>
        <w:rPr>
          <w:lang w:val="en-US"/>
        </w:rPr>
      </w:pPr>
    </w:p>
    <w:p w:rsidR="00E65A04" w:rsidRDefault="00E65A04" w:rsidP="00FA4DA9">
      <w:pPr>
        <w:pStyle w:val="NormalWeb"/>
        <w:spacing w:before="240" w:beforeAutospacing="0" w:after="240" w:afterAutospacing="0"/>
        <w:jc w:val="both"/>
        <w:textAlignment w:val="baseline"/>
        <w:rPr>
          <w:lang w:val="en-US"/>
        </w:rPr>
      </w:pPr>
    </w:p>
    <w:p w:rsidR="00E65A04" w:rsidRPr="00416895" w:rsidRDefault="00E65A04" w:rsidP="00FA4DA9">
      <w:pPr>
        <w:pStyle w:val="NormalWeb"/>
        <w:spacing w:before="240" w:beforeAutospacing="0" w:after="240" w:afterAutospacing="0"/>
        <w:jc w:val="both"/>
        <w:textAlignment w:val="baseline"/>
        <w:rPr>
          <w:lang w:val="en-US"/>
        </w:rPr>
      </w:pPr>
    </w:p>
    <w:p w:rsidR="00835296" w:rsidRPr="00416895" w:rsidRDefault="00835296" w:rsidP="00FA4DA9">
      <w:pPr>
        <w:pStyle w:val="NormalWeb"/>
        <w:spacing w:before="0" w:beforeAutospacing="0" w:after="0" w:afterAutospacing="0"/>
        <w:jc w:val="both"/>
        <w:textAlignment w:val="baseline"/>
        <w:rPr>
          <w:lang w:val="en-US"/>
        </w:rPr>
      </w:pPr>
      <w:r w:rsidRPr="00416895">
        <w:rPr>
          <w:rStyle w:val="Textoennegrita"/>
          <w:rFonts w:eastAsiaTheme="majorEastAsia"/>
          <w:bdr w:val="none" w:sz="0" w:space="0" w:color="auto" w:frame="1"/>
          <w:lang w:val="en-US"/>
        </w:rPr>
        <w:lastRenderedPageBreak/>
        <w:t>Table 1</w:t>
      </w:r>
      <w:r w:rsidRPr="00416895">
        <w:rPr>
          <w:lang w:val="en-US"/>
        </w:rPr>
        <w:t> Phillips curve estimates for 35 OECD countries, 1990-2018</w:t>
      </w:r>
    </w:p>
    <w:p w:rsidR="00F95839" w:rsidRDefault="00835296" w:rsidP="00F95839">
      <w:pPr>
        <w:pStyle w:val="NormalWeb"/>
        <w:spacing w:before="240" w:beforeAutospacing="0" w:after="240" w:afterAutospacing="0"/>
        <w:jc w:val="both"/>
        <w:textAlignment w:val="baseline"/>
        <w:rPr>
          <w:lang w:val="en-US"/>
        </w:rPr>
      </w:pPr>
      <w:r w:rsidRPr="00416895">
        <w:rPr>
          <w:noProof/>
        </w:rPr>
        <w:drawing>
          <wp:inline distT="0" distB="0" distL="0" distR="0" wp14:anchorId="63860192" wp14:editId="26F739E6">
            <wp:extent cx="5848350" cy="2984500"/>
            <wp:effectExtent l="0" t="0" r="0" b="6350"/>
            <wp:docPr id="144" name="Imagen 144" descr="https://voxeu.org/sites/default/files/image/FromMay2014/loungani16augtabl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voxeu.org/sites/default/files/image/FromMay2014/loungani16augtable1.png"/>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5848350" cy="2984500"/>
                    </a:xfrm>
                    <a:prstGeom prst="rect">
                      <a:avLst/>
                    </a:prstGeom>
                    <a:noFill/>
                    <a:ln>
                      <a:noFill/>
                    </a:ln>
                  </pic:spPr>
                </pic:pic>
              </a:graphicData>
            </a:graphic>
          </wp:inline>
        </w:drawing>
      </w:r>
      <w:r w:rsidRPr="00416895">
        <w:rPr>
          <w:rStyle w:val="nfasis"/>
          <w:bdr w:val="none" w:sz="0" w:space="0" w:color="auto" w:frame="1"/>
          <w:lang w:val="en-US"/>
        </w:rPr>
        <w:t>Source</w:t>
      </w:r>
      <w:r w:rsidRPr="00416895">
        <w:rPr>
          <w:bdr w:val="none" w:sz="0" w:space="0" w:color="auto" w:frame="1"/>
          <w:lang w:val="en-US"/>
        </w:rPr>
        <w:t>: Voinea (2021).</w:t>
      </w:r>
    </w:p>
    <w:p w:rsidR="00835296" w:rsidRPr="00416895" w:rsidRDefault="00835296" w:rsidP="00F95839">
      <w:pPr>
        <w:pStyle w:val="NormalWeb"/>
        <w:spacing w:before="240" w:beforeAutospacing="0" w:after="240" w:afterAutospacing="0"/>
        <w:jc w:val="both"/>
        <w:textAlignment w:val="baseline"/>
        <w:rPr>
          <w:lang w:val="en-US"/>
        </w:rPr>
      </w:pPr>
      <w:r w:rsidRPr="00416895">
        <w:rPr>
          <w:rStyle w:val="nfasis"/>
          <w:bdr w:val="none" w:sz="0" w:space="0" w:color="auto" w:frame="1"/>
          <w:lang w:val="en-US"/>
        </w:rPr>
        <w:t>Note</w:t>
      </w:r>
      <w:r w:rsidRPr="00416895">
        <w:rPr>
          <w:bdr w:val="none" w:sz="0" w:space="0" w:color="auto" w:frame="1"/>
          <w:lang w:val="en-US"/>
        </w:rPr>
        <w:t>: The dependent variable is inflation relative to central bank target or past long-run average.</w:t>
      </w:r>
    </w:p>
    <w:p w:rsidR="00835296" w:rsidRPr="00416895" w:rsidRDefault="00835296" w:rsidP="00FA4DA9">
      <w:pPr>
        <w:pStyle w:val="NormalWeb"/>
        <w:spacing w:before="240" w:beforeAutospacing="0" w:after="240" w:afterAutospacing="0"/>
        <w:jc w:val="both"/>
        <w:textAlignment w:val="baseline"/>
        <w:rPr>
          <w:u w:val="single"/>
          <w:lang w:val="en-US"/>
        </w:rPr>
      </w:pPr>
      <w:r w:rsidRPr="00416895">
        <w:rPr>
          <w:lang w:val="en-US"/>
        </w:rPr>
        <w:t xml:space="preserve">The remainder of the table reports estimates of the slope distinguishing between periods when the cumulative wage gap is negative and when it is positive. </w:t>
      </w:r>
      <w:r w:rsidRPr="00416895">
        <w:rPr>
          <w:u w:val="single"/>
          <w:lang w:val="en-US"/>
        </w:rPr>
        <w:t>The conjecture based on the theory developed above would be that the cumulative wage gap plays a more important role</w:t>
      </w:r>
      <w:r w:rsidR="00E5717E">
        <w:rPr>
          <w:u w:val="single"/>
          <w:lang w:val="en-US"/>
        </w:rPr>
        <w:t xml:space="preserve"> when it takes negative values -</w:t>
      </w:r>
      <w:r w:rsidRPr="00416895">
        <w:rPr>
          <w:u w:val="single"/>
          <w:lang w:val="en-US"/>
        </w:rPr>
        <w:t xml:space="preserve"> because people try to make compensatory savings to regain previous wage levels, therefore deterring aggregate demand. There is support for this conjecture when real compensation is used as the wage indicator (the slope is twice as large for negative gaps as for positive) and less so when only the wage component of compensation is used. </w:t>
      </w:r>
    </w:p>
    <w:p w:rsidR="00835296" w:rsidRPr="00E5717E" w:rsidRDefault="00835296" w:rsidP="00FA4DA9">
      <w:pPr>
        <w:pStyle w:val="Ttulo2"/>
        <w:spacing w:before="60" w:line="240" w:lineRule="auto"/>
        <w:jc w:val="both"/>
        <w:textAlignment w:val="baseline"/>
        <w:rPr>
          <w:rFonts w:ascii="Times New Roman" w:hAnsi="Times New Roman" w:cs="Times New Roman"/>
          <w:b w:val="0"/>
          <w:color w:val="auto"/>
          <w:sz w:val="24"/>
          <w:szCs w:val="24"/>
          <w:lang w:val="en-US"/>
        </w:rPr>
      </w:pPr>
      <w:r w:rsidRPr="00E5717E">
        <w:rPr>
          <w:rFonts w:ascii="Times New Roman" w:hAnsi="Times New Roman" w:cs="Times New Roman"/>
          <w:b w:val="0"/>
          <w:color w:val="auto"/>
          <w:sz w:val="24"/>
          <w:szCs w:val="24"/>
          <w:lang w:val="en-US"/>
        </w:rPr>
        <w:t>Inflation and COVID-19</w:t>
      </w:r>
    </w:p>
    <w:p w:rsidR="00835296" w:rsidRPr="00416895" w:rsidRDefault="00835296" w:rsidP="00FA4DA9">
      <w:pPr>
        <w:pStyle w:val="NormalWeb"/>
        <w:spacing w:before="240" w:beforeAutospacing="0" w:after="240" w:afterAutospacing="0"/>
        <w:jc w:val="both"/>
        <w:textAlignment w:val="baseline"/>
        <w:rPr>
          <w:lang w:val="en-US"/>
        </w:rPr>
      </w:pPr>
      <w:r w:rsidRPr="00416895">
        <w:rPr>
          <w:lang w:val="en-US"/>
        </w:rPr>
        <w:t>What does this evidence imply about the course of inflation in OECD economies in coming years? Taking the US as an example, prior to the pandemic, peak wage and disposable income levels were recorded in February 2020. Since then, until April 2021, the cumulative wage gap has been negative, which would suggest that inflationary pressures should have remained dampened. But the substantial (and appropriate) fiscal support to households provided by governments means that there have been substantial one-off increases in disposable income. For instance, one in seven adults in the US received unemployment benefits in 2020 compared to only one in fifty in 2019. The scale and duration of support was also more generous than during many past recessions. US households also received other cash transfers and indirect support through steps such as suspension of eviction for non-payment of rent. </w:t>
      </w:r>
    </w:p>
    <w:p w:rsidR="00835296" w:rsidRPr="00416895" w:rsidRDefault="00835296" w:rsidP="00FA4DA9">
      <w:pPr>
        <w:pStyle w:val="NormalWeb"/>
        <w:spacing w:before="240" w:beforeAutospacing="0" w:after="240" w:afterAutospacing="0"/>
        <w:jc w:val="both"/>
        <w:textAlignment w:val="baseline"/>
        <w:rPr>
          <w:lang w:val="en-US"/>
        </w:rPr>
      </w:pPr>
      <w:r w:rsidRPr="00416895">
        <w:rPr>
          <w:lang w:val="en-US"/>
        </w:rPr>
        <w:t>Though it is difficult to estimate relationships precisely over the short period since the start of the pandemic, our estimates with monthly data suggest that this sharp one-off increase in disposable income is feeding an increase in inflation, even though wages remain clearly below their previous peak. The relationship is depicted in figure 2. </w:t>
      </w:r>
    </w:p>
    <w:p w:rsidR="00835296" w:rsidRPr="00416895" w:rsidRDefault="00835296" w:rsidP="00FA4DA9">
      <w:pPr>
        <w:pStyle w:val="NormalWeb"/>
        <w:spacing w:before="0" w:beforeAutospacing="0" w:after="0" w:afterAutospacing="0"/>
        <w:jc w:val="both"/>
        <w:textAlignment w:val="baseline"/>
        <w:rPr>
          <w:lang w:val="en-US"/>
        </w:rPr>
      </w:pPr>
      <w:r w:rsidRPr="00416895">
        <w:rPr>
          <w:rStyle w:val="Textoennegrita"/>
          <w:rFonts w:eastAsiaTheme="majorEastAsia"/>
          <w:bdr w:val="none" w:sz="0" w:space="0" w:color="auto" w:frame="1"/>
          <w:lang w:val="en-US"/>
        </w:rPr>
        <w:lastRenderedPageBreak/>
        <w:t>Figure 2 </w:t>
      </w:r>
      <w:r w:rsidRPr="00416895">
        <w:rPr>
          <w:lang w:val="en-US"/>
        </w:rPr>
        <w:t>Relationship between inflation, income and wages in the US, February 2020 to April 2021</w:t>
      </w:r>
    </w:p>
    <w:p w:rsidR="00835296" w:rsidRDefault="00835296" w:rsidP="00FA4DA9">
      <w:pPr>
        <w:pStyle w:val="NormalWeb"/>
        <w:spacing w:before="240" w:beforeAutospacing="0" w:after="240" w:afterAutospacing="0"/>
        <w:jc w:val="both"/>
        <w:textAlignment w:val="baseline"/>
      </w:pPr>
      <w:r w:rsidRPr="00416895">
        <w:rPr>
          <w:noProof/>
        </w:rPr>
        <w:drawing>
          <wp:inline distT="0" distB="0" distL="0" distR="0" wp14:anchorId="19057C32" wp14:editId="027A40CA">
            <wp:extent cx="4756150" cy="2495550"/>
            <wp:effectExtent l="0" t="0" r="6350" b="0"/>
            <wp:docPr id="218" name="Imagen 218" descr="https://voxeu.org/sites/default/files/image/FromMay2014/loungani16aug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voxeu.org/sites/default/files/image/FromMay2014/loungani16augfig2.png"/>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4756150" cy="2495550"/>
                    </a:xfrm>
                    <a:prstGeom prst="rect">
                      <a:avLst/>
                    </a:prstGeom>
                    <a:noFill/>
                    <a:ln>
                      <a:noFill/>
                    </a:ln>
                  </pic:spPr>
                </pic:pic>
              </a:graphicData>
            </a:graphic>
          </wp:inline>
        </w:drawing>
      </w:r>
    </w:p>
    <w:p w:rsidR="00C16E76" w:rsidRPr="00416895" w:rsidRDefault="00C16E76" w:rsidP="00FA4DA9">
      <w:pPr>
        <w:pStyle w:val="NormalWeb"/>
        <w:spacing w:before="0" w:beforeAutospacing="0" w:after="0" w:afterAutospacing="0"/>
        <w:jc w:val="both"/>
        <w:textAlignment w:val="baseline"/>
        <w:rPr>
          <w:lang w:val="en-US"/>
        </w:rPr>
      </w:pPr>
      <w:r w:rsidRPr="00416895">
        <w:rPr>
          <w:rStyle w:val="nfasis"/>
          <w:bdr w:val="none" w:sz="0" w:space="0" w:color="auto" w:frame="1"/>
          <w:lang w:val="en-US"/>
        </w:rPr>
        <w:t>Source</w:t>
      </w:r>
      <w:r w:rsidRPr="00416895">
        <w:rPr>
          <w:bdr w:val="none" w:sz="0" w:space="0" w:color="auto" w:frame="1"/>
          <w:lang w:val="en-US"/>
        </w:rPr>
        <w:t>: Authors, based on FRED database</w:t>
      </w:r>
    </w:p>
    <w:p w:rsidR="00F95839" w:rsidRDefault="00F95839" w:rsidP="00FA4DA9">
      <w:pPr>
        <w:pStyle w:val="NormalWeb"/>
        <w:spacing w:before="0" w:beforeAutospacing="0" w:after="0" w:afterAutospacing="0"/>
        <w:jc w:val="both"/>
        <w:textAlignment w:val="baseline"/>
        <w:rPr>
          <w:rStyle w:val="nfasis"/>
          <w:bdr w:val="none" w:sz="0" w:space="0" w:color="auto" w:frame="1"/>
          <w:lang w:val="en-US"/>
        </w:rPr>
      </w:pPr>
    </w:p>
    <w:p w:rsidR="00835296" w:rsidRPr="00416895" w:rsidRDefault="00835296" w:rsidP="00FA4DA9">
      <w:pPr>
        <w:pStyle w:val="NormalWeb"/>
        <w:spacing w:before="0" w:beforeAutospacing="0" w:after="0" w:afterAutospacing="0"/>
        <w:jc w:val="both"/>
        <w:textAlignment w:val="baseline"/>
        <w:rPr>
          <w:bdr w:val="none" w:sz="0" w:space="0" w:color="auto" w:frame="1"/>
          <w:lang w:val="en-US"/>
        </w:rPr>
      </w:pPr>
      <w:r w:rsidRPr="00416895">
        <w:rPr>
          <w:rStyle w:val="nfasis"/>
          <w:bdr w:val="none" w:sz="0" w:space="0" w:color="auto" w:frame="1"/>
          <w:lang w:val="en-US"/>
        </w:rPr>
        <w:t>Note</w:t>
      </w:r>
      <w:r w:rsidRPr="00416895">
        <w:rPr>
          <w:bdr w:val="none" w:sz="0" w:space="0" w:color="auto" w:frame="1"/>
          <w:lang w:val="en-US"/>
        </w:rPr>
        <w:t>: Annualized, seasonally adjusted data. Net disposable income represents disposable income net of income on assets.</w:t>
      </w:r>
    </w:p>
    <w:p w:rsidR="00835296" w:rsidRPr="00416895" w:rsidRDefault="00835296" w:rsidP="00FA4DA9">
      <w:pPr>
        <w:pStyle w:val="NormalWeb"/>
        <w:spacing w:before="240" w:beforeAutospacing="0" w:after="240" w:afterAutospacing="0"/>
        <w:jc w:val="both"/>
        <w:textAlignment w:val="baseline"/>
        <w:rPr>
          <w:lang w:val="en-US"/>
        </w:rPr>
      </w:pPr>
      <w:r w:rsidRPr="00416895">
        <w:rPr>
          <w:lang w:val="en-US"/>
        </w:rPr>
        <w:t>In many other OECD countries, which have provided less fiscal support than the US government (in part because they have mechanisms in place to better shield workers from sharp wage cuts during recessions), inflation pressures seem to be more contained. </w:t>
      </w:r>
    </w:p>
    <w:p w:rsidR="00835296" w:rsidRPr="00416895" w:rsidRDefault="00835296" w:rsidP="00FA4DA9">
      <w:pPr>
        <w:pStyle w:val="NormalWeb"/>
        <w:spacing w:before="240" w:beforeAutospacing="0" w:after="240" w:afterAutospacing="0"/>
        <w:jc w:val="both"/>
        <w:textAlignment w:val="baseline"/>
        <w:rPr>
          <w:lang w:val="en-US"/>
        </w:rPr>
      </w:pPr>
      <w:r w:rsidRPr="00416895">
        <w:rPr>
          <w:lang w:val="en-US"/>
        </w:rPr>
        <w:t>As income support provided during the pandemic starts to be scaled back, and supply bottlenecks are overcome, we would expect that the strong relationship between inflation and cumulative wage gaps would once again reassert itself. In most OECD countries, the cumulative wage gap is negative and far from closing, suggesting that current inflationary pressures would recede. </w:t>
      </w:r>
    </w:p>
    <w:p w:rsidR="00835296" w:rsidRPr="00416895" w:rsidRDefault="00835296" w:rsidP="00FA4DA9">
      <w:pPr>
        <w:pStyle w:val="NormalWeb"/>
        <w:spacing w:before="240" w:beforeAutospacing="0" w:after="240" w:afterAutospacing="0"/>
        <w:jc w:val="both"/>
        <w:textAlignment w:val="baseline"/>
        <w:rPr>
          <w:lang w:val="en-US"/>
        </w:rPr>
      </w:pPr>
      <w:r w:rsidRPr="00416895">
        <w:rPr>
          <w:lang w:val="en-US"/>
        </w:rPr>
        <w:t>The rate at which cumulative wage gaps close in turn depends on a number of factors, notably on workers’ bargaining power, which has eroded over time in many OECD economies (Lombardi et al. 2020). In the early months of the pandemic, it seemed that appreciation of the heroic role played by essential workers (such as health care workers and grocery store cashiers) would lead to a change in norms and consequent improvement in bargaining power and wages. But recent evidence suggests that, like previous major epidemics, Covid-19 will have a disproportionately adverse impact on wage prospects of those in low-income deciles and low educational attainment (Furceri et al. 2020). As Budianto et al. (2021) argue, without a “material pickup” in wage costs, there is unlikely to be a more persistent increase in inflation. </w:t>
      </w:r>
    </w:p>
    <w:p w:rsidR="00835296" w:rsidRDefault="00835296" w:rsidP="00FA4DA9">
      <w:pPr>
        <w:pStyle w:val="NormalWeb"/>
        <w:spacing w:before="0" w:beforeAutospacing="0" w:after="0" w:afterAutospacing="0"/>
        <w:jc w:val="both"/>
        <w:textAlignment w:val="baseline"/>
        <w:rPr>
          <w:rStyle w:val="nfasis"/>
          <w:bdr w:val="none" w:sz="0" w:space="0" w:color="auto" w:frame="1"/>
        </w:rPr>
      </w:pPr>
      <w:r w:rsidRPr="00416895">
        <w:rPr>
          <w:rStyle w:val="nfasis"/>
          <w:bdr w:val="none" w:sz="0" w:space="0" w:color="auto" w:frame="1"/>
          <w:lang w:val="en-US"/>
        </w:rPr>
        <w:t xml:space="preserve">Authors’ note: The views expressed in this column are the sole responsibility of the authors and should not be attributed to the International Monetary Fund, its Executive Board, or its management. </w:t>
      </w:r>
      <w:r w:rsidRPr="005B490A">
        <w:rPr>
          <w:rStyle w:val="nfasis"/>
          <w:bdr w:val="none" w:sz="0" w:space="0" w:color="auto" w:frame="1"/>
        </w:rPr>
        <w:t>Horatiu Lovin provided excellent research assistance.</w:t>
      </w:r>
    </w:p>
    <w:p w:rsidR="00A848E5" w:rsidRDefault="00A848E5" w:rsidP="00FA4DA9">
      <w:pPr>
        <w:pStyle w:val="NormalWeb"/>
        <w:spacing w:before="0" w:beforeAutospacing="0" w:after="0" w:afterAutospacing="0"/>
        <w:jc w:val="both"/>
        <w:textAlignment w:val="baseline"/>
        <w:rPr>
          <w:rStyle w:val="nfasis"/>
          <w:bdr w:val="none" w:sz="0" w:space="0" w:color="auto" w:frame="1"/>
        </w:rPr>
      </w:pPr>
    </w:p>
    <w:p w:rsidR="00A848E5" w:rsidRPr="005B490A" w:rsidRDefault="00A848E5" w:rsidP="00FA4DA9">
      <w:pPr>
        <w:pStyle w:val="NormalWeb"/>
        <w:spacing w:before="0" w:beforeAutospacing="0" w:after="0" w:afterAutospacing="0"/>
        <w:jc w:val="both"/>
        <w:textAlignment w:val="baseline"/>
        <w:rPr>
          <w:rStyle w:val="nfasis"/>
          <w:bdr w:val="none" w:sz="0" w:space="0" w:color="auto" w:frame="1"/>
        </w:rPr>
      </w:pPr>
    </w:p>
    <w:p w:rsidR="00835296" w:rsidRDefault="00835296" w:rsidP="00FA4DA9">
      <w:pPr>
        <w:pStyle w:val="NormalWeb"/>
        <w:shd w:val="clear" w:color="auto" w:fill="FFFFFF"/>
        <w:jc w:val="both"/>
      </w:pPr>
      <w:r>
        <w:lastRenderedPageBreak/>
        <w:t xml:space="preserve">- </w:t>
      </w:r>
      <w:r w:rsidRPr="00DB5438">
        <w:rPr>
          <w:u w:val="single"/>
        </w:rPr>
        <w:t>Las razones del BCE para no hacer nada pese a la creciente amenaza de la inflación en Europa</w:t>
      </w:r>
      <w:r>
        <w:t xml:space="preserve"> (El Economista - </w:t>
      </w:r>
      <w:r w:rsidRPr="00DB5438">
        <w:rPr>
          <w:b/>
        </w:rPr>
        <w:t>1/9/21</w:t>
      </w:r>
      <w:r>
        <w:t>)</w:t>
      </w:r>
    </w:p>
    <w:p w:rsidR="00835296" w:rsidRDefault="00835296" w:rsidP="00FA4DA9">
      <w:pPr>
        <w:pStyle w:val="NormalWeb"/>
        <w:shd w:val="clear" w:color="auto" w:fill="FFFFFF"/>
        <w:jc w:val="both"/>
      </w:pPr>
      <w:r>
        <w:t>(Por Vicente Nieves)</w:t>
      </w:r>
    </w:p>
    <w:p w:rsidR="00835296" w:rsidRPr="00E5717E" w:rsidRDefault="00835296" w:rsidP="00FA4DA9">
      <w:pPr>
        <w:pStyle w:val="NormalWeb"/>
        <w:shd w:val="clear" w:color="auto" w:fill="FFFFFF"/>
        <w:jc w:val="both"/>
        <w:rPr>
          <w:b/>
          <w:color w:val="FF0000"/>
          <w:u w:val="single"/>
        </w:rPr>
      </w:pPr>
      <w:r w:rsidRPr="00E5717E">
        <w:rPr>
          <w:b/>
          <w:color w:val="FF0000"/>
          <w:u w:val="single"/>
        </w:rPr>
        <w:t>La división en el seno del Banco Central Europeo empieza a ser preocupante. Tras el sorprendente dato de inflación en agosto (el más alto desde 2011), el fuego cr</w:t>
      </w:r>
      <w:r w:rsidR="00E5717E" w:rsidRPr="00E5717E">
        <w:rPr>
          <w:b/>
          <w:color w:val="FF0000"/>
          <w:u w:val="single"/>
        </w:rPr>
        <w:t>uzado se ha intensificado. Los “halcones”</w:t>
      </w:r>
      <w:r w:rsidRPr="00E5717E">
        <w:rPr>
          <w:b/>
          <w:color w:val="FF0000"/>
          <w:u w:val="single"/>
        </w:rPr>
        <w:t xml:space="preserve"> (defienden una política monetaria más restrictivas) afilan sus garras y piden cierta normalización monetaria aprovechando que la inflación resurge y las condiciones financiera</w:t>
      </w:r>
      <w:r w:rsidR="00E5717E" w:rsidRPr="00E5717E">
        <w:rPr>
          <w:b/>
          <w:color w:val="FF0000"/>
          <w:u w:val="single"/>
        </w:rPr>
        <w:t>s son buenas. Sin embargo, las “palomas”</w:t>
      </w:r>
      <w:r w:rsidRPr="00E5717E">
        <w:rPr>
          <w:b/>
          <w:color w:val="FF0000"/>
          <w:u w:val="single"/>
        </w:rPr>
        <w:t xml:space="preserve"> (apuestan por una política monetaria más acomodaticia) creen la inflación es transitoria y los riesgos a la baja para la economía siguen siendo elevados.</w:t>
      </w:r>
    </w:p>
    <w:p w:rsidR="00835296" w:rsidRDefault="00835296" w:rsidP="00FA4DA9">
      <w:pPr>
        <w:pStyle w:val="NormalWeb"/>
        <w:shd w:val="clear" w:color="auto" w:fill="FFFFFF"/>
        <w:jc w:val="both"/>
      </w:pPr>
      <w:r>
        <w:t>De este modo, el debate está servido para la reunión de política monetaria que tendrá lugar la próxima semana en Frankfurt. Ambos bandos tienen razones para defender su postura, y aunque la reciente subida de la inflación parece dar má</w:t>
      </w:r>
      <w:r w:rsidR="00E5717E">
        <w:t>s peso a los argumentos de los “halcones”</w:t>
      </w:r>
      <w:r>
        <w:t xml:space="preserve"> (mayormente concentrados en los países del centro y norte de Europa), lo cierto es que el BCE no moverá ficha en la reunión del jueves que viene casi con toda probabilidad. </w:t>
      </w:r>
    </w:p>
    <w:p w:rsidR="00835296" w:rsidRDefault="00E5717E" w:rsidP="00FA4DA9">
      <w:pPr>
        <w:pStyle w:val="NormalWeb"/>
        <w:shd w:val="clear" w:color="auto" w:fill="FFFFFF"/>
        <w:jc w:val="both"/>
        <w:rPr>
          <w:color w:val="FF0000"/>
          <w:u w:val="single"/>
        </w:rPr>
      </w:pPr>
      <w:r>
        <w:t>Las “palomas”</w:t>
      </w:r>
      <w:r w:rsidR="00835296">
        <w:t xml:space="preserve"> también cuentan con argumentos sólidos y, sobre todo, con la ayuda de la corta historia del BCE. </w:t>
      </w:r>
      <w:r w:rsidR="00835296" w:rsidRPr="00E5717E">
        <w:rPr>
          <w:color w:val="FF0000"/>
          <w:u w:val="single"/>
        </w:rPr>
        <w:t xml:space="preserve">El miedo a repetir un error similar al </w:t>
      </w:r>
      <w:r w:rsidRPr="00E5717E">
        <w:rPr>
          <w:color w:val="FF0000"/>
          <w:u w:val="single"/>
        </w:rPr>
        <w:t>de 2011 juega en contra de los “halcones”</w:t>
      </w:r>
      <w:r w:rsidR="00835296" w:rsidRPr="00E5717E">
        <w:rPr>
          <w:color w:val="FF0000"/>
          <w:u w:val="single"/>
        </w:rPr>
        <w:t>. De modo que como mucho se anunciará una desaceleración (no modificación del paquete) en el ritmo de compra de bonos, algo que entra dentro de la hoja de ruta del banco central.</w:t>
      </w:r>
    </w:p>
    <w:p w:rsidR="00C16E76" w:rsidRPr="00E65A04" w:rsidRDefault="00C16E76" w:rsidP="00FA4DA9">
      <w:pPr>
        <w:pStyle w:val="NormalWeb"/>
        <w:shd w:val="clear" w:color="auto" w:fill="FFFFFF"/>
        <w:jc w:val="both"/>
        <w:rPr>
          <w:b/>
          <w:color w:val="FF0000"/>
          <w:u w:val="single"/>
        </w:rPr>
      </w:pPr>
      <w:r w:rsidRPr="00E5717E">
        <w:rPr>
          <w:b/>
          <w:color w:val="FF0000"/>
          <w:u w:val="single"/>
        </w:rPr>
        <w:t>El dato de inflación de agosto (un 3% en tasa interanual) ha sido el más elevado desde 2011. Justo fue ese año cuando el Banco Central Europeo, presidido entonces por el francés Jean-Claude Trichet, anunció dos subidas de tipos de interés (25 puntos básicos cada una) para intentar aplacar una inflación, que finalmente demostró ser transitoria y causada por factores externos. Esas alzas del precio del dinero serán recordadas como la chispa que prendió la crisis de deuda soberana o que, al menos, avivó ese estrés financiero que estuvo a punto de suponer el fin del eur</w:t>
      </w:r>
      <w:r w:rsidR="00E65A04">
        <w:rPr>
          <w:b/>
          <w:color w:val="FF0000"/>
          <w:u w:val="single"/>
        </w:rPr>
        <w:t>o.</w:t>
      </w:r>
    </w:p>
    <w:p w:rsidR="00E5717E" w:rsidRDefault="00835296" w:rsidP="00FA4DA9">
      <w:pPr>
        <w:pStyle w:val="NormalWeb"/>
        <w:shd w:val="clear" w:color="auto" w:fill="FFFFFF"/>
        <w:jc w:val="both"/>
        <w:rPr>
          <w:color w:val="FF0000"/>
          <w:u w:val="single"/>
        </w:rPr>
      </w:pPr>
      <w:r w:rsidRPr="00DB5438">
        <w:rPr>
          <w:noProof/>
        </w:rPr>
        <w:drawing>
          <wp:inline distT="0" distB="0" distL="0" distR="0" wp14:anchorId="271448D2" wp14:editId="503A660D">
            <wp:extent cx="5732931" cy="2813050"/>
            <wp:effectExtent l="0" t="0" r="1270" b="6350"/>
            <wp:docPr id="222" name="Imagen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2"/>
                    <a:stretch>
                      <a:fillRect/>
                    </a:stretch>
                  </pic:blipFill>
                  <pic:spPr>
                    <a:xfrm>
                      <a:off x="0" y="0"/>
                      <a:ext cx="5732931" cy="2813050"/>
                    </a:xfrm>
                    <a:prstGeom prst="rect">
                      <a:avLst/>
                    </a:prstGeom>
                  </pic:spPr>
                </pic:pic>
              </a:graphicData>
            </a:graphic>
          </wp:inline>
        </w:drawing>
      </w:r>
    </w:p>
    <w:p w:rsidR="00835296" w:rsidRPr="00B10E82" w:rsidRDefault="00835296" w:rsidP="00FA4DA9">
      <w:pPr>
        <w:pStyle w:val="NormalWeb"/>
        <w:shd w:val="clear" w:color="auto" w:fill="FFFFFF"/>
        <w:jc w:val="both"/>
        <w:rPr>
          <w:u w:val="single"/>
        </w:rPr>
      </w:pPr>
      <w:r w:rsidRPr="00B10E82">
        <w:rPr>
          <w:u w:val="single"/>
        </w:rPr>
        <w:lastRenderedPageBreak/>
        <w:t xml:space="preserve">Ese estigma con </w:t>
      </w:r>
      <w:r w:rsidR="00E5717E">
        <w:rPr>
          <w:u w:val="single"/>
        </w:rPr>
        <w:t>el que tienen que convivir los “</w:t>
      </w:r>
      <w:r w:rsidRPr="00B10E82">
        <w:rPr>
          <w:u w:val="single"/>
        </w:rPr>
        <w:t>h</w:t>
      </w:r>
      <w:r w:rsidR="00E5717E">
        <w:rPr>
          <w:u w:val="single"/>
        </w:rPr>
        <w:t>alcones”</w:t>
      </w:r>
      <w:r w:rsidRPr="00B10E82">
        <w:rPr>
          <w:u w:val="single"/>
        </w:rPr>
        <w:t xml:space="preserve"> y la supuesta transitoriedad de la inflación son los grande argumentos de los países del sur para mantener el tono muy expansivo del BCE, que a su vez permite a los países más endeudados (que son a </w:t>
      </w:r>
      <w:r w:rsidR="00E5717E">
        <w:rPr>
          <w:u w:val="single"/>
        </w:rPr>
        <w:t>su vez los que representan las “palomas”</w:t>
      </w:r>
      <w:r w:rsidRPr="00B10E82">
        <w:rPr>
          <w:u w:val="single"/>
        </w:rPr>
        <w:t xml:space="preserve"> en el Consejo de Gobierno del BCE) pagar unos intereses muy bajos y seguir gastando para relanzar la economía.</w:t>
      </w:r>
    </w:p>
    <w:p w:rsidR="00835296" w:rsidRPr="00B10E82" w:rsidRDefault="00E5717E" w:rsidP="00FA4DA9">
      <w:pPr>
        <w:pStyle w:val="NormalWeb"/>
        <w:shd w:val="clear" w:color="auto" w:fill="FFFFFF"/>
        <w:jc w:val="both"/>
        <w:rPr>
          <w:u w:val="single"/>
        </w:rPr>
      </w:pPr>
      <w:r>
        <w:t>“</w:t>
      </w:r>
      <w:r w:rsidR="00835296">
        <w:t xml:space="preserve">El alza de la inflación probablemente se sumará a algunas preocupaciones que rodean al mercado y que hablan de que la inflación de la zona del euro podría ser más prolongada de lo que el BCE prevé actualmente. Sin embargo, </w:t>
      </w:r>
      <w:r w:rsidR="00835296" w:rsidRPr="00B10E82">
        <w:rPr>
          <w:u w:val="single"/>
        </w:rPr>
        <w:t>creemos que el BCE seguirá calificando el aumento de la inflación de este año como transitorio en la reunión de septiembre. Aunque la inflación general está aumentando muy por encima del 2%, las medidas de la inflación subyacente siguen s</w:t>
      </w:r>
      <w:r>
        <w:rPr>
          <w:u w:val="single"/>
        </w:rPr>
        <w:t>iendo moderadas en la zona euro”</w:t>
      </w:r>
      <w:r w:rsidR="00835296" w:rsidRPr="00B10E82">
        <w:rPr>
          <w:u w:val="single"/>
        </w:rPr>
        <w:t>, apuntan desde Nomura.</w:t>
      </w:r>
    </w:p>
    <w:p w:rsidR="00835296" w:rsidRDefault="00E5717E" w:rsidP="00FA4DA9">
      <w:pPr>
        <w:pStyle w:val="NormalWeb"/>
        <w:shd w:val="clear" w:color="auto" w:fill="FFFFFF"/>
        <w:jc w:val="both"/>
      </w:pPr>
      <w:r>
        <w:t>Las “palomas”</w:t>
      </w:r>
      <w:r w:rsidR="00835296">
        <w:t xml:space="preserve"> siguen al mando</w:t>
      </w:r>
    </w:p>
    <w:p w:rsidR="00835296" w:rsidRPr="00B10E82" w:rsidRDefault="00835296" w:rsidP="00FA4DA9">
      <w:pPr>
        <w:pStyle w:val="NormalWeb"/>
        <w:shd w:val="clear" w:color="auto" w:fill="FFFFFF"/>
        <w:jc w:val="both"/>
        <w:rPr>
          <w:color w:val="FF0000"/>
          <w:u w:val="single"/>
        </w:rPr>
      </w:pPr>
      <w:r w:rsidRPr="00B10E82">
        <w:rPr>
          <w:color w:val="FF0000"/>
          <w:u w:val="single"/>
        </w:rPr>
        <w:t>Los economistas del banco japo</w:t>
      </w:r>
      <w:r w:rsidR="00363C36">
        <w:rPr>
          <w:color w:val="FF0000"/>
          <w:u w:val="single"/>
        </w:rPr>
        <w:t>nés de inversión creen que las “</w:t>
      </w:r>
      <w:r w:rsidRPr="00B10E82">
        <w:rPr>
          <w:color w:val="FF0000"/>
          <w:u w:val="single"/>
        </w:rPr>
        <w:t>palomas</w:t>
      </w:r>
      <w:r w:rsidR="00363C36">
        <w:rPr>
          <w:color w:val="FF0000"/>
          <w:u w:val="single"/>
        </w:rPr>
        <w:t>”</w:t>
      </w:r>
      <w:r w:rsidRPr="00B10E82">
        <w:rPr>
          <w:color w:val="FF0000"/>
          <w:u w:val="single"/>
        </w:rPr>
        <w:t xml:space="preserve"> siguen teniendo la situación bajo control porque la mayoría de los factores que están impulsando la inflación este año son de naturaleza temporal y debieran revertirse en algún momento de 2022.</w:t>
      </w:r>
    </w:p>
    <w:p w:rsidR="00835296" w:rsidRPr="00B10E82" w:rsidRDefault="00835296" w:rsidP="00FA4DA9">
      <w:pPr>
        <w:pStyle w:val="NormalWeb"/>
        <w:shd w:val="clear" w:color="auto" w:fill="FFFFFF"/>
        <w:jc w:val="both"/>
        <w:rPr>
          <w:b/>
          <w:color w:val="FF0000"/>
          <w:u w:val="single"/>
        </w:rPr>
      </w:pPr>
      <w:r w:rsidRPr="00B10E82">
        <w:rPr>
          <w:color w:val="FF0000"/>
          <w:u w:val="single"/>
        </w:rPr>
        <w:t xml:space="preserve">Además, mientras que en el Reino Unido y EEUU, por ejemplo, las presiones salariales se están incrementando a medida que la escasez de mano de obra se hace más acuciante, las presiones salariales en Europa se han mantenido moderadas. </w:t>
      </w:r>
      <w:r w:rsidRPr="00B10E82">
        <w:rPr>
          <w:b/>
          <w:color w:val="FF0000"/>
          <w:u w:val="single"/>
        </w:rPr>
        <w:t>La teoría dice que son los salarios y la demanda interna los factores que pueden mantener una inflación al alza de forma sostenida y donde la política monetaria puede tener mayor impacto.</w:t>
      </w:r>
    </w:p>
    <w:p w:rsidR="00835296" w:rsidRDefault="00835296" w:rsidP="00FA4DA9">
      <w:pPr>
        <w:pStyle w:val="NormalWeb"/>
        <w:shd w:val="clear" w:color="auto" w:fill="FFFFFF"/>
        <w:jc w:val="both"/>
      </w:pPr>
      <w:r>
        <w:t>Como ha destacado Philip Lane, economista jefe del B</w:t>
      </w:r>
      <w:r w:rsidR="00363C36">
        <w:t>CE en una entrevista reciente, “</w:t>
      </w:r>
      <w:r>
        <w:t xml:space="preserve">el BCE necesita analizar si las lecturas de inflación que estamos viendo en este momento influirán en las negociaciones salariales. No veo eso en este momento, aunque a menudo hay un retraso en el sistema de negociación salarial. Probablemente se deba analizar el período completo de la pandemia porque muchas negociaciones salariales se </w:t>
      </w:r>
      <w:r w:rsidR="00363C36">
        <w:t>pospusieron durante la pandemia”</w:t>
      </w:r>
      <w:r>
        <w:t>.</w:t>
      </w:r>
    </w:p>
    <w:p w:rsidR="00835296" w:rsidRDefault="00835296" w:rsidP="00FA4DA9">
      <w:pPr>
        <w:pStyle w:val="NormalWeb"/>
        <w:shd w:val="clear" w:color="auto" w:fill="FFFFFF"/>
        <w:jc w:val="both"/>
      </w:pPr>
      <w:r>
        <w:t>También Francois Villeroy de Galhau, gobernador del Banco de Francia y miembro del Consejo de Gobierno del BCE, aseguró hace unos días que la zona euro no corre riesgo de sobrecalentarse, a diferencia de EEUU o Reino Unido. Mientras que haya trabajadores en procesos de Erte (o similares) y desempleados, los salarios no comenzarán a subir con la fuerza suficiente como para generar el riesgo de una espiral salarios-precios.</w:t>
      </w:r>
    </w:p>
    <w:p w:rsidR="00835296" w:rsidRDefault="00835296" w:rsidP="00FA4DA9">
      <w:pPr>
        <w:pStyle w:val="NormalWeb"/>
        <w:shd w:val="clear" w:color="auto" w:fill="FFFFFF"/>
        <w:jc w:val="both"/>
      </w:pPr>
      <w:r>
        <w:t>Desde la firma financiera BCA R</w:t>
      </w:r>
      <w:r w:rsidR="00E5717E">
        <w:t>esearch coinciden y añaden que “</w:t>
      </w:r>
      <w:r>
        <w:t>la ralentización de la actividad china es un riesgo para las perspectivas económicas de la zona euro. Además, es probable que el BCE tenga cuidado de no provocar una incremento de los diferenciales de los bonos periféricos o una fuerte apreciación del euro. Por último, es probable que la incertidumbre sobre el tapering gradual de la Fed mantenga al</w:t>
      </w:r>
      <w:r w:rsidR="00E5717E">
        <w:t xml:space="preserve"> BCE más paciente a corto plazo”</w:t>
      </w:r>
      <w:r>
        <w:t>.</w:t>
      </w:r>
    </w:p>
    <w:p w:rsidR="00835296" w:rsidRDefault="00835296" w:rsidP="00FA4DA9">
      <w:pPr>
        <w:pStyle w:val="NormalWeb"/>
        <w:shd w:val="clear" w:color="auto" w:fill="FFFFFF"/>
        <w:jc w:val="both"/>
      </w:pPr>
      <w:r>
        <w:t>Por lo tanto</w:t>
      </w:r>
      <w:r w:rsidR="00E5717E">
        <w:t>, estos expertos concluyen que “</w:t>
      </w:r>
      <w:r>
        <w:t>el BCE no tendrá prisa por poner fin a su programa de compras de emergencia pandémica. En cambio, es más probable que el banco central comience por reducir el ritmo de sus compras de activos como respuesta a las presiones inflacionarias. Aun así, el BCE tendrá cuidado para evit</w:t>
      </w:r>
      <w:r w:rsidR="00E5717E">
        <w:t>ar un cambio demasiado agresivo”</w:t>
      </w:r>
      <w:r>
        <w:t>.</w:t>
      </w:r>
    </w:p>
    <w:p w:rsidR="00835296" w:rsidRDefault="00835296" w:rsidP="00FA4DA9">
      <w:pPr>
        <w:pStyle w:val="NormalWeb"/>
        <w:spacing w:after="0"/>
        <w:jc w:val="both"/>
      </w:pPr>
      <w:r>
        <w:lastRenderedPageBreak/>
        <w:t xml:space="preserve">- </w:t>
      </w:r>
      <w:r w:rsidRPr="00E174A7">
        <w:rPr>
          <w:u w:val="single"/>
        </w:rPr>
        <w:t>Lo mejor que puede hacer es endeudarse, el BCE le presta dinero gratis</w:t>
      </w:r>
      <w:r>
        <w:t xml:space="preserve"> (El Confidencial - </w:t>
      </w:r>
      <w:r w:rsidRPr="00E174A7">
        <w:rPr>
          <w:b/>
        </w:rPr>
        <w:t>10/9/21</w:t>
      </w:r>
      <w:r>
        <w:t>)</w:t>
      </w:r>
    </w:p>
    <w:p w:rsidR="00835296" w:rsidRDefault="00835296" w:rsidP="00FA4DA9">
      <w:pPr>
        <w:pStyle w:val="NormalWeb"/>
        <w:spacing w:after="0"/>
        <w:jc w:val="both"/>
      </w:pPr>
      <w:r>
        <w:t>(Por Carlos Sánchez)</w:t>
      </w:r>
    </w:p>
    <w:p w:rsidR="00835296" w:rsidRPr="00E5717E" w:rsidRDefault="00835296" w:rsidP="00FA4DA9">
      <w:pPr>
        <w:pStyle w:val="NormalWeb"/>
        <w:spacing w:after="0"/>
        <w:jc w:val="both"/>
        <w:rPr>
          <w:b/>
          <w:color w:val="FF0000"/>
          <w:u w:val="single"/>
        </w:rPr>
      </w:pPr>
      <w:r>
        <w:t>Imagínese un país cuyo PIB crece a un ritmo del 4,6%, muy por encima de su potencial; y que tiene, además, una inflación contenida del 1,7% (inferior si se excluyen los componentes más volátiles). Y en el que el banco central no solo presta dinero al 0% (tipos de interés reales negativos), sino que, además, compra todas las emisiones que sean necesarias para que el Estado pueda seguir gastando, aunque la deuda se encuentre en niveles históricamente elevados. En ese país imaginario no hay tensiones laborales porque los sindicatos están desarmados, y, por si esto fuera poco, cuenta con una enorme bolsa de ahorro lista para ser gastada porque ha sido engordada durante una pandemia de la que está saliendo. Por si faltaba algo, ha recuperado prácticamente los niveles de desempleo que tenía antes de la llegada del virus (un 7,6% frente a un 7,2%). En conclusión, un país</w:t>
      </w:r>
      <w:r w:rsidR="00E5717E">
        <w:t xml:space="preserve"> por el que cualquier político “mataría”</w:t>
      </w:r>
      <w:r>
        <w:t xml:space="preserve"> para llegar a ser su primer ministro. Lógicamente, salvo que se cruce por el camino algún cisne negro que por su propia naturaleza es imprevisible. Ese país no tiene nombre, pero, como es obvio, responde cuando se lo llama eurozona. Y quien ha dibujado este escenario para 2022 es la presidenta de su banco central, </w:t>
      </w:r>
      <w:r w:rsidRPr="00E5717E">
        <w:rPr>
          <w:b/>
          <w:color w:val="FF0000"/>
          <w:u w:val="single"/>
        </w:rPr>
        <w:t>Christine Lagarde, que este jueves, con el exministro De Guindos a su derecha, ha demostrado quién manda en Europa, y los mercados, como no podía ser de otra manera, se lo han agradecido con subidas, porque ella no</w:t>
      </w:r>
      <w:r w:rsidR="00E5717E" w:rsidRPr="00E5717E">
        <w:rPr>
          <w:b/>
          <w:color w:val="FF0000"/>
          <w:u w:val="single"/>
        </w:rPr>
        <w:t xml:space="preserve"> es la señora de los recortes (“</w:t>
      </w:r>
      <w:r w:rsidRPr="00E5717E">
        <w:rPr>
          <w:b/>
          <w:color w:val="FF0000"/>
          <w:u w:val="single"/>
        </w:rPr>
        <w:t>the lady’s not ta</w:t>
      </w:r>
      <w:r w:rsidR="00E5717E" w:rsidRPr="00E5717E">
        <w:rPr>
          <w:b/>
          <w:color w:val="FF0000"/>
          <w:u w:val="single"/>
        </w:rPr>
        <w:t>pering”</w:t>
      </w:r>
      <w:r w:rsidRPr="00E5717E">
        <w:rPr>
          <w:b/>
          <w:color w:val="FF0000"/>
          <w:u w:val="single"/>
        </w:rPr>
        <w:t>), llegó a remarcar para</w:t>
      </w:r>
      <w:r w:rsidR="00E5717E" w:rsidRPr="00E5717E">
        <w:rPr>
          <w:b/>
          <w:color w:val="FF0000"/>
          <w:u w:val="single"/>
        </w:rPr>
        <w:t>fraseando a Margaret Thatcher (“the lady’s not for turning”</w:t>
      </w:r>
      <w:r w:rsidRPr="00E5717E">
        <w:rPr>
          <w:b/>
          <w:color w:val="FF0000"/>
          <w:u w:val="single"/>
        </w:rPr>
        <w:t>).</w:t>
      </w:r>
    </w:p>
    <w:p w:rsidR="00835296" w:rsidRPr="00C81CBE" w:rsidRDefault="00835296" w:rsidP="00FA4DA9">
      <w:pPr>
        <w:pStyle w:val="NormalWeb"/>
        <w:spacing w:after="0"/>
        <w:jc w:val="both"/>
        <w:rPr>
          <w:color w:val="FF0000"/>
          <w:u w:val="single"/>
        </w:rPr>
      </w:pPr>
      <w:r w:rsidRPr="00C81CBE">
        <w:rPr>
          <w:color w:val="FF0000"/>
          <w:u w:val="single"/>
        </w:rPr>
        <w:t>Lo singular es que los Estados se han endeudado hasta las cejas, pero nadie, o casi nadie, ha subido impuestos (salvo Boris Johnson, que ya no está en la UE) porque quien paga la ronda, y hasta la propina es el BCE, que asegura a tirios y troyanos, o a paloma y halcones, como se prefiera, que habrá dinero barato y compras masivas de deuda pública (aunque el ritmo se modere “muy ligeramente” para hacer un guiño a los duros) hasta que sea necesario. En todo caso, hasta marzo de 2022 y en cualquier caso, hasta que la recuperación se consolide.</w:t>
      </w:r>
    </w:p>
    <w:p w:rsidR="00835296" w:rsidRDefault="00835296" w:rsidP="00FA4DA9">
      <w:pPr>
        <w:pStyle w:val="NormalWeb"/>
        <w:spacing w:after="0"/>
        <w:jc w:val="both"/>
      </w:pPr>
      <w:r>
        <w:t>¿Qué está viendo el BCE?</w:t>
      </w:r>
    </w:p>
    <w:p w:rsidR="00835296" w:rsidRPr="00E5717E" w:rsidRDefault="00835296" w:rsidP="00FA4DA9">
      <w:pPr>
        <w:pStyle w:val="NormalWeb"/>
        <w:spacing w:after="0"/>
        <w:jc w:val="both"/>
        <w:rPr>
          <w:color w:val="FF0000"/>
          <w:u w:val="single"/>
        </w:rPr>
      </w:pPr>
      <w:r>
        <w:t>Con</w:t>
      </w:r>
      <w:r w:rsidR="00E5717E">
        <w:t xml:space="preserve"> este escenario tan prometedor -</w:t>
      </w:r>
      <w:r>
        <w:t>ba</w:t>
      </w:r>
      <w:r w:rsidR="00E5717E">
        <w:t>ja inflación y alto crecimiento-</w:t>
      </w:r>
      <w:r>
        <w:t xml:space="preserve"> </w:t>
      </w:r>
      <w:r w:rsidRPr="00C81CBE">
        <w:rPr>
          <w:u w:val="single"/>
        </w:rPr>
        <w:t xml:space="preserve">no es de extrañar que más de uno puede tener sólidas razones para pensar sobre lo que deben tener en la cabeza los banqueros centrales para mantener una política monetaria ultralaxa. </w:t>
      </w:r>
      <w:r w:rsidRPr="00E5717E">
        <w:rPr>
          <w:color w:val="FF0000"/>
          <w:u w:val="single"/>
        </w:rPr>
        <w:t>¿Qué estará viendo el BCE y nosotros no lo vemos?, se preguntaba ayer algún analista escéptico después de la conferencia de prensa de Lagarde.</w:t>
      </w:r>
    </w:p>
    <w:p w:rsidR="00835296" w:rsidRPr="00DB190C" w:rsidRDefault="00835296" w:rsidP="00FA4DA9">
      <w:pPr>
        <w:pStyle w:val="NormalWeb"/>
        <w:spacing w:after="0"/>
        <w:jc w:val="both"/>
        <w:rPr>
          <w:color w:val="FF0000"/>
          <w:u w:val="single"/>
        </w:rPr>
      </w:pPr>
      <w:r w:rsidRPr="00E5717E">
        <w:rPr>
          <w:b/>
          <w:color w:val="FF0000"/>
          <w:u w:val="single"/>
        </w:rPr>
        <w:t>El argumento oficial es que la inflación (un 1,7% en 2020 y un 1,5% en 2023) todavía estará por debajo del nuevo objetivo de política monetaria (un 2% a medio plazo). Pero en realidad esa es una verdad a medias. Es evidente que tasas tan moderadas en el crecimiento de los precios no justifican una artillería tan potente, todo lo contrario. Es por eso por lo que hay razones más de fondo que tienen que ver con el nuevo papel de los bancos centrales en un mundo hiperglobalizado, y que va mucho más allá que el mero control de la inflación. Hasta la lucha contra el cambio climático se ha colado entre una de sus misiones. En realidad, esto es lo más relevante de la nueva estrategia de política monetaria aprobada a principios de julio, que sitúa al BCE en el centro de la economía política</w:t>
      </w:r>
      <w:r w:rsidRPr="00DB190C">
        <w:rPr>
          <w:color w:val="FF0000"/>
          <w:u w:val="single"/>
        </w:rPr>
        <w:t xml:space="preserve">. Se vio ayer en la intervención de Lagarde, que fue mucho más allá que lo que cabe esperar de una gobernadora de un banco central creado a imagen y semejanza del </w:t>
      </w:r>
      <w:r w:rsidRPr="00DB190C">
        <w:rPr>
          <w:color w:val="FF0000"/>
          <w:u w:val="single"/>
        </w:rPr>
        <w:lastRenderedPageBreak/>
        <w:t>Bundesbank, nacido para luchar contra la inflación, no para hacer economía política. O política económica, como se prefiera.</w:t>
      </w:r>
    </w:p>
    <w:p w:rsidR="00F95839" w:rsidRDefault="00835296" w:rsidP="00FA4DA9">
      <w:pPr>
        <w:pStyle w:val="NormalWeb"/>
        <w:spacing w:after="0"/>
        <w:jc w:val="both"/>
      </w:pPr>
      <w:r w:rsidRPr="00E5717E">
        <w:rPr>
          <w:b/>
          <w:color w:val="FF0000"/>
          <w:u w:val="single"/>
        </w:rPr>
        <w:t>Si antes los banqueros centrales actuaban como reacción a un repunte de la inflación restringiendo la oferta monetaria para doblegar los precios, ahora intervienen de forma preventiva. Precisamente, porque su mandato va ahora mucho más allá (con la bendición del tribunal de Luxemburgo) que lo establecido en la literalidad de las normas de la UE. Obviamente, porque el sistema económico ya no es capaz de proveer suficientes recursos, y aquí es donde entra la artillería de Fráncfort. O de la Fed. O del Banco de Inglaterra</w:t>
      </w:r>
      <w:r w:rsidRPr="00E5717E">
        <w:rPr>
          <w:b/>
          <w:color w:val="FF0000"/>
        </w:rPr>
        <w:t>.</w:t>
      </w:r>
      <w:r>
        <w:t xml:space="preserve"> Lo dijo ayer la propia Lagarde y no hay razones para dudar de su sinceridad. Muchas empresas y demasiados hogares se han endeudado más de la cuenta para protegerse ante la pandemia, y de ahí que corren el riesgo de que se deterioren sus perspectivas económicas. La receta hasta hace no mucho hubiera sido dejar que el mercado actúe o un ajuste para reducir su dimensión vendiendo activos. Pero ahora todo es distinto. </w:t>
      </w:r>
    </w:p>
    <w:p w:rsidR="00835296" w:rsidRPr="00DB190C" w:rsidRDefault="00835296" w:rsidP="00FA4DA9">
      <w:pPr>
        <w:pStyle w:val="NormalWeb"/>
        <w:spacing w:after="0"/>
        <w:jc w:val="both"/>
        <w:rPr>
          <w:color w:val="FF0000"/>
          <w:u w:val="single"/>
        </w:rPr>
      </w:pPr>
      <w:r w:rsidRPr="00E5717E">
        <w:rPr>
          <w:b/>
          <w:color w:val="FF0000"/>
          <w:u w:val="single"/>
        </w:rPr>
        <w:t>Como dijo Lagarde, “el apoyo a las políticas sigue siendo esencial para evitar que las tensiones en los balances y el endurecimiento de las condiciones de financiación se refuercen mutuamente”. O lo que es lo mismo, el BCE no dejará que las empresas caigan, salvo las que están quebradas</w:t>
      </w:r>
      <w:r>
        <w:t xml:space="preserve">. Esta es, desde luego, la posición mayoritaria en el seno de los banqueros de Fráncfort, como se pudo leer tras la publicación de las últimas actas de la reunión del BCE, pero no es unánime. Y aquí está la batalla que se avecina. </w:t>
      </w:r>
      <w:r w:rsidRPr="00DB190C">
        <w:rPr>
          <w:color w:val="FF0000"/>
          <w:u w:val="single"/>
        </w:rPr>
        <w:t>Si en 2022, la economía crece con fuerza y la inflación se sitúa solo ligeramente por debajo del 2%, tras el repunte de 2021 a causa de la energía, hay razones para pensar que los gobernadores de Alemania, Países Bajos y Austria pondrán algún día pie en pared. No el año próximo, per</w:t>
      </w:r>
      <w:r w:rsidR="006D2378">
        <w:rPr>
          <w:color w:val="FF0000"/>
          <w:u w:val="single"/>
        </w:rPr>
        <w:t>o sí en 2023. ¿Se acuerdan del “aterrizaje suave”</w:t>
      </w:r>
      <w:r w:rsidRPr="00DB190C">
        <w:rPr>
          <w:color w:val="FF0000"/>
          <w:u w:val="single"/>
        </w:rPr>
        <w:t xml:space="preserve"> que le gustaba decir a Greenspan cuando la economía norteamericana se recalentaba? Pues eso. Aprovechen el año 2022 para endeudarse.</w:t>
      </w:r>
    </w:p>
    <w:p w:rsidR="00835296" w:rsidRPr="00F5675D" w:rsidRDefault="00835296"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5675D">
        <w:rPr>
          <w:rFonts w:ascii="Times New Roman" w:hAnsi="Times New Roman" w:cs="Times New Roman"/>
          <w:sz w:val="24"/>
          <w:szCs w:val="24"/>
          <w:u w:val="single"/>
        </w:rPr>
        <w:t>El BCE reducirá las compras de deuda antipandemia el próximo trimestre</w:t>
      </w:r>
      <w:r>
        <w:rPr>
          <w:rFonts w:ascii="Times New Roman" w:hAnsi="Times New Roman" w:cs="Times New Roman"/>
          <w:sz w:val="24"/>
          <w:szCs w:val="24"/>
        </w:rPr>
        <w:t xml:space="preserve"> (Cinco Días - </w:t>
      </w:r>
      <w:r w:rsidRPr="00F5675D">
        <w:rPr>
          <w:rFonts w:ascii="Times New Roman" w:hAnsi="Times New Roman" w:cs="Times New Roman"/>
          <w:b/>
          <w:sz w:val="24"/>
          <w:szCs w:val="24"/>
        </w:rPr>
        <w:t>9/9/21</w:t>
      </w:r>
      <w:r>
        <w:rPr>
          <w:rFonts w:ascii="Times New Roman" w:hAnsi="Times New Roman" w:cs="Times New Roman"/>
          <w:sz w:val="24"/>
          <w:szCs w:val="24"/>
        </w:rPr>
        <w:t>)</w:t>
      </w:r>
    </w:p>
    <w:p w:rsidR="00835296" w:rsidRPr="00F5675D" w:rsidRDefault="00835296"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F5675D">
        <w:rPr>
          <w:rFonts w:ascii="Times New Roman" w:hAnsi="Times New Roman" w:cs="Times New Roman"/>
          <w:sz w:val="24"/>
          <w:szCs w:val="24"/>
        </w:rPr>
        <w:t>L.</w:t>
      </w:r>
      <w:r w:rsidR="00324F4A">
        <w:rPr>
          <w:rFonts w:ascii="Times New Roman" w:hAnsi="Times New Roman" w:cs="Times New Roman"/>
          <w:sz w:val="24"/>
          <w:szCs w:val="24"/>
        </w:rPr>
        <w:t xml:space="preserve"> </w:t>
      </w:r>
      <w:r w:rsidRPr="00F5675D">
        <w:rPr>
          <w:rFonts w:ascii="Times New Roman" w:hAnsi="Times New Roman" w:cs="Times New Roman"/>
          <w:sz w:val="24"/>
          <w:szCs w:val="24"/>
        </w:rPr>
        <w:t>Salces</w:t>
      </w:r>
      <w:r>
        <w:rPr>
          <w:rFonts w:ascii="Times New Roman" w:hAnsi="Times New Roman" w:cs="Times New Roman"/>
          <w:sz w:val="24"/>
          <w:szCs w:val="24"/>
        </w:rPr>
        <w:t>)</w:t>
      </w:r>
    </w:p>
    <w:p w:rsidR="00835296" w:rsidRPr="00F5675D" w:rsidRDefault="00835296" w:rsidP="00FA4DA9">
      <w:pPr>
        <w:spacing w:line="240" w:lineRule="auto"/>
        <w:jc w:val="both"/>
        <w:rPr>
          <w:rFonts w:ascii="Times New Roman" w:hAnsi="Times New Roman" w:cs="Times New Roman"/>
          <w:sz w:val="24"/>
          <w:szCs w:val="24"/>
        </w:rPr>
      </w:pPr>
      <w:r w:rsidRPr="00B30750">
        <w:rPr>
          <w:rFonts w:ascii="Times New Roman" w:hAnsi="Times New Roman" w:cs="Times New Roman"/>
          <w:sz w:val="24"/>
          <w:szCs w:val="24"/>
          <w:u w:val="single"/>
        </w:rPr>
        <w:t xml:space="preserve">Una recalibración en el argot del Banco Central Europeo. </w:t>
      </w:r>
      <w:r w:rsidRPr="008D46A1">
        <w:rPr>
          <w:rFonts w:ascii="Times New Roman" w:hAnsi="Times New Roman" w:cs="Times New Roman"/>
          <w:b/>
          <w:color w:val="FF0000"/>
          <w:sz w:val="24"/>
          <w:szCs w:val="24"/>
          <w:u w:val="single"/>
        </w:rPr>
        <w:t>El BCE ha decidido reducir ligeramente la cuantía de las compras del programa antipandemia durante el próximo trimestre, desde los 80.000 millones de euros mensuales de los últimos dos trimestres, gracias a la mejora de las condiciones macroeconómicas y el avance del proceso de vacunación, pero ha querido dejar para más adelante el debate sobre qué pasará a partir de marzo de 2022,</w:t>
      </w:r>
      <w:r w:rsidRPr="008D46A1">
        <w:rPr>
          <w:rFonts w:ascii="Times New Roman" w:hAnsi="Times New Roman" w:cs="Times New Roman"/>
          <w:b/>
          <w:color w:val="FF0000"/>
          <w:sz w:val="24"/>
          <w:szCs w:val="24"/>
        </w:rPr>
        <w:t xml:space="preserve"> </w:t>
      </w:r>
      <w:r w:rsidRPr="008D46A1">
        <w:rPr>
          <w:rFonts w:ascii="Times New Roman" w:hAnsi="Times New Roman" w:cs="Times New Roman"/>
          <w:b/>
          <w:color w:val="FF0000"/>
          <w:sz w:val="24"/>
          <w:szCs w:val="24"/>
          <w:u w:val="single"/>
        </w:rPr>
        <w:t>fecha en la que finaliza este plan de compra de deuda</w:t>
      </w:r>
      <w:r w:rsidRPr="00F5675D">
        <w:rPr>
          <w:rFonts w:ascii="Times New Roman" w:hAnsi="Times New Roman" w:cs="Times New Roman"/>
          <w:sz w:val="24"/>
          <w:szCs w:val="24"/>
        </w:rPr>
        <w:t xml:space="preserve">. </w:t>
      </w:r>
      <w:r w:rsidRPr="008D46A1">
        <w:rPr>
          <w:rFonts w:ascii="Times New Roman" w:hAnsi="Times New Roman" w:cs="Times New Roman"/>
          <w:color w:val="FF0000"/>
          <w:sz w:val="24"/>
          <w:szCs w:val="24"/>
          <w:u w:val="single"/>
        </w:rPr>
        <w:t>De esta forma, no ha entrado en el debate de una futura retirada de los estímulos financieros (tapering) y ha asegurado que se trata de una recalibración de las herramientas.</w:t>
      </w:r>
      <w:r w:rsidRPr="00F5675D">
        <w:rPr>
          <w:rFonts w:ascii="Times New Roman" w:hAnsi="Times New Roman" w:cs="Times New Roman"/>
          <w:sz w:val="24"/>
          <w:szCs w:val="24"/>
        </w:rPr>
        <w:t xml:space="preserve"> La institución presidida por Christine Lagarde ha elevado además sus estimaciones de PIB de la zona euro para este año y ac</w:t>
      </w:r>
      <w:r>
        <w:rPr>
          <w:rFonts w:ascii="Times New Roman" w:hAnsi="Times New Roman" w:cs="Times New Roman"/>
          <w:sz w:val="24"/>
          <w:szCs w:val="24"/>
        </w:rPr>
        <w:t xml:space="preserve">tualizado sus cálculos de IPC. </w:t>
      </w:r>
    </w:p>
    <w:p w:rsidR="00835296" w:rsidRPr="00B30750" w:rsidRDefault="00835296" w:rsidP="00FA4DA9">
      <w:pPr>
        <w:spacing w:line="240" w:lineRule="auto"/>
        <w:jc w:val="both"/>
        <w:rPr>
          <w:rFonts w:ascii="Times New Roman" w:hAnsi="Times New Roman" w:cs="Times New Roman"/>
          <w:sz w:val="24"/>
          <w:szCs w:val="24"/>
          <w:u w:val="single"/>
        </w:rPr>
      </w:pPr>
      <w:r w:rsidRPr="00F5675D">
        <w:rPr>
          <w:rFonts w:ascii="Times New Roman" w:hAnsi="Times New Roman" w:cs="Times New Roman"/>
          <w:sz w:val="24"/>
          <w:szCs w:val="24"/>
        </w:rPr>
        <w:t xml:space="preserve">En la rueda de prensa posterior al Consejo de Gobierno, la presidenta del BCE, Christine Lagarde ha reconocido que las perspectivas de PIB e inflación se han elevado ligeramente gracias a la mejora económica y el incremento del consumo. </w:t>
      </w:r>
      <w:r w:rsidRPr="00B30750">
        <w:rPr>
          <w:rFonts w:ascii="Times New Roman" w:hAnsi="Times New Roman" w:cs="Times New Roman"/>
          <w:sz w:val="24"/>
          <w:szCs w:val="24"/>
          <w:u w:val="single"/>
        </w:rPr>
        <w:t>El BCE ha actualizado así su cuadro macroeconómico mejorando sus estimaciones de PIB de la zona euro para 2021, desde el 4,6% al 5%; mientras que reduce una décima la previsión para 2022 -del 4,7% al 4,6%- y mantiene la estimación para 2023 en el 2,1%.</w:t>
      </w:r>
    </w:p>
    <w:p w:rsidR="00835296" w:rsidRPr="008D46A1" w:rsidRDefault="00835296" w:rsidP="00FA4DA9">
      <w:pPr>
        <w:spacing w:line="240" w:lineRule="auto"/>
        <w:jc w:val="both"/>
        <w:rPr>
          <w:rFonts w:ascii="Times New Roman" w:hAnsi="Times New Roman" w:cs="Times New Roman"/>
          <w:color w:val="FF0000"/>
          <w:sz w:val="24"/>
          <w:szCs w:val="24"/>
          <w:u w:val="single"/>
        </w:rPr>
      </w:pPr>
      <w:r w:rsidRPr="008D46A1">
        <w:rPr>
          <w:rFonts w:ascii="Times New Roman" w:hAnsi="Times New Roman" w:cs="Times New Roman"/>
          <w:color w:val="FF0000"/>
          <w:sz w:val="24"/>
          <w:szCs w:val="24"/>
          <w:u w:val="single"/>
        </w:rPr>
        <w:lastRenderedPageBreak/>
        <w:t xml:space="preserve">La escalada de los precios, que en agosto subieron hasta el 3% en la zona euro, su nivel más alto en los últimos diez años, ha elevado además el cálculo de la institución del IPC para este año, hasta el 2,2% desde el 1,9% previsto en junio. Para desde ahí reducirse hasta el 1,7% en 2022 (1,5% en junio) y al 1,5% en 2023 (1,4% previsto en junio). Por otra parte, apunta que la inflación subyacente, que descuenta los alimentos y la energía por su volatilidad, será del 1,3% en 2021, del 1,4% en 2022 y del 1,5% en 2023, por lo que estas cifras también se han revisado al alza respecto a los cálculos de junio. </w:t>
      </w:r>
    </w:p>
    <w:p w:rsidR="00835296" w:rsidRPr="00F5675D" w:rsidRDefault="00835296" w:rsidP="00FA4DA9">
      <w:pPr>
        <w:spacing w:line="240" w:lineRule="auto"/>
        <w:jc w:val="both"/>
        <w:rPr>
          <w:rFonts w:ascii="Times New Roman" w:hAnsi="Times New Roman" w:cs="Times New Roman"/>
          <w:sz w:val="24"/>
          <w:szCs w:val="24"/>
        </w:rPr>
      </w:pPr>
      <w:r w:rsidRPr="00F5675D">
        <w:rPr>
          <w:rFonts w:ascii="Times New Roman" w:hAnsi="Times New Roman" w:cs="Times New Roman"/>
          <w:sz w:val="24"/>
          <w:szCs w:val="24"/>
        </w:rPr>
        <w:t>El Consejo de Gobierno del BCE se ha dado cita por primera desde que la institución decidió en julio cambiar al 2% la meta de inflación. En s</w:t>
      </w:r>
      <w:r w:rsidR="008D46A1">
        <w:rPr>
          <w:rFonts w:ascii="Times New Roman" w:hAnsi="Times New Roman" w:cs="Times New Roman"/>
          <w:sz w:val="24"/>
          <w:szCs w:val="24"/>
        </w:rPr>
        <w:t>u comunicado, ha asegurado que “</w:t>
      </w:r>
      <w:r w:rsidRPr="00F5675D">
        <w:rPr>
          <w:rFonts w:ascii="Times New Roman" w:hAnsi="Times New Roman" w:cs="Times New Roman"/>
          <w:sz w:val="24"/>
          <w:szCs w:val="24"/>
        </w:rPr>
        <w:t xml:space="preserve">sobre la base de una evaluación conjunta de las condiciones de financiación y de las perspectivas de inflación, el Consejo de Gobierno considera que pueden mantenerse unas condiciones de financiación favorables con un ritmo de compras netas de activos en el marco del programa de compras de emergencia frente a la pandemia (PEPP) ligeramente inferior al de </w:t>
      </w:r>
      <w:r w:rsidR="008D46A1">
        <w:rPr>
          <w:rFonts w:ascii="Times New Roman" w:hAnsi="Times New Roman" w:cs="Times New Roman"/>
          <w:sz w:val="24"/>
          <w:szCs w:val="24"/>
        </w:rPr>
        <w:t>los dos trimestres anteriores”</w:t>
      </w:r>
      <w:r>
        <w:rPr>
          <w:rFonts w:ascii="Times New Roman" w:hAnsi="Times New Roman" w:cs="Times New Roman"/>
          <w:sz w:val="24"/>
          <w:szCs w:val="24"/>
        </w:rPr>
        <w:t>.</w:t>
      </w:r>
    </w:p>
    <w:p w:rsidR="00835296" w:rsidRPr="00B30750" w:rsidRDefault="00835296" w:rsidP="00FA4DA9">
      <w:pPr>
        <w:spacing w:line="240" w:lineRule="auto"/>
        <w:jc w:val="both"/>
        <w:rPr>
          <w:rFonts w:ascii="Times New Roman" w:hAnsi="Times New Roman" w:cs="Times New Roman"/>
          <w:color w:val="FF0000"/>
          <w:sz w:val="24"/>
          <w:szCs w:val="24"/>
          <w:u w:val="single"/>
        </w:rPr>
      </w:pPr>
      <w:r w:rsidRPr="008D46A1">
        <w:rPr>
          <w:rFonts w:ascii="Times New Roman" w:hAnsi="Times New Roman" w:cs="Times New Roman"/>
          <w:b/>
          <w:color w:val="FF0000"/>
          <w:sz w:val="24"/>
          <w:szCs w:val="24"/>
          <w:u w:val="single"/>
        </w:rPr>
        <w:t>La entidad no cifra la cuantía de esa reducción en su comunicado, en el que asegura que manten</w:t>
      </w:r>
      <w:r w:rsidR="008D46A1" w:rsidRPr="008D46A1">
        <w:rPr>
          <w:rFonts w:ascii="Times New Roman" w:hAnsi="Times New Roman" w:cs="Times New Roman"/>
          <w:b/>
          <w:color w:val="FF0000"/>
          <w:sz w:val="24"/>
          <w:szCs w:val="24"/>
          <w:u w:val="single"/>
        </w:rPr>
        <w:t>drá las compras de deuda hasta “</w:t>
      </w:r>
      <w:r w:rsidRPr="008D46A1">
        <w:rPr>
          <w:rFonts w:ascii="Times New Roman" w:hAnsi="Times New Roman" w:cs="Times New Roman"/>
          <w:b/>
          <w:color w:val="FF0000"/>
          <w:sz w:val="24"/>
          <w:szCs w:val="24"/>
          <w:u w:val="single"/>
        </w:rPr>
        <w:t>al menos hasta el final de marzo de 2022 y, en todo caso, hasta que considere que la fase de cris</w:t>
      </w:r>
      <w:r w:rsidR="008D46A1" w:rsidRPr="008D46A1">
        <w:rPr>
          <w:rFonts w:ascii="Times New Roman" w:hAnsi="Times New Roman" w:cs="Times New Roman"/>
          <w:b/>
          <w:color w:val="FF0000"/>
          <w:sz w:val="24"/>
          <w:szCs w:val="24"/>
          <w:u w:val="single"/>
        </w:rPr>
        <w:t>is del coronavirus ha terminado”</w:t>
      </w:r>
      <w:r w:rsidRPr="008D46A1">
        <w:rPr>
          <w:rFonts w:ascii="Times New Roman" w:hAnsi="Times New Roman" w:cs="Times New Roman"/>
          <w:b/>
          <w:color w:val="FF0000"/>
          <w:sz w:val="24"/>
          <w:szCs w:val="24"/>
          <w:u w:val="single"/>
        </w:rPr>
        <w:t>.</w:t>
      </w:r>
      <w:r w:rsidRPr="00B30750">
        <w:rPr>
          <w:rFonts w:ascii="Times New Roman" w:hAnsi="Times New Roman" w:cs="Times New Roman"/>
          <w:color w:val="FF0000"/>
          <w:sz w:val="24"/>
          <w:szCs w:val="24"/>
          <w:u w:val="single"/>
        </w:rPr>
        <w:t xml:space="preserve"> En la actualidad, el monto total que adquiere cada mes es de 80.000 millones de euros, cifra que el mercado espera que se rebaje entre 10.000 y 20.000 millones.</w:t>
      </w:r>
    </w:p>
    <w:p w:rsidR="00835296" w:rsidRPr="00B30750" w:rsidRDefault="00835296" w:rsidP="00FA4DA9">
      <w:pPr>
        <w:spacing w:line="240" w:lineRule="auto"/>
        <w:jc w:val="both"/>
        <w:rPr>
          <w:rFonts w:ascii="Times New Roman" w:hAnsi="Times New Roman" w:cs="Times New Roman"/>
          <w:b/>
          <w:color w:val="FF0000"/>
          <w:sz w:val="24"/>
          <w:szCs w:val="24"/>
          <w:u w:val="single"/>
        </w:rPr>
      </w:pPr>
      <w:r w:rsidRPr="00B30750">
        <w:rPr>
          <w:rFonts w:ascii="Times New Roman" w:hAnsi="Times New Roman" w:cs="Times New Roman"/>
          <w:b/>
          <w:color w:val="FF0000"/>
          <w:sz w:val="24"/>
          <w:szCs w:val="24"/>
          <w:u w:val="single"/>
        </w:rPr>
        <w:t>Lagarde, que ha esquivado el término tapering</w:t>
      </w:r>
      <w:r w:rsidR="006678D4">
        <w:rPr>
          <w:rFonts w:ascii="Times New Roman" w:hAnsi="Times New Roman" w:cs="Times New Roman"/>
          <w:b/>
          <w:color w:val="FF0000"/>
          <w:sz w:val="24"/>
          <w:szCs w:val="24"/>
          <w:u w:val="single"/>
        </w:rPr>
        <w:t>, ha asegurado que se trata de “recalibrar”</w:t>
      </w:r>
      <w:r w:rsidRPr="00B30750">
        <w:rPr>
          <w:rFonts w:ascii="Times New Roman" w:hAnsi="Times New Roman" w:cs="Times New Roman"/>
          <w:b/>
          <w:color w:val="FF0000"/>
          <w:sz w:val="24"/>
          <w:szCs w:val="24"/>
          <w:u w:val="single"/>
        </w:rPr>
        <w:t xml:space="preserve"> los estímulos durante los tres próximos meses y que esta medida ha sido adoptada de forma unánime por todo el Consejo de Gobierno del BCE, a pesar de que algunos de sus miembros habían apuntado a la necesidad de iniciar la retirada de estímulos pronto, en línea con lo anunciado por el presidente de la Fed, Jerome Powell hace algunas semanas. La presidenta del BCE ha insistido además que en el encuentro de hoy no se ha debatido qué pasará a partir de marzo de 2022, cuando finalice el PEPP.</w:t>
      </w:r>
    </w:p>
    <w:p w:rsidR="00835296" w:rsidRPr="00B30750" w:rsidRDefault="00835296" w:rsidP="00FA4DA9">
      <w:pPr>
        <w:spacing w:line="240" w:lineRule="auto"/>
        <w:jc w:val="both"/>
        <w:rPr>
          <w:rFonts w:ascii="Times New Roman" w:hAnsi="Times New Roman" w:cs="Times New Roman"/>
          <w:b/>
          <w:color w:val="FF0000"/>
          <w:sz w:val="24"/>
          <w:szCs w:val="24"/>
          <w:u w:val="single"/>
        </w:rPr>
      </w:pPr>
      <w:r w:rsidRPr="00B30750">
        <w:rPr>
          <w:rFonts w:ascii="Times New Roman" w:hAnsi="Times New Roman" w:cs="Times New Roman"/>
          <w:b/>
          <w:color w:val="FF0000"/>
          <w:sz w:val="24"/>
          <w:szCs w:val="24"/>
          <w:u w:val="single"/>
        </w:rPr>
        <w:t>Además, ha apuntado que seguirá reinvirtiendo el principal de los valores adquiridos en el marco del PEPP que vayan venciendo al menos hasta el final de 2023, y que mantendrá el actual ritmo de compras de 20.000 millones de euros del programa de compras de activos (APP).</w:t>
      </w:r>
    </w:p>
    <w:p w:rsidR="00835296" w:rsidRPr="00F5675D" w:rsidRDefault="00835296" w:rsidP="00FA4DA9">
      <w:pPr>
        <w:spacing w:line="240" w:lineRule="auto"/>
        <w:jc w:val="both"/>
        <w:rPr>
          <w:rFonts w:ascii="Times New Roman" w:hAnsi="Times New Roman" w:cs="Times New Roman"/>
          <w:sz w:val="24"/>
          <w:szCs w:val="24"/>
        </w:rPr>
      </w:pPr>
      <w:r w:rsidRPr="00F5675D">
        <w:rPr>
          <w:rFonts w:ascii="Times New Roman" w:hAnsi="Times New Roman" w:cs="Times New Roman"/>
          <w:sz w:val="24"/>
          <w:szCs w:val="24"/>
        </w:rPr>
        <w:t xml:space="preserve">Además, el BCE confirma que para apoyar el nuevo objetivo </w:t>
      </w:r>
      <w:r w:rsidR="008D46A1">
        <w:rPr>
          <w:rFonts w:ascii="Times New Roman" w:hAnsi="Times New Roman" w:cs="Times New Roman"/>
          <w:sz w:val="24"/>
          <w:szCs w:val="24"/>
        </w:rPr>
        <w:t>simétrico de inflación del 2%, “</w:t>
      </w:r>
      <w:r w:rsidRPr="00F5675D">
        <w:rPr>
          <w:rFonts w:ascii="Times New Roman" w:hAnsi="Times New Roman" w:cs="Times New Roman"/>
          <w:sz w:val="24"/>
          <w:szCs w:val="24"/>
        </w:rPr>
        <w:t>el Consejo de Gobierno espera que los tipos de interés oficiales del BCE continúen en sus niveles actuales, o en niveles inferiores, hasta que observe que la inflación se sitúa en el 2% bastante antes del final de su horizonte de proyección y de forma duradera en el resto de dicho horizonte, y considere que el progreso realizado de la inflación subyacente está suficientemente avanzado para ser compatible con una estabilización de la inflación en el 2 % a medio plazo. Ello también podría implicar un período transitorio en el que la inflación sea moder</w:t>
      </w:r>
      <w:r w:rsidR="008D46A1">
        <w:rPr>
          <w:rFonts w:ascii="Times New Roman" w:hAnsi="Times New Roman" w:cs="Times New Roman"/>
          <w:sz w:val="24"/>
          <w:szCs w:val="24"/>
        </w:rPr>
        <w:t>adamente superior al objetivo”</w:t>
      </w:r>
      <w:r>
        <w:rPr>
          <w:rFonts w:ascii="Times New Roman" w:hAnsi="Times New Roman" w:cs="Times New Roman"/>
          <w:sz w:val="24"/>
          <w:szCs w:val="24"/>
        </w:rPr>
        <w:t>.</w:t>
      </w:r>
    </w:p>
    <w:p w:rsidR="00835296" w:rsidRPr="00B30750" w:rsidRDefault="00835296" w:rsidP="00FA4DA9">
      <w:pPr>
        <w:spacing w:line="240" w:lineRule="auto"/>
        <w:jc w:val="both"/>
        <w:rPr>
          <w:rFonts w:ascii="Times New Roman" w:hAnsi="Times New Roman" w:cs="Times New Roman"/>
          <w:color w:val="FF0000"/>
          <w:sz w:val="24"/>
          <w:szCs w:val="24"/>
          <w:u w:val="single"/>
        </w:rPr>
      </w:pPr>
      <w:r w:rsidRPr="00B30750">
        <w:rPr>
          <w:rFonts w:ascii="Times New Roman" w:hAnsi="Times New Roman" w:cs="Times New Roman"/>
          <w:color w:val="FF0000"/>
          <w:sz w:val="24"/>
          <w:szCs w:val="24"/>
          <w:u w:val="single"/>
        </w:rPr>
        <w:t>La institución asimismo insiste</w:t>
      </w:r>
      <w:r w:rsidR="006678D4">
        <w:rPr>
          <w:rFonts w:ascii="Times New Roman" w:hAnsi="Times New Roman" w:cs="Times New Roman"/>
          <w:color w:val="FF0000"/>
          <w:sz w:val="24"/>
          <w:szCs w:val="24"/>
          <w:u w:val="single"/>
        </w:rPr>
        <w:t xml:space="preserve"> en que seguirá proporcionando “abundante liquidez”</w:t>
      </w:r>
      <w:r w:rsidRPr="00B30750">
        <w:rPr>
          <w:rFonts w:ascii="Times New Roman" w:hAnsi="Times New Roman" w:cs="Times New Roman"/>
          <w:color w:val="FF0000"/>
          <w:sz w:val="24"/>
          <w:szCs w:val="24"/>
          <w:u w:val="single"/>
        </w:rPr>
        <w:t xml:space="preserve"> al mercado a través de sus operaciones de financiación, en particular a través de las subastas del TLTRO III para apoyar la financiación a empresas y hogares. Unas subastas que, según ha comentado Lagarde, serán analizadas en la reunión del próximo mes de diciembre.</w:t>
      </w:r>
    </w:p>
    <w:p w:rsidR="00835296" w:rsidRPr="00B30750" w:rsidRDefault="00835296" w:rsidP="00FA4DA9">
      <w:pPr>
        <w:spacing w:line="240" w:lineRule="auto"/>
        <w:jc w:val="both"/>
        <w:rPr>
          <w:rFonts w:ascii="Times New Roman" w:hAnsi="Times New Roman" w:cs="Times New Roman"/>
          <w:color w:val="FF0000"/>
          <w:sz w:val="24"/>
          <w:szCs w:val="24"/>
          <w:u w:val="single"/>
        </w:rPr>
      </w:pPr>
      <w:r w:rsidRPr="00B30750">
        <w:rPr>
          <w:rFonts w:ascii="Times New Roman" w:hAnsi="Times New Roman" w:cs="Times New Roman"/>
          <w:color w:val="FF0000"/>
          <w:sz w:val="24"/>
          <w:szCs w:val="24"/>
          <w:u w:val="single"/>
        </w:rPr>
        <w:lastRenderedPageBreak/>
        <w:t>El BCE ha optado además por mantener intactos los tipos de interés. Así el tipo de interés principal se mantiene en el 0%, mientras la facilidad de depósito permanece en el -0,5%; y la facilidad marginal de crédito, en el 0,25%.</w:t>
      </w:r>
    </w:p>
    <w:p w:rsidR="006259D1" w:rsidRPr="00B67EA4" w:rsidRDefault="006259D1" w:rsidP="00FA4DA9">
      <w:pPr>
        <w:spacing w:line="240" w:lineRule="auto"/>
        <w:jc w:val="both"/>
        <w:rPr>
          <w:rFonts w:ascii="Times New Roman" w:hAnsi="Times New Roman" w:cs="Times New Roman"/>
          <w:color w:val="333333"/>
          <w:sz w:val="24"/>
          <w:szCs w:val="24"/>
          <w:shd w:val="clear" w:color="auto" w:fill="FFFFFF"/>
          <w:lang w:val="es-AR"/>
        </w:rPr>
      </w:pPr>
      <w:r>
        <w:rPr>
          <w:rFonts w:ascii="Times New Roman" w:hAnsi="Times New Roman" w:cs="Times New Roman"/>
          <w:color w:val="333333"/>
          <w:sz w:val="24"/>
          <w:szCs w:val="24"/>
          <w:shd w:val="clear" w:color="auto" w:fill="FFFFFF"/>
          <w:lang w:val="es-AR"/>
        </w:rPr>
        <w:t xml:space="preserve">- </w:t>
      </w:r>
      <w:r w:rsidRPr="00B67EA4">
        <w:rPr>
          <w:rFonts w:ascii="Times New Roman" w:hAnsi="Times New Roman" w:cs="Times New Roman"/>
          <w:color w:val="333333"/>
          <w:sz w:val="24"/>
          <w:szCs w:val="24"/>
          <w:u w:val="single"/>
          <w:shd w:val="clear" w:color="auto" w:fill="FFFFFF"/>
          <w:lang w:val="es-AR"/>
        </w:rPr>
        <w:t>El IIF avisa de que se está creando un espejismo en la deuda con la intervención del BCE y la Fed</w:t>
      </w:r>
      <w:r>
        <w:rPr>
          <w:rFonts w:ascii="Times New Roman" w:hAnsi="Times New Roman" w:cs="Times New Roman"/>
          <w:color w:val="333333"/>
          <w:sz w:val="24"/>
          <w:szCs w:val="24"/>
          <w:shd w:val="clear" w:color="auto" w:fill="FFFFFF"/>
          <w:lang w:val="es-AR"/>
        </w:rPr>
        <w:t xml:space="preserve"> (El Economista - </w:t>
      </w:r>
      <w:r w:rsidRPr="00B67EA4">
        <w:rPr>
          <w:rFonts w:ascii="Times New Roman" w:hAnsi="Times New Roman" w:cs="Times New Roman"/>
          <w:b/>
          <w:color w:val="333333"/>
          <w:sz w:val="24"/>
          <w:szCs w:val="24"/>
          <w:shd w:val="clear" w:color="auto" w:fill="FFFFFF"/>
          <w:lang w:val="es-AR"/>
        </w:rPr>
        <w:t>10/9/21</w:t>
      </w:r>
      <w:r>
        <w:rPr>
          <w:rFonts w:ascii="Times New Roman" w:hAnsi="Times New Roman" w:cs="Times New Roman"/>
          <w:color w:val="333333"/>
          <w:sz w:val="24"/>
          <w:szCs w:val="24"/>
          <w:shd w:val="clear" w:color="auto" w:fill="FFFFFF"/>
          <w:lang w:val="es-AR"/>
        </w:rPr>
        <w:t>)</w:t>
      </w:r>
    </w:p>
    <w:p w:rsidR="006259D1" w:rsidRPr="001F633E" w:rsidRDefault="006259D1" w:rsidP="00FA4DA9">
      <w:pPr>
        <w:spacing w:line="240" w:lineRule="auto"/>
        <w:jc w:val="both"/>
        <w:rPr>
          <w:rFonts w:ascii="Times New Roman" w:hAnsi="Times New Roman" w:cs="Times New Roman"/>
          <w:color w:val="333333"/>
          <w:sz w:val="24"/>
          <w:szCs w:val="24"/>
          <w:u w:val="single"/>
          <w:shd w:val="clear" w:color="auto" w:fill="FFFFFF"/>
          <w:lang w:val="es-AR"/>
        </w:rPr>
      </w:pPr>
      <w:r w:rsidRPr="001F633E">
        <w:rPr>
          <w:rFonts w:ascii="Times New Roman" w:hAnsi="Times New Roman" w:cs="Times New Roman"/>
          <w:color w:val="333333"/>
          <w:sz w:val="24"/>
          <w:szCs w:val="24"/>
          <w:u w:val="single"/>
          <w:shd w:val="clear" w:color="auto" w:fill="FFFFFF"/>
          <w:lang w:val="es-AR"/>
        </w:rPr>
        <w:t>Antes de la crisis financiera de 2007, los grandes bancos centrales solo intervenían en los mercados de deuda para realizar operaciones de muy corta duración (una noche, una semana...) que ayudasen a mantener los interés principales en su sitio. Los balances de estas instituciones ni se acercaban al billón de euros/dólares. Sin embargo, hoy la situación es muy diferente. La intervención de la banca central se ha multiplicado generando la falsa sensación en los gobiernos de que el endeudamiento no tiene límites ni consecuencias.</w:t>
      </w:r>
    </w:p>
    <w:p w:rsidR="006259D1" w:rsidRPr="001F633E" w:rsidRDefault="006259D1" w:rsidP="00FA4DA9">
      <w:pPr>
        <w:spacing w:line="240" w:lineRule="auto"/>
        <w:jc w:val="both"/>
        <w:rPr>
          <w:rFonts w:ascii="Times New Roman" w:hAnsi="Times New Roman" w:cs="Times New Roman"/>
          <w:b/>
          <w:color w:val="FF0000"/>
          <w:sz w:val="24"/>
          <w:szCs w:val="24"/>
          <w:u w:val="single"/>
          <w:shd w:val="clear" w:color="auto" w:fill="FFFFFF"/>
          <w:lang w:val="es-AR"/>
        </w:rPr>
      </w:pPr>
      <w:r w:rsidRPr="001F633E">
        <w:rPr>
          <w:rFonts w:ascii="Times New Roman" w:hAnsi="Times New Roman" w:cs="Times New Roman"/>
          <w:b/>
          <w:color w:val="FF0000"/>
          <w:sz w:val="24"/>
          <w:szCs w:val="24"/>
          <w:u w:val="single"/>
          <w:shd w:val="clear" w:color="auto" w:fill="FFFFFF"/>
          <w:lang w:val="es-AR"/>
        </w:rPr>
        <w:t xml:space="preserve">Con datos de finales de agosto, el Banco Central Europeo acumula en su balance más de 8 billones de euros en activos (seis veces el PIB de España), mientras que la Reserva Federal también supera los 8 billones de dólares. El resultado son unos tipos de interés muy </w:t>
      </w:r>
      <w:r w:rsidR="006678D4">
        <w:rPr>
          <w:rFonts w:ascii="Times New Roman" w:hAnsi="Times New Roman" w:cs="Times New Roman"/>
          <w:b/>
          <w:color w:val="FF0000"/>
          <w:sz w:val="24"/>
          <w:szCs w:val="24"/>
          <w:u w:val="single"/>
          <w:shd w:val="clear" w:color="auto" w:fill="FFFFFF"/>
          <w:lang w:val="es-AR"/>
        </w:rPr>
        <w:t>bajos y unos mercados de deuda “dopados”</w:t>
      </w:r>
      <w:r w:rsidRPr="001F633E">
        <w:rPr>
          <w:rFonts w:ascii="Times New Roman" w:hAnsi="Times New Roman" w:cs="Times New Roman"/>
          <w:b/>
          <w:color w:val="FF0000"/>
          <w:sz w:val="24"/>
          <w:szCs w:val="24"/>
          <w:u w:val="single"/>
          <w:shd w:val="clear" w:color="auto" w:fill="FFFFFF"/>
          <w:lang w:val="es-AR"/>
        </w:rPr>
        <w:t xml:space="preserve"> que han dejado de responder a los fundamentales de la economía, generando una calma relativamente artificial.</w:t>
      </w:r>
    </w:p>
    <w:p w:rsidR="006259D1" w:rsidRPr="00B67EA4" w:rsidRDefault="006259D1" w:rsidP="00FA4DA9">
      <w:pPr>
        <w:spacing w:line="240" w:lineRule="auto"/>
        <w:jc w:val="both"/>
        <w:rPr>
          <w:rFonts w:ascii="Times New Roman" w:hAnsi="Times New Roman" w:cs="Times New Roman"/>
          <w:color w:val="333333"/>
          <w:sz w:val="24"/>
          <w:szCs w:val="24"/>
          <w:shd w:val="clear" w:color="auto" w:fill="FFFFFF"/>
          <w:lang w:val="es-AR"/>
        </w:rPr>
      </w:pPr>
      <w:r w:rsidRPr="00B67EA4">
        <w:rPr>
          <w:rFonts w:ascii="Times New Roman" w:hAnsi="Times New Roman" w:cs="Times New Roman"/>
          <w:noProof/>
          <w:color w:val="333333"/>
          <w:sz w:val="24"/>
          <w:szCs w:val="24"/>
          <w:shd w:val="clear" w:color="auto" w:fill="FFFFFF"/>
          <w:lang w:eastAsia="es-ES"/>
        </w:rPr>
        <w:drawing>
          <wp:inline distT="0" distB="0" distL="0" distR="0" wp14:anchorId="6B69CF52" wp14:editId="55436B62">
            <wp:extent cx="5732117" cy="4394200"/>
            <wp:effectExtent l="0" t="0" r="2540" b="635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3"/>
                    <a:stretch>
                      <a:fillRect/>
                    </a:stretch>
                  </pic:blipFill>
                  <pic:spPr>
                    <a:xfrm>
                      <a:off x="0" y="0"/>
                      <a:ext cx="5731510" cy="4393735"/>
                    </a:xfrm>
                    <a:prstGeom prst="rect">
                      <a:avLst/>
                    </a:prstGeom>
                  </pic:spPr>
                </pic:pic>
              </a:graphicData>
            </a:graphic>
          </wp:inline>
        </w:drawing>
      </w:r>
    </w:p>
    <w:p w:rsidR="006259D1" w:rsidRPr="00B67EA4" w:rsidRDefault="006259D1" w:rsidP="00FA4DA9">
      <w:pPr>
        <w:spacing w:line="240" w:lineRule="auto"/>
        <w:jc w:val="both"/>
        <w:rPr>
          <w:rFonts w:ascii="Times New Roman" w:hAnsi="Times New Roman" w:cs="Times New Roman"/>
          <w:color w:val="333333"/>
          <w:sz w:val="24"/>
          <w:szCs w:val="24"/>
          <w:shd w:val="clear" w:color="auto" w:fill="FFFFFF"/>
          <w:lang w:val="es-AR"/>
        </w:rPr>
      </w:pPr>
      <w:r w:rsidRPr="00B67EA4">
        <w:rPr>
          <w:rFonts w:ascii="Times New Roman" w:hAnsi="Times New Roman" w:cs="Times New Roman"/>
          <w:color w:val="333333"/>
          <w:sz w:val="24"/>
          <w:szCs w:val="24"/>
          <w:shd w:val="clear" w:color="auto" w:fill="FFFFFF"/>
          <w:lang w:val="es-AR"/>
        </w:rPr>
        <w:t>Deuda pública sobre PIB por país</w:t>
      </w:r>
    </w:p>
    <w:p w:rsidR="006259D1" w:rsidRPr="001F633E" w:rsidRDefault="006259D1" w:rsidP="00FA4DA9">
      <w:pPr>
        <w:spacing w:line="240" w:lineRule="auto"/>
        <w:jc w:val="both"/>
        <w:rPr>
          <w:rFonts w:ascii="Times New Roman" w:hAnsi="Times New Roman" w:cs="Times New Roman"/>
          <w:color w:val="333333"/>
          <w:sz w:val="24"/>
          <w:szCs w:val="24"/>
          <w:u w:val="single"/>
          <w:shd w:val="clear" w:color="auto" w:fill="FFFFFF"/>
          <w:lang w:val="es-AR"/>
        </w:rPr>
      </w:pPr>
      <w:r w:rsidRPr="001F633E">
        <w:rPr>
          <w:rFonts w:ascii="Times New Roman" w:hAnsi="Times New Roman" w:cs="Times New Roman"/>
          <w:color w:val="333333"/>
          <w:sz w:val="24"/>
          <w:szCs w:val="24"/>
          <w:u w:val="single"/>
          <w:shd w:val="clear" w:color="auto" w:fill="FFFFFF"/>
          <w:lang w:val="es-AR"/>
        </w:rPr>
        <w:t>Desde el Institute of International Finance (IIF) han analizado la evolución de la rentabilidad de la deuda en los últimos años y e</w:t>
      </w:r>
      <w:r w:rsidR="006678D4">
        <w:rPr>
          <w:rFonts w:ascii="Times New Roman" w:hAnsi="Times New Roman" w:cs="Times New Roman"/>
          <w:color w:val="333333"/>
          <w:sz w:val="24"/>
          <w:szCs w:val="24"/>
          <w:u w:val="single"/>
          <w:shd w:val="clear" w:color="auto" w:fill="FFFFFF"/>
          <w:lang w:val="es-AR"/>
        </w:rPr>
        <w:t>l impacto que tenían los datos “macro”</w:t>
      </w:r>
      <w:r w:rsidRPr="001F633E">
        <w:rPr>
          <w:rFonts w:ascii="Times New Roman" w:hAnsi="Times New Roman" w:cs="Times New Roman"/>
          <w:color w:val="333333"/>
          <w:sz w:val="24"/>
          <w:szCs w:val="24"/>
          <w:u w:val="single"/>
          <w:shd w:val="clear" w:color="auto" w:fill="FFFFFF"/>
          <w:lang w:val="es-AR"/>
        </w:rPr>
        <w:t xml:space="preserve"> en esos rendimientos</w:t>
      </w:r>
      <w:r w:rsidRPr="00B67EA4">
        <w:rPr>
          <w:rFonts w:ascii="Times New Roman" w:hAnsi="Times New Roman" w:cs="Times New Roman"/>
          <w:color w:val="333333"/>
          <w:sz w:val="24"/>
          <w:szCs w:val="24"/>
          <w:shd w:val="clear" w:color="auto" w:fill="FFFFFF"/>
          <w:lang w:val="es-AR"/>
        </w:rPr>
        <w:t>. Estos exp</w:t>
      </w:r>
      <w:r w:rsidR="00324F4A">
        <w:rPr>
          <w:rFonts w:ascii="Times New Roman" w:hAnsi="Times New Roman" w:cs="Times New Roman"/>
          <w:color w:val="333333"/>
          <w:sz w:val="24"/>
          <w:szCs w:val="24"/>
          <w:shd w:val="clear" w:color="auto" w:fill="FFFFFF"/>
          <w:lang w:val="es-AR"/>
        </w:rPr>
        <w:t>ertos han usado el consenso de B</w:t>
      </w:r>
      <w:r w:rsidRPr="00B67EA4">
        <w:rPr>
          <w:rFonts w:ascii="Times New Roman" w:hAnsi="Times New Roman" w:cs="Times New Roman"/>
          <w:color w:val="333333"/>
          <w:sz w:val="24"/>
          <w:szCs w:val="24"/>
          <w:shd w:val="clear" w:color="auto" w:fill="FFFFFF"/>
          <w:lang w:val="es-AR"/>
        </w:rPr>
        <w:t xml:space="preserve">loomberg para establecer una desviación estándar según se alejasen los indicadores económicos de ese consenso del </w:t>
      </w:r>
      <w:r w:rsidRPr="00B67EA4">
        <w:rPr>
          <w:rFonts w:ascii="Times New Roman" w:hAnsi="Times New Roman" w:cs="Times New Roman"/>
          <w:color w:val="333333"/>
          <w:sz w:val="24"/>
          <w:szCs w:val="24"/>
          <w:shd w:val="clear" w:color="auto" w:fill="FFFFFF"/>
          <w:lang w:val="es-AR"/>
        </w:rPr>
        <w:lastRenderedPageBreak/>
        <w:t xml:space="preserve">mercado. </w:t>
      </w:r>
      <w:r w:rsidRPr="001F633E">
        <w:rPr>
          <w:rFonts w:ascii="Times New Roman" w:hAnsi="Times New Roman" w:cs="Times New Roman"/>
          <w:color w:val="333333"/>
          <w:sz w:val="24"/>
          <w:szCs w:val="24"/>
          <w:u w:val="single"/>
          <w:shd w:val="clear" w:color="auto" w:fill="FFFFFF"/>
          <w:lang w:val="es-AR"/>
        </w:rPr>
        <w:t xml:space="preserve">Es decir, estos economistas han analizado cómo se mueve la deuda cuando los datos son mejor o peor de lo esperado. </w:t>
      </w:r>
    </w:p>
    <w:p w:rsidR="006259D1" w:rsidRPr="001F633E" w:rsidRDefault="006259D1" w:rsidP="00FA4DA9">
      <w:pPr>
        <w:spacing w:line="240" w:lineRule="auto"/>
        <w:jc w:val="both"/>
        <w:rPr>
          <w:rFonts w:ascii="Times New Roman" w:hAnsi="Times New Roman" w:cs="Times New Roman"/>
          <w:color w:val="FF0000"/>
          <w:sz w:val="24"/>
          <w:szCs w:val="24"/>
          <w:u w:val="single"/>
          <w:shd w:val="clear" w:color="auto" w:fill="FFFFFF"/>
          <w:lang w:val="es-AR"/>
        </w:rPr>
      </w:pPr>
      <w:r w:rsidRPr="001F633E">
        <w:rPr>
          <w:rFonts w:ascii="Times New Roman" w:hAnsi="Times New Roman" w:cs="Times New Roman"/>
          <w:color w:val="FF0000"/>
          <w:sz w:val="24"/>
          <w:szCs w:val="24"/>
          <w:u w:val="single"/>
          <w:shd w:val="clear" w:color="auto" w:fill="FFFFFF"/>
          <w:lang w:val="es-AR"/>
        </w:rPr>
        <w:t>De este modo, los economistas del IIF quieren comprobar si los bajos tipos de interés actuales son sinónimo de que los países desarrollados aún cuentan con un elevado margen fiscal para seguir gastando y acumulando deuda pública o si, por el contrario, se debe a una mala valoración que está otorgando a la deuda unos precios muy altos (intereses bajos).</w:t>
      </w:r>
    </w:p>
    <w:p w:rsidR="006259D1" w:rsidRPr="001F633E" w:rsidRDefault="006D2378" w:rsidP="00FA4DA9">
      <w:pPr>
        <w:spacing w:line="240" w:lineRule="auto"/>
        <w:jc w:val="both"/>
        <w:rPr>
          <w:rFonts w:ascii="Times New Roman" w:hAnsi="Times New Roman" w:cs="Times New Roman"/>
          <w:color w:val="FF0000"/>
          <w:sz w:val="24"/>
          <w:szCs w:val="24"/>
          <w:u w:val="single"/>
          <w:shd w:val="clear" w:color="auto" w:fill="FFFFFF"/>
          <w:lang w:val="es-AR"/>
        </w:rPr>
      </w:pPr>
      <w:r>
        <w:rPr>
          <w:rFonts w:ascii="Times New Roman" w:hAnsi="Times New Roman" w:cs="Times New Roman"/>
          <w:color w:val="FF0000"/>
          <w:sz w:val="24"/>
          <w:szCs w:val="24"/>
          <w:u w:val="single"/>
          <w:shd w:val="clear" w:color="auto" w:fill="FFFFFF"/>
          <w:lang w:val="es-AR"/>
        </w:rPr>
        <w:t>“</w:t>
      </w:r>
      <w:r w:rsidR="006259D1" w:rsidRPr="001F633E">
        <w:rPr>
          <w:rFonts w:ascii="Times New Roman" w:hAnsi="Times New Roman" w:cs="Times New Roman"/>
          <w:color w:val="FF0000"/>
          <w:sz w:val="24"/>
          <w:szCs w:val="24"/>
          <w:u w:val="single"/>
          <w:shd w:val="clear" w:color="auto" w:fill="FFFFFF"/>
          <w:lang w:val="es-AR"/>
        </w:rPr>
        <w:t>Concluimos que los bajos rendimientos ex</w:t>
      </w:r>
      <w:r>
        <w:rPr>
          <w:rFonts w:ascii="Times New Roman" w:hAnsi="Times New Roman" w:cs="Times New Roman"/>
          <w:color w:val="FF0000"/>
          <w:sz w:val="24"/>
          <w:szCs w:val="24"/>
          <w:u w:val="single"/>
          <w:shd w:val="clear" w:color="auto" w:fill="FFFFFF"/>
          <w:lang w:val="es-AR"/>
        </w:rPr>
        <w:t>ageran el “espacio fiscal”</w:t>
      </w:r>
      <w:r w:rsidR="006259D1" w:rsidRPr="001F633E">
        <w:rPr>
          <w:rFonts w:ascii="Times New Roman" w:hAnsi="Times New Roman" w:cs="Times New Roman"/>
          <w:color w:val="FF0000"/>
          <w:sz w:val="24"/>
          <w:szCs w:val="24"/>
          <w:u w:val="single"/>
          <w:shd w:val="clear" w:color="auto" w:fill="FFFFFF"/>
          <w:lang w:val="es-AR"/>
        </w:rPr>
        <w:t xml:space="preserve">, dado que, especialmente en la periferia del euro, el QE (programa de compra de bonos) del BCE está, esencialmente, financiando casi toda la emisión de deuda, y algunos países tienen </w:t>
      </w:r>
      <w:r>
        <w:rPr>
          <w:rFonts w:ascii="Times New Roman" w:hAnsi="Times New Roman" w:cs="Times New Roman"/>
          <w:color w:val="FF0000"/>
          <w:sz w:val="24"/>
          <w:szCs w:val="24"/>
          <w:u w:val="single"/>
          <w:shd w:val="clear" w:color="auto" w:fill="FFFFFF"/>
          <w:lang w:val="es-AR"/>
        </w:rPr>
        <w:t>de facto poco acceso al mercado”</w:t>
      </w:r>
      <w:r w:rsidR="006259D1" w:rsidRPr="001F633E">
        <w:rPr>
          <w:rFonts w:ascii="Times New Roman" w:hAnsi="Times New Roman" w:cs="Times New Roman"/>
          <w:color w:val="FF0000"/>
          <w:sz w:val="24"/>
          <w:szCs w:val="24"/>
          <w:u w:val="single"/>
          <w:shd w:val="clear" w:color="auto" w:fill="FFFFFF"/>
          <w:lang w:val="es-AR"/>
        </w:rPr>
        <w:t>, aseguran estos expertos.</w:t>
      </w:r>
    </w:p>
    <w:p w:rsidR="006259D1" w:rsidRPr="00B67EA4" w:rsidRDefault="006259D1" w:rsidP="00FA4DA9">
      <w:pPr>
        <w:spacing w:line="240" w:lineRule="auto"/>
        <w:jc w:val="both"/>
        <w:rPr>
          <w:rFonts w:ascii="Times New Roman" w:hAnsi="Times New Roman" w:cs="Times New Roman"/>
          <w:color w:val="333333"/>
          <w:sz w:val="24"/>
          <w:szCs w:val="24"/>
          <w:shd w:val="clear" w:color="auto" w:fill="FFFFFF"/>
          <w:lang w:val="es-AR"/>
        </w:rPr>
      </w:pPr>
      <w:r w:rsidRPr="00B67EA4">
        <w:rPr>
          <w:rFonts w:ascii="Times New Roman" w:hAnsi="Times New Roman" w:cs="Times New Roman"/>
          <w:noProof/>
          <w:color w:val="333333"/>
          <w:sz w:val="24"/>
          <w:szCs w:val="24"/>
          <w:shd w:val="clear" w:color="auto" w:fill="FFFFFF"/>
          <w:lang w:eastAsia="es-ES"/>
        </w:rPr>
        <w:drawing>
          <wp:inline distT="0" distB="0" distL="0" distR="0" wp14:anchorId="167B6C57" wp14:editId="17F80200">
            <wp:extent cx="5731510" cy="5042627"/>
            <wp:effectExtent l="0" t="0" r="2540" b="5715"/>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4"/>
                    <a:stretch>
                      <a:fillRect/>
                    </a:stretch>
                  </pic:blipFill>
                  <pic:spPr>
                    <a:xfrm>
                      <a:off x="0" y="0"/>
                      <a:ext cx="5731510" cy="5042627"/>
                    </a:xfrm>
                    <a:prstGeom prst="rect">
                      <a:avLst/>
                    </a:prstGeom>
                  </pic:spPr>
                </pic:pic>
              </a:graphicData>
            </a:graphic>
          </wp:inline>
        </w:drawing>
      </w:r>
    </w:p>
    <w:p w:rsidR="006259D1" w:rsidRPr="00B67EA4" w:rsidRDefault="006259D1" w:rsidP="00FA4DA9">
      <w:pPr>
        <w:spacing w:line="240" w:lineRule="auto"/>
        <w:jc w:val="both"/>
        <w:rPr>
          <w:rFonts w:ascii="Times New Roman" w:hAnsi="Times New Roman" w:cs="Times New Roman"/>
          <w:color w:val="333333"/>
          <w:sz w:val="24"/>
          <w:szCs w:val="24"/>
          <w:shd w:val="clear" w:color="auto" w:fill="FFFFFF"/>
          <w:lang w:val="es-AR"/>
        </w:rPr>
      </w:pPr>
      <w:r w:rsidRPr="00B67EA4">
        <w:rPr>
          <w:rFonts w:ascii="Times New Roman" w:hAnsi="Times New Roman" w:cs="Times New Roman"/>
          <w:color w:val="333333"/>
          <w:sz w:val="24"/>
          <w:szCs w:val="24"/>
          <w:shd w:val="clear" w:color="auto" w:fill="FFFFFF"/>
          <w:lang w:val="es-AR"/>
        </w:rPr>
        <w:t>La deuda se dispara durante el covid</w:t>
      </w:r>
    </w:p>
    <w:p w:rsidR="006259D1" w:rsidRPr="001F633E" w:rsidRDefault="006259D1" w:rsidP="00FA4DA9">
      <w:pPr>
        <w:spacing w:line="240" w:lineRule="auto"/>
        <w:jc w:val="both"/>
        <w:rPr>
          <w:rFonts w:ascii="Times New Roman" w:hAnsi="Times New Roman" w:cs="Times New Roman"/>
          <w:color w:val="333333"/>
          <w:sz w:val="24"/>
          <w:szCs w:val="24"/>
          <w:u w:val="single"/>
          <w:shd w:val="clear" w:color="auto" w:fill="FFFFFF"/>
          <w:lang w:val="es-AR"/>
        </w:rPr>
      </w:pPr>
      <w:r w:rsidRPr="001F633E">
        <w:rPr>
          <w:rFonts w:ascii="Times New Roman" w:hAnsi="Times New Roman" w:cs="Times New Roman"/>
          <w:color w:val="333333"/>
          <w:sz w:val="24"/>
          <w:szCs w:val="24"/>
          <w:u w:val="single"/>
          <w:shd w:val="clear" w:color="auto" w:fill="FFFFFF"/>
          <w:lang w:val="es-AR"/>
        </w:rPr>
        <w:t>La deuda pública en la zona euro se ha disparado de un año para otro en casi quince puntos de PIB, siendo los países con unas finanzas más dañadas los que han llevado buena parte del peso</w:t>
      </w:r>
      <w:r w:rsidRPr="00B67EA4">
        <w:rPr>
          <w:rFonts w:ascii="Times New Roman" w:hAnsi="Times New Roman" w:cs="Times New Roman"/>
          <w:color w:val="333333"/>
          <w:sz w:val="24"/>
          <w:szCs w:val="24"/>
          <w:shd w:val="clear" w:color="auto" w:fill="FFFFFF"/>
          <w:lang w:val="es-AR"/>
        </w:rPr>
        <w:t xml:space="preserve">. Como se puede ver en el gráfico, Chipre, Grecia, España, Italia y Portugal son los que registran mayores incrementos de deuda entre 2020 y 2021, sin embargo los tipos de interés de la deuda soberana se han mantenido a la baja. </w:t>
      </w:r>
      <w:r w:rsidRPr="001F633E">
        <w:rPr>
          <w:rFonts w:ascii="Times New Roman" w:hAnsi="Times New Roman" w:cs="Times New Roman"/>
          <w:color w:val="333333"/>
          <w:sz w:val="24"/>
          <w:szCs w:val="24"/>
          <w:u w:val="single"/>
          <w:shd w:val="clear" w:color="auto" w:fill="FFFFFF"/>
          <w:lang w:val="es-AR"/>
        </w:rPr>
        <w:t>Mientras que la deuda se dispara en los países que ya estaban más endeudados, la prima de riesgo baja. El BCE tiene casi todo el mérito de esta tendencia.</w:t>
      </w:r>
    </w:p>
    <w:p w:rsidR="006259D1" w:rsidRPr="001F633E" w:rsidRDefault="006259D1" w:rsidP="00FA4DA9">
      <w:pPr>
        <w:spacing w:line="240" w:lineRule="auto"/>
        <w:jc w:val="both"/>
        <w:rPr>
          <w:rFonts w:ascii="Times New Roman" w:hAnsi="Times New Roman" w:cs="Times New Roman"/>
          <w:color w:val="FF0000"/>
          <w:sz w:val="24"/>
          <w:szCs w:val="24"/>
          <w:u w:val="single"/>
          <w:shd w:val="clear" w:color="auto" w:fill="FFFFFF"/>
          <w:lang w:val="es-AR"/>
        </w:rPr>
      </w:pPr>
      <w:r w:rsidRPr="001F633E">
        <w:rPr>
          <w:rFonts w:ascii="Times New Roman" w:hAnsi="Times New Roman" w:cs="Times New Roman"/>
          <w:color w:val="FF0000"/>
          <w:sz w:val="24"/>
          <w:szCs w:val="24"/>
          <w:u w:val="single"/>
          <w:shd w:val="clear" w:color="auto" w:fill="FFFFFF"/>
          <w:lang w:val="es-AR"/>
        </w:rPr>
        <w:lastRenderedPageBreak/>
        <w:t>Es más, Robin Brooks, Jonathan Fortun y Jack Pingle, aut</w:t>
      </w:r>
      <w:r w:rsidR="002177AA">
        <w:rPr>
          <w:rFonts w:ascii="Times New Roman" w:hAnsi="Times New Roman" w:cs="Times New Roman"/>
          <w:color w:val="FF0000"/>
          <w:sz w:val="24"/>
          <w:szCs w:val="24"/>
          <w:u w:val="single"/>
          <w:shd w:val="clear" w:color="auto" w:fill="FFFFFF"/>
          <w:lang w:val="es-AR"/>
        </w:rPr>
        <w:t>ores del informe, recalcan que “</w:t>
      </w:r>
      <w:r w:rsidRPr="001F633E">
        <w:rPr>
          <w:rFonts w:ascii="Times New Roman" w:hAnsi="Times New Roman" w:cs="Times New Roman"/>
          <w:color w:val="FF0000"/>
          <w:sz w:val="24"/>
          <w:szCs w:val="24"/>
          <w:u w:val="single"/>
          <w:shd w:val="clear" w:color="auto" w:fill="FFFFFF"/>
          <w:lang w:val="es-AR"/>
        </w:rPr>
        <w:t>de hecho, los inversores extranjeros han aprovechado el QE del BCE para vender sus posesiones de deuda soberana de Italia y Grecia, lo que es difícil de concil</w:t>
      </w:r>
      <w:r w:rsidR="002177AA">
        <w:rPr>
          <w:rFonts w:ascii="Times New Roman" w:hAnsi="Times New Roman" w:cs="Times New Roman"/>
          <w:color w:val="FF0000"/>
          <w:sz w:val="24"/>
          <w:szCs w:val="24"/>
          <w:u w:val="single"/>
          <w:shd w:val="clear" w:color="auto" w:fill="FFFFFF"/>
          <w:lang w:val="es-AR"/>
        </w:rPr>
        <w:t>iar con la hipótesis de que el “espacio fiscal” sigue siendo amplio”</w:t>
      </w:r>
      <w:r w:rsidRPr="001F633E">
        <w:rPr>
          <w:rFonts w:ascii="Times New Roman" w:hAnsi="Times New Roman" w:cs="Times New Roman"/>
          <w:color w:val="FF0000"/>
          <w:sz w:val="24"/>
          <w:szCs w:val="24"/>
          <w:u w:val="single"/>
          <w:shd w:val="clear" w:color="auto" w:fill="FFFFFF"/>
          <w:lang w:val="es-AR"/>
        </w:rPr>
        <w:t>.</w:t>
      </w:r>
    </w:p>
    <w:p w:rsidR="006259D1" w:rsidRDefault="006259D1" w:rsidP="00FA4DA9">
      <w:pPr>
        <w:spacing w:line="240" w:lineRule="auto"/>
        <w:jc w:val="both"/>
        <w:rPr>
          <w:rFonts w:ascii="Times New Roman" w:hAnsi="Times New Roman" w:cs="Times New Roman"/>
          <w:color w:val="FF0000"/>
          <w:sz w:val="24"/>
          <w:szCs w:val="24"/>
          <w:u w:val="single"/>
          <w:shd w:val="clear" w:color="auto" w:fill="FFFFFF"/>
          <w:lang w:val="es-AR"/>
        </w:rPr>
      </w:pPr>
      <w:r w:rsidRPr="001F633E">
        <w:rPr>
          <w:rFonts w:ascii="Times New Roman" w:hAnsi="Times New Roman" w:cs="Times New Roman"/>
          <w:color w:val="FF0000"/>
          <w:sz w:val="24"/>
          <w:szCs w:val="24"/>
          <w:u w:val="single"/>
          <w:shd w:val="clear" w:color="auto" w:fill="FFFFFF"/>
          <w:lang w:val="es-AR"/>
        </w:rPr>
        <w:t>De este modo, el IFF cree que se puede haber producido un desacoplamiento temporal entre los bonos y los fundamentales de la economía o que quizá los mercados no prestan tanta atención a los indicado</w:t>
      </w:r>
      <w:r w:rsidR="002177AA">
        <w:rPr>
          <w:rFonts w:ascii="Times New Roman" w:hAnsi="Times New Roman" w:cs="Times New Roman"/>
          <w:color w:val="FF0000"/>
          <w:sz w:val="24"/>
          <w:szCs w:val="24"/>
          <w:u w:val="single"/>
          <w:shd w:val="clear" w:color="auto" w:fill="FFFFFF"/>
          <w:lang w:val="es-AR"/>
        </w:rPr>
        <w:t>res económicos por el excesivo “ruido”</w:t>
      </w:r>
      <w:r w:rsidRPr="001F633E">
        <w:rPr>
          <w:rFonts w:ascii="Times New Roman" w:hAnsi="Times New Roman" w:cs="Times New Roman"/>
          <w:color w:val="FF0000"/>
          <w:sz w:val="24"/>
          <w:szCs w:val="24"/>
          <w:u w:val="single"/>
          <w:shd w:val="clear" w:color="auto" w:fill="FFFFFF"/>
          <w:lang w:val="es-AR"/>
        </w:rPr>
        <w:t xml:space="preserve"> que genera el covid. Durante la pandemia, los indicadores se han convertido en una suerte de montaña rusa que poco tiene que ver con las previsiones a largo plazo de la economía. </w:t>
      </w:r>
    </w:p>
    <w:p w:rsidR="006259D1" w:rsidRPr="00B67EA4" w:rsidRDefault="006259D1" w:rsidP="00FA4DA9">
      <w:pPr>
        <w:spacing w:line="240" w:lineRule="auto"/>
        <w:jc w:val="both"/>
        <w:rPr>
          <w:rFonts w:ascii="Times New Roman" w:hAnsi="Times New Roman" w:cs="Times New Roman"/>
          <w:color w:val="333333"/>
          <w:sz w:val="24"/>
          <w:szCs w:val="24"/>
          <w:shd w:val="clear" w:color="auto" w:fill="FFFFFF"/>
          <w:lang w:val="es-AR"/>
        </w:rPr>
      </w:pPr>
      <w:r w:rsidRPr="00B67EA4">
        <w:rPr>
          <w:rFonts w:ascii="Times New Roman" w:hAnsi="Times New Roman" w:cs="Times New Roman"/>
          <w:color w:val="333333"/>
          <w:sz w:val="24"/>
          <w:szCs w:val="24"/>
          <w:shd w:val="clear" w:color="auto" w:fill="FFFFFF"/>
          <w:lang w:val="es-AR"/>
        </w:rPr>
        <w:t>¿Ruido o precio incorrecto?</w:t>
      </w:r>
    </w:p>
    <w:p w:rsidR="006259D1" w:rsidRPr="002177AA" w:rsidRDefault="002177AA" w:rsidP="00FA4DA9">
      <w:pPr>
        <w:spacing w:line="240" w:lineRule="auto"/>
        <w:jc w:val="both"/>
        <w:rPr>
          <w:rFonts w:ascii="Times New Roman" w:hAnsi="Times New Roman" w:cs="Times New Roman"/>
          <w:color w:val="FF0000"/>
          <w:sz w:val="24"/>
          <w:szCs w:val="24"/>
          <w:u w:val="single"/>
          <w:shd w:val="clear" w:color="auto" w:fill="FFFFFF"/>
          <w:lang w:val="es-AR"/>
        </w:rPr>
      </w:pPr>
      <w:r w:rsidRPr="002177AA">
        <w:rPr>
          <w:rFonts w:ascii="Times New Roman" w:hAnsi="Times New Roman" w:cs="Times New Roman"/>
          <w:color w:val="FF0000"/>
          <w:sz w:val="24"/>
          <w:szCs w:val="24"/>
          <w:u w:val="single"/>
          <w:shd w:val="clear" w:color="auto" w:fill="FFFFFF"/>
          <w:lang w:val="es-AR"/>
        </w:rPr>
        <w:t>“</w:t>
      </w:r>
      <w:r w:rsidR="006259D1" w:rsidRPr="002177AA">
        <w:rPr>
          <w:rFonts w:ascii="Times New Roman" w:hAnsi="Times New Roman" w:cs="Times New Roman"/>
          <w:color w:val="FF0000"/>
          <w:sz w:val="24"/>
          <w:szCs w:val="24"/>
          <w:u w:val="single"/>
          <w:shd w:val="clear" w:color="auto" w:fill="FFFFFF"/>
          <w:lang w:val="es-AR"/>
        </w:rPr>
        <w:t>Nuestro estudio muestra que las sorpresas en los datos han jugado un papel pequeño a la hora de mover los rendimientos durante gran parte de 2021 en la Eurozona. Una posibilidad es que los mercados simplemente estén ignorando los datos ruidosos durante la reapertura posterior al covid y la incertidumbre considerable en torno a la variante delta. Otra es que esta desvinculación es temporal y que los bajos rendimientos estén</w:t>
      </w:r>
      <w:r w:rsidRPr="002177AA">
        <w:rPr>
          <w:rFonts w:ascii="Times New Roman" w:hAnsi="Times New Roman" w:cs="Times New Roman"/>
          <w:color w:val="FF0000"/>
          <w:sz w:val="24"/>
          <w:szCs w:val="24"/>
          <w:u w:val="single"/>
          <w:shd w:val="clear" w:color="auto" w:fill="FFFFFF"/>
          <w:lang w:val="es-AR"/>
        </w:rPr>
        <w:t xml:space="preserve"> mostrando un precio incorrecto”</w:t>
      </w:r>
      <w:r w:rsidR="006259D1" w:rsidRPr="002177AA">
        <w:rPr>
          <w:rFonts w:ascii="Times New Roman" w:hAnsi="Times New Roman" w:cs="Times New Roman"/>
          <w:color w:val="FF0000"/>
          <w:sz w:val="24"/>
          <w:szCs w:val="24"/>
          <w:u w:val="single"/>
          <w:shd w:val="clear" w:color="auto" w:fill="FFFFFF"/>
          <w:lang w:val="es-AR"/>
        </w:rPr>
        <w:t>, advierten los analistas del IFF.</w:t>
      </w:r>
    </w:p>
    <w:p w:rsidR="006259D1" w:rsidRPr="002177AA" w:rsidRDefault="006259D1" w:rsidP="00FA4DA9">
      <w:pPr>
        <w:spacing w:line="240" w:lineRule="auto"/>
        <w:jc w:val="both"/>
        <w:rPr>
          <w:rFonts w:ascii="Times New Roman" w:hAnsi="Times New Roman" w:cs="Times New Roman"/>
          <w:color w:val="FF0000"/>
          <w:sz w:val="24"/>
          <w:szCs w:val="24"/>
          <w:u w:val="single"/>
          <w:shd w:val="clear" w:color="auto" w:fill="FFFFFF"/>
          <w:lang w:val="es-AR"/>
        </w:rPr>
      </w:pPr>
      <w:r w:rsidRPr="002177AA">
        <w:rPr>
          <w:rFonts w:ascii="Times New Roman" w:hAnsi="Times New Roman" w:cs="Times New Roman"/>
          <w:color w:val="FF0000"/>
          <w:sz w:val="24"/>
          <w:szCs w:val="24"/>
          <w:u w:val="single"/>
          <w:shd w:val="clear" w:color="auto" w:fill="FFFFFF"/>
          <w:lang w:val="es-AR"/>
        </w:rPr>
        <w:t>El caso de EEUU es un tanto simular</w:t>
      </w:r>
      <w:r w:rsidR="002177AA" w:rsidRPr="002177AA">
        <w:rPr>
          <w:rFonts w:ascii="Times New Roman" w:hAnsi="Times New Roman" w:cs="Times New Roman"/>
          <w:color w:val="FF0000"/>
          <w:sz w:val="24"/>
          <w:szCs w:val="24"/>
          <w:u w:val="single"/>
          <w:shd w:val="clear" w:color="auto" w:fill="FFFFFF"/>
          <w:lang w:val="es-AR"/>
        </w:rPr>
        <w:t>. Estos expertos concluyen que “</w:t>
      </w:r>
      <w:r w:rsidRPr="002177AA">
        <w:rPr>
          <w:rFonts w:ascii="Times New Roman" w:hAnsi="Times New Roman" w:cs="Times New Roman"/>
          <w:color w:val="FF0000"/>
          <w:sz w:val="24"/>
          <w:szCs w:val="24"/>
          <w:u w:val="single"/>
          <w:shd w:val="clear" w:color="auto" w:fill="FFFFFF"/>
          <w:lang w:val="es-AR"/>
        </w:rPr>
        <w:t>la sensibilidad del rendimiento de los bonos del Tesoro a 10 años ha caído a cero desde que comenzó el covid. La primera vez en la historia que los rendimientos se han desacoplado de los fundamentales de esta manera. Eso podría ser ruido o una señal de que los bajos rendimientos actuales est</w:t>
      </w:r>
      <w:r w:rsidR="002177AA" w:rsidRPr="002177AA">
        <w:rPr>
          <w:rFonts w:ascii="Times New Roman" w:hAnsi="Times New Roman" w:cs="Times New Roman"/>
          <w:color w:val="FF0000"/>
          <w:sz w:val="24"/>
          <w:szCs w:val="24"/>
          <w:u w:val="single"/>
          <w:shd w:val="clear" w:color="auto" w:fill="FFFFFF"/>
          <w:lang w:val="es-AR"/>
        </w:rPr>
        <w:t>án potencialmente mal valorados”</w:t>
      </w:r>
      <w:r w:rsidRPr="002177AA">
        <w:rPr>
          <w:rFonts w:ascii="Times New Roman" w:hAnsi="Times New Roman" w:cs="Times New Roman"/>
          <w:color w:val="FF0000"/>
          <w:sz w:val="24"/>
          <w:szCs w:val="24"/>
          <w:u w:val="single"/>
          <w:shd w:val="clear" w:color="auto" w:fill="FFFFFF"/>
          <w:lang w:val="es-AR"/>
        </w:rPr>
        <w:t>.</w:t>
      </w:r>
    </w:p>
    <w:p w:rsidR="006259D1" w:rsidRPr="00486E3C" w:rsidRDefault="006259D1" w:rsidP="00FA4DA9">
      <w:pPr>
        <w:spacing w:line="240" w:lineRule="auto"/>
        <w:jc w:val="both"/>
        <w:rPr>
          <w:rFonts w:ascii="Times New Roman" w:hAnsi="Times New Roman" w:cs="Times New Roman"/>
          <w:color w:val="333333"/>
          <w:sz w:val="24"/>
          <w:szCs w:val="24"/>
          <w:shd w:val="clear" w:color="auto" w:fill="FFFFFF"/>
          <w:lang w:val="es-AR"/>
        </w:rPr>
      </w:pPr>
      <w:r>
        <w:rPr>
          <w:rFonts w:ascii="Times New Roman" w:hAnsi="Times New Roman" w:cs="Times New Roman"/>
          <w:color w:val="333333"/>
          <w:sz w:val="24"/>
          <w:szCs w:val="24"/>
          <w:shd w:val="clear" w:color="auto" w:fill="FFFFFF"/>
          <w:lang w:val="es-AR"/>
        </w:rPr>
        <w:t xml:space="preserve">- </w:t>
      </w:r>
      <w:r w:rsidRPr="00486E3C">
        <w:rPr>
          <w:rFonts w:ascii="Times New Roman" w:hAnsi="Times New Roman" w:cs="Times New Roman"/>
          <w:color w:val="333333"/>
          <w:sz w:val="24"/>
          <w:szCs w:val="24"/>
          <w:u w:val="single"/>
          <w:shd w:val="clear" w:color="auto" w:fill="FFFFFF"/>
          <w:lang w:val="es-AR"/>
        </w:rPr>
        <w:t>Llega la hora de la verdad: el dato de inflación de EEUU puede poner fin a la fiesta de los mercados</w:t>
      </w:r>
      <w:r>
        <w:rPr>
          <w:rFonts w:ascii="Times New Roman" w:hAnsi="Times New Roman" w:cs="Times New Roman"/>
          <w:color w:val="333333"/>
          <w:sz w:val="24"/>
          <w:szCs w:val="24"/>
          <w:shd w:val="clear" w:color="auto" w:fill="FFFFFF"/>
          <w:lang w:val="es-AR"/>
        </w:rPr>
        <w:t xml:space="preserve"> (El Economista - </w:t>
      </w:r>
      <w:r w:rsidRPr="00486E3C">
        <w:rPr>
          <w:rFonts w:ascii="Times New Roman" w:hAnsi="Times New Roman" w:cs="Times New Roman"/>
          <w:b/>
          <w:color w:val="333333"/>
          <w:sz w:val="24"/>
          <w:szCs w:val="24"/>
          <w:shd w:val="clear" w:color="auto" w:fill="FFFFFF"/>
          <w:lang w:val="es-AR"/>
        </w:rPr>
        <w:t>13/9/21</w:t>
      </w:r>
      <w:r>
        <w:rPr>
          <w:rFonts w:ascii="Times New Roman" w:hAnsi="Times New Roman" w:cs="Times New Roman"/>
          <w:color w:val="333333"/>
          <w:sz w:val="24"/>
          <w:szCs w:val="24"/>
          <w:shd w:val="clear" w:color="auto" w:fill="FFFFFF"/>
          <w:lang w:val="es-AR"/>
        </w:rPr>
        <w:t>)</w:t>
      </w:r>
    </w:p>
    <w:p w:rsidR="006259D1" w:rsidRPr="002177AA" w:rsidRDefault="006259D1" w:rsidP="00FA4DA9">
      <w:pPr>
        <w:spacing w:line="240" w:lineRule="auto"/>
        <w:jc w:val="both"/>
        <w:rPr>
          <w:rFonts w:ascii="Times New Roman" w:hAnsi="Times New Roman" w:cs="Times New Roman"/>
          <w:color w:val="FF0000"/>
          <w:sz w:val="24"/>
          <w:szCs w:val="24"/>
          <w:u w:val="single"/>
          <w:shd w:val="clear" w:color="auto" w:fill="FFFFFF"/>
          <w:lang w:val="es-AR"/>
        </w:rPr>
      </w:pPr>
      <w:r w:rsidRPr="001F633E">
        <w:rPr>
          <w:rFonts w:ascii="Times New Roman" w:hAnsi="Times New Roman" w:cs="Times New Roman"/>
          <w:color w:val="333333"/>
          <w:sz w:val="24"/>
          <w:szCs w:val="24"/>
          <w:u w:val="single"/>
          <w:shd w:val="clear" w:color="auto" w:fill="FFFFFF"/>
          <w:lang w:val="es-AR"/>
        </w:rPr>
        <w:t xml:space="preserve">Los mercados están mirando de reojo al dato de inflación de EEUU que se </w:t>
      </w:r>
      <w:r w:rsidR="002177AA">
        <w:rPr>
          <w:rFonts w:ascii="Times New Roman" w:hAnsi="Times New Roman" w:cs="Times New Roman"/>
          <w:color w:val="333333"/>
          <w:sz w:val="24"/>
          <w:szCs w:val="24"/>
          <w:u w:val="single"/>
          <w:shd w:val="clear" w:color="auto" w:fill="FFFFFF"/>
          <w:lang w:val="es-AR"/>
        </w:rPr>
        <w:t>publicará este martes. Tras el “tropezón”</w:t>
      </w:r>
      <w:r w:rsidRPr="001F633E">
        <w:rPr>
          <w:rFonts w:ascii="Times New Roman" w:hAnsi="Times New Roman" w:cs="Times New Roman"/>
          <w:color w:val="333333"/>
          <w:sz w:val="24"/>
          <w:szCs w:val="24"/>
          <w:u w:val="single"/>
          <w:shd w:val="clear" w:color="auto" w:fill="FFFFFF"/>
          <w:lang w:val="es-AR"/>
        </w:rPr>
        <w:t xml:space="preserve"> que sufrieron las bolsas el viernes, </w:t>
      </w:r>
      <w:r w:rsidRPr="002177AA">
        <w:rPr>
          <w:rFonts w:ascii="Times New Roman" w:hAnsi="Times New Roman" w:cs="Times New Roman"/>
          <w:color w:val="FF0000"/>
          <w:sz w:val="24"/>
          <w:szCs w:val="24"/>
          <w:u w:val="single"/>
          <w:shd w:val="clear" w:color="auto" w:fill="FFFFFF"/>
          <w:lang w:val="es-AR"/>
        </w:rPr>
        <w:t>cada vez parece más evidente el miedo que existe en el mercado a una inflación más alta, qu</w:t>
      </w:r>
      <w:r w:rsidR="002177AA" w:rsidRPr="002177AA">
        <w:rPr>
          <w:rFonts w:ascii="Times New Roman" w:hAnsi="Times New Roman" w:cs="Times New Roman"/>
          <w:color w:val="FF0000"/>
          <w:sz w:val="24"/>
          <w:szCs w:val="24"/>
          <w:u w:val="single"/>
          <w:shd w:val="clear" w:color="auto" w:fill="FFFFFF"/>
          <w:lang w:val="es-AR"/>
        </w:rPr>
        <w:t>e obligue a la banca central a “retirar el ponche”</w:t>
      </w:r>
      <w:r w:rsidRPr="002177AA">
        <w:rPr>
          <w:rFonts w:ascii="Times New Roman" w:hAnsi="Times New Roman" w:cs="Times New Roman"/>
          <w:color w:val="FF0000"/>
          <w:sz w:val="24"/>
          <w:szCs w:val="24"/>
          <w:u w:val="single"/>
          <w:shd w:val="clear" w:color="auto" w:fill="FFFFFF"/>
          <w:lang w:val="es-AR"/>
        </w:rPr>
        <w:t xml:space="preserve"> antes de lo previsto, aguando la fiesta de los mercados. La Fed, el BCE o el BoE empiezan a reconocer q</w:t>
      </w:r>
      <w:r w:rsidR="002177AA" w:rsidRPr="002177AA">
        <w:rPr>
          <w:rFonts w:ascii="Times New Roman" w:hAnsi="Times New Roman" w:cs="Times New Roman"/>
          <w:color w:val="FF0000"/>
          <w:sz w:val="24"/>
          <w:szCs w:val="24"/>
          <w:u w:val="single"/>
          <w:shd w:val="clear" w:color="auto" w:fill="FFFFFF"/>
          <w:lang w:val="es-AR"/>
        </w:rPr>
        <w:t>ue la inflación podría ser más “</w:t>
      </w:r>
      <w:r w:rsidRPr="002177AA">
        <w:rPr>
          <w:rFonts w:ascii="Times New Roman" w:hAnsi="Times New Roman" w:cs="Times New Roman"/>
          <w:color w:val="FF0000"/>
          <w:sz w:val="24"/>
          <w:szCs w:val="24"/>
          <w:u w:val="single"/>
          <w:shd w:val="clear" w:color="auto" w:fill="FFFFFF"/>
          <w:lang w:val="es-AR"/>
        </w:rPr>
        <w:t>pegajo</w:t>
      </w:r>
      <w:r w:rsidR="002177AA" w:rsidRPr="002177AA">
        <w:rPr>
          <w:rFonts w:ascii="Times New Roman" w:hAnsi="Times New Roman" w:cs="Times New Roman"/>
          <w:color w:val="FF0000"/>
          <w:sz w:val="24"/>
          <w:szCs w:val="24"/>
          <w:u w:val="single"/>
          <w:shd w:val="clear" w:color="auto" w:fill="FFFFFF"/>
          <w:lang w:val="es-AR"/>
        </w:rPr>
        <w:t>sa”</w:t>
      </w:r>
      <w:r w:rsidRPr="002177AA">
        <w:rPr>
          <w:rFonts w:ascii="Times New Roman" w:hAnsi="Times New Roman" w:cs="Times New Roman"/>
          <w:color w:val="FF0000"/>
          <w:sz w:val="24"/>
          <w:szCs w:val="24"/>
          <w:u w:val="single"/>
          <w:shd w:val="clear" w:color="auto" w:fill="FFFFFF"/>
          <w:lang w:val="es-AR"/>
        </w:rPr>
        <w:t xml:space="preserve"> de lo que creían.</w:t>
      </w:r>
    </w:p>
    <w:p w:rsidR="006259D1" w:rsidRPr="00486E3C" w:rsidRDefault="006259D1" w:rsidP="00FA4DA9">
      <w:pPr>
        <w:spacing w:line="240" w:lineRule="auto"/>
        <w:jc w:val="both"/>
        <w:rPr>
          <w:rFonts w:ascii="Times New Roman" w:hAnsi="Times New Roman" w:cs="Times New Roman"/>
          <w:color w:val="333333"/>
          <w:sz w:val="24"/>
          <w:szCs w:val="24"/>
          <w:shd w:val="clear" w:color="auto" w:fill="FFFFFF"/>
          <w:lang w:val="es-AR"/>
        </w:rPr>
      </w:pPr>
      <w:r w:rsidRPr="00486E3C">
        <w:rPr>
          <w:rFonts w:ascii="Times New Roman" w:hAnsi="Times New Roman" w:cs="Times New Roman"/>
          <w:color w:val="333333"/>
          <w:sz w:val="24"/>
          <w:szCs w:val="24"/>
          <w:shd w:val="clear" w:color="auto" w:fill="FFFFFF"/>
          <w:lang w:val="es-AR"/>
        </w:rPr>
        <w:t>Al final, estas sorpresas en la inflación son las que puede marcar el devenir de la política monetaria y, por tanto, de los mercados. Un dato de IPC que sorprenda al alza, justo ahora que la recuperación empieza mostrar signos de agotamiento, puede revivir los fantasmas de los 70, una etapa marcada por la estanflación (precios al alza y una economía que crece poco en términos reales).</w:t>
      </w:r>
    </w:p>
    <w:p w:rsidR="006259D1" w:rsidRPr="00486E3C" w:rsidRDefault="006259D1" w:rsidP="00FA4DA9">
      <w:pPr>
        <w:spacing w:line="240" w:lineRule="auto"/>
        <w:jc w:val="both"/>
        <w:rPr>
          <w:rFonts w:ascii="Times New Roman" w:hAnsi="Times New Roman" w:cs="Times New Roman"/>
          <w:color w:val="333333"/>
          <w:sz w:val="24"/>
          <w:szCs w:val="24"/>
          <w:shd w:val="clear" w:color="auto" w:fill="FFFFFF"/>
          <w:lang w:val="es-AR"/>
        </w:rPr>
      </w:pPr>
      <w:r w:rsidRPr="00486E3C">
        <w:rPr>
          <w:rFonts w:ascii="Times New Roman" w:hAnsi="Times New Roman" w:cs="Times New Roman"/>
          <w:color w:val="333333"/>
          <w:sz w:val="24"/>
          <w:szCs w:val="24"/>
          <w:shd w:val="clear" w:color="auto" w:fill="FFFFFF"/>
          <w:lang w:val="es-AR"/>
        </w:rPr>
        <w:t>Desde la casa de análisis financiera</w:t>
      </w:r>
      <w:r w:rsidR="002177AA">
        <w:rPr>
          <w:rFonts w:ascii="Times New Roman" w:hAnsi="Times New Roman" w:cs="Times New Roman"/>
          <w:color w:val="333333"/>
          <w:sz w:val="24"/>
          <w:szCs w:val="24"/>
          <w:shd w:val="clear" w:color="auto" w:fill="FFFFFF"/>
          <w:lang w:val="es-AR"/>
        </w:rPr>
        <w:t xml:space="preserve"> Ebury apuntan en una nota que “</w:t>
      </w:r>
      <w:r w:rsidRPr="00486E3C">
        <w:rPr>
          <w:rFonts w:ascii="Times New Roman" w:hAnsi="Times New Roman" w:cs="Times New Roman"/>
          <w:color w:val="333333"/>
          <w:sz w:val="24"/>
          <w:szCs w:val="24"/>
          <w:shd w:val="clear" w:color="auto" w:fill="FFFFFF"/>
          <w:lang w:val="es-AR"/>
        </w:rPr>
        <w:t>la preocupación sobre la estanflación tras el informe de nóminas de agosto de EEUU fue confirmada por otro informe del mercado laboral (JOLTS), el cual mostró que las vacantes sin cubrir aumentaron hasta alcanzar</w:t>
      </w:r>
      <w:r w:rsidR="002177AA">
        <w:rPr>
          <w:rFonts w:ascii="Times New Roman" w:hAnsi="Times New Roman" w:cs="Times New Roman"/>
          <w:color w:val="333333"/>
          <w:sz w:val="24"/>
          <w:szCs w:val="24"/>
          <w:shd w:val="clear" w:color="auto" w:fill="FFFFFF"/>
          <w:lang w:val="es-AR"/>
        </w:rPr>
        <w:t xml:space="preserve"> un récord histórico en julio”</w:t>
      </w:r>
      <w:r>
        <w:rPr>
          <w:rFonts w:ascii="Times New Roman" w:hAnsi="Times New Roman" w:cs="Times New Roman"/>
          <w:color w:val="333333"/>
          <w:sz w:val="24"/>
          <w:szCs w:val="24"/>
          <w:shd w:val="clear" w:color="auto" w:fill="FFFFFF"/>
          <w:lang w:val="es-AR"/>
        </w:rPr>
        <w:t>.</w:t>
      </w:r>
    </w:p>
    <w:p w:rsidR="006259D1" w:rsidRDefault="006259D1" w:rsidP="00FA4DA9">
      <w:pPr>
        <w:spacing w:line="240" w:lineRule="auto"/>
        <w:jc w:val="both"/>
        <w:rPr>
          <w:rFonts w:ascii="Times New Roman" w:hAnsi="Times New Roman" w:cs="Times New Roman"/>
          <w:color w:val="333333"/>
          <w:sz w:val="24"/>
          <w:szCs w:val="24"/>
          <w:u w:val="single"/>
          <w:shd w:val="clear" w:color="auto" w:fill="FFFFFF"/>
          <w:lang w:val="es-AR"/>
        </w:rPr>
      </w:pPr>
      <w:r w:rsidRPr="001F633E">
        <w:rPr>
          <w:rFonts w:ascii="Times New Roman" w:hAnsi="Times New Roman" w:cs="Times New Roman"/>
          <w:color w:val="333333"/>
          <w:sz w:val="24"/>
          <w:szCs w:val="24"/>
          <w:u w:val="single"/>
          <w:shd w:val="clear" w:color="auto" w:fill="FFFFFF"/>
          <w:lang w:val="es-AR"/>
        </w:rPr>
        <w:t>De este modo y ante la posibilidad de una intervención de la banca central más temprana para intentar t</w:t>
      </w:r>
      <w:r w:rsidR="002177AA">
        <w:rPr>
          <w:rFonts w:ascii="Times New Roman" w:hAnsi="Times New Roman" w:cs="Times New Roman"/>
          <w:color w:val="333333"/>
          <w:sz w:val="24"/>
          <w:szCs w:val="24"/>
          <w:u w:val="single"/>
          <w:shd w:val="clear" w:color="auto" w:fill="FFFFFF"/>
          <w:lang w:val="es-AR"/>
        </w:rPr>
        <w:t>aponar el alza de los precios, “</w:t>
      </w:r>
      <w:r w:rsidRPr="001F633E">
        <w:rPr>
          <w:rFonts w:ascii="Times New Roman" w:hAnsi="Times New Roman" w:cs="Times New Roman"/>
          <w:color w:val="333333"/>
          <w:sz w:val="24"/>
          <w:szCs w:val="24"/>
          <w:u w:val="single"/>
          <w:shd w:val="clear" w:color="auto" w:fill="FFFFFF"/>
          <w:lang w:val="es-AR"/>
        </w:rPr>
        <w:t>los tipos de interés de la deuda continuaron subiendo en todo el mundo, los activos de riesgo se tambalearon y las principales monedas no mostraron grandes cambios, manteniéndose por lo</w:t>
      </w:r>
      <w:r w:rsidR="002177AA">
        <w:rPr>
          <w:rFonts w:ascii="Times New Roman" w:hAnsi="Times New Roman" w:cs="Times New Roman"/>
          <w:color w:val="333333"/>
          <w:sz w:val="24"/>
          <w:szCs w:val="24"/>
          <w:u w:val="single"/>
          <w:shd w:val="clear" w:color="auto" w:fill="FFFFFF"/>
          <w:lang w:val="es-AR"/>
        </w:rPr>
        <w:t xml:space="preserve"> general dentro del 1% entre sí”</w:t>
      </w:r>
      <w:r w:rsidRPr="001F633E">
        <w:rPr>
          <w:rFonts w:ascii="Times New Roman" w:hAnsi="Times New Roman" w:cs="Times New Roman"/>
          <w:color w:val="333333"/>
          <w:sz w:val="24"/>
          <w:szCs w:val="24"/>
          <w:u w:val="single"/>
          <w:shd w:val="clear" w:color="auto" w:fill="FFFFFF"/>
          <w:lang w:val="es-AR"/>
        </w:rPr>
        <w:t xml:space="preserve">, explican desde Ebury. </w:t>
      </w:r>
    </w:p>
    <w:p w:rsidR="00E65A04" w:rsidRPr="001F633E" w:rsidRDefault="00E65A04" w:rsidP="00FA4DA9">
      <w:pPr>
        <w:spacing w:line="240" w:lineRule="auto"/>
        <w:jc w:val="both"/>
        <w:rPr>
          <w:rFonts w:ascii="Times New Roman" w:hAnsi="Times New Roman" w:cs="Times New Roman"/>
          <w:color w:val="333333"/>
          <w:sz w:val="24"/>
          <w:szCs w:val="24"/>
          <w:u w:val="single"/>
          <w:shd w:val="clear" w:color="auto" w:fill="FFFFFF"/>
          <w:lang w:val="es-AR"/>
        </w:rPr>
      </w:pPr>
    </w:p>
    <w:p w:rsidR="006259D1" w:rsidRPr="00486E3C" w:rsidRDefault="006259D1" w:rsidP="00FA4DA9">
      <w:pPr>
        <w:spacing w:line="240" w:lineRule="auto"/>
        <w:jc w:val="both"/>
        <w:rPr>
          <w:rFonts w:ascii="Times New Roman" w:hAnsi="Times New Roman" w:cs="Times New Roman"/>
          <w:color w:val="333333"/>
          <w:sz w:val="24"/>
          <w:szCs w:val="24"/>
          <w:shd w:val="clear" w:color="auto" w:fill="FFFFFF"/>
          <w:lang w:val="es-AR"/>
        </w:rPr>
      </w:pPr>
      <w:r w:rsidRPr="00486E3C">
        <w:rPr>
          <w:rFonts w:ascii="Times New Roman" w:hAnsi="Times New Roman" w:cs="Times New Roman"/>
          <w:color w:val="333333"/>
          <w:sz w:val="24"/>
          <w:szCs w:val="24"/>
          <w:shd w:val="clear" w:color="auto" w:fill="FFFFFF"/>
          <w:lang w:val="es-AR"/>
        </w:rPr>
        <w:lastRenderedPageBreak/>
        <w:t>¿Qué hará la Fed?</w:t>
      </w:r>
    </w:p>
    <w:p w:rsidR="006259D1" w:rsidRPr="001F633E" w:rsidRDefault="006259D1" w:rsidP="00FA4DA9">
      <w:pPr>
        <w:spacing w:line="240" w:lineRule="auto"/>
        <w:jc w:val="both"/>
        <w:rPr>
          <w:rFonts w:ascii="Times New Roman" w:hAnsi="Times New Roman" w:cs="Times New Roman"/>
          <w:color w:val="FF0000"/>
          <w:sz w:val="24"/>
          <w:szCs w:val="24"/>
          <w:u w:val="single"/>
          <w:shd w:val="clear" w:color="auto" w:fill="FFFFFF"/>
          <w:lang w:val="es-AR"/>
        </w:rPr>
      </w:pPr>
      <w:r w:rsidRPr="001F633E">
        <w:rPr>
          <w:rFonts w:ascii="Times New Roman" w:hAnsi="Times New Roman" w:cs="Times New Roman"/>
          <w:color w:val="FF0000"/>
          <w:sz w:val="24"/>
          <w:szCs w:val="24"/>
          <w:u w:val="single"/>
          <w:shd w:val="clear" w:color="auto" w:fill="FFFFFF"/>
          <w:lang w:val="es-AR"/>
        </w:rPr>
        <w:t>Pese al mandato dual de la Reserva Federal (inflación controlada y pl</w:t>
      </w:r>
      <w:r w:rsidR="002177AA">
        <w:rPr>
          <w:rFonts w:ascii="Times New Roman" w:hAnsi="Times New Roman" w:cs="Times New Roman"/>
          <w:color w:val="FF0000"/>
          <w:sz w:val="24"/>
          <w:szCs w:val="24"/>
          <w:u w:val="single"/>
          <w:shd w:val="clear" w:color="auto" w:fill="FFFFFF"/>
          <w:lang w:val="es-AR"/>
        </w:rPr>
        <w:t>eno empleo), si los precios se “desbocan”</w:t>
      </w:r>
      <w:r w:rsidRPr="001F633E">
        <w:rPr>
          <w:rFonts w:ascii="Times New Roman" w:hAnsi="Times New Roman" w:cs="Times New Roman"/>
          <w:color w:val="FF0000"/>
          <w:sz w:val="24"/>
          <w:szCs w:val="24"/>
          <w:u w:val="single"/>
          <w:shd w:val="clear" w:color="auto" w:fill="FFFFFF"/>
          <w:lang w:val="es-AR"/>
        </w:rPr>
        <w:t>, la Fed podría verse obligada a actuar antes de que el mercado laboral alcance el pleno empleo, lo que supondría un duro revés para unos mercados que mantienen unas valoraciones muy altas, en parte, gracias a una política monetaria muy expansiva.</w:t>
      </w:r>
    </w:p>
    <w:p w:rsidR="006259D1" w:rsidRPr="00486E3C" w:rsidRDefault="006259D1" w:rsidP="00FA4DA9">
      <w:pPr>
        <w:spacing w:line="240" w:lineRule="auto"/>
        <w:jc w:val="both"/>
        <w:rPr>
          <w:rFonts w:ascii="Times New Roman" w:hAnsi="Times New Roman" w:cs="Times New Roman"/>
          <w:color w:val="333333"/>
          <w:sz w:val="24"/>
          <w:szCs w:val="24"/>
          <w:shd w:val="clear" w:color="auto" w:fill="FFFFFF"/>
          <w:lang w:val="es-AR"/>
        </w:rPr>
      </w:pPr>
      <w:r w:rsidRPr="00486E3C">
        <w:rPr>
          <w:rFonts w:ascii="Times New Roman" w:hAnsi="Times New Roman" w:cs="Times New Roman"/>
          <w:noProof/>
          <w:color w:val="333333"/>
          <w:sz w:val="24"/>
          <w:szCs w:val="24"/>
          <w:shd w:val="clear" w:color="auto" w:fill="FFFFFF"/>
          <w:lang w:eastAsia="es-ES"/>
        </w:rPr>
        <w:drawing>
          <wp:inline distT="0" distB="0" distL="0" distR="0" wp14:anchorId="20717CEA" wp14:editId="3CD1D85A">
            <wp:extent cx="5645150" cy="3848100"/>
            <wp:effectExtent l="0" t="0" r="0" b="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5"/>
                    <a:stretch>
                      <a:fillRect/>
                    </a:stretch>
                  </pic:blipFill>
                  <pic:spPr>
                    <a:xfrm>
                      <a:off x="0" y="0"/>
                      <a:ext cx="5642610" cy="3846369"/>
                    </a:xfrm>
                    <a:prstGeom prst="rect">
                      <a:avLst/>
                    </a:prstGeom>
                  </pic:spPr>
                </pic:pic>
              </a:graphicData>
            </a:graphic>
          </wp:inline>
        </w:drawing>
      </w:r>
    </w:p>
    <w:p w:rsidR="006259D1" w:rsidRPr="001F633E" w:rsidRDefault="006259D1" w:rsidP="00FA4DA9">
      <w:pPr>
        <w:spacing w:line="240" w:lineRule="auto"/>
        <w:jc w:val="both"/>
        <w:rPr>
          <w:rFonts w:ascii="Times New Roman" w:hAnsi="Times New Roman" w:cs="Times New Roman"/>
          <w:color w:val="FF0000"/>
          <w:sz w:val="24"/>
          <w:szCs w:val="24"/>
          <w:u w:val="single"/>
          <w:shd w:val="clear" w:color="auto" w:fill="FFFFFF"/>
          <w:lang w:val="es-AR"/>
        </w:rPr>
      </w:pPr>
      <w:r w:rsidRPr="001F633E">
        <w:rPr>
          <w:rFonts w:ascii="Times New Roman" w:hAnsi="Times New Roman" w:cs="Times New Roman"/>
          <w:color w:val="FF0000"/>
          <w:sz w:val="24"/>
          <w:szCs w:val="24"/>
          <w:u w:val="single"/>
          <w:shd w:val="clear" w:color="auto" w:fill="FFFFFF"/>
          <w:lang w:val="es-AR"/>
        </w:rPr>
        <w:t>Ahora mismo, según explican desde la agencia financiera Bloomberg, se está viendo cómo las expectativas de una inflación más alta con un crecimiento real más lento están afectado a los mercados con descensos en un buena parte de los mercados financieros, como se pudo ver la semana pasada. Aunque el consenso habla de una inflación que podría caer una décima (en términos interanuales) al 5,3% en agosto, esta tasa de variación sigue más que duplicando el objetivo a medio plazo de la Fed.</w:t>
      </w:r>
    </w:p>
    <w:p w:rsidR="006259D1" w:rsidRPr="00486E3C" w:rsidRDefault="006259D1" w:rsidP="00FA4DA9">
      <w:pPr>
        <w:spacing w:line="240" w:lineRule="auto"/>
        <w:jc w:val="both"/>
        <w:rPr>
          <w:rFonts w:ascii="Times New Roman" w:hAnsi="Times New Roman" w:cs="Times New Roman"/>
          <w:color w:val="333333"/>
          <w:sz w:val="24"/>
          <w:szCs w:val="24"/>
          <w:shd w:val="clear" w:color="auto" w:fill="FFFFFF"/>
          <w:lang w:val="es-AR"/>
        </w:rPr>
      </w:pPr>
      <w:r w:rsidRPr="00486E3C">
        <w:rPr>
          <w:rFonts w:ascii="Times New Roman" w:hAnsi="Times New Roman" w:cs="Times New Roman"/>
          <w:color w:val="333333"/>
          <w:sz w:val="24"/>
          <w:szCs w:val="24"/>
          <w:shd w:val="clear" w:color="auto" w:fill="FFFFFF"/>
          <w:lang w:val="es-AR"/>
        </w:rPr>
        <w:t>Es cierto que puede existir cierto alivio, puesto que el IPC podría estar empezando a estabilizarse (habrá que esperar al dato del martes para confirmarlo), pero el problema es que esta estabilización se está produciendo en una cota bastante elevada. El peso de los factores que, presumiblemente, eran temporales sigue siendo importante, pero es que quizá esos factores temporales (energía, cuellos de botella, escasez de componentes...) van a durar más de lo previsto, como reconoció Christine Lagarde, presid</w:t>
      </w:r>
      <w:r>
        <w:rPr>
          <w:rFonts w:ascii="Times New Roman" w:hAnsi="Times New Roman" w:cs="Times New Roman"/>
          <w:color w:val="333333"/>
          <w:sz w:val="24"/>
          <w:szCs w:val="24"/>
          <w:shd w:val="clear" w:color="auto" w:fill="FFFFFF"/>
          <w:lang w:val="es-AR"/>
        </w:rPr>
        <w:t>enta del BCE, la semana pasada.</w:t>
      </w:r>
    </w:p>
    <w:p w:rsidR="006259D1" w:rsidRDefault="006259D1" w:rsidP="00FA4DA9">
      <w:pPr>
        <w:spacing w:line="240" w:lineRule="auto"/>
        <w:jc w:val="both"/>
        <w:rPr>
          <w:rFonts w:ascii="Times New Roman" w:hAnsi="Times New Roman" w:cs="Times New Roman"/>
          <w:color w:val="FF0000"/>
          <w:sz w:val="24"/>
          <w:szCs w:val="24"/>
          <w:u w:val="single"/>
          <w:shd w:val="clear" w:color="auto" w:fill="FFFFFF"/>
          <w:lang w:val="es-AR"/>
        </w:rPr>
      </w:pPr>
      <w:r w:rsidRPr="001F633E">
        <w:rPr>
          <w:rFonts w:ascii="Times New Roman" w:hAnsi="Times New Roman" w:cs="Times New Roman"/>
          <w:color w:val="FF0000"/>
          <w:sz w:val="24"/>
          <w:szCs w:val="24"/>
          <w:u w:val="single"/>
          <w:shd w:val="clear" w:color="auto" w:fill="FFFFFF"/>
          <w:lang w:val="es-AR"/>
        </w:rPr>
        <w:t>Aunque el consenso habla de una inflación que ha podido tocar techo, algunos indicadores anticipados de la inflación como el IPP o índice de los precios al productor siguen batiendo récords y superando las previsiones de los expertos. El IPP se situó en agosto en el 8,3%, interanual, lo que evidencia los problemas de las empresas para encontrar los insumos que necesitan. Si este incremento de precios se traslada a los bienes y servicios finales, la inflación seguirá siendo noticia.</w:t>
      </w:r>
    </w:p>
    <w:p w:rsidR="00E65A04" w:rsidRPr="001F633E" w:rsidRDefault="00E65A04" w:rsidP="00FA4DA9">
      <w:pPr>
        <w:spacing w:line="240" w:lineRule="auto"/>
        <w:jc w:val="both"/>
        <w:rPr>
          <w:rFonts w:ascii="Times New Roman" w:hAnsi="Times New Roman" w:cs="Times New Roman"/>
          <w:color w:val="FF0000"/>
          <w:sz w:val="24"/>
          <w:szCs w:val="24"/>
          <w:u w:val="single"/>
          <w:shd w:val="clear" w:color="auto" w:fill="FFFFFF"/>
          <w:lang w:val="es-AR"/>
        </w:rPr>
      </w:pPr>
    </w:p>
    <w:p w:rsidR="006259D1" w:rsidRPr="00486E3C" w:rsidRDefault="006259D1" w:rsidP="00FA4DA9">
      <w:pPr>
        <w:spacing w:line="240" w:lineRule="auto"/>
        <w:jc w:val="both"/>
        <w:rPr>
          <w:rFonts w:ascii="Times New Roman" w:hAnsi="Times New Roman" w:cs="Times New Roman"/>
          <w:color w:val="333333"/>
          <w:sz w:val="24"/>
          <w:szCs w:val="24"/>
          <w:shd w:val="clear" w:color="auto" w:fill="FFFFFF"/>
          <w:lang w:val="es-AR"/>
        </w:rPr>
      </w:pPr>
      <w:r w:rsidRPr="00486E3C">
        <w:rPr>
          <w:rFonts w:ascii="Times New Roman" w:hAnsi="Times New Roman" w:cs="Times New Roman"/>
          <w:color w:val="333333"/>
          <w:sz w:val="24"/>
          <w:szCs w:val="24"/>
          <w:shd w:val="clear" w:color="auto" w:fill="FFFFFF"/>
          <w:lang w:val="es-AR"/>
        </w:rPr>
        <w:lastRenderedPageBreak/>
        <w:t>Inflación global</w:t>
      </w:r>
    </w:p>
    <w:p w:rsidR="006259D1" w:rsidRPr="00486E3C" w:rsidRDefault="006259D1" w:rsidP="00FA4DA9">
      <w:pPr>
        <w:spacing w:line="240" w:lineRule="auto"/>
        <w:jc w:val="both"/>
        <w:rPr>
          <w:rFonts w:ascii="Times New Roman" w:hAnsi="Times New Roman" w:cs="Times New Roman"/>
          <w:color w:val="333333"/>
          <w:sz w:val="24"/>
          <w:szCs w:val="24"/>
          <w:shd w:val="clear" w:color="auto" w:fill="FFFFFF"/>
          <w:lang w:val="es-AR"/>
        </w:rPr>
      </w:pPr>
      <w:r w:rsidRPr="00486E3C">
        <w:rPr>
          <w:rFonts w:ascii="Times New Roman" w:hAnsi="Times New Roman" w:cs="Times New Roman"/>
          <w:color w:val="333333"/>
          <w:sz w:val="24"/>
          <w:szCs w:val="24"/>
          <w:shd w:val="clear" w:color="auto" w:fill="FFFFFF"/>
          <w:lang w:val="es-AR"/>
        </w:rPr>
        <w:t>Todo esto se está produciendo en un entorno global inflacionario (el Reino Unido publica su IPC el miércoles y se prevé un nuevo alza), con los bancos centrales inyectando todavía grandes cantidades de liquidez en la economía, los consumidores volviendo a las calles y los inventarios bajo mínimos. A esto, en el caso concreto de EEUU, se le une un mercado laboral en el que hay más vacantes que parados y en el que los salarios más bajos están sub</w:t>
      </w:r>
      <w:r>
        <w:rPr>
          <w:rFonts w:ascii="Times New Roman" w:hAnsi="Times New Roman" w:cs="Times New Roman"/>
          <w:color w:val="333333"/>
          <w:sz w:val="24"/>
          <w:szCs w:val="24"/>
          <w:shd w:val="clear" w:color="auto" w:fill="FFFFFF"/>
          <w:lang w:val="es-AR"/>
        </w:rPr>
        <w:t>iendo a un ritmo anual del 10%.</w:t>
      </w:r>
    </w:p>
    <w:p w:rsidR="006259D1" w:rsidRPr="002177AA" w:rsidRDefault="006259D1" w:rsidP="00FA4DA9">
      <w:pPr>
        <w:spacing w:line="240" w:lineRule="auto"/>
        <w:jc w:val="both"/>
        <w:rPr>
          <w:rFonts w:ascii="Times New Roman" w:hAnsi="Times New Roman" w:cs="Times New Roman"/>
          <w:color w:val="FF0000"/>
          <w:sz w:val="24"/>
          <w:szCs w:val="24"/>
          <w:u w:val="single"/>
          <w:shd w:val="clear" w:color="auto" w:fill="FFFFFF"/>
          <w:lang w:val="es-AR"/>
        </w:rPr>
      </w:pPr>
      <w:r w:rsidRPr="002177AA">
        <w:rPr>
          <w:rFonts w:ascii="Times New Roman" w:hAnsi="Times New Roman" w:cs="Times New Roman"/>
          <w:color w:val="FF0000"/>
          <w:sz w:val="24"/>
          <w:szCs w:val="24"/>
          <w:u w:val="single"/>
          <w:shd w:val="clear" w:color="auto" w:fill="FFFFFF"/>
          <w:lang w:val="es-AR"/>
        </w:rPr>
        <w:t>Dwyfor Evans, jefe de estrategia macroeconómica de State Street Global Markets, comenta en dec</w:t>
      </w:r>
      <w:r w:rsidR="002177AA" w:rsidRPr="002177AA">
        <w:rPr>
          <w:rFonts w:ascii="Times New Roman" w:hAnsi="Times New Roman" w:cs="Times New Roman"/>
          <w:color w:val="FF0000"/>
          <w:sz w:val="24"/>
          <w:szCs w:val="24"/>
          <w:u w:val="single"/>
          <w:shd w:val="clear" w:color="auto" w:fill="FFFFFF"/>
          <w:lang w:val="es-AR"/>
        </w:rPr>
        <w:t>laraciones a Bloomberg que “</w:t>
      </w:r>
      <w:r w:rsidRPr="002177AA">
        <w:rPr>
          <w:rFonts w:ascii="Times New Roman" w:hAnsi="Times New Roman" w:cs="Times New Roman"/>
          <w:color w:val="FF0000"/>
          <w:sz w:val="24"/>
          <w:szCs w:val="24"/>
          <w:u w:val="single"/>
          <w:shd w:val="clear" w:color="auto" w:fill="FFFFFF"/>
          <w:lang w:val="es-AR"/>
        </w:rPr>
        <w:t>la inflación es mucho más rígida de lo que cualquiera hubiera anticipado hace quizás seis meses. Creemos que la inflación bajará a finales de año. Sin embargo, lo que está bastante claro es que el ritmo de desaceleración de la inflación en la segunda mitad del año seguirá siendo muy, muy lento. Incluso en regiones como la zona euro, en el Reino Unido y en otros lugares, la inflación es muy alta. Eso agregará un elemento de incertidumbre: ¿Adelantarán los bancos centrales la normalización de la política monetaria? Es poco probable, pero estará ahí y tendrá un impacto en el sentim</w:t>
      </w:r>
      <w:r w:rsidR="002177AA" w:rsidRPr="002177AA">
        <w:rPr>
          <w:rFonts w:ascii="Times New Roman" w:hAnsi="Times New Roman" w:cs="Times New Roman"/>
          <w:color w:val="FF0000"/>
          <w:sz w:val="24"/>
          <w:szCs w:val="24"/>
          <w:u w:val="single"/>
          <w:shd w:val="clear" w:color="auto" w:fill="FFFFFF"/>
          <w:lang w:val="es-AR"/>
        </w:rPr>
        <w:t>iento del mercado a corto plazo”</w:t>
      </w:r>
      <w:r w:rsidRPr="002177AA">
        <w:rPr>
          <w:rFonts w:ascii="Times New Roman" w:hAnsi="Times New Roman" w:cs="Times New Roman"/>
          <w:color w:val="FF0000"/>
          <w:sz w:val="24"/>
          <w:szCs w:val="24"/>
          <w:u w:val="single"/>
          <w:shd w:val="clear" w:color="auto" w:fill="FFFFFF"/>
          <w:lang w:val="es-AR"/>
        </w:rPr>
        <w:t>.</w:t>
      </w:r>
    </w:p>
    <w:p w:rsidR="006259D1" w:rsidRPr="00486E3C" w:rsidRDefault="006259D1" w:rsidP="00FA4DA9">
      <w:pPr>
        <w:spacing w:line="240" w:lineRule="auto"/>
        <w:jc w:val="both"/>
        <w:rPr>
          <w:rFonts w:ascii="Times New Roman" w:hAnsi="Times New Roman" w:cs="Times New Roman"/>
          <w:color w:val="333333"/>
          <w:sz w:val="24"/>
          <w:szCs w:val="24"/>
          <w:shd w:val="clear" w:color="auto" w:fill="FFFFFF"/>
          <w:lang w:val="es-AR"/>
        </w:rPr>
      </w:pPr>
      <w:r w:rsidRPr="00486E3C">
        <w:rPr>
          <w:rFonts w:ascii="Times New Roman" w:hAnsi="Times New Roman" w:cs="Times New Roman"/>
          <w:color w:val="333333"/>
          <w:sz w:val="24"/>
          <w:szCs w:val="24"/>
          <w:shd w:val="clear" w:color="auto" w:fill="FFFFFF"/>
          <w:lang w:val="es-AR"/>
        </w:rPr>
        <w:t>Matt Maley, estratega jefe de mercado de Miller Tabak, cree que el rendimiento del bono a 10 años de EEUU tiene que subir por encima de los máximos de agosto del 1,37%, y probablemente por encima del 1,4%, para confirmar la ruptura, pero si eso ocurre, también confirmará una cambio en la tendencia de varios meses en los rend</w:t>
      </w:r>
      <w:r w:rsidR="002177AA">
        <w:rPr>
          <w:rFonts w:ascii="Times New Roman" w:hAnsi="Times New Roman" w:cs="Times New Roman"/>
          <w:color w:val="333333"/>
          <w:sz w:val="24"/>
          <w:szCs w:val="24"/>
          <w:shd w:val="clear" w:color="auto" w:fill="FFFFFF"/>
          <w:lang w:val="es-AR"/>
        </w:rPr>
        <w:t>imientos de los bonos al alza. “</w:t>
      </w:r>
      <w:r w:rsidRPr="00486E3C">
        <w:rPr>
          <w:rFonts w:ascii="Times New Roman" w:hAnsi="Times New Roman" w:cs="Times New Roman"/>
          <w:color w:val="333333"/>
          <w:sz w:val="24"/>
          <w:szCs w:val="24"/>
          <w:shd w:val="clear" w:color="auto" w:fill="FFFFFF"/>
          <w:lang w:val="es-AR"/>
        </w:rPr>
        <w:t xml:space="preserve">Si eso ocurre en un momento en que los datos no son sólidos (y las empresas de Wall Street siguen recortando las proyecciones), será una señal aún más clara de que la estanflación </w:t>
      </w:r>
      <w:r w:rsidR="002177AA">
        <w:rPr>
          <w:rFonts w:ascii="Times New Roman" w:hAnsi="Times New Roman" w:cs="Times New Roman"/>
          <w:color w:val="333333"/>
          <w:sz w:val="24"/>
          <w:szCs w:val="24"/>
          <w:shd w:val="clear" w:color="auto" w:fill="FFFFFF"/>
          <w:lang w:val="es-AR"/>
        </w:rPr>
        <w:t>será un problema en el futuro”</w:t>
      </w:r>
      <w:r>
        <w:rPr>
          <w:rFonts w:ascii="Times New Roman" w:hAnsi="Times New Roman" w:cs="Times New Roman"/>
          <w:color w:val="333333"/>
          <w:sz w:val="24"/>
          <w:szCs w:val="24"/>
          <w:shd w:val="clear" w:color="auto" w:fill="FFFFFF"/>
          <w:lang w:val="es-AR"/>
        </w:rPr>
        <w:t>.</w:t>
      </w:r>
    </w:p>
    <w:p w:rsidR="006259D1" w:rsidRPr="00EA660B" w:rsidRDefault="006259D1" w:rsidP="00FA4DA9">
      <w:pPr>
        <w:spacing w:line="240" w:lineRule="auto"/>
        <w:jc w:val="both"/>
        <w:rPr>
          <w:rFonts w:ascii="Times New Roman" w:hAnsi="Times New Roman" w:cs="Times New Roman"/>
          <w:color w:val="333333"/>
          <w:sz w:val="24"/>
          <w:szCs w:val="24"/>
          <w:u w:val="single"/>
          <w:shd w:val="clear" w:color="auto" w:fill="FFFFFF"/>
          <w:lang w:val="es-AR"/>
        </w:rPr>
      </w:pPr>
      <w:r w:rsidRPr="00EA660B">
        <w:rPr>
          <w:rFonts w:ascii="Times New Roman" w:hAnsi="Times New Roman" w:cs="Times New Roman"/>
          <w:color w:val="333333"/>
          <w:sz w:val="24"/>
          <w:szCs w:val="24"/>
          <w:u w:val="single"/>
          <w:shd w:val="clear" w:color="auto" w:fill="FFFFFF"/>
          <w:lang w:val="es-AR"/>
        </w:rPr>
        <w:t xml:space="preserve">Este experto advierte de que igual que ahora hemos asistido a un alza simultánea de las acciones y los bonos, si la inflación obliga a la banca central a endurecer su política, se podría ver una corrección conjunta de ambos activos, generando un mercado bajista generalizado. </w:t>
      </w:r>
    </w:p>
    <w:p w:rsidR="006259D1" w:rsidRPr="00486E3C" w:rsidRDefault="006259D1" w:rsidP="00FA4DA9">
      <w:pPr>
        <w:spacing w:line="240" w:lineRule="auto"/>
        <w:jc w:val="both"/>
        <w:rPr>
          <w:rFonts w:ascii="Times New Roman" w:hAnsi="Times New Roman" w:cs="Times New Roman"/>
          <w:color w:val="333333"/>
          <w:sz w:val="24"/>
          <w:szCs w:val="24"/>
          <w:shd w:val="clear" w:color="auto" w:fill="FFFFFF"/>
          <w:lang w:val="es-AR"/>
        </w:rPr>
      </w:pPr>
      <w:r w:rsidRPr="00486E3C">
        <w:rPr>
          <w:rFonts w:ascii="Times New Roman" w:hAnsi="Times New Roman" w:cs="Times New Roman"/>
          <w:color w:val="333333"/>
          <w:sz w:val="24"/>
          <w:szCs w:val="24"/>
          <w:shd w:val="clear" w:color="auto" w:fill="FFFFFF"/>
          <w:lang w:val="es-AR"/>
        </w:rPr>
        <w:t>Los nuevos datos darán pistas</w:t>
      </w:r>
    </w:p>
    <w:p w:rsidR="006259D1" w:rsidRPr="00486E3C" w:rsidRDefault="006259D1" w:rsidP="00FA4DA9">
      <w:pPr>
        <w:spacing w:line="240" w:lineRule="auto"/>
        <w:jc w:val="both"/>
        <w:rPr>
          <w:rFonts w:ascii="Times New Roman" w:hAnsi="Times New Roman" w:cs="Times New Roman"/>
          <w:color w:val="333333"/>
          <w:sz w:val="24"/>
          <w:szCs w:val="24"/>
          <w:shd w:val="clear" w:color="auto" w:fill="FFFFFF"/>
          <w:lang w:val="es-AR"/>
        </w:rPr>
      </w:pPr>
      <w:r w:rsidRPr="00486E3C">
        <w:rPr>
          <w:rFonts w:ascii="Times New Roman" w:hAnsi="Times New Roman" w:cs="Times New Roman"/>
          <w:color w:val="333333"/>
          <w:sz w:val="24"/>
          <w:szCs w:val="24"/>
          <w:shd w:val="clear" w:color="auto" w:fill="FFFFFF"/>
          <w:lang w:val="es-AR"/>
        </w:rPr>
        <w:t>Desde Ebury creen que los datos de esta semana darán pist</w:t>
      </w:r>
      <w:r w:rsidR="002177AA">
        <w:rPr>
          <w:rFonts w:ascii="Times New Roman" w:hAnsi="Times New Roman" w:cs="Times New Roman"/>
          <w:color w:val="333333"/>
          <w:sz w:val="24"/>
          <w:szCs w:val="24"/>
          <w:shd w:val="clear" w:color="auto" w:fill="FFFFFF"/>
          <w:lang w:val="es-AR"/>
        </w:rPr>
        <w:t>as sobre lo que puede ocurrir: “</w:t>
      </w:r>
      <w:r w:rsidRPr="00486E3C">
        <w:rPr>
          <w:rFonts w:ascii="Times New Roman" w:hAnsi="Times New Roman" w:cs="Times New Roman"/>
          <w:color w:val="333333"/>
          <w:sz w:val="24"/>
          <w:szCs w:val="24"/>
          <w:shd w:val="clear" w:color="auto" w:fill="FFFFFF"/>
          <w:lang w:val="es-AR"/>
        </w:rPr>
        <w:t>Se espera que continúen las presiones inflacionistas en ambos países. Además, los mercados serán cautelosos antes de la decisiva reunión de la Reserva Federal y del Banco de Inglaterra la semana que viene, así como de l</w:t>
      </w:r>
      <w:r w:rsidR="001640E8">
        <w:rPr>
          <w:rFonts w:ascii="Times New Roman" w:hAnsi="Times New Roman" w:cs="Times New Roman"/>
          <w:color w:val="333333"/>
          <w:sz w:val="24"/>
          <w:szCs w:val="24"/>
          <w:shd w:val="clear" w:color="auto" w:fill="FFFFFF"/>
          <w:lang w:val="es-AR"/>
        </w:rPr>
        <w:t>as próximas elecciones alemanas”</w:t>
      </w:r>
      <w:r w:rsidRPr="00486E3C">
        <w:rPr>
          <w:rFonts w:ascii="Times New Roman" w:hAnsi="Times New Roman" w:cs="Times New Roman"/>
          <w:color w:val="333333"/>
          <w:sz w:val="24"/>
          <w:szCs w:val="24"/>
          <w:shd w:val="clear" w:color="auto" w:fill="FFFFFF"/>
          <w:lang w:val="es-AR"/>
        </w:rPr>
        <w:t>.</w:t>
      </w:r>
    </w:p>
    <w:p w:rsidR="006259D1" w:rsidRPr="00EA660B" w:rsidRDefault="006259D1" w:rsidP="00FA4DA9">
      <w:pPr>
        <w:spacing w:line="240" w:lineRule="auto"/>
        <w:jc w:val="both"/>
        <w:rPr>
          <w:rFonts w:ascii="Times New Roman" w:hAnsi="Times New Roman" w:cs="Times New Roman"/>
          <w:color w:val="FF0000"/>
          <w:sz w:val="24"/>
          <w:szCs w:val="24"/>
          <w:u w:val="single"/>
          <w:shd w:val="clear" w:color="auto" w:fill="FFFFFF"/>
          <w:lang w:val="es-AR"/>
        </w:rPr>
      </w:pPr>
      <w:r w:rsidRPr="00EA660B">
        <w:rPr>
          <w:rFonts w:ascii="Times New Roman" w:hAnsi="Times New Roman" w:cs="Times New Roman"/>
          <w:color w:val="FF0000"/>
          <w:sz w:val="24"/>
          <w:szCs w:val="24"/>
          <w:u w:val="single"/>
          <w:shd w:val="clear" w:color="auto" w:fill="FFFFFF"/>
          <w:lang w:val="es-AR"/>
        </w:rPr>
        <w:t>Si bien es cierto que la inflación podría estabilizarse en los próximos meses (en la zona euro seguirá subiendo hasta finales de año y principios de 2022), todo hace indicar que los precios podrían mantenerse en niveles relativamente elevados más tiempo de lo previsto. A las tensiones salariales en EEUU o Reino Unido, se le suma el precio de unos metales que no para de subir, la transición energética (ya queda claro que será inflacionaria) o la escasez de algunos inputs como los chips que podría no resolverse en meses o años.</w:t>
      </w:r>
    </w:p>
    <w:p w:rsidR="006259D1" w:rsidRDefault="006259D1" w:rsidP="00FA4DA9">
      <w:pPr>
        <w:spacing w:line="240" w:lineRule="auto"/>
        <w:jc w:val="both"/>
        <w:rPr>
          <w:rFonts w:ascii="Times New Roman" w:hAnsi="Times New Roman" w:cs="Times New Roman"/>
          <w:color w:val="FF0000"/>
          <w:sz w:val="24"/>
          <w:szCs w:val="24"/>
          <w:u w:val="single"/>
          <w:shd w:val="clear" w:color="auto" w:fill="FFFFFF"/>
          <w:lang w:val="es-AR"/>
        </w:rPr>
      </w:pPr>
      <w:r w:rsidRPr="00EA660B">
        <w:rPr>
          <w:rFonts w:ascii="Times New Roman" w:hAnsi="Times New Roman" w:cs="Times New Roman"/>
          <w:color w:val="FF0000"/>
          <w:sz w:val="24"/>
          <w:szCs w:val="24"/>
          <w:u w:val="single"/>
          <w:shd w:val="clear" w:color="auto" w:fill="FFFFFF"/>
          <w:lang w:val="es-AR"/>
        </w:rPr>
        <w:t>El mercado debe interiorizar este nuevo escenario con menos crecimiento real y más inflación. No obstante, la gran amenaza para la tendencia alcista (tanto de bonos y acciones, que se han correlacionada de forma sorprendente) en el corto plazo es una normalización de la política monetaria que llegue antes de lo esperado y de forma más brusca de lo previsto. Los bancos centrales podrían optar por retirar el ponche en medio de la fiesta generando una rabieta, pero quizá evitando una resaca mucho más dolorosa.</w:t>
      </w:r>
    </w:p>
    <w:p w:rsidR="00E65A04" w:rsidRDefault="00CC5801"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7622A0">
        <w:rPr>
          <w:rFonts w:ascii="Times New Roman" w:hAnsi="Times New Roman" w:cs="Times New Roman"/>
          <w:sz w:val="24"/>
          <w:szCs w:val="24"/>
          <w:u w:val="single"/>
        </w:rPr>
        <w:t>España es el segundo país del mundo donde más ha crecido la deuda</w:t>
      </w:r>
      <w:r w:rsidR="001640E8">
        <w:rPr>
          <w:rFonts w:ascii="Times New Roman" w:hAnsi="Times New Roman" w:cs="Times New Roman"/>
          <w:sz w:val="24"/>
          <w:szCs w:val="24"/>
        </w:rPr>
        <w:t xml:space="preserve"> (El Confidencial</w:t>
      </w:r>
      <w:r>
        <w:rPr>
          <w:rFonts w:ascii="Times New Roman" w:hAnsi="Times New Roman" w:cs="Times New Roman"/>
          <w:sz w:val="24"/>
          <w:szCs w:val="24"/>
        </w:rPr>
        <w:t xml:space="preserve"> - </w:t>
      </w:r>
      <w:r w:rsidRPr="007622A0">
        <w:rPr>
          <w:rFonts w:ascii="Times New Roman" w:hAnsi="Times New Roman" w:cs="Times New Roman"/>
          <w:b/>
          <w:sz w:val="24"/>
          <w:szCs w:val="24"/>
        </w:rPr>
        <w:t>16/9/21</w:t>
      </w:r>
      <w:r>
        <w:rPr>
          <w:rFonts w:ascii="Times New Roman" w:hAnsi="Times New Roman" w:cs="Times New Roman"/>
          <w:sz w:val="24"/>
          <w:szCs w:val="24"/>
        </w:rPr>
        <w:t>)</w:t>
      </w:r>
    </w:p>
    <w:p w:rsidR="00CC5801" w:rsidRDefault="00CC5801"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622A0">
        <w:rPr>
          <w:rFonts w:ascii="Times New Roman" w:hAnsi="Times New Roman" w:cs="Times New Roman"/>
          <w:sz w:val="24"/>
          <w:szCs w:val="24"/>
        </w:rPr>
        <w:t>Por Carlos Sánchez</w:t>
      </w:r>
      <w:r>
        <w:rPr>
          <w:rFonts w:ascii="Times New Roman" w:hAnsi="Times New Roman" w:cs="Times New Roman"/>
          <w:sz w:val="24"/>
          <w:szCs w:val="24"/>
        </w:rPr>
        <w:t>)</w:t>
      </w:r>
    </w:p>
    <w:p w:rsidR="001640E8" w:rsidRPr="007622A0" w:rsidRDefault="001640E8" w:rsidP="00FA4DA9">
      <w:pPr>
        <w:spacing w:line="240" w:lineRule="auto"/>
        <w:jc w:val="both"/>
        <w:rPr>
          <w:rFonts w:ascii="Times New Roman" w:hAnsi="Times New Roman" w:cs="Times New Roman"/>
          <w:sz w:val="24"/>
          <w:szCs w:val="24"/>
        </w:rPr>
      </w:pPr>
      <w:r w:rsidRPr="007622A0">
        <w:rPr>
          <w:rFonts w:ascii="Times New Roman" w:hAnsi="Times New Roman" w:cs="Times New Roman"/>
          <w:noProof/>
          <w:sz w:val="24"/>
          <w:szCs w:val="24"/>
          <w:lang w:eastAsia="es-ES"/>
        </w:rPr>
        <w:drawing>
          <wp:inline distT="0" distB="0" distL="0" distR="0" wp14:anchorId="5965C923" wp14:editId="30E238C1">
            <wp:extent cx="5155615" cy="6470650"/>
            <wp:effectExtent l="0" t="0" r="6985" b="635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6"/>
                    <a:stretch>
                      <a:fillRect/>
                    </a:stretch>
                  </pic:blipFill>
                  <pic:spPr>
                    <a:xfrm>
                      <a:off x="0" y="0"/>
                      <a:ext cx="5161850" cy="6478475"/>
                    </a:xfrm>
                    <a:prstGeom prst="rect">
                      <a:avLst/>
                    </a:prstGeom>
                  </pic:spPr>
                </pic:pic>
              </a:graphicData>
            </a:graphic>
          </wp:inline>
        </w:drawing>
      </w:r>
    </w:p>
    <w:p w:rsidR="00CC5801" w:rsidRPr="00847459" w:rsidRDefault="00CC5801" w:rsidP="00FA4DA9">
      <w:pPr>
        <w:spacing w:line="240" w:lineRule="auto"/>
        <w:jc w:val="both"/>
        <w:rPr>
          <w:rFonts w:ascii="Times New Roman" w:hAnsi="Times New Roman" w:cs="Times New Roman"/>
          <w:sz w:val="24"/>
          <w:szCs w:val="24"/>
          <w:u w:val="single"/>
        </w:rPr>
      </w:pPr>
      <w:r w:rsidRPr="00847459">
        <w:rPr>
          <w:rFonts w:ascii="Times New Roman" w:hAnsi="Times New Roman" w:cs="Times New Roman"/>
          <w:sz w:val="24"/>
          <w:szCs w:val="24"/>
          <w:u w:val="single"/>
        </w:rPr>
        <w:t>La recuperación económica sigue en marcha, como ha avanzado el Banco Central Europeo (BCE), que recientemente mejoró las proyecciones de crecimiento para la eurozona. Pero la mochila de la deuda sigue siendo un lastre solo amortiguado por los tipos de interés ultrabajos</w:t>
      </w:r>
      <w:r w:rsidRPr="007622A0">
        <w:rPr>
          <w:rFonts w:ascii="Times New Roman" w:hAnsi="Times New Roman" w:cs="Times New Roman"/>
          <w:sz w:val="24"/>
          <w:szCs w:val="24"/>
        </w:rPr>
        <w:t xml:space="preserve">. </w:t>
      </w:r>
      <w:r w:rsidRPr="00847459">
        <w:rPr>
          <w:rFonts w:ascii="Times New Roman" w:hAnsi="Times New Roman" w:cs="Times New Roman"/>
          <w:color w:val="FF0000"/>
          <w:sz w:val="24"/>
          <w:szCs w:val="24"/>
          <w:u w:val="single"/>
        </w:rPr>
        <w:t>Una pesada carga que es especialmente significativa para los países más endeudados. Este es el caso de España, que desde 2019, inmediatamente antes de la pandemia, es, junto a Grecia, el país donde más ha crecido la deuda, tanto pública como privada.</w:t>
      </w:r>
      <w:r w:rsidRPr="007622A0">
        <w:rPr>
          <w:rFonts w:ascii="Times New Roman" w:hAnsi="Times New Roman" w:cs="Times New Roman"/>
          <w:sz w:val="24"/>
          <w:szCs w:val="24"/>
        </w:rPr>
        <w:t xml:space="preserve"> </w:t>
      </w:r>
      <w:r w:rsidR="001640E8">
        <w:rPr>
          <w:rFonts w:ascii="Times New Roman" w:hAnsi="Times New Roman" w:cs="Times New Roman"/>
          <w:b/>
          <w:color w:val="FF0000"/>
          <w:sz w:val="24"/>
          <w:szCs w:val="24"/>
          <w:u w:val="single"/>
        </w:rPr>
        <w:t>Los datos los ofrece el “Global Debt Monitor”</w:t>
      </w:r>
      <w:r w:rsidRPr="00847459">
        <w:rPr>
          <w:rFonts w:ascii="Times New Roman" w:hAnsi="Times New Roman" w:cs="Times New Roman"/>
          <w:b/>
          <w:color w:val="FF0000"/>
          <w:sz w:val="24"/>
          <w:szCs w:val="24"/>
          <w:u w:val="single"/>
        </w:rPr>
        <w:t xml:space="preserve">, elaborado por los economistas de la patronal bancaria mundial, el IIF (Instituto Financiero Internacional, por su siglas </w:t>
      </w:r>
      <w:r w:rsidRPr="00847459">
        <w:rPr>
          <w:rFonts w:ascii="Times New Roman" w:hAnsi="Times New Roman" w:cs="Times New Roman"/>
          <w:b/>
          <w:color w:val="FF0000"/>
          <w:sz w:val="24"/>
          <w:szCs w:val="24"/>
          <w:u w:val="single"/>
        </w:rPr>
        <w:lastRenderedPageBreak/>
        <w:t>en inglés). Y lo que dice el informe es que la deuda global en el segundo trimestre se situó en 296 billones de dólares (unos 250 billones de euros), lo que representa el 353% del PIB mundial:</w:t>
      </w:r>
      <w:r w:rsidRPr="00847459">
        <w:rPr>
          <w:rFonts w:ascii="Times New Roman" w:hAnsi="Times New Roman" w:cs="Times New Roman"/>
          <w:color w:val="FF0000"/>
          <w:sz w:val="24"/>
          <w:szCs w:val="24"/>
        </w:rPr>
        <w:t xml:space="preserve"> </w:t>
      </w:r>
      <w:r w:rsidRPr="007622A0">
        <w:rPr>
          <w:rFonts w:ascii="Times New Roman" w:hAnsi="Times New Roman" w:cs="Times New Roman"/>
          <w:sz w:val="24"/>
          <w:szCs w:val="24"/>
        </w:rPr>
        <w:t xml:space="preserve">es decir, un ligero descenso de nueve puntos porcentuales respecto del primer trimestre debido a que los PIB han crecido con fuerza entre abril y junio a medida que se han ido levantando las restricciones. En términos absolutos, sin embargo, </w:t>
      </w:r>
      <w:r w:rsidRPr="00847459">
        <w:rPr>
          <w:rFonts w:ascii="Times New Roman" w:hAnsi="Times New Roman" w:cs="Times New Roman"/>
          <w:sz w:val="24"/>
          <w:szCs w:val="24"/>
          <w:u w:val="single"/>
        </w:rPr>
        <w:t>el endeudamiento ha continuado creciendo, tanto en el sector público como en el privado. El informe revela que en tan solo cinco países, México, Argentina, Dinamarca, Irlanda y Líbano, el nivel de deuda-PIB es hoy inferior al que existía antes de la pandemia.</w:t>
      </w:r>
    </w:p>
    <w:p w:rsidR="00CC5801" w:rsidRDefault="00CC5801" w:rsidP="00FA4DA9">
      <w:pPr>
        <w:spacing w:line="240" w:lineRule="auto"/>
        <w:jc w:val="both"/>
        <w:rPr>
          <w:rFonts w:ascii="Times New Roman" w:hAnsi="Times New Roman" w:cs="Times New Roman"/>
          <w:sz w:val="24"/>
          <w:szCs w:val="24"/>
        </w:rPr>
      </w:pPr>
      <w:r w:rsidRPr="007622A0">
        <w:rPr>
          <w:rFonts w:ascii="Times New Roman" w:hAnsi="Times New Roman" w:cs="Times New Roman"/>
          <w:sz w:val="24"/>
          <w:szCs w:val="24"/>
        </w:rPr>
        <w:t xml:space="preserve">En el caso de España, el incremento de la deuda se debe fundamentalmente al esfuerzo que se han visto obligadas a hacer las distintas administraciones para compensar la caída de la actividad, aunque también por la caída del PIB, que hace que la comparación sea más negativa (denominador de la ratio). En concreto, </w:t>
      </w:r>
      <w:r w:rsidRPr="00847459">
        <w:rPr>
          <w:rFonts w:ascii="Times New Roman" w:hAnsi="Times New Roman" w:cs="Times New Roman"/>
          <w:b/>
          <w:color w:val="FF0000"/>
          <w:sz w:val="24"/>
          <w:szCs w:val="24"/>
          <w:u w:val="single"/>
        </w:rPr>
        <w:t>según el Banco de España, la deuda pública ha pasado de representar un 95,5% en el cuarto trimestre de 2019 a un 125,2% en el primer trimestre de este año, lo que significa casi 30 puntos de PIB (unos 204.000 millones de euros). A esto hay que sumar, sin embargo, el incremento de la deuda privada, excluyendo el sistema financiero, para hacer frente a la crisis pandémica, y lo que revelan las cuentas financieras de la economía española es que la deuda consolidada de ambos sectores asciende a 1,61 billones de euros, lo que representa el 149,3% del PIB.</w:t>
      </w:r>
      <w:r w:rsidRPr="007622A0">
        <w:rPr>
          <w:rFonts w:ascii="Times New Roman" w:hAnsi="Times New Roman" w:cs="Times New Roman"/>
          <w:sz w:val="24"/>
          <w:szCs w:val="24"/>
        </w:rPr>
        <w:t xml:space="preserve"> </w:t>
      </w:r>
      <w:r w:rsidRPr="00847459">
        <w:rPr>
          <w:rFonts w:ascii="Times New Roman" w:hAnsi="Times New Roman" w:cs="Times New Roman"/>
          <w:b/>
          <w:color w:val="FF0000"/>
          <w:sz w:val="24"/>
          <w:szCs w:val="24"/>
          <w:u w:val="single"/>
        </w:rPr>
        <w:t>Eso significa que, sumando la deuda pública y privada, se estaría hablando de un 274,5% del producto interior bruto</w:t>
      </w:r>
      <w:r w:rsidRPr="007622A0">
        <w:rPr>
          <w:rFonts w:ascii="Times New Roman" w:hAnsi="Times New Roman" w:cs="Times New Roman"/>
          <w:sz w:val="24"/>
          <w:szCs w:val="24"/>
        </w:rPr>
        <w:t>. Como recuerda el Banco de España, la deuda de las empresas aumentó en el primer trimestre en 57.000 millones de euros, mientras que la de los hogares descendió en algo más de 7.000 millones.</w:t>
      </w:r>
    </w:p>
    <w:p w:rsidR="00CC5801" w:rsidRPr="007622A0" w:rsidRDefault="00CC5801" w:rsidP="00FA4DA9">
      <w:pPr>
        <w:spacing w:line="240" w:lineRule="auto"/>
        <w:jc w:val="both"/>
        <w:rPr>
          <w:rFonts w:ascii="Times New Roman" w:hAnsi="Times New Roman" w:cs="Times New Roman"/>
          <w:sz w:val="24"/>
          <w:szCs w:val="24"/>
        </w:rPr>
      </w:pPr>
      <w:r w:rsidRPr="007622A0">
        <w:rPr>
          <w:rFonts w:ascii="Times New Roman" w:hAnsi="Times New Roman" w:cs="Times New Roman"/>
          <w:sz w:val="24"/>
          <w:szCs w:val="24"/>
        </w:rPr>
        <w:t>El coste de la protección social</w:t>
      </w:r>
    </w:p>
    <w:p w:rsidR="00CC5801" w:rsidRPr="00847459" w:rsidRDefault="00CC5801" w:rsidP="00FA4DA9">
      <w:pPr>
        <w:spacing w:line="240" w:lineRule="auto"/>
        <w:jc w:val="both"/>
        <w:rPr>
          <w:rFonts w:ascii="Times New Roman" w:hAnsi="Times New Roman" w:cs="Times New Roman"/>
          <w:color w:val="FF0000"/>
          <w:sz w:val="24"/>
          <w:szCs w:val="24"/>
          <w:u w:val="single"/>
        </w:rPr>
      </w:pPr>
      <w:r w:rsidRPr="00847459">
        <w:rPr>
          <w:rFonts w:ascii="Times New Roman" w:hAnsi="Times New Roman" w:cs="Times New Roman"/>
          <w:sz w:val="24"/>
          <w:szCs w:val="24"/>
          <w:u w:val="single"/>
        </w:rPr>
        <w:t>El resultado de esta evolución, como se ha di</w:t>
      </w:r>
      <w:r w:rsidR="0057712A">
        <w:rPr>
          <w:rFonts w:ascii="Times New Roman" w:hAnsi="Times New Roman" w:cs="Times New Roman"/>
          <w:sz w:val="24"/>
          <w:szCs w:val="24"/>
          <w:u w:val="single"/>
        </w:rPr>
        <w:t>cho, es que Grecia encabeza el “ranking”</w:t>
      </w:r>
      <w:r w:rsidRPr="00847459">
        <w:rPr>
          <w:rFonts w:ascii="Times New Roman" w:hAnsi="Times New Roman" w:cs="Times New Roman"/>
          <w:sz w:val="24"/>
          <w:szCs w:val="24"/>
          <w:u w:val="single"/>
        </w:rPr>
        <w:t>, seguida de España, Singapur, Canadá y Francia</w:t>
      </w:r>
      <w:r w:rsidRPr="007622A0">
        <w:rPr>
          <w:rFonts w:ascii="Times New Roman" w:hAnsi="Times New Roman" w:cs="Times New Roman"/>
          <w:sz w:val="24"/>
          <w:szCs w:val="24"/>
        </w:rPr>
        <w:t xml:space="preserve">. </w:t>
      </w:r>
      <w:r w:rsidRPr="00847459">
        <w:rPr>
          <w:rFonts w:ascii="Times New Roman" w:hAnsi="Times New Roman" w:cs="Times New Roman"/>
          <w:color w:val="FF0000"/>
          <w:sz w:val="24"/>
          <w:szCs w:val="24"/>
          <w:u w:val="single"/>
        </w:rPr>
        <w:t>La patronal bancaria mundial pone el acento en lo que ha sucedido en la zona euro, que ha sido la región donde el endeudamiento ha crecido más rápidamente en coherencia con el elevado nivel de protección social que mantiene.</w:t>
      </w:r>
    </w:p>
    <w:p w:rsidR="00CC5801" w:rsidRPr="00847459" w:rsidRDefault="00CC5801" w:rsidP="00FA4DA9">
      <w:pPr>
        <w:spacing w:line="240" w:lineRule="auto"/>
        <w:jc w:val="both"/>
        <w:rPr>
          <w:rFonts w:ascii="Times New Roman" w:hAnsi="Times New Roman" w:cs="Times New Roman"/>
          <w:b/>
          <w:color w:val="FF0000"/>
          <w:sz w:val="24"/>
          <w:szCs w:val="24"/>
          <w:u w:val="single"/>
        </w:rPr>
      </w:pPr>
      <w:r w:rsidRPr="007622A0">
        <w:rPr>
          <w:rFonts w:ascii="Times New Roman" w:hAnsi="Times New Roman" w:cs="Times New Roman"/>
          <w:sz w:val="24"/>
          <w:szCs w:val="24"/>
        </w:rPr>
        <w:t xml:space="preserve">El endeudamiento, en concreto, ha crecido en 1,3 billones de dólares, hasta los 56 billones de dólares al finalizar el segundo trimestre de este año. </w:t>
      </w:r>
      <w:r w:rsidRPr="00847459">
        <w:rPr>
          <w:rFonts w:ascii="Times New Roman" w:hAnsi="Times New Roman" w:cs="Times New Roman"/>
          <w:sz w:val="24"/>
          <w:szCs w:val="24"/>
          <w:u w:val="single"/>
        </w:rPr>
        <w:t>El inform</w:t>
      </w:r>
      <w:r w:rsidR="001640E8">
        <w:rPr>
          <w:rFonts w:ascii="Times New Roman" w:hAnsi="Times New Roman" w:cs="Times New Roman"/>
          <w:sz w:val="24"/>
          <w:szCs w:val="24"/>
          <w:u w:val="single"/>
        </w:rPr>
        <w:t>e destaca que en EEUU la deuda -pública y privada-</w:t>
      </w:r>
      <w:r w:rsidRPr="00847459">
        <w:rPr>
          <w:rFonts w:ascii="Times New Roman" w:hAnsi="Times New Roman" w:cs="Times New Roman"/>
          <w:sz w:val="24"/>
          <w:szCs w:val="24"/>
          <w:u w:val="single"/>
        </w:rPr>
        <w:t xml:space="preserve"> sigue creciendo, pero al menor ritmo desde que comenzó la pandemia. Japón fue, en todo caso, el país avanzado que más ha recortado su abultada deuda, principalmente pública</w:t>
      </w:r>
      <w:r w:rsidRPr="007622A0">
        <w:rPr>
          <w:rFonts w:ascii="Times New Roman" w:hAnsi="Times New Roman" w:cs="Times New Roman"/>
          <w:sz w:val="24"/>
          <w:szCs w:val="24"/>
        </w:rPr>
        <w:t xml:space="preserve">. </w:t>
      </w:r>
      <w:r w:rsidRPr="00847459">
        <w:rPr>
          <w:rFonts w:ascii="Times New Roman" w:hAnsi="Times New Roman" w:cs="Times New Roman"/>
          <w:sz w:val="24"/>
          <w:szCs w:val="24"/>
          <w:u w:val="single"/>
        </w:rPr>
        <w:t>El documento da una especial relevancia a la reacción que ha tenido China en términos de endeudamiento para combatir la pandemia económica. Y su conclusión es que la deuda está aumentando “rápidamente”, hasta alcanzar los 55 billones de dólares en el segundo trimestre de este año, por lo tanto, ya una cifra muy similar a la que se registra en la eurozona.</w:t>
      </w:r>
      <w:r w:rsidRPr="007622A0">
        <w:rPr>
          <w:rFonts w:ascii="Times New Roman" w:hAnsi="Times New Roman" w:cs="Times New Roman"/>
          <w:sz w:val="24"/>
          <w:szCs w:val="24"/>
        </w:rPr>
        <w:t xml:space="preserve"> Existe, sin embargo, una diferencia sustancial: mientras que la utilización de la deuda como instrumento de política económica ha sido tradicional en la eurozona, ahí están los casos de Italia o Bélgica, en China es relativamente reciente, prácticamente desde su integración en el sistema financiero mundial, hace dos décadas. La eurozona ha sido la región donde el endeudamiento ha crecido más rápidamente Como sostiene el informe, los niveles de deuda de China han aumentado en 2,3 billones de dólares durante el segundo trimestre, “a un ritmo mucho más pronunciado que en otros países”, concluye. El endeudamiento ha sido fundamentalmente privado, representando más del 40% del incremento. </w:t>
      </w:r>
      <w:r w:rsidRPr="00847459">
        <w:rPr>
          <w:rFonts w:ascii="Times New Roman" w:hAnsi="Times New Roman" w:cs="Times New Roman"/>
          <w:b/>
          <w:color w:val="FF0000"/>
          <w:sz w:val="24"/>
          <w:szCs w:val="24"/>
          <w:u w:val="single"/>
        </w:rPr>
        <w:t>En su último Monitor Fiscal, el Fondo Monetario Internacional (FMI) estimó que el promedio mundial de deuda pública alcanzó una cifra sin precedentes del 97% del PIB en 2020, mientras que para 2021 su previsión es que se estabilice en torno al 99% del PIB global.</w:t>
      </w:r>
    </w:p>
    <w:p w:rsidR="00CC5801" w:rsidRPr="00571FBF" w:rsidRDefault="00CC5801" w:rsidP="00FA4DA9">
      <w:pPr>
        <w:spacing w:line="240" w:lineRule="auto"/>
        <w:jc w:val="both"/>
        <w:rPr>
          <w:rFonts w:ascii="Times New Roman" w:hAnsi="Times New Roman" w:cs="Times New Roman"/>
          <w:sz w:val="24"/>
          <w:szCs w:val="24"/>
          <w:shd w:val="clear" w:color="auto" w:fill="FFFFFF"/>
        </w:rPr>
      </w:pPr>
      <w:r w:rsidRPr="00571FBF">
        <w:rPr>
          <w:rFonts w:ascii="Times New Roman" w:hAnsi="Times New Roman" w:cs="Times New Roman"/>
          <w:b/>
          <w:sz w:val="24"/>
          <w:szCs w:val="24"/>
          <w:shd w:val="clear" w:color="auto" w:fill="FFFFFF"/>
        </w:rPr>
        <w:lastRenderedPageBreak/>
        <w:t>Nota</w:t>
      </w:r>
      <w:r w:rsidRPr="00571FBF">
        <w:rPr>
          <w:rFonts w:ascii="Times New Roman" w:hAnsi="Times New Roman" w:cs="Times New Roman"/>
          <w:sz w:val="24"/>
          <w:szCs w:val="24"/>
          <w:shd w:val="clear" w:color="auto" w:fill="FFFFFF"/>
        </w:rPr>
        <w:t>:</w:t>
      </w:r>
      <w:r w:rsidR="00571FBF" w:rsidRPr="00571FBF">
        <w:rPr>
          <w:rFonts w:ascii="Times New Roman" w:hAnsi="Times New Roman" w:cs="Times New Roman"/>
          <w:sz w:val="24"/>
          <w:szCs w:val="24"/>
          <w:shd w:val="clear" w:color="auto" w:fill="FFFFFF"/>
        </w:rPr>
        <w:t xml:space="preserve"> </w:t>
      </w:r>
      <w:r w:rsidRPr="00571FBF">
        <w:rPr>
          <w:rFonts w:ascii="Times New Roman" w:hAnsi="Times New Roman" w:cs="Times New Roman"/>
          <w:sz w:val="24"/>
          <w:szCs w:val="24"/>
        </w:rPr>
        <w:t>Inflación a la sombra de la deuda</w:t>
      </w:r>
    </w:p>
    <w:p w:rsidR="00CC5801" w:rsidRPr="00571FBF" w:rsidRDefault="00CC5801" w:rsidP="00FA4DA9">
      <w:pPr>
        <w:spacing w:line="240" w:lineRule="auto"/>
        <w:jc w:val="both"/>
        <w:rPr>
          <w:rFonts w:ascii="Times New Roman" w:hAnsi="Times New Roman" w:cs="Times New Roman"/>
          <w:sz w:val="24"/>
          <w:szCs w:val="24"/>
        </w:rPr>
      </w:pPr>
      <w:r w:rsidRPr="00571FBF">
        <w:rPr>
          <w:rFonts w:ascii="Times New Roman" w:hAnsi="Times New Roman" w:cs="Times New Roman"/>
          <w:sz w:val="24"/>
          <w:szCs w:val="24"/>
        </w:rPr>
        <w:t>La inflación de hoy es transitoria, nos aseguran nuestros banqueros centrales. Desaparecerá por sí solo. Pero ¿y si no es así</w:t>
      </w:r>
      <w:r w:rsidR="0057712A" w:rsidRPr="00571FBF">
        <w:rPr>
          <w:rFonts w:ascii="Times New Roman" w:hAnsi="Times New Roman" w:cs="Times New Roman"/>
          <w:sz w:val="24"/>
          <w:szCs w:val="24"/>
        </w:rPr>
        <w:t>? Los bancos centrales tendrán las “herramientas”</w:t>
      </w:r>
      <w:r w:rsidRPr="00571FBF">
        <w:rPr>
          <w:rFonts w:ascii="Times New Roman" w:hAnsi="Times New Roman" w:cs="Times New Roman"/>
          <w:sz w:val="24"/>
          <w:szCs w:val="24"/>
        </w:rPr>
        <w:t xml:space="preserve"> para hacer frente a la inflación, nos dicen. Pero, ¿cuáles son esas herramientas? ¿Tienen los bancos centrales la voluntad de utilizarlos y los gobiernos les permitirán hacerlo?</w:t>
      </w:r>
    </w:p>
    <w:p w:rsidR="00CC5801" w:rsidRPr="00571FBF" w:rsidRDefault="00CC5801" w:rsidP="00FA4DA9">
      <w:pPr>
        <w:spacing w:line="240" w:lineRule="auto"/>
        <w:jc w:val="both"/>
        <w:rPr>
          <w:rFonts w:ascii="Times New Roman" w:hAnsi="Times New Roman" w:cs="Times New Roman"/>
          <w:sz w:val="24"/>
          <w:szCs w:val="24"/>
        </w:rPr>
      </w:pPr>
      <w:r w:rsidRPr="00571FBF">
        <w:rPr>
          <w:rFonts w:ascii="Times New Roman" w:hAnsi="Times New Roman" w:cs="Times New Roman"/>
          <w:sz w:val="24"/>
          <w:szCs w:val="24"/>
        </w:rPr>
        <w:t>Si la inflación continúa aumentando, la principal herramienta de los bancos centrales es subir drásticamente las tasas de interés y mantenerlas altas durante varios años, incluso si eso causa una recesión dolorosa, como sucedió a principios de los años ochenta. ¿Cuánto dolor y qué profundidad de inmersión se necesitaría? La respetada regla de Taylor (que lleva el nombre de mi colega de la Ins</w:t>
      </w:r>
      <w:r w:rsidR="0057712A" w:rsidRPr="00571FBF">
        <w:rPr>
          <w:rFonts w:ascii="Times New Roman" w:hAnsi="Times New Roman" w:cs="Times New Roman"/>
          <w:sz w:val="24"/>
          <w:szCs w:val="24"/>
        </w:rPr>
        <w:t>titución Hoover, John B. Taylor</w:t>
      </w:r>
      <w:r w:rsidRPr="00571FBF">
        <w:rPr>
          <w:rFonts w:ascii="Times New Roman" w:hAnsi="Times New Roman" w:cs="Times New Roman"/>
          <w:sz w:val="24"/>
          <w:szCs w:val="24"/>
        </w:rPr>
        <w:t>) recomienda que las tasas de interés aumenten una vez y media más que la inflación. Entonces, si la inflación aumenta del 2% al 5%, las tasas de interés deberían aumentar en 4.5 puntos porcentuales. Agregue una línea de base de 2% para la meta de inflación y 1% para la tasa de interés real a largo plazo, y la regla recomienda una tasa del banco central de 7.5%. Si la inflación se acelera aún más antes de que los bancos centrales actúen, controlarla podría requerir las tasas de interés del 15% de principios de la década de 1980.</w:t>
      </w:r>
    </w:p>
    <w:p w:rsidR="00CC5801" w:rsidRPr="00571FBF" w:rsidRDefault="00CC5801" w:rsidP="00FA4DA9">
      <w:pPr>
        <w:spacing w:line="240" w:lineRule="auto"/>
        <w:jc w:val="both"/>
        <w:rPr>
          <w:rFonts w:ascii="Times New Roman" w:hAnsi="Times New Roman" w:cs="Times New Roman"/>
          <w:sz w:val="24"/>
          <w:szCs w:val="24"/>
        </w:rPr>
      </w:pPr>
      <w:r w:rsidRPr="00571FBF">
        <w:rPr>
          <w:rFonts w:ascii="Times New Roman" w:hAnsi="Times New Roman" w:cs="Times New Roman"/>
          <w:sz w:val="24"/>
          <w:szCs w:val="24"/>
        </w:rPr>
        <w:t>¿Harían eso los bancos centrales? Si lo hicieran, ¿las altas tasas de interés controlarían la inflación en la economía actual? Hay muchas razones para preocuparse.</w:t>
      </w:r>
    </w:p>
    <w:p w:rsidR="00CC5801" w:rsidRPr="004A62F1" w:rsidRDefault="00CC5801"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A62F1">
        <w:rPr>
          <w:rFonts w:ascii="Times New Roman" w:hAnsi="Times New Roman" w:cs="Times New Roman"/>
          <w:sz w:val="24"/>
          <w:szCs w:val="24"/>
          <w:u w:val="single"/>
        </w:rPr>
        <w:t>Los titanes de Wall Street apuntan a los tres mayores riesgos de la economía: deflación, desigualdad y hackers</w:t>
      </w:r>
      <w:r>
        <w:rPr>
          <w:rFonts w:ascii="Times New Roman" w:hAnsi="Times New Roman" w:cs="Times New Roman"/>
          <w:sz w:val="24"/>
          <w:szCs w:val="24"/>
        </w:rPr>
        <w:t xml:space="preserve"> (El Economista - </w:t>
      </w:r>
      <w:r w:rsidRPr="004A62F1">
        <w:rPr>
          <w:rFonts w:ascii="Times New Roman" w:hAnsi="Times New Roman" w:cs="Times New Roman"/>
          <w:b/>
          <w:sz w:val="24"/>
          <w:szCs w:val="24"/>
        </w:rPr>
        <w:t>1/10/21</w:t>
      </w:r>
      <w:r>
        <w:rPr>
          <w:rFonts w:ascii="Times New Roman" w:hAnsi="Times New Roman" w:cs="Times New Roman"/>
          <w:sz w:val="24"/>
          <w:szCs w:val="24"/>
        </w:rPr>
        <w:t>)</w:t>
      </w:r>
    </w:p>
    <w:p w:rsidR="00CC5801" w:rsidRPr="004A62F1" w:rsidRDefault="00CC5801" w:rsidP="00FA4DA9">
      <w:pPr>
        <w:spacing w:line="240" w:lineRule="auto"/>
        <w:jc w:val="both"/>
        <w:rPr>
          <w:rFonts w:ascii="Times New Roman" w:hAnsi="Times New Roman" w:cs="Times New Roman"/>
          <w:sz w:val="24"/>
          <w:szCs w:val="24"/>
        </w:rPr>
      </w:pPr>
      <w:r w:rsidRPr="004A62F1">
        <w:rPr>
          <w:rFonts w:ascii="Times New Roman" w:hAnsi="Times New Roman" w:cs="Times New Roman"/>
          <w:sz w:val="24"/>
          <w:szCs w:val="24"/>
        </w:rPr>
        <w:t>Los riesgos a los que se enfrentan los inversores y la economía mundial</w:t>
      </w:r>
      <w:r w:rsidR="00324F4A">
        <w:rPr>
          <w:rFonts w:ascii="Times New Roman" w:hAnsi="Times New Roman" w:cs="Times New Roman"/>
          <w:sz w:val="24"/>
          <w:szCs w:val="24"/>
        </w:rPr>
        <w:t>,</w:t>
      </w:r>
      <w:r w:rsidRPr="004A62F1">
        <w:rPr>
          <w:rFonts w:ascii="Times New Roman" w:hAnsi="Times New Roman" w:cs="Times New Roman"/>
          <w:sz w:val="24"/>
          <w:szCs w:val="24"/>
        </w:rPr>
        <w:t xml:space="preserve"> son innumerables y no dejan de crecer. Pero los grandes titanes de Wall Street tienen una idea clara de cuáles son los más urgentes para los próximos años. En varias entrevistas con la agencia Bloomberg, tres de los mayores inversores y expertos en mercados del mundo dan su opinión sobre los asuntos que consideran clave: la deflación, la creciente desigualdad y la posibilidad de un ciberataque que dañe el sistema de pagos mundiales.</w:t>
      </w:r>
    </w:p>
    <w:p w:rsidR="00CC5801" w:rsidRPr="004A62F1" w:rsidRDefault="00CC5801" w:rsidP="00FA4DA9">
      <w:pPr>
        <w:spacing w:line="240" w:lineRule="auto"/>
        <w:jc w:val="both"/>
        <w:rPr>
          <w:rFonts w:ascii="Times New Roman" w:hAnsi="Times New Roman" w:cs="Times New Roman"/>
          <w:color w:val="FF0000"/>
          <w:sz w:val="24"/>
          <w:szCs w:val="24"/>
        </w:rPr>
      </w:pPr>
      <w:r w:rsidRPr="004A62F1">
        <w:rPr>
          <w:rFonts w:ascii="Times New Roman" w:hAnsi="Times New Roman" w:cs="Times New Roman"/>
          <w:color w:val="FF0000"/>
          <w:sz w:val="24"/>
          <w:szCs w:val="24"/>
        </w:rPr>
        <w:t>Wood: Deflación</w:t>
      </w:r>
    </w:p>
    <w:p w:rsidR="00CC5801" w:rsidRPr="004A62F1" w:rsidRDefault="00CC5801" w:rsidP="00FA4DA9">
      <w:pPr>
        <w:spacing w:line="240" w:lineRule="auto"/>
        <w:jc w:val="both"/>
        <w:rPr>
          <w:rFonts w:ascii="Times New Roman" w:hAnsi="Times New Roman" w:cs="Times New Roman"/>
          <w:color w:val="FF0000"/>
          <w:sz w:val="24"/>
          <w:szCs w:val="24"/>
          <w:u w:val="single"/>
        </w:rPr>
      </w:pPr>
      <w:r w:rsidRPr="004A62F1">
        <w:rPr>
          <w:rFonts w:ascii="Times New Roman" w:hAnsi="Times New Roman" w:cs="Times New Roman"/>
          <w:sz w:val="24"/>
          <w:szCs w:val="24"/>
        </w:rPr>
        <w:t xml:space="preserve">Para Cathie Wood, directora de Ark Investment y experta en apuestas tecnológicas, el peligro no es la ola inflacionaria que se temen muchos expertos. </w:t>
      </w:r>
      <w:r w:rsidR="001640E8">
        <w:rPr>
          <w:rFonts w:ascii="Times New Roman" w:hAnsi="Times New Roman" w:cs="Times New Roman"/>
          <w:color w:val="FF0000"/>
          <w:sz w:val="24"/>
          <w:szCs w:val="24"/>
          <w:u w:val="single"/>
        </w:rPr>
        <w:t>“</w:t>
      </w:r>
      <w:r w:rsidRPr="004A62F1">
        <w:rPr>
          <w:rFonts w:ascii="Times New Roman" w:hAnsi="Times New Roman" w:cs="Times New Roman"/>
          <w:color w:val="FF0000"/>
          <w:sz w:val="24"/>
          <w:szCs w:val="24"/>
          <w:u w:val="single"/>
        </w:rPr>
        <w:t>La suposición subyacente es que estamos en un período inflacionario impulsado por interrupciones en la cadena de suminis</w:t>
      </w:r>
      <w:r w:rsidR="001640E8">
        <w:rPr>
          <w:rFonts w:ascii="Times New Roman" w:hAnsi="Times New Roman" w:cs="Times New Roman"/>
          <w:color w:val="FF0000"/>
          <w:sz w:val="24"/>
          <w:szCs w:val="24"/>
          <w:u w:val="single"/>
        </w:rPr>
        <w:t>tro”</w:t>
      </w:r>
      <w:r w:rsidRPr="004A62F1">
        <w:rPr>
          <w:rFonts w:ascii="Times New Roman" w:hAnsi="Times New Roman" w:cs="Times New Roman"/>
          <w:color w:val="FF0000"/>
          <w:sz w:val="24"/>
          <w:szCs w:val="24"/>
          <w:u w:val="single"/>
        </w:rPr>
        <w:t>, comp</w:t>
      </w:r>
      <w:r w:rsidR="001640E8">
        <w:rPr>
          <w:rFonts w:ascii="Times New Roman" w:hAnsi="Times New Roman" w:cs="Times New Roman"/>
          <w:color w:val="FF0000"/>
          <w:sz w:val="24"/>
          <w:szCs w:val="24"/>
          <w:u w:val="single"/>
        </w:rPr>
        <w:t>arándola con los años 70. Pero “</w:t>
      </w:r>
      <w:r w:rsidRPr="004A62F1">
        <w:rPr>
          <w:rFonts w:ascii="Times New Roman" w:hAnsi="Times New Roman" w:cs="Times New Roman"/>
          <w:color w:val="FF0000"/>
          <w:sz w:val="24"/>
          <w:szCs w:val="24"/>
          <w:u w:val="single"/>
        </w:rPr>
        <w:t>realmente creo que no volveremos allí y que cualquiera que planee sus inversiones de cara a ese escenario</w:t>
      </w:r>
      <w:r w:rsidR="001640E8">
        <w:rPr>
          <w:rFonts w:ascii="Times New Roman" w:hAnsi="Times New Roman" w:cs="Times New Roman"/>
          <w:color w:val="FF0000"/>
          <w:sz w:val="24"/>
          <w:szCs w:val="24"/>
          <w:u w:val="single"/>
        </w:rPr>
        <w:t xml:space="preserve"> probablemente cometerá errores”. En cambio, “</w:t>
      </w:r>
      <w:r w:rsidRPr="004A62F1">
        <w:rPr>
          <w:rFonts w:ascii="Times New Roman" w:hAnsi="Times New Roman" w:cs="Times New Roman"/>
          <w:color w:val="FF0000"/>
          <w:sz w:val="24"/>
          <w:szCs w:val="24"/>
          <w:u w:val="single"/>
        </w:rPr>
        <w:t>se están gestando tres</w:t>
      </w:r>
      <w:r w:rsidR="001640E8">
        <w:rPr>
          <w:rFonts w:ascii="Times New Roman" w:hAnsi="Times New Roman" w:cs="Times New Roman"/>
          <w:color w:val="FF0000"/>
          <w:sz w:val="24"/>
          <w:szCs w:val="24"/>
          <w:u w:val="single"/>
        </w:rPr>
        <w:t xml:space="preserve"> grandes fuerzas deflacionarias”</w:t>
      </w:r>
      <w:r w:rsidRPr="004A62F1">
        <w:rPr>
          <w:rFonts w:ascii="Times New Roman" w:hAnsi="Times New Roman" w:cs="Times New Roman"/>
          <w:color w:val="FF0000"/>
          <w:sz w:val="24"/>
          <w:szCs w:val="24"/>
          <w:u w:val="single"/>
        </w:rPr>
        <w:t>.</w:t>
      </w:r>
    </w:p>
    <w:p w:rsidR="00CC5801" w:rsidRPr="004A62F1" w:rsidRDefault="001640E8"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C5801" w:rsidRPr="004A62F1">
        <w:rPr>
          <w:rFonts w:ascii="Times New Roman" w:hAnsi="Times New Roman" w:cs="Times New Roman"/>
          <w:sz w:val="24"/>
          <w:szCs w:val="24"/>
          <w:u w:val="single"/>
        </w:rPr>
        <w:t>Por el lado de la innovación, hoy estamos en un período en el que nunca hemos estado. Hoy, tenemos cinco plataformas: secuenciación de ADN, robótica, almacenamiento de energía, inteligencia artificial y tecnología blockchain, todas las cuales son deflacionarias.</w:t>
      </w:r>
      <w:r w:rsidR="00CC5801" w:rsidRPr="004A62F1">
        <w:rPr>
          <w:rFonts w:ascii="Times New Roman" w:hAnsi="Times New Roman" w:cs="Times New Roman"/>
          <w:sz w:val="24"/>
          <w:szCs w:val="24"/>
        </w:rPr>
        <w:t xml:space="preserve"> Luego tenemos los vehículos eléctricos y la tecnología del </w:t>
      </w:r>
      <w:r>
        <w:rPr>
          <w:rFonts w:ascii="Times New Roman" w:hAnsi="Times New Roman" w:cs="Times New Roman"/>
          <w:sz w:val="24"/>
          <w:szCs w:val="24"/>
        </w:rPr>
        <w:t>sistema de paquetes de baterías”</w:t>
      </w:r>
      <w:r w:rsidR="00CC5801" w:rsidRPr="004A62F1">
        <w:rPr>
          <w:rFonts w:ascii="Times New Roman" w:hAnsi="Times New Roman" w:cs="Times New Roman"/>
          <w:sz w:val="24"/>
          <w:szCs w:val="24"/>
        </w:rPr>
        <w:t>, cuyos precios se desploman un 28% cada vez que la producción se duplica. Tras varios ciclos, los precios pueden aca</w:t>
      </w:r>
      <w:r>
        <w:rPr>
          <w:rFonts w:ascii="Times New Roman" w:hAnsi="Times New Roman" w:cs="Times New Roman"/>
          <w:sz w:val="24"/>
          <w:szCs w:val="24"/>
        </w:rPr>
        <w:t>bar hundiéndose, explica Wood. “</w:t>
      </w:r>
      <w:r w:rsidR="00CC5801" w:rsidRPr="004A62F1">
        <w:rPr>
          <w:rFonts w:ascii="Times New Roman" w:hAnsi="Times New Roman" w:cs="Times New Roman"/>
          <w:sz w:val="24"/>
          <w:szCs w:val="24"/>
        </w:rPr>
        <w:t>Y también están los robots industriales, cuyos costes también están cay</w:t>
      </w:r>
      <w:r>
        <w:rPr>
          <w:rFonts w:ascii="Times New Roman" w:hAnsi="Times New Roman" w:cs="Times New Roman"/>
          <w:sz w:val="24"/>
          <w:szCs w:val="24"/>
        </w:rPr>
        <w:t>endo más del 20% por cada ciclo”</w:t>
      </w:r>
      <w:r w:rsidR="00CC5801" w:rsidRPr="004A62F1">
        <w:rPr>
          <w:rFonts w:ascii="Times New Roman" w:hAnsi="Times New Roman" w:cs="Times New Roman"/>
          <w:sz w:val="24"/>
          <w:szCs w:val="24"/>
        </w:rPr>
        <w:t>.</w:t>
      </w:r>
    </w:p>
    <w:p w:rsidR="00CC5801" w:rsidRPr="004A62F1" w:rsidRDefault="001640E8"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A cambio, hay riesgo de una “mala deflación” en los mercados. “</w:t>
      </w:r>
      <w:r w:rsidR="00CC5801" w:rsidRPr="004A62F1">
        <w:rPr>
          <w:rFonts w:ascii="Times New Roman" w:hAnsi="Times New Roman" w:cs="Times New Roman"/>
          <w:sz w:val="24"/>
          <w:szCs w:val="24"/>
        </w:rPr>
        <w:t>En los últimos años ha habido un aumento significativo en la aversión al riesgo en el mercado. Las empresas no han estado invirtiendo lo suficiente en innovación y vamos a ver una gran cantidad de carnicerías cada vez más durante</w:t>
      </w:r>
      <w:r>
        <w:rPr>
          <w:rFonts w:ascii="Times New Roman" w:hAnsi="Times New Roman" w:cs="Times New Roman"/>
          <w:sz w:val="24"/>
          <w:szCs w:val="24"/>
        </w:rPr>
        <w:t xml:space="preserve"> los próximos cinco a diez años”</w:t>
      </w:r>
      <w:r w:rsidR="00CC5801" w:rsidRPr="004A62F1">
        <w:rPr>
          <w:rFonts w:ascii="Times New Roman" w:hAnsi="Times New Roman" w:cs="Times New Roman"/>
          <w:sz w:val="24"/>
          <w:szCs w:val="24"/>
        </w:rPr>
        <w:t>.</w:t>
      </w:r>
    </w:p>
    <w:p w:rsidR="00CC5801" w:rsidRPr="004A62F1" w:rsidRDefault="00CC5801" w:rsidP="00FA4DA9">
      <w:pPr>
        <w:spacing w:line="240" w:lineRule="auto"/>
        <w:jc w:val="both"/>
        <w:rPr>
          <w:rFonts w:ascii="Times New Roman" w:hAnsi="Times New Roman" w:cs="Times New Roman"/>
          <w:sz w:val="24"/>
          <w:szCs w:val="24"/>
        </w:rPr>
      </w:pPr>
      <w:r w:rsidRPr="004A62F1">
        <w:rPr>
          <w:rFonts w:ascii="Times New Roman" w:hAnsi="Times New Roman" w:cs="Times New Roman"/>
          <w:sz w:val="24"/>
          <w:szCs w:val="24"/>
        </w:rPr>
        <w:lastRenderedPageBreak/>
        <w:t>Respecto a la crisis de las cadenas d</w:t>
      </w:r>
      <w:r w:rsidR="001640E8">
        <w:rPr>
          <w:rFonts w:ascii="Times New Roman" w:hAnsi="Times New Roman" w:cs="Times New Roman"/>
          <w:sz w:val="24"/>
          <w:szCs w:val="24"/>
        </w:rPr>
        <w:t>e suministro, su teoría es que “</w:t>
      </w:r>
      <w:r w:rsidRPr="004A62F1">
        <w:rPr>
          <w:rFonts w:ascii="Times New Roman" w:hAnsi="Times New Roman" w:cs="Times New Roman"/>
          <w:sz w:val="24"/>
          <w:szCs w:val="24"/>
        </w:rPr>
        <w:t>las empresas, para ponerse al día, han hecho pedidos dobles y triples. Y una vez que vean bajar los precios, retirarán esos pedidos. Así que creo que podría haber una gran caída en los precios de las materias primas, ya que el consumidor ha pasado de consumir bienes, que son solo un tercio de</w:t>
      </w:r>
      <w:r w:rsidR="001640E8">
        <w:rPr>
          <w:rFonts w:ascii="Times New Roman" w:hAnsi="Times New Roman" w:cs="Times New Roman"/>
          <w:sz w:val="24"/>
          <w:szCs w:val="24"/>
        </w:rPr>
        <w:t>l consumo, a consumir servicios”</w:t>
      </w:r>
      <w:r w:rsidRPr="004A62F1">
        <w:rPr>
          <w:rFonts w:ascii="Times New Roman" w:hAnsi="Times New Roman" w:cs="Times New Roman"/>
          <w:sz w:val="24"/>
          <w:szCs w:val="24"/>
        </w:rPr>
        <w:t>. Un cambio que puede provocar un frenazo inminente de la inflación, como los bancos centrales vienen esperando.</w:t>
      </w:r>
    </w:p>
    <w:p w:rsidR="00CC5801" w:rsidRPr="004A62F1" w:rsidRDefault="00CC5801" w:rsidP="00FA4DA9">
      <w:pPr>
        <w:spacing w:line="240" w:lineRule="auto"/>
        <w:jc w:val="both"/>
        <w:rPr>
          <w:rFonts w:ascii="Times New Roman" w:hAnsi="Times New Roman" w:cs="Times New Roman"/>
          <w:color w:val="FF0000"/>
          <w:sz w:val="24"/>
          <w:szCs w:val="24"/>
        </w:rPr>
      </w:pPr>
      <w:r w:rsidRPr="004A62F1">
        <w:rPr>
          <w:rFonts w:ascii="Times New Roman" w:hAnsi="Times New Roman" w:cs="Times New Roman"/>
          <w:color w:val="FF0000"/>
          <w:sz w:val="24"/>
          <w:szCs w:val="24"/>
        </w:rPr>
        <w:t>El-Erian: Desigualdad</w:t>
      </w:r>
    </w:p>
    <w:p w:rsidR="00CC5801" w:rsidRPr="004A62F1" w:rsidRDefault="00CC5801" w:rsidP="00FA4DA9">
      <w:pPr>
        <w:spacing w:line="240" w:lineRule="auto"/>
        <w:jc w:val="both"/>
        <w:rPr>
          <w:rFonts w:ascii="Times New Roman" w:hAnsi="Times New Roman" w:cs="Times New Roman"/>
          <w:sz w:val="24"/>
          <w:szCs w:val="24"/>
          <w:u w:val="single"/>
        </w:rPr>
      </w:pPr>
      <w:r w:rsidRPr="004A62F1">
        <w:rPr>
          <w:rFonts w:ascii="Times New Roman" w:hAnsi="Times New Roman" w:cs="Times New Roman"/>
          <w:color w:val="FF0000"/>
          <w:sz w:val="24"/>
          <w:szCs w:val="24"/>
          <w:u w:val="single"/>
        </w:rPr>
        <w:t>Para Mohamed El-Erian, asesor económico principal de Allianz SE, el principal riesgo es la desigualdad</w:t>
      </w:r>
      <w:r w:rsidR="001640E8">
        <w:rPr>
          <w:rFonts w:ascii="Times New Roman" w:hAnsi="Times New Roman" w:cs="Times New Roman"/>
          <w:sz w:val="24"/>
          <w:szCs w:val="24"/>
        </w:rPr>
        <w:t>. “</w:t>
      </w:r>
      <w:r w:rsidRPr="004A62F1">
        <w:rPr>
          <w:rFonts w:ascii="Times New Roman" w:hAnsi="Times New Roman" w:cs="Times New Roman"/>
          <w:sz w:val="24"/>
          <w:szCs w:val="24"/>
        </w:rPr>
        <w:t xml:space="preserve">Y es algo que los mercados financieros dejan de lado como un problema social, no realmente un problema económico o financiero. Y nos hemos arriesgado a que el tema de la desigualdad cobrara impulso. </w:t>
      </w:r>
      <w:r w:rsidRPr="004A62F1">
        <w:rPr>
          <w:rFonts w:ascii="Times New Roman" w:hAnsi="Times New Roman" w:cs="Times New Roman"/>
          <w:sz w:val="24"/>
          <w:szCs w:val="24"/>
          <w:u w:val="single"/>
        </w:rPr>
        <w:t xml:space="preserve">El covid ya ha sido el gran desequilibrador, pero en lugar de volver al lugar de </w:t>
      </w:r>
      <w:r w:rsidR="00324F4A" w:rsidRPr="004A62F1">
        <w:rPr>
          <w:rFonts w:ascii="Times New Roman" w:hAnsi="Times New Roman" w:cs="Times New Roman"/>
          <w:sz w:val="24"/>
          <w:szCs w:val="24"/>
          <w:u w:val="single"/>
        </w:rPr>
        <w:t>dónde</w:t>
      </w:r>
      <w:r w:rsidRPr="004A62F1">
        <w:rPr>
          <w:rFonts w:ascii="Times New Roman" w:hAnsi="Times New Roman" w:cs="Times New Roman"/>
          <w:sz w:val="24"/>
          <w:szCs w:val="24"/>
          <w:u w:val="single"/>
        </w:rPr>
        <w:t xml:space="preserve"> venimos, ahora estamos creando la dinámica </w:t>
      </w:r>
      <w:r w:rsidR="001640E8">
        <w:rPr>
          <w:rFonts w:ascii="Times New Roman" w:hAnsi="Times New Roman" w:cs="Times New Roman"/>
          <w:sz w:val="24"/>
          <w:szCs w:val="24"/>
          <w:u w:val="single"/>
        </w:rPr>
        <w:t>para que la desigualdad empeore”</w:t>
      </w:r>
      <w:r w:rsidRPr="004A62F1">
        <w:rPr>
          <w:rFonts w:ascii="Times New Roman" w:hAnsi="Times New Roman" w:cs="Times New Roman"/>
          <w:sz w:val="24"/>
          <w:szCs w:val="24"/>
          <w:u w:val="single"/>
        </w:rPr>
        <w:t>, advierte.</w:t>
      </w:r>
    </w:p>
    <w:p w:rsidR="00CC5801" w:rsidRPr="004A62F1" w:rsidRDefault="00CC5801" w:rsidP="00FA4DA9">
      <w:pPr>
        <w:spacing w:line="240" w:lineRule="auto"/>
        <w:jc w:val="both"/>
        <w:rPr>
          <w:rFonts w:ascii="Times New Roman" w:hAnsi="Times New Roman" w:cs="Times New Roman"/>
          <w:sz w:val="24"/>
          <w:szCs w:val="24"/>
        </w:rPr>
      </w:pPr>
      <w:r w:rsidRPr="004A62F1">
        <w:rPr>
          <w:rFonts w:ascii="Times New Roman" w:hAnsi="Times New Roman" w:cs="Times New Roman"/>
          <w:sz w:val="24"/>
          <w:szCs w:val="24"/>
          <w:u w:val="single"/>
        </w:rPr>
        <w:t>En su opinión, el principal riesgo está en la desigualdad de oportunidades</w:t>
      </w:r>
      <w:r w:rsidR="001640E8">
        <w:rPr>
          <w:rFonts w:ascii="Times New Roman" w:hAnsi="Times New Roman" w:cs="Times New Roman"/>
          <w:sz w:val="24"/>
          <w:szCs w:val="24"/>
        </w:rPr>
        <w:t>. “</w:t>
      </w:r>
      <w:r w:rsidRPr="004A62F1">
        <w:rPr>
          <w:rFonts w:ascii="Times New Roman" w:hAnsi="Times New Roman" w:cs="Times New Roman"/>
          <w:sz w:val="24"/>
          <w:szCs w:val="24"/>
        </w:rPr>
        <w:t xml:space="preserve">Piense en las personas cuyos trabajos han sido desplazados por este gran paso hacia la digitalización, que para empezar no tienen activos financieros y no se benefician de las subidas de sus precios. Además, esperan comprar una casa y han sido excluidos del mercado inmobiliario. Y por si fuera poco, si están desempleados, de repente </w:t>
      </w:r>
      <w:r w:rsidR="001640E8">
        <w:rPr>
          <w:rFonts w:ascii="Times New Roman" w:hAnsi="Times New Roman" w:cs="Times New Roman"/>
          <w:sz w:val="24"/>
          <w:szCs w:val="24"/>
        </w:rPr>
        <w:t>hay un desajuste de habilidades”</w:t>
      </w:r>
      <w:r w:rsidRPr="004A62F1">
        <w:rPr>
          <w:rFonts w:ascii="Times New Roman" w:hAnsi="Times New Roman" w:cs="Times New Roman"/>
          <w:sz w:val="24"/>
          <w:szCs w:val="24"/>
        </w:rPr>
        <w:t>.</w:t>
      </w:r>
    </w:p>
    <w:p w:rsidR="00CC5801" w:rsidRPr="004A62F1" w:rsidRDefault="00CC5801" w:rsidP="00FA4DA9">
      <w:pPr>
        <w:spacing w:line="240" w:lineRule="auto"/>
        <w:jc w:val="both"/>
        <w:rPr>
          <w:rFonts w:ascii="Times New Roman" w:hAnsi="Times New Roman" w:cs="Times New Roman"/>
          <w:sz w:val="24"/>
          <w:szCs w:val="24"/>
        </w:rPr>
      </w:pPr>
      <w:r w:rsidRPr="004A62F1">
        <w:rPr>
          <w:rFonts w:ascii="Times New Roman" w:hAnsi="Times New Roman" w:cs="Times New Roman"/>
          <w:sz w:val="24"/>
          <w:szCs w:val="24"/>
          <w:u w:val="single"/>
        </w:rPr>
        <w:t>El resultado se puede ver en las urnas, con efectos que sacuden a los países de arriba abajo</w:t>
      </w:r>
      <w:r w:rsidR="001640E8">
        <w:rPr>
          <w:rFonts w:ascii="Times New Roman" w:hAnsi="Times New Roman" w:cs="Times New Roman"/>
          <w:sz w:val="24"/>
          <w:szCs w:val="24"/>
        </w:rPr>
        <w:t>. “</w:t>
      </w:r>
      <w:r w:rsidRPr="004A62F1">
        <w:rPr>
          <w:rFonts w:ascii="Times New Roman" w:hAnsi="Times New Roman" w:cs="Times New Roman"/>
          <w:sz w:val="24"/>
          <w:szCs w:val="24"/>
        </w:rPr>
        <w:t>Las personas se conver</w:t>
      </w:r>
      <w:r>
        <w:rPr>
          <w:rFonts w:ascii="Times New Roman" w:hAnsi="Times New Roman" w:cs="Times New Roman"/>
          <w:sz w:val="24"/>
          <w:szCs w:val="24"/>
        </w:rPr>
        <w:t xml:space="preserve">tirán en votantes monotema, y </w:t>
      </w:r>
      <w:r w:rsidRPr="004A62F1">
        <w:rPr>
          <w:rFonts w:ascii="Times New Roman" w:hAnsi="Times New Roman" w:cs="Times New Roman"/>
          <w:sz w:val="24"/>
          <w:szCs w:val="24"/>
        </w:rPr>
        <w:t xml:space="preserve">los votantes monotema pueden ser capturados por todo tipo de partidos fuera del espectro moderado. </w:t>
      </w:r>
      <w:r w:rsidRPr="004A62F1">
        <w:rPr>
          <w:rFonts w:ascii="Times New Roman" w:hAnsi="Times New Roman" w:cs="Times New Roman"/>
          <w:sz w:val="24"/>
          <w:szCs w:val="24"/>
          <w:u w:val="single"/>
        </w:rPr>
        <w:t>No es de extrañar que estemos viendo un aumento del populismo en todo el mundo.</w:t>
      </w:r>
      <w:r w:rsidRPr="004A62F1">
        <w:rPr>
          <w:rFonts w:ascii="Times New Roman" w:hAnsi="Times New Roman" w:cs="Times New Roman"/>
          <w:sz w:val="24"/>
          <w:szCs w:val="24"/>
        </w:rPr>
        <w:t xml:space="preserve"> Y eso signi</w:t>
      </w:r>
      <w:r w:rsidR="001640E8">
        <w:rPr>
          <w:rFonts w:ascii="Times New Roman" w:hAnsi="Times New Roman" w:cs="Times New Roman"/>
          <w:sz w:val="24"/>
          <w:szCs w:val="24"/>
        </w:rPr>
        <w:t>fica un mundo menos igualitario”</w:t>
      </w:r>
      <w:r w:rsidRPr="004A62F1">
        <w:rPr>
          <w:rFonts w:ascii="Times New Roman" w:hAnsi="Times New Roman" w:cs="Times New Roman"/>
          <w:sz w:val="24"/>
          <w:szCs w:val="24"/>
        </w:rPr>
        <w:t>, explica El-Erian.</w:t>
      </w:r>
    </w:p>
    <w:p w:rsidR="00CC5801" w:rsidRPr="004A62F1" w:rsidRDefault="001640E8"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La solución es simple: “</w:t>
      </w:r>
      <w:r w:rsidR="00CC5801" w:rsidRPr="004A62F1">
        <w:rPr>
          <w:rFonts w:ascii="Times New Roman" w:hAnsi="Times New Roman" w:cs="Times New Roman"/>
          <w:sz w:val="24"/>
          <w:szCs w:val="24"/>
        </w:rPr>
        <w:t>invertir en infraestructura física y humana. Se trata de permitir que las personas hagan más y mejoren. Se trata de brindar a las personas oportunidades de transformación. Comienza a una edad muy temprana, en la guardería, exponiendo a las futuras mentes brillantes a la educación. Continúa a lo largo</w:t>
      </w:r>
      <w:r>
        <w:rPr>
          <w:rFonts w:ascii="Times New Roman" w:hAnsi="Times New Roman" w:cs="Times New Roman"/>
          <w:sz w:val="24"/>
          <w:szCs w:val="24"/>
        </w:rPr>
        <w:t xml:space="preserve"> de la escuela y la universidad”</w:t>
      </w:r>
      <w:r w:rsidR="00CC5801" w:rsidRPr="004A62F1">
        <w:rPr>
          <w:rFonts w:ascii="Times New Roman" w:hAnsi="Times New Roman" w:cs="Times New Roman"/>
          <w:sz w:val="24"/>
          <w:szCs w:val="24"/>
        </w:rPr>
        <w:t>. Y sobre todo, está abierta a cualquiera, independientemente de su riqueza o la de sus padres, una tarea a la que deberían aplicarse los Gobiernos.</w:t>
      </w:r>
    </w:p>
    <w:p w:rsidR="00CC5801" w:rsidRPr="00E57A1D" w:rsidRDefault="00CC5801" w:rsidP="00FA4DA9">
      <w:pPr>
        <w:spacing w:line="240" w:lineRule="auto"/>
        <w:jc w:val="both"/>
        <w:rPr>
          <w:rFonts w:ascii="Times New Roman" w:hAnsi="Times New Roman" w:cs="Times New Roman"/>
          <w:color w:val="FF0000"/>
          <w:sz w:val="24"/>
          <w:szCs w:val="24"/>
        </w:rPr>
      </w:pPr>
      <w:r w:rsidRPr="00E57A1D">
        <w:rPr>
          <w:rFonts w:ascii="Times New Roman" w:hAnsi="Times New Roman" w:cs="Times New Roman"/>
          <w:color w:val="FF0000"/>
          <w:sz w:val="24"/>
          <w:szCs w:val="24"/>
        </w:rPr>
        <w:t>Minerd: Ciberataques</w:t>
      </w:r>
    </w:p>
    <w:p w:rsidR="00CC5801" w:rsidRPr="00E57A1D" w:rsidRDefault="00CC5801" w:rsidP="00FA4DA9">
      <w:pPr>
        <w:spacing w:line="240" w:lineRule="auto"/>
        <w:jc w:val="both"/>
        <w:rPr>
          <w:rFonts w:ascii="Times New Roman" w:hAnsi="Times New Roman" w:cs="Times New Roman"/>
          <w:sz w:val="24"/>
          <w:szCs w:val="24"/>
          <w:u w:val="single"/>
        </w:rPr>
      </w:pPr>
      <w:r w:rsidRPr="00E57A1D">
        <w:rPr>
          <w:rFonts w:ascii="Times New Roman" w:hAnsi="Times New Roman" w:cs="Times New Roman"/>
          <w:color w:val="FF0000"/>
          <w:sz w:val="24"/>
          <w:szCs w:val="24"/>
          <w:u w:val="single"/>
        </w:rPr>
        <w:t>Para Scott Minerd, presidente de Guggenheim Investments, la principal amenaza es el</w:t>
      </w:r>
      <w:r w:rsidR="001640E8">
        <w:rPr>
          <w:rFonts w:ascii="Times New Roman" w:hAnsi="Times New Roman" w:cs="Times New Roman"/>
          <w:color w:val="FF0000"/>
          <w:sz w:val="24"/>
          <w:szCs w:val="24"/>
          <w:u w:val="single"/>
        </w:rPr>
        <w:t xml:space="preserve"> sistema de pagos mundial, las “tuberías”</w:t>
      </w:r>
      <w:r w:rsidRPr="00E57A1D">
        <w:rPr>
          <w:rFonts w:ascii="Times New Roman" w:hAnsi="Times New Roman" w:cs="Times New Roman"/>
          <w:color w:val="FF0000"/>
          <w:sz w:val="24"/>
          <w:szCs w:val="24"/>
          <w:u w:val="single"/>
        </w:rPr>
        <w:t xml:space="preserve"> que llevan el dinero de un lado al otro y que permiten que la economía internacional funcione</w:t>
      </w:r>
      <w:r w:rsidR="001640E8">
        <w:rPr>
          <w:rFonts w:ascii="Times New Roman" w:hAnsi="Times New Roman" w:cs="Times New Roman"/>
          <w:sz w:val="24"/>
          <w:szCs w:val="24"/>
        </w:rPr>
        <w:t>. “</w:t>
      </w:r>
      <w:r w:rsidRPr="004A62F1">
        <w:rPr>
          <w:rFonts w:ascii="Times New Roman" w:hAnsi="Times New Roman" w:cs="Times New Roman"/>
          <w:sz w:val="24"/>
          <w:szCs w:val="24"/>
        </w:rPr>
        <w:t xml:space="preserve">Elijo la palabra sostenibilidad sobre la palabra vulnerabilidad, porque la verdadera clave aquí es mantener en funcionamiento el sistema de pago global, y hemos tenido tantos hackeos, ataques terroristas, secuestros con ransomware. </w:t>
      </w:r>
      <w:r w:rsidRPr="00E57A1D">
        <w:rPr>
          <w:rFonts w:ascii="Times New Roman" w:hAnsi="Times New Roman" w:cs="Times New Roman"/>
          <w:sz w:val="24"/>
          <w:szCs w:val="24"/>
          <w:u w:val="single"/>
        </w:rPr>
        <w:t>Parece que somos extremadamente vulnerables a un ataque contra el sistema de pago de los m</w:t>
      </w:r>
      <w:r w:rsidR="001640E8">
        <w:rPr>
          <w:rFonts w:ascii="Times New Roman" w:hAnsi="Times New Roman" w:cs="Times New Roman"/>
          <w:sz w:val="24"/>
          <w:szCs w:val="24"/>
          <w:u w:val="single"/>
        </w:rPr>
        <w:t>ercados financieros”</w:t>
      </w:r>
      <w:r w:rsidRPr="00E57A1D">
        <w:rPr>
          <w:rFonts w:ascii="Times New Roman" w:hAnsi="Times New Roman" w:cs="Times New Roman"/>
          <w:sz w:val="24"/>
          <w:szCs w:val="24"/>
          <w:u w:val="single"/>
        </w:rPr>
        <w:t>, explica.</w:t>
      </w:r>
    </w:p>
    <w:p w:rsidR="00CC5801" w:rsidRPr="00E57A1D" w:rsidRDefault="00CC5801" w:rsidP="00FA4DA9">
      <w:pPr>
        <w:spacing w:line="240" w:lineRule="auto"/>
        <w:jc w:val="both"/>
        <w:rPr>
          <w:rFonts w:ascii="Times New Roman" w:hAnsi="Times New Roman" w:cs="Times New Roman"/>
          <w:color w:val="FF0000"/>
          <w:sz w:val="24"/>
          <w:szCs w:val="24"/>
          <w:u w:val="single"/>
        </w:rPr>
      </w:pPr>
      <w:r w:rsidRPr="00E57A1D">
        <w:rPr>
          <w:rFonts w:ascii="Times New Roman" w:hAnsi="Times New Roman" w:cs="Times New Roman"/>
          <w:color w:val="FF0000"/>
          <w:sz w:val="24"/>
          <w:szCs w:val="24"/>
          <w:u w:val="single"/>
        </w:rPr>
        <w:t>Si h</w:t>
      </w:r>
      <w:r w:rsidR="001640E8">
        <w:rPr>
          <w:rFonts w:ascii="Times New Roman" w:hAnsi="Times New Roman" w:cs="Times New Roman"/>
          <w:color w:val="FF0000"/>
          <w:sz w:val="24"/>
          <w:szCs w:val="24"/>
          <w:u w:val="single"/>
        </w:rPr>
        <w:t>ubiera un ataque sincronizado, “</w:t>
      </w:r>
      <w:r w:rsidRPr="00E57A1D">
        <w:rPr>
          <w:rFonts w:ascii="Times New Roman" w:hAnsi="Times New Roman" w:cs="Times New Roman"/>
          <w:color w:val="FF0000"/>
          <w:sz w:val="24"/>
          <w:szCs w:val="24"/>
          <w:u w:val="single"/>
        </w:rPr>
        <w:t>esencialmente pondrían de rodillas al mercado financiero mundial. La primera respuesta probablemente sería que los precios de los valores se derrumbarían, y la segunda es que tendríamos que cerrar todas las bolsas del mundo mientras tratamos de imaginar cómo resta</w:t>
      </w:r>
      <w:r w:rsidR="001640E8">
        <w:rPr>
          <w:rFonts w:ascii="Times New Roman" w:hAnsi="Times New Roman" w:cs="Times New Roman"/>
          <w:color w:val="FF0000"/>
          <w:sz w:val="24"/>
          <w:szCs w:val="24"/>
          <w:u w:val="single"/>
        </w:rPr>
        <w:t>urar el sistema de pagos global”</w:t>
      </w:r>
      <w:r w:rsidRPr="00E57A1D">
        <w:rPr>
          <w:rFonts w:ascii="Times New Roman" w:hAnsi="Times New Roman" w:cs="Times New Roman"/>
          <w:color w:val="FF0000"/>
          <w:sz w:val="24"/>
          <w:szCs w:val="24"/>
          <w:u w:val="single"/>
        </w:rPr>
        <w:t>, advierte.</w:t>
      </w:r>
    </w:p>
    <w:p w:rsidR="00CC5801" w:rsidRPr="004A62F1" w:rsidRDefault="00CC5801" w:rsidP="00FA4DA9">
      <w:pPr>
        <w:spacing w:line="240" w:lineRule="auto"/>
        <w:jc w:val="both"/>
        <w:rPr>
          <w:rFonts w:ascii="Times New Roman" w:hAnsi="Times New Roman" w:cs="Times New Roman"/>
          <w:sz w:val="24"/>
          <w:szCs w:val="24"/>
        </w:rPr>
      </w:pPr>
      <w:r w:rsidRPr="004A62F1">
        <w:rPr>
          <w:rFonts w:ascii="Times New Roman" w:hAnsi="Times New Roman" w:cs="Times New Roman"/>
          <w:sz w:val="24"/>
          <w:szCs w:val="24"/>
        </w:rPr>
        <w:t>El problema es que, como las tuberí</w:t>
      </w:r>
      <w:r w:rsidR="001640E8">
        <w:rPr>
          <w:rFonts w:ascii="Times New Roman" w:hAnsi="Times New Roman" w:cs="Times New Roman"/>
          <w:sz w:val="24"/>
          <w:szCs w:val="24"/>
        </w:rPr>
        <w:t>as, este mecanismo es algo que “está ahí”</w:t>
      </w:r>
      <w:r>
        <w:rPr>
          <w:rFonts w:ascii="Times New Roman" w:hAnsi="Times New Roman" w:cs="Times New Roman"/>
          <w:sz w:val="24"/>
          <w:szCs w:val="24"/>
        </w:rPr>
        <w:t xml:space="preserve"> y por el que nadie </w:t>
      </w:r>
      <w:r w:rsidR="001640E8">
        <w:rPr>
          <w:rFonts w:ascii="Times New Roman" w:hAnsi="Times New Roman" w:cs="Times New Roman"/>
          <w:sz w:val="24"/>
          <w:szCs w:val="24"/>
        </w:rPr>
        <w:t>parece preocuparse. “</w:t>
      </w:r>
      <w:r w:rsidRPr="004A62F1">
        <w:rPr>
          <w:rFonts w:ascii="Times New Roman" w:hAnsi="Times New Roman" w:cs="Times New Roman"/>
          <w:sz w:val="24"/>
          <w:szCs w:val="24"/>
        </w:rPr>
        <w:t xml:space="preserve">Y en realidad requiere un alto grado de cooperación internacional. Se necesita una mirada macro real, lo que significa que debe haber alguien o algún grupo de </w:t>
      </w:r>
      <w:r w:rsidRPr="004A62F1">
        <w:rPr>
          <w:rFonts w:ascii="Times New Roman" w:hAnsi="Times New Roman" w:cs="Times New Roman"/>
          <w:sz w:val="24"/>
          <w:szCs w:val="24"/>
        </w:rPr>
        <w:lastRenderedPageBreak/>
        <w:t>personas que observe cómo se interconecta todo y dónde están l</w:t>
      </w:r>
      <w:r w:rsidR="001640E8">
        <w:rPr>
          <w:rFonts w:ascii="Times New Roman" w:hAnsi="Times New Roman" w:cs="Times New Roman"/>
          <w:sz w:val="24"/>
          <w:szCs w:val="24"/>
        </w:rPr>
        <w:t>as vulnerabilidades potenciales”</w:t>
      </w:r>
      <w:r w:rsidRPr="004A62F1">
        <w:rPr>
          <w:rFonts w:ascii="Times New Roman" w:hAnsi="Times New Roman" w:cs="Times New Roman"/>
          <w:sz w:val="24"/>
          <w:szCs w:val="24"/>
        </w:rPr>
        <w:t>, asegura Minerd.</w:t>
      </w:r>
    </w:p>
    <w:p w:rsidR="00CC5801" w:rsidRDefault="00CC5801" w:rsidP="00FA4DA9">
      <w:pPr>
        <w:spacing w:line="240" w:lineRule="auto"/>
        <w:jc w:val="both"/>
        <w:rPr>
          <w:rFonts w:ascii="Times New Roman" w:hAnsi="Times New Roman" w:cs="Times New Roman"/>
          <w:color w:val="FF0000"/>
          <w:sz w:val="24"/>
          <w:szCs w:val="24"/>
          <w:u w:val="single"/>
        </w:rPr>
      </w:pPr>
      <w:r w:rsidRPr="00E57A1D">
        <w:rPr>
          <w:rFonts w:ascii="Times New Roman" w:hAnsi="Times New Roman" w:cs="Times New Roman"/>
          <w:color w:val="FF0000"/>
          <w:sz w:val="24"/>
          <w:szCs w:val="24"/>
          <w:u w:val="single"/>
        </w:rPr>
        <w:t>Y la clave, en su opinión, es que todo lo relaciona</w:t>
      </w:r>
      <w:r w:rsidR="001640E8">
        <w:rPr>
          <w:rFonts w:ascii="Times New Roman" w:hAnsi="Times New Roman" w:cs="Times New Roman"/>
          <w:color w:val="FF0000"/>
          <w:sz w:val="24"/>
          <w:szCs w:val="24"/>
          <w:u w:val="single"/>
        </w:rPr>
        <w:t>do con internet es vulnerable. “</w:t>
      </w:r>
      <w:r w:rsidRPr="00E57A1D">
        <w:rPr>
          <w:rFonts w:ascii="Times New Roman" w:hAnsi="Times New Roman" w:cs="Times New Roman"/>
          <w:color w:val="FF0000"/>
          <w:sz w:val="24"/>
          <w:szCs w:val="24"/>
          <w:u w:val="single"/>
        </w:rPr>
        <w:t>Uno de los comentarios que le hice a la gente sobre la</w:t>
      </w:r>
      <w:r w:rsidR="001640E8">
        <w:rPr>
          <w:rFonts w:ascii="Times New Roman" w:hAnsi="Times New Roman" w:cs="Times New Roman"/>
          <w:color w:val="FF0000"/>
          <w:sz w:val="24"/>
          <w:szCs w:val="24"/>
          <w:u w:val="single"/>
        </w:rPr>
        <w:t>s criptomonedas en general es: “</w:t>
      </w:r>
      <w:r w:rsidRPr="00E57A1D">
        <w:rPr>
          <w:rFonts w:ascii="Times New Roman" w:hAnsi="Times New Roman" w:cs="Times New Roman"/>
          <w:color w:val="FF0000"/>
          <w:sz w:val="24"/>
          <w:szCs w:val="24"/>
          <w:u w:val="single"/>
        </w:rPr>
        <w:t>¿Por qué necesito realizar transacciones a través de internet? ¿Por qué no puedo enviarte un</w:t>
      </w:r>
      <w:r w:rsidR="001640E8">
        <w:rPr>
          <w:rFonts w:ascii="Times New Roman" w:hAnsi="Times New Roman" w:cs="Times New Roman"/>
          <w:color w:val="FF0000"/>
          <w:sz w:val="24"/>
          <w:szCs w:val="24"/>
          <w:u w:val="single"/>
        </w:rPr>
        <w:t xml:space="preserve"> mensaje de texto?”</w:t>
      </w:r>
      <w:r w:rsidRPr="00E57A1D">
        <w:rPr>
          <w:rFonts w:ascii="Times New Roman" w:hAnsi="Times New Roman" w:cs="Times New Roman"/>
          <w:color w:val="FF0000"/>
          <w:sz w:val="24"/>
          <w:szCs w:val="24"/>
          <w:u w:val="single"/>
        </w:rPr>
        <w:t xml:space="preserve"> Hay otras formas de transferir cosas, ¿verdad? Incluso si el blockchain fuera eterno, seguro, perfecto y robusto y no se pudiera robar a nadie a través de él -lo cual no es cierto-, tiene un punto débil: internet. Si te cargas internet,</w:t>
      </w:r>
      <w:r w:rsidR="001640E8">
        <w:rPr>
          <w:rFonts w:ascii="Times New Roman" w:hAnsi="Times New Roman" w:cs="Times New Roman"/>
          <w:color w:val="FF0000"/>
          <w:sz w:val="24"/>
          <w:szCs w:val="24"/>
          <w:u w:val="single"/>
        </w:rPr>
        <w:t xml:space="preserve"> has ganado”</w:t>
      </w:r>
      <w:r w:rsidRPr="00E57A1D">
        <w:rPr>
          <w:rFonts w:ascii="Times New Roman" w:hAnsi="Times New Roman" w:cs="Times New Roman"/>
          <w:color w:val="FF0000"/>
          <w:sz w:val="24"/>
          <w:szCs w:val="24"/>
          <w:u w:val="single"/>
        </w:rPr>
        <w:t>.</w:t>
      </w:r>
    </w:p>
    <w:p w:rsidR="001640E8" w:rsidRDefault="001640E8" w:rsidP="00FA4DA9">
      <w:pPr>
        <w:spacing w:line="240" w:lineRule="auto"/>
        <w:jc w:val="both"/>
        <w:rPr>
          <w:rFonts w:ascii="Times New Roman" w:hAnsi="Times New Roman" w:cs="Times New Roman"/>
          <w:color w:val="FF0000"/>
          <w:sz w:val="24"/>
          <w:szCs w:val="24"/>
          <w:u w:val="single"/>
        </w:rPr>
      </w:pPr>
    </w:p>
    <w:p w:rsidR="00B839AB" w:rsidRDefault="001640E8" w:rsidP="00FA4DA9">
      <w:pPr>
        <w:spacing w:line="240" w:lineRule="auto"/>
        <w:jc w:val="both"/>
        <w:rPr>
          <w:rFonts w:ascii="Times New Roman" w:hAnsi="Times New Roman" w:cs="Times New Roman"/>
          <w:color w:val="FF0000"/>
          <w:sz w:val="24"/>
          <w:szCs w:val="24"/>
          <w:u w:val="single"/>
          <w:shd w:val="clear" w:color="auto" w:fill="FFFFFF"/>
        </w:rPr>
      </w:pPr>
      <w:r w:rsidRPr="001640E8">
        <w:rPr>
          <w:rFonts w:ascii="Times New Roman" w:hAnsi="Times New Roman" w:cs="Times New Roman"/>
          <w:color w:val="FF0000"/>
          <w:sz w:val="24"/>
          <w:szCs w:val="24"/>
          <w:shd w:val="clear" w:color="auto" w:fill="FFFFFF"/>
        </w:rPr>
        <w:t xml:space="preserve">         </w:t>
      </w:r>
      <w:r w:rsidR="00B839AB" w:rsidRPr="00417B68">
        <w:rPr>
          <w:noProof/>
          <w:lang w:eastAsia="es-ES"/>
        </w:rPr>
        <w:drawing>
          <wp:inline distT="0" distB="0" distL="0" distR="0" wp14:anchorId="71A8134F" wp14:editId="57F9BDAD">
            <wp:extent cx="5153745" cy="3896269"/>
            <wp:effectExtent l="0" t="0" r="8890" b="9525"/>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7"/>
                    <a:stretch>
                      <a:fillRect/>
                    </a:stretch>
                  </pic:blipFill>
                  <pic:spPr>
                    <a:xfrm>
                      <a:off x="0" y="0"/>
                      <a:ext cx="5153745" cy="3896269"/>
                    </a:xfrm>
                    <a:prstGeom prst="rect">
                      <a:avLst/>
                    </a:prstGeom>
                  </pic:spPr>
                </pic:pic>
              </a:graphicData>
            </a:graphic>
          </wp:inline>
        </w:drawing>
      </w:r>
    </w:p>
    <w:p w:rsidR="00B839AB" w:rsidRDefault="00B839AB" w:rsidP="00FA4DA9">
      <w:pPr>
        <w:pStyle w:val="NormalWeb"/>
        <w:spacing w:after="0"/>
        <w:jc w:val="both"/>
      </w:pPr>
      <w:r>
        <w:t xml:space="preserve">- </w:t>
      </w:r>
      <w:r w:rsidRPr="00CF615A">
        <w:rPr>
          <w:u w:val="single"/>
        </w:rPr>
        <w:t>Roubini teme que la Fed acabe por achantarse y no suba los tipos pese a la inflación</w:t>
      </w:r>
      <w:r>
        <w:t xml:space="preserve"> (El Economista - </w:t>
      </w:r>
      <w:r w:rsidRPr="00CF615A">
        <w:rPr>
          <w:b/>
        </w:rPr>
        <w:t>12/10/21</w:t>
      </w:r>
      <w:r>
        <w:t>)</w:t>
      </w:r>
    </w:p>
    <w:p w:rsidR="00B839AB" w:rsidRPr="00121324" w:rsidRDefault="00B839AB" w:rsidP="00FA4DA9">
      <w:pPr>
        <w:pStyle w:val="NormalWeb"/>
        <w:spacing w:after="0"/>
        <w:jc w:val="both"/>
        <w:rPr>
          <w:color w:val="FF0000"/>
          <w:u w:val="single"/>
        </w:rPr>
      </w:pPr>
      <w:r w:rsidRPr="00121324">
        <w:rPr>
          <w:color w:val="FF0000"/>
          <w:u w:val="single"/>
        </w:rPr>
        <w:t>Nouriel Roubini, conocido por prever el colapso hipotecario que desató la crisis financiera de 2008, advirtió este martes de que la Reserva Federal podría tener miedo y no atreverse a endurecer la política de tipos si el crecimiento se desacelera y los mercados se sumen en una espiral de ventas como ocurrió e</w:t>
      </w:r>
      <w:r w:rsidR="001640E8">
        <w:rPr>
          <w:color w:val="FF0000"/>
          <w:u w:val="single"/>
        </w:rPr>
        <w:t>n el cuarto trimestre de 2018. “Van a achantarse”</w:t>
      </w:r>
      <w:r w:rsidRPr="00121324">
        <w:rPr>
          <w:color w:val="FF0000"/>
          <w:u w:val="single"/>
        </w:rPr>
        <w:t>, dijo el martes el presidente y director ejecutivo de Roubini Macro Associates, en una entrevista en D</w:t>
      </w:r>
      <w:r w:rsidR="001640E8">
        <w:rPr>
          <w:color w:val="FF0000"/>
          <w:u w:val="single"/>
        </w:rPr>
        <w:t>ubai con Bloomberg Television. “Van a posponer el fin del “tapering” o el aumento de los tipos”</w:t>
      </w:r>
      <w:r w:rsidRPr="00121324">
        <w:rPr>
          <w:color w:val="FF0000"/>
          <w:u w:val="single"/>
        </w:rPr>
        <w:t>.</w:t>
      </w:r>
    </w:p>
    <w:p w:rsidR="00B839AB" w:rsidRPr="00121324" w:rsidRDefault="00B839AB" w:rsidP="00FA4DA9">
      <w:pPr>
        <w:pStyle w:val="NormalWeb"/>
        <w:spacing w:after="0"/>
        <w:jc w:val="both"/>
        <w:rPr>
          <w:u w:val="single"/>
        </w:rPr>
      </w:pPr>
      <w:r w:rsidRPr="00121324">
        <w:rPr>
          <w:u w:val="single"/>
        </w:rPr>
        <w:t>La estanflación, una situación que aterroriza a los mercados, en la que el crecimiento se estanca mientras la inflación regist</w:t>
      </w:r>
      <w:r w:rsidR="001640E8">
        <w:rPr>
          <w:u w:val="single"/>
        </w:rPr>
        <w:t>ra grandes subidas, persistirá “durante varios trimestres”</w:t>
      </w:r>
      <w:r w:rsidRPr="00121324">
        <w:rPr>
          <w:u w:val="single"/>
        </w:rPr>
        <w:t>, avisó Roubini. El índice de precios del consumo personal básico de EEUU registrará subidas superiores al 3% el próximo año, dijo.</w:t>
      </w:r>
    </w:p>
    <w:p w:rsidR="00B839AB" w:rsidRPr="001640E8" w:rsidRDefault="00B839AB" w:rsidP="00FA4DA9">
      <w:pPr>
        <w:pStyle w:val="NormalWeb"/>
        <w:spacing w:after="0"/>
        <w:jc w:val="both"/>
        <w:rPr>
          <w:u w:val="single"/>
        </w:rPr>
      </w:pPr>
      <w:r w:rsidRPr="00121324">
        <w:rPr>
          <w:u w:val="single"/>
        </w:rPr>
        <w:lastRenderedPageBreak/>
        <w:t>La preocupación por la persistencia de la inflación ha aumentado a medida que aumentan los precios del petróleo, el carbón y el gas natural, lo que aumenta las presiones que ya existían y que empujan los precios hacia arriba en muchos sectores. Los cuellos de botella en las cadenas de suministro mundiales y la escasez de mano de obra en gran parte de los países occidentales están impulsando de forma notable la inflación subyacente y general y al mismo tiempo perjudicando el creci</w:t>
      </w:r>
      <w:r w:rsidR="001640E8">
        <w:rPr>
          <w:u w:val="single"/>
        </w:rPr>
        <w:t>miento económico, dijo Roubini.</w:t>
      </w:r>
    </w:p>
    <w:p w:rsidR="00B839AB" w:rsidRPr="00121324" w:rsidRDefault="001640E8" w:rsidP="00FA4DA9">
      <w:pPr>
        <w:pStyle w:val="NormalWeb"/>
        <w:spacing w:after="0"/>
        <w:jc w:val="both"/>
        <w:rPr>
          <w:color w:val="FF0000"/>
          <w:u w:val="single"/>
        </w:rPr>
      </w:pPr>
      <w:r>
        <w:rPr>
          <w:color w:val="FF0000"/>
          <w:u w:val="single"/>
        </w:rPr>
        <w:t>“</w:t>
      </w:r>
      <w:r w:rsidR="00B839AB" w:rsidRPr="00121324">
        <w:rPr>
          <w:color w:val="FF0000"/>
          <w:u w:val="single"/>
        </w:rPr>
        <w:t>Todos estos factores juntos se convierten en un dilema muy di</w:t>
      </w:r>
      <w:r>
        <w:rPr>
          <w:color w:val="FF0000"/>
          <w:u w:val="single"/>
        </w:rPr>
        <w:t>fícil para los bancos centrales”</w:t>
      </w:r>
      <w:r w:rsidR="00B839AB" w:rsidRPr="00121324">
        <w:rPr>
          <w:color w:val="FF0000"/>
          <w:u w:val="single"/>
        </w:rPr>
        <w:t>, dijo. Si el cre</w:t>
      </w:r>
      <w:r>
        <w:rPr>
          <w:color w:val="FF0000"/>
          <w:u w:val="single"/>
        </w:rPr>
        <w:t>cimiento se desacelera, la Fed “</w:t>
      </w:r>
      <w:r w:rsidR="00B839AB" w:rsidRPr="00121324">
        <w:rPr>
          <w:color w:val="FF0000"/>
          <w:u w:val="single"/>
        </w:rPr>
        <w:t>terminará</w:t>
      </w:r>
      <w:r>
        <w:rPr>
          <w:color w:val="FF0000"/>
          <w:u w:val="single"/>
        </w:rPr>
        <w:t xml:space="preserve"> siendo lo más moderada posible”</w:t>
      </w:r>
      <w:r w:rsidR="00B839AB" w:rsidRPr="00121324">
        <w:rPr>
          <w:color w:val="FF0000"/>
          <w:u w:val="single"/>
        </w:rPr>
        <w:t>.</w:t>
      </w:r>
    </w:p>
    <w:p w:rsidR="00B839AB" w:rsidRPr="00121324" w:rsidRDefault="00B839AB" w:rsidP="00FA4DA9">
      <w:pPr>
        <w:pStyle w:val="NormalWeb"/>
        <w:spacing w:after="0"/>
        <w:jc w:val="both"/>
        <w:rPr>
          <w:u w:val="single"/>
        </w:rPr>
      </w:pPr>
      <w:r w:rsidRPr="00121324">
        <w:rPr>
          <w:u w:val="single"/>
        </w:rPr>
        <w:t>Un crecimiento del PIB más lento en EEUU hará poco probable que la Fed suba los tipos en las reuniones del próximo año, aunque se espera que la reducción de las compras de activos se anuncie en la próxima reunión del Comité de Mercados Abiertos, dijo el lunes Jan Hatzius, economista jefe de Goldman Sachs.</w:t>
      </w:r>
    </w:p>
    <w:p w:rsidR="00B839AB" w:rsidRDefault="00B839AB" w:rsidP="00FA4DA9">
      <w:pPr>
        <w:pStyle w:val="NormalWeb"/>
        <w:spacing w:after="0"/>
        <w:jc w:val="both"/>
      </w:pPr>
      <w:r>
        <w:t>Si la Fed va por un camino moderado y la inflación se vuelve volátil, los rendimientos de los bonos estadounidenses aumentarán aún más a medida que los inversores exijan una prima de riesgo inflacionaria más alta, dijo Roubini.</w:t>
      </w:r>
    </w:p>
    <w:p w:rsidR="00B839AB" w:rsidRPr="00121324" w:rsidRDefault="00B839AB" w:rsidP="00FA4DA9">
      <w:pPr>
        <w:pStyle w:val="NormalWeb"/>
        <w:jc w:val="both"/>
        <w:rPr>
          <w:color w:val="FF0000"/>
          <w:u w:val="single"/>
        </w:rPr>
      </w:pPr>
      <w:r w:rsidRPr="00121324">
        <w:rPr>
          <w:color w:val="FF0000"/>
          <w:u w:val="single"/>
        </w:rPr>
        <w:t>Los inversores pueden protegerse contra el riesgo de una mayor inflación vendiendo en corto bonos de duración o invirtiendo en letras del Tesoro protegidas contra la inflación, que varían sus intereses al ritmo del IPC, dijo. Las materias primas, como el oro, los metales, el petróleo y algunas formas de bienes raíces, como las infraestructuras, también ofrecerán protección contra las subidas de precios, dijo.</w:t>
      </w:r>
    </w:p>
    <w:p w:rsidR="00B839AB" w:rsidRPr="0064778F" w:rsidRDefault="00B839AB" w:rsidP="00FA4DA9">
      <w:pPr>
        <w:pStyle w:val="NormalWeb"/>
        <w:spacing w:after="0"/>
        <w:jc w:val="both"/>
      </w:pPr>
      <w:r>
        <w:t>Los precios del petróleo podrían llegar a los 100 dólares por barril en los próximos meses, casi un 25% de subida frente a los 83 dólares que registra el WTI este martes, gracias a -o p</w:t>
      </w:r>
      <w:r w:rsidR="005432AF">
        <w:t>or culpa de- la “percepción de escasez”</w:t>
      </w:r>
      <w:r>
        <w:t xml:space="preserve"> que domina el mercado, dijo Roubini. Sin embargo, eso también dependerá de si la alianza OPEP+ recuperará los niveles de suministro y si Irán podrá volver a los mercados p</w:t>
      </w:r>
      <w:r w:rsidR="005432AF">
        <w:t>etrolíferos globales, explicó. “</w:t>
      </w:r>
      <w:r>
        <w:t>Veo una tendencia al alza en los precios del petróleo, carbó</w:t>
      </w:r>
      <w:r w:rsidR="005432AF">
        <w:t>n, gas natural y otras energías”, dijo. “La demanda está creciendo”</w:t>
      </w:r>
      <w:r>
        <w:t>.</w:t>
      </w:r>
    </w:p>
    <w:p w:rsidR="00B839AB" w:rsidRDefault="00B839AB" w:rsidP="00FA4DA9">
      <w:pPr>
        <w:pStyle w:val="NormalWeb"/>
        <w:spacing w:after="0"/>
        <w:jc w:val="both"/>
        <w:textAlignment w:val="baseline"/>
      </w:pPr>
      <w:r>
        <w:t xml:space="preserve">- </w:t>
      </w:r>
      <w:r w:rsidRPr="00CF615A">
        <w:rPr>
          <w:u w:val="single"/>
        </w:rPr>
        <w:t>El FMI endurece su discurso y pide manos libres para sujetar la inflación</w:t>
      </w:r>
      <w:r>
        <w:t xml:space="preserve"> (El Confidencial - </w:t>
      </w:r>
      <w:r w:rsidRPr="00CF615A">
        <w:rPr>
          <w:b/>
        </w:rPr>
        <w:t>13/10/21</w:t>
      </w:r>
      <w:r>
        <w:t>)</w:t>
      </w:r>
    </w:p>
    <w:p w:rsidR="00B839AB" w:rsidRDefault="00B839AB" w:rsidP="00FA4DA9">
      <w:pPr>
        <w:pStyle w:val="NormalWeb"/>
        <w:spacing w:after="0"/>
        <w:jc w:val="both"/>
        <w:textAlignment w:val="baseline"/>
      </w:pPr>
      <w:r>
        <w:t>(Por Carlos Sánchez)</w:t>
      </w:r>
    </w:p>
    <w:p w:rsidR="00B839AB" w:rsidRPr="00121324" w:rsidRDefault="00B839AB" w:rsidP="00FA4DA9">
      <w:pPr>
        <w:pStyle w:val="NormalWeb"/>
        <w:spacing w:after="0"/>
        <w:jc w:val="both"/>
        <w:textAlignment w:val="baseline"/>
        <w:rPr>
          <w:color w:val="FF0000"/>
          <w:u w:val="single"/>
        </w:rPr>
      </w:pPr>
      <w:r w:rsidRPr="00121324">
        <w:rPr>
          <w:color w:val="FF0000"/>
          <w:u w:val="single"/>
        </w:rPr>
        <w:t>“Políticas fiscales expansivas, de acuerdo con el margen de cada país, y políticas monetarias más restrictivas en caso de que las presiones inflacionistas persistan”. Esta es la receta que plantea el Fondo Monetario Internacional (FMI) para apuntalar la recuperación económica, ahora amenazada por la inflación</w:t>
      </w:r>
      <w:r>
        <w:t xml:space="preserve">. </w:t>
      </w:r>
      <w:r w:rsidRPr="00121324">
        <w:rPr>
          <w:u w:val="single"/>
        </w:rPr>
        <w:t>Según sus previsiones, en el caso de los países avanzados, la inflación general alcanzará su punto máximo en los últimos meses de 2021, en promedio, y se reducirá alrededor del 2% a mediados de 2022</w:t>
      </w:r>
      <w:r>
        <w:t xml:space="preserve">. Es decir, niveles ya de antes de la pandemia. </w:t>
      </w:r>
      <w:r w:rsidRPr="00121324">
        <w:rPr>
          <w:u w:val="single"/>
        </w:rPr>
        <w:t>En el caso de los bancos centrales, lo que se propone es que comuniquen “con claridad” la orientación futura de la política monetaria con el fin de evitar un endurecimiento repentino de las condiciones financieras</w:t>
      </w:r>
      <w:r>
        <w:t xml:space="preserve">. En definitiva, </w:t>
      </w:r>
      <w:r w:rsidR="005432AF">
        <w:t>un 'mix' de política económica -</w:t>
      </w:r>
      <w:r>
        <w:t>el FMI reconoce que las fronteras entre ambas pol</w:t>
      </w:r>
      <w:r w:rsidR="005432AF">
        <w:t>íticas son cada vez más difusas-</w:t>
      </w:r>
      <w:r>
        <w:t xml:space="preserve"> que debe adecuarse a las circunstancias de cada país, lo cual es más complicado cuando la política monetaria es única (caso del BCE), pero las políticas fiscales dependen de cada Gobierno. </w:t>
      </w:r>
      <w:r w:rsidRPr="00121324">
        <w:rPr>
          <w:color w:val="FF0000"/>
          <w:u w:val="single"/>
        </w:rPr>
        <w:lastRenderedPageBreak/>
        <w:t>“Los bancos centrales deben estar preparados para actuar rápidamente si la recuperación se fortalece más rápido de lo esperado o existen riesgos de aumento de las expectativas de inflación”, asegura el FMI en su Informe sobre Perspectivas Económicas (WEO, por sus siglas en inglés).</w:t>
      </w:r>
    </w:p>
    <w:p w:rsidR="00B839AB" w:rsidRPr="00121324" w:rsidRDefault="00B839AB" w:rsidP="00FA4DA9">
      <w:pPr>
        <w:pStyle w:val="NormalWeb"/>
        <w:spacing w:after="0"/>
        <w:jc w:val="both"/>
        <w:textAlignment w:val="baseline"/>
        <w:rPr>
          <w:u w:val="single"/>
        </w:rPr>
      </w:pPr>
      <w:r w:rsidRPr="00121324">
        <w:rPr>
          <w:u w:val="single"/>
        </w:rPr>
        <w:t>Es la primera vez que el FMI, desde el comienzo de la pandemia, muestra un cierto endurecimiento en su mensaje sobre política monetaria, lo que indica que su grado de preocupación sobre la evolución de los precios ha ido en aumento a medida que se han encarecido las materias primas y la energía</w:t>
      </w:r>
      <w:r>
        <w:t xml:space="preserve">. </w:t>
      </w:r>
      <w:r w:rsidRPr="00121324">
        <w:rPr>
          <w:color w:val="FF0000"/>
          <w:u w:val="single"/>
        </w:rPr>
        <w:t>El FMI, incluso, sugiere abiertamente que los bancos no esperen a la recuperación del empleo para actuar. “La alternativa de esperar mejores resultados de empleo corre el riesgo de que la inflación aumente de manera autocumplida, socavando la credibilidad del marco de políticas y la creación de más incertidumbre”, sostiene</w:t>
      </w:r>
      <w:r>
        <w:t xml:space="preserve">. En el caso de la política fiscal, su receta es simple: que sea creíble por los agentes económicos. Es decir, un escenario de consolidación, o de salida, como se prefiera, perfectamente definido. </w:t>
      </w:r>
      <w:r w:rsidRPr="00121324">
        <w:rPr>
          <w:u w:val="single"/>
        </w:rPr>
        <w:t>El FMI, ahora bien, admite que hoy las presiones inflacionistas “están contenidas” y se encuentran por debajo de los objetivos de los bancos centrales (2% en el caso de BCE), lo que es compatible con el hecho de que los IPC, de forma temporal, se encuentren muy por encima de esa estrategia.</w:t>
      </w:r>
    </w:p>
    <w:p w:rsidR="00B839AB" w:rsidRDefault="00B839AB" w:rsidP="00FA4DA9">
      <w:pPr>
        <w:pStyle w:val="NormalWeb"/>
        <w:spacing w:after="0"/>
        <w:jc w:val="both"/>
        <w:textAlignment w:val="baseline"/>
      </w:pPr>
      <w:r w:rsidRPr="00121324">
        <w:rPr>
          <w:u w:val="single"/>
        </w:rPr>
        <w:t>Los economistas del Fondo estiman que la presión de los precios será menor en 2022 a medida que se normalicen los mercados, pero, aun así, admiten que existen numerosas incertidumbres</w:t>
      </w:r>
      <w:r>
        <w:t xml:space="preserve">. </w:t>
      </w:r>
      <w:r w:rsidRPr="00121324">
        <w:rPr>
          <w:color w:val="FF0000"/>
          <w:u w:val="single"/>
        </w:rPr>
        <w:t>Según los supuestos con los que han trabajado para elaborar sus estimaciones, el barril de crudo se situará en 2022, después de haber subido casi un 60% este año, en torno a los 64,5 dólares, un nivel muy parecido al de 2021 en media anual, mientras que la inflación en el área del euro caerá hasta el 1,7%, también en media anual, frente al 2,2% de este año.</w:t>
      </w:r>
      <w:r>
        <w:t xml:space="preserve"> En el caso de España, en media anual, el IPC cerrará en el 2,2% este año y en el 1,6% el próximo.</w:t>
      </w:r>
    </w:p>
    <w:p w:rsidR="00B839AB" w:rsidRDefault="00B839AB" w:rsidP="00FA4DA9">
      <w:pPr>
        <w:pStyle w:val="NormalWeb"/>
        <w:spacing w:after="0"/>
        <w:jc w:val="both"/>
        <w:textAlignment w:val="baseline"/>
      </w:pPr>
      <w:r>
        <w:t>Cuellos de botella</w:t>
      </w:r>
    </w:p>
    <w:p w:rsidR="00B839AB" w:rsidRDefault="00B839AB" w:rsidP="00FA4DA9">
      <w:pPr>
        <w:pStyle w:val="NormalWeb"/>
        <w:spacing w:after="0"/>
        <w:jc w:val="both"/>
        <w:textAlignment w:val="baseline"/>
        <w:rPr>
          <w:color w:val="FF0000"/>
          <w:u w:val="single"/>
        </w:rPr>
      </w:pPr>
      <w:r>
        <w:t xml:space="preserve">Las previsiones sobre inflación del FMI, como es lógico, no solo están basadas en la evolución de las materias primas o de los cuellos de botella generados en la producción de determinados bienes y servicios, como los microprocesadores, sino también de los salarios, y su opinión es que, pese a que se ha producido un incremento relevante en algunos sectores, principalmente vinculados a la hostelería, o en aquellos con falta de mano de obra, hay suficiente holgura para que puedan alimentar una espiral de precios. </w:t>
      </w:r>
      <w:r w:rsidRPr="005120E6">
        <w:rPr>
          <w:color w:val="FF0000"/>
          <w:u w:val="single"/>
        </w:rPr>
        <w:t>La inflación procedente de los salarios nominales “está contenida”, asegura el FMI, citando expresamente a Canadá, Alemania, España, Reino Unido y EEUU.</w:t>
      </w:r>
    </w:p>
    <w:p w:rsidR="00E65A04" w:rsidRPr="005120E6" w:rsidRDefault="00E65A04" w:rsidP="00FA4DA9">
      <w:pPr>
        <w:pStyle w:val="NormalWeb"/>
        <w:spacing w:after="0"/>
        <w:jc w:val="both"/>
        <w:textAlignment w:val="baseline"/>
        <w:rPr>
          <w:color w:val="FF0000"/>
          <w:u w:val="single"/>
        </w:rPr>
      </w:pPr>
      <w:r>
        <w:t xml:space="preserve">El FMI presta una especial atención a cómo afectan los precios de la vivienda sobre la inflación, y su conclusión es que en aquellas economías en las que el “stock” de viviendas desocupadas es bajo, no es el caso de España, el “shock” pandémico y los bajos costes de endeudamiento los han acelerado. Esto ya se ha notado directamente a través de su impacto en las rentas imputadas en los IPC nacionales, y podría contribuir, dicen los economistas del FMI, a “presiones inflacionarias persistentes si la demanda permanece alta, ya que se necesita tiempo para aumentar el parque de viviendas”. </w:t>
      </w:r>
      <w:r w:rsidRPr="005120E6">
        <w:rPr>
          <w:color w:val="FF0000"/>
          <w:u w:val="single"/>
        </w:rPr>
        <w:t xml:space="preserve">Uno de los viejos temores de los economistas es conocer qué influencia puede tener la política monetaria expansiva, como la actual, sobre los precios. Y lo que sostiene el FMI, a partir de análisis realizados con series históricas desde los años 50 es que una </w:t>
      </w:r>
      <w:r>
        <w:rPr>
          <w:color w:val="FF0000"/>
          <w:u w:val="single"/>
        </w:rPr>
        <w:t>expansión de la base monetaria -</w:t>
      </w:r>
      <w:r w:rsidRPr="005120E6">
        <w:rPr>
          <w:color w:val="FF0000"/>
          <w:u w:val="single"/>
        </w:rPr>
        <w:t xml:space="preserve">situación actual a través de la </w:t>
      </w:r>
      <w:r w:rsidRPr="005120E6">
        <w:rPr>
          <w:color w:val="FF0000"/>
          <w:u w:val="single"/>
        </w:rPr>
        <w:lastRenderedPageBreak/>
        <w:t>comp</w:t>
      </w:r>
      <w:r>
        <w:rPr>
          <w:color w:val="FF0000"/>
          <w:u w:val="single"/>
        </w:rPr>
        <w:t>ra de activos por parte del BCE-</w:t>
      </w:r>
      <w:r w:rsidRPr="005120E6">
        <w:rPr>
          <w:color w:val="FF0000"/>
          <w:u w:val="single"/>
        </w:rPr>
        <w:t xml:space="preserve"> es seguida solo por un modesto aumento de la inflación si el nivel</w:t>
      </w:r>
      <w:r>
        <w:rPr>
          <w:color w:val="FF0000"/>
          <w:u w:val="single"/>
        </w:rPr>
        <w:t xml:space="preserve"> inicial de inflación es bajo.</w:t>
      </w:r>
    </w:p>
    <w:p w:rsidR="00B839AB" w:rsidRDefault="00B839AB" w:rsidP="00FA4DA9">
      <w:pPr>
        <w:pStyle w:val="NormalWeb"/>
        <w:spacing w:after="0"/>
        <w:jc w:val="both"/>
        <w:textAlignment w:val="baseline"/>
      </w:pPr>
      <w:r w:rsidRPr="00CF615A">
        <w:rPr>
          <w:noProof/>
        </w:rPr>
        <w:drawing>
          <wp:inline distT="0" distB="0" distL="0" distR="0" wp14:anchorId="22EE78FB" wp14:editId="31A3F493">
            <wp:extent cx="5731510" cy="4861986"/>
            <wp:effectExtent l="0" t="0" r="2540" b="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8"/>
                    <a:stretch>
                      <a:fillRect/>
                    </a:stretch>
                  </pic:blipFill>
                  <pic:spPr>
                    <a:xfrm>
                      <a:off x="0" y="0"/>
                      <a:ext cx="5731510" cy="4861986"/>
                    </a:xfrm>
                    <a:prstGeom prst="rect">
                      <a:avLst/>
                    </a:prstGeom>
                  </pic:spPr>
                </pic:pic>
              </a:graphicData>
            </a:graphic>
          </wp:inline>
        </w:drawing>
      </w:r>
    </w:p>
    <w:p w:rsidR="00E65A04" w:rsidRDefault="00E65A04" w:rsidP="00FA4DA9">
      <w:pPr>
        <w:pStyle w:val="NormalWeb"/>
        <w:spacing w:before="0" w:beforeAutospacing="0" w:after="0" w:afterAutospacing="0"/>
        <w:jc w:val="both"/>
        <w:textAlignment w:val="baseline"/>
        <w:rPr>
          <w:color w:val="FF0000"/>
          <w:u w:val="single"/>
        </w:rPr>
      </w:pPr>
    </w:p>
    <w:p w:rsidR="00B839AB" w:rsidRDefault="00B839AB" w:rsidP="00FA4DA9">
      <w:pPr>
        <w:pStyle w:val="NormalWeb"/>
        <w:spacing w:before="0" w:beforeAutospacing="0" w:after="0" w:afterAutospacing="0"/>
        <w:jc w:val="both"/>
        <w:textAlignment w:val="baseline"/>
        <w:rPr>
          <w:color w:val="FF0000"/>
          <w:u w:val="single"/>
        </w:rPr>
      </w:pPr>
      <w:r w:rsidRPr="005120E6">
        <w:rPr>
          <w:color w:val="FF0000"/>
          <w:u w:val="single"/>
        </w:rPr>
        <w:t>Por el contrario, una expansión monetaria tiende a ser seguida de fuertes incrementos en la inflación si “el nivel de inflación es elevado, la independencia del banco central es débil y el déficit fiscal es grande”. Al m</w:t>
      </w:r>
      <w:r w:rsidR="005432AF">
        <w:rPr>
          <w:color w:val="FF0000"/>
          <w:u w:val="single"/>
        </w:rPr>
        <w:t>enos dos de los tres supuestos -</w:t>
      </w:r>
      <w:r w:rsidRPr="005120E6">
        <w:rPr>
          <w:color w:val="FF0000"/>
          <w:u w:val="single"/>
        </w:rPr>
        <w:t>el primer y el te</w:t>
      </w:r>
      <w:r w:rsidR="005432AF">
        <w:rPr>
          <w:color w:val="FF0000"/>
          <w:u w:val="single"/>
        </w:rPr>
        <w:t>rcero-</w:t>
      </w:r>
      <w:r w:rsidRPr="005120E6">
        <w:rPr>
          <w:color w:val="FF0000"/>
          <w:u w:val="single"/>
        </w:rPr>
        <w:t xml:space="preserve"> se dan en la UE</w:t>
      </w:r>
      <w:r>
        <w:t>. Lógicamente, siempre que los niveles de inflación actuales</w:t>
      </w:r>
      <w:r w:rsidR="005432AF">
        <w:t>,</w:t>
      </w:r>
      <w:r>
        <w:t xml:space="preserve"> sean persistentes y no tengan carácter temporal, lo cual está por demostrar. </w:t>
      </w:r>
      <w:r w:rsidRPr="005120E6">
        <w:rPr>
          <w:color w:val="FF0000"/>
          <w:u w:val="single"/>
        </w:rPr>
        <w:t>Es por eso por lo que el Fondo Monetario recomienda a los bancos centrales que permanezcan atentos a los posibles efectos inflacionarios de las recientes expansiones monetarias habida cuenta de que sus balances han alcanzado niveles históricamente elevados en varios países debido a que han convivido con un gran estímulo fiscal vinculado a la pandemia por parte de los gobiernos. Por ello, alerta de qu</w:t>
      </w:r>
      <w:r w:rsidR="005432AF">
        <w:rPr>
          <w:color w:val="FF0000"/>
          <w:u w:val="single"/>
        </w:rPr>
        <w:t>e, si los bancos centrales son “débiles”</w:t>
      </w:r>
      <w:r w:rsidRPr="005120E6">
        <w:rPr>
          <w:color w:val="FF0000"/>
          <w:u w:val="single"/>
        </w:rPr>
        <w:t xml:space="preserve"> y no son capaces de proteger su independencia, “es probable que las expansiones monetarias alimenten fuertes presiones inflacionistas”. En una palabra, reclama que sean independientes y tomen decisiones, aunque no gusten a los gobiernos.</w:t>
      </w:r>
    </w:p>
    <w:p w:rsidR="00E65A04" w:rsidRDefault="00E65A04" w:rsidP="00FA4DA9">
      <w:pPr>
        <w:pStyle w:val="NormalWeb"/>
        <w:spacing w:before="0" w:beforeAutospacing="0" w:after="0" w:afterAutospacing="0"/>
        <w:jc w:val="both"/>
        <w:textAlignment w:val="baseline"/>
        <w:rPr>
          <w:color w:val="FF0000"/>
          <w:u w:val="single"/>
        </w:rPr>
      </w:pPr>
    </w:p>
    <w:p w:rsidR="00E65A04" w:rsidRDefault="00E65A04" w:rsidP="00FA4DA9">
      <w:pPr>
        <w:pStyle w:val="NormalWeb"/>
        <w:spacing w:before="0" w:beforeAutospacing="0" w:after="0" w:afterAutospacing="0"/>
        <w:jc w:val="both"/>
        <w:textAlignment w:val="baseline"/>
        <w:rPr>
          <w:color w:val="FF0000"/>
          <w:u w:val="single"/>
        </w:rPr>
      </w:pPr>
    </w:p>
    <w:p w:rsidR="00E65A04" w:rsidRPr="005120E6" w:rsidRDefault="00E65A04" w:rsidP="00FA4DA9">
      <w:pPr>
        <w:pStyle w:val="NormalWeb"/>
        <w:spacing w:before="0" w:beforeAutospacing="0" w:after="0" w:afterAutospacing="0"/>
        <w:jc w:val="both"/>
        <w:textAlignment w:val="baseline"/>
        <w:rPr>
          <w:color w:val="FF0000"/>
          <w:u w:val="single"/>
        </w:rPr>
      </w:pPr>
    </w:p>
    <w:p w:rsidR="00B839AB" w:rsidRDefault="00B839AB" w:rsidP="00FA4DA9">
      <w:pPr>
        <w:pStyle w:val="selectionshareable"/>
        <w:shd w:val="clear" w:color="auto" w:fill="FFFFFF"/>
        <w:spacing w:after="300"/>
        <w:jc w:val="both"/>
        <w:textAlignment w:val="baseline"/>
      </w:pPr>
      <w:r>
        <w:lastRenderedPageBreak/>
        <w:t xml:space="preserve">- </w:t>
      </w:r>
      <w:r w:rsidRPr="00FF7534">
        <w:rPr>
          <w:u w:val="single"/>
        </w:rPr>
        <w:t>Aceleración de los diferenciales de inflación a través de la economía</w:t>
      </w:r>
      <w:r>
        <w:t xml:space="preserve"> (The Wall Street Journal - </w:t>
      </w:r>
      <w:r w:rsidRPr="00FF7534">
        <w:rPr>
          <w:b/>
        </w:rPr>
        <w:t>13/10/21</w:t>
      </w:r>
      <w:r>
        <w:t>)</w:t>
      </w:r>
    </w:p>
    <w:p w:rsidR="00B839AB" w:rsidRDefault="00B839AB" w:rsidP="00FA4DA9">
      <w:pPr>
        <w:pStyle w:val="selectionshareable"/>
        <w:shd w:val="clear" w:color="auto" w:fill="FFFFFF"/>
        <w:spacing w:after="300"/>
        <w:jc w:val="both"/>
        <w:textAlignment w:val="baseline"/>
      </w:pPr>
      <w:r>
        <w:t>(Por Gwynn Guilford)</w:t>
      </w:r>
    </w:p>
    <w:p w:rsidR="00B839AB" w:rsidRPr="009D0BC2" w:rsidRDefault="00B839AB" w:rsidP="00FA4DA9">
      <w:pPr>
        <w:pStyle w:val="selectionshareable"/>
        <w:shd w:val="clear" w:color="auto" w:fill="FFFFFF"/>
        <w:spacing w:after="300"/>
        <w:jc w:val="both"/>
        <w:textAlignment w:val="baseline"/>
        <w:rPr>
          <w:color w:val="FF0000"/>
          <w:u w:val="single"/>
        </w:rPr>
      </w:pPr>
      <w:r w:rsidRPr="009D0BC2">
        <w:rPr>
          <w:color w:val="FF0000"/>
          <w:u w:val="single"/>
        </w:rPr>
        <w:t>La inflación de Estados Unidos se aceleró el mes pasado y se mantuvo en su tasa más alta en más de una década, con aumentos de precios por la escasez de mano de obra y materiales relacionada con la pandemia que se extendió por toda la economía.</w:t>
      </w:r>
    </w:p>
    <w:p w:rsidR="00B839AB" w:rsidRDefault="00B839AB" w:rsidP="00FA4DA9">
      <w:pPr>
        <w:pStyle w:val="selectionshareable"/>
        <w:shd w:val="clear" w:color="auto" w:fill="FFFFFF"/>
        <w:spacing w:after="300"/>
        <w:jc w:val="both"/>
        <w:textAlignment w:val="baseline"/>
      </w:pPr>
      <w:r w:rsidRPr="009D0BC2">
        <w:rPr>
          <w:color w:val="FF0000"/>
          <w:u w:val="single"/>
        </w:rPr>
        <w:t>El Departamento de Trabajo dijo que el índice de precios al consumidor del mes pasado, que mide lo que los consumidores pagan por bienes y servicios, aumentó un 5,4% respecto al año anterior, en términos no ajustados.</w:t>
      </w:r>
      <w:r>
        <w:t xml:space="preserve"> Esa es la misma tasa que en junio y julio cuando la economía se reabrió, y ligeramente más alta que en agosto. El llamado índice de precios subyacente, que excluye las categorías de alimentos y energía, a menudo volátiles, subió en septiembre un 4% con respecto al año anterior, la misma tasa que en agosto…</w:t>
      </w:r>
    </w:p>
    <w:p w:rsidR="00B839AB" w:rsidRDefault="00B839AB" w:rsidP="00FA4DA9">
      <w:pPr>
        <w:pStyle w:val="selectionshareable"/>
        <w:shd w:val="clear" w:color="auto" w:fill="FFFFFF"/>
        <w:spacing w:after="300"/>
        <w:jc w:val="both"/>
        <w:textAlignment w:val="baseline"/>
      </w:pPr>
      <w:r>
        <w:t xml:space="preserve">- </w:t>
      </w:r>
      <w:r w:rsidRPr="00FF7534">
        <w:rPr>
          <w:u w:val="single"/>
        </w:rPr>
        <w:t>La Fed está preocupada por el riesgo de inflación mientras refuerza el plan de reducción</w:t>
      </w:r>
      <w:r>
        <w:t xml:space="preserve"> (The Wall Street Journal - </w:t>
      </w:r>
      <w:r w:rsidRPr="00FF7534">
        <w:rPr>
          <w:b/>
        </w:rPr>
        <w:t>13/10/21</w:t>
      </w:r>
      <w:r>
        <w:t>)</w:t>
      </w:r>
    </w:p>
    <w:p w:rsidR="00B839AB" w:rsidRPr="00FF7534" w:rsidRDefault="00B839AB" w:rsidP="00FA4DA9">
      <w:pPr>
        <w:pStyle w:val="selectionshareable"/>
        <w:shd w:val="clear" w:color="auto" w:fill="FFFFFF"/>
        <w:spacing w:after="300"/>
        <w:jc w:val="both"/>
        <w:textAlignment w:val="baseline"/>
      </w:pPr>
      <w:r>
        <w:t>(</w:t>
      </w:r>
      <w:r w:rsidRPr="00FF7534">
        <w:t>Por Nick Timiraos)</w:t>
      </w:r>
    </w:p>
    <w:p w:rsidR="00B839AB" w:rsidRPr="009D0BC2" w:rsidRDefault="00B839AB" w:rsidP="00FA4DA9">
      <w:pPr>
        <w:pStyle w:val="selectionshareable"/>
        <w:shd w:val="clear" w:color="auto" w:fill="FFFFFF"/>
        <w:spacing w:after="300"/>
        <w:jc w:val="both"/>
        <w:textAlignment w:val="baseline"/>
        <w:rPr>
          <w:color w:val="FF0000"/>
          <w:u w:val="single"/>
        </w:rPr>
      </w:pPr>
      <w:r w:rsidRPr="009D0BC2">
        <w:rPr>
          <w:color w:val="FF0000"/>
          <w:u w:val="single"/>
        </w:rPr>
        <w:t>A los funcionarios de la Reserva Federal les preocupaba el mes pasado que las cadenas de suministro interrumpidas estuvieran aumentando los riesgos de una inflación más persistente, ya que reafirmaron los planes para reducir su programa de estímulo para la compra de bonos el próximo mes y concluirlo a mediados del próximo año.</w:t>
      </w:r>
    </w:p>
    <w:p w:rsidR="00B839AB" w:rsidRDefault="00B839AB" w:rsidP="00FA4DA9">
      <w:pPr>
        <w:pStyle w:val="selectionshareable"/>
        <w:shd w:val="clear" w:color="auto" w:fill="FFFFFF"/>
        <w:spacing w:after="300"/>
        <w:jc w:val="both"/>
        <w:textAlignment w:val="baseline"/>
      </w:pPr>
      <w:r w:rsidRPr="009D0BC2">
        <w:rPr>
          <w:u w:val="single"/>
        </w:rPr>
        <w:t>Las actas de su reunión de la Fed del 21 al 22 de septiembre, publicadas el miércoles, revelaron un consenso más fuerte sobre la reducción de los $ 120 mil millones en compras mensuales de bonos del Tesoro y valores hipotecarios en medio de señales de que una mayor inflación y una fuerte demanda podrían requerir una política monetaria más estricta el próximo año.</w:t>
      </w:r>
      <w:r>
        <w:t xml:space="preserve"> Las compras de bonos han sido una pieza clave del esfuerzo de la Fed para estimular el crecimiento desde que la pandemia de coronavirus interrumpió la economía estadounidense el año pasado…</w:t>
      </w:r>
    </w:p>
    <w:p w:rsidR="00E65A04" w:rsidRPr="00571FBF" w:rsidRDefault="00E65A04" w:rsidP="00E65A04">
      <w:pPr>
        <w:pStyle w:val="selectionshareable"/>
        <w:shd w:val="clear" w:color="auto" w:fill="FFFFFF"/>
        <w:spacing w:after="300"/>
        <w:jc w:val="both"/>
        <w:textAlignment w:val="baseline"/>
        <w:rPr>
          <w:shd w:val="clear" w:color="auto" w:fill="FFFFFF"/>
        </w:rPr>
      </w:pPr>
      <w:r w:rsidRPr="00571FBF">
        <w:rPr>
          <w:b/>
        </w:rPr>
        <w:t>Nota</w:t>
      </w:r>
      <w:r w:rsidRPr="00571FBF">
        <w:t>:</w:t>
      </w:r>
      <w:r w:rsidRPr="00571FBF">
        <w:rPr>
          <w:shd w:val="clear" w:color="auto" w:fill="FFFFFF"/>
        </w:rPr>
        <w:t xml:space="preserve"> Para “tranquilizar a los mercados” (sic), los bancos centrales (de los países avanzados, y de los demás, en la medida de sus “temeridades”), antes (2008) y ahora (2020-2021) están fabricando dos cosas: billetes a mansalva y una bomba que ellos mismos deberán desactivar con grandes posibilidades de ser alcanzados por las esquirlas. Ninguno de nosotros (vivamos en el lado bueno, o en el lado malo, de las vías del tren) estará a salvo de ellas. La pregunta del momento es entonces qué harán realmente los bancos centrales “el día después”, cuánto pesará en su decisión la  pesadísima e inmovilizante armadura de plomo que los protege, y cuánto podrán maniobrar sin “irritar” a los “amos del universo” (principales beneficiarios del relajamiento monetario), y “fastidiar” al poder político (cómplices necesarios, de la gran estafa inflacionaria).</w:t>
      </w:r>
    </w:p>
    <w:p w:rsidR="00E65A04" w:rsidRPr="00E65A04" w:rsidRDefault="00E65A04" w:rsidP="00FA4DA9">
      <w:pPr>
        <w:pStyle w:val="selectionshareable"/>
        <w:shd w:val="clear" w:color="auto" w:fill="FFFFFF"/>
        <w:spacing w:after="300"/>
        <w:jc w:val="both"/>
        <w:textAlignment w:val="baseline"/>
        <w:rPr>
          <w:shd w:val="clear" w:color="auto" w:fill="FFFFFF"/>
        </w:rPr>
      </w:pPr>
      <w:r w:rsidRPr="00571FBF">
        <w:rPr>
          <w:shd w:val="clear" w:color="auto" w:fill="FFFFFF"/>
        </w:rPr>
        <w:t>Analizando sus actuaciones anteriores (desde el año 2008 en adelante), es más que probable, que lo hagan con el concurso, de esos mecanismos medianamente sinceros de la mala fe. Si no fuera tan infantil creeríamos que esta gente se ha vuelto idiota. Meros “burócratas megalómanos”, asentados en una anodina posmodernidad. Resultan tan previsibles como los matasuegras en las fiestas: algo inventado para alegrar pero que da grima.</w:t>
      </w:r>
    </w:p>
    <w:p w:rsidR="00B839AB" w:rsidRDefault="00B839AB" w:rsidP="00FA4DA9">
      <w:pPr>
        <w:pStyle w:val="selectionshareable"/>
        <w:shd w:val="clear" w:color="auto" w:fill="FFFFFF"/>
        <w:spacing w:after="300"/>
        <w:jc w:val="both"/>
        <w:textAlignment w:val="baseline"/>
      </w:pPr>
      <w:r>
        <w:rPr>
          <w:noProof/>
        </w:rPr>
        <w:lastRenderedPageBreak/>
        <w:drawing>
          <wp:inline distT="0" distB="0" distL="0" distR="0" wp14:anchorId="79EA7880" wp14:editId="331DC32F">
            <wp:extent cx="5731510" cy="3863896"/>
            <wp:effectExtent l="0" t="0" r="2540" b="3810"/>
            <wp:docPr id="143" name="Imagen 143" descr="Ib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bex"/>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5731510" cy="3863896"/>
                    </a:xfrm>
                    <a:prstGeom prst="rect">
                      <a:avLst/>
                    </a:prstGeom>
                    <a:noFill/>
                    <a:ln>
                      <a:noFill/>
                    </a:ln>
                  </pic:spPr>
                </pic:pic>
              </a:graphicData>
            </a:graphic>
          </wp:inline>
        </w:drawing>
      </w:r>
    </w:p>
    <w:p w:rsidR="00B839AB" w:rsidRPr="004A0AB9" w:rsidRDefault="00B839AB" w:rsidP="00FA4DA9">
      <w:pPr>
        <w:pStyle w:val="selectionshareable"/>
        <w:shd w:val="clear" w:color="auto" w:fill="FFFFFF"/>
        <w:spacing w:after="300"/>
        <w:jc w:val="both"/>
        <w:textAlignment w:val="baseline"/>
        <w:rPr>
          <w:shd w:val="clear" w:color="auto" w:fill="FFFFFF"/>
        </w:rPr>
      </w:pPr>
      <w:r w:rsidRPr="004A0AB9">
        <w:rPr>
          <w:shd w:val="clear" w:color="auto" w:fill="FFFFFF"/>
        </w:rPr>
        <w:t xml:space="preserve">- </w:t>
      </w:r>
      <w:r w:rsidRPr="004A0AB9">
        <w:rPr>
          <w:u w:val="single"/>
          <w:shd w:val="clear" w:color="auto" w:fill="FFFFFF"/>
        </w:rPr>
        <w:t>Occidente asume el cóctel de inflación y deuda para una recuperación de posguerra</w:t>
      </w:r>
      <w:r w:rsidRPr="004A0AB9">
        <w:rPr>
          <w:shd w:val="clear" w:color="auto" w:fill="FFFFFF"/>
        </w:rPr>
        <w:t xml:space="preserve"> (El Confidencial - </w:t>
      </w:r>
      <w:r w:rsidRPr="004A0AB9">
        <w:rPr>
          <w:b/>
          <w:shd w:val="clear" w:color="auto" w:fill="FFFFFF"/>
        </w:rPr>
        <w:t>17/10/21</w:t>
      </w:r>
      <w:r w:rsidRPr="004A0AB9">
        <w:rPr>
          <w:shd w:val="clear" w:color="auto" w:fill="FFFFFF"/>
        </w:rPr>
        <w:t>)</w:t>
      </w:r>
    </w:p>
    <w:p w:rsidR="00B839AB" w:rsidRPr="004A0AB9" w:rsidRDefault="00B839AB" w:rsidP="00FA4DA9">
      <w:pPr>
        <w:pStyle w:val="selectionshareable"/>
        <w:shd w:val="clear" w:color="auto" w:fill="FFFFFF"/>
        <w:spacing w:after="300"/>
        <w:jc w:val="both"/>
        <w:textAlignment w:val="baseline"/>
        <w:rPr>
          <w:shd w:val="clear" w:color="auto" w:fill="FFFFFF"/>
        </w:rPr>
      </w:pPr>
      <w:r w:rsidRPr="004A0AB9">
        <w:rPr>
          <w:shd w:val="clear" w:color="auto" w:fill="FFFFFF"/>
        </w:rPr>
        <w:t>(Por Óscar Giménez)</w:t>
      </w:r>
    </w:p>
    <w:p w:rsidR="00B839AB" w:rsidRPr="005432AF" w:rsidRDefault="00B839AB" w:rsidP="00FA4DA9">
      <w:pPr>
        <w:pStyle w:val="selectionshareable"/>
        <w:shd w:val="clear" w:color="auto" w:fill="FFFFFF"/>
        <w:spacing w:after="300"/>
        <w:jc w:val="both"/>
        <w:textAlignment w:val="baseline"/>
        <w:rPr>
          <w:color w:val="FF0000"/>
          <w:u w:val="single"/>
          <w:shd w:val="clear" w:color="auto" w:fill="FFFFFF"/>
        </w:rPr>
      </w:pPr>
      <w:r w:rsidRPr="005432AF">
        <w:rPr>
          <w:b/>
          <w:color w:val="FF0000"/>
          <w:u w:val="single"/>
          <w:shd w:val="clear" w:color="auto" w:fill="FFFFFF"/>
        </w:rPr>
        <w:t>La inflación ha vuelto para quedarse</w:t>
      </w:r>
      <w:r w:rsidRPr="005432AF">
        <w:rPr>
          <w:color w:val="FF0000"/>
          <w:u w:val="single"/>
          <w:shd w:val="clear" w:color="auto" w:fill="FFFFFF"/>
        </w:rPr>
        <w:t>. La duda de los expertos es si este repunte hasta tasas que no se veían desde hace más de una década es temporal o se suavizará, como defienden los bancos centrales. Pero, en cualquier caso, las proyecciones más conservadoras apuntan a incrementos de los precios que superarán los tipos de interés nominales durante varios años.</w:t>
      </w:r>
      <w:r w:rsidRPr="005432AF">
        <w:rPr>
          <w:color w:val="FF0000"/>
          <w:shd w:val="clear" w:color="auto" w:fill="FFFFFF"/>
        </w:rPr>
        <w:t xml:space="preserve"> </w:t>
      </w:r>
      <w:r w:rsidRPr="005432AF">
        <w:rPr>
          <w:b/>
          <w:color w:val="FF0000"/>
          <w:u w:val="single"/>
          <w:shd w:val="clear" w:color="auto" w:fill="FFFFFF"/>
        </w:rPr>
        <w:t>Una situación de represión financiera que supondrá un trasvase de riqueza del ahorro más conservador a los estados y empresas con más deuda, en una recuperación como la que ya se vio tras las dos guerras mundiales.</w:t>
      </w:r>
      <w:r w:rsidRPr="005432AF">
        <w:rPr>
          <w:color w:val="FF0000"/>
          <w:shd w:val="clear" w:color="auto" w:fill="FFFFFF"/>
        </w:rPr>
        <w:t xml:space="preserve"> </w:t>
      </w:r>
      <w:r w:rsidRPr="005432AF">
        <w:rPr>
          <w:color w:val="FF0000"/>
          <w:u w:val="single"/>
          <w:shd w:val="clear" w:color="auto" w:fill="FFFFFF"/>
        </w:rPr>
        <w:t>Los mercados de futuros apuntan a una inflación a 10 años del 2,5% en Estados Unidos y del 1,8% en Europa, en línea con lo previsto por el Banco Central Europeo (BCE). En Estados Unidos, las estimaciones suben hasta niveles cercanos al 2,5%. Precisamente, se espera que sea la Reserva Federal (Fed) la primera que suba tipos de interés, mientras que el BCE irá más lento.</w:t>
      </w:r>
    </w:p>
    <w:p w:rsidR="00B839AB" w:rsidRPr="004A0AB9" w:rsidRDefault="00B839AB" w:rsidP="00FA4DA9">
      <w:pPr>
        <w:pStyle w:val="selectionshareable"/>
        <w:shd w:val="clear" w:color="auto" w:fill="FFFFFF"/>
        <w:spacing w:after="300"/>
        <w:jc w:val="both"/>
        <w:textAlignment w:val="baseline"/>
        <w:rPr>
          <w:shd w:val="clear" w:color="auto" w:fill="FFFFFF"/>
        </w:rPr>
      </w:pPr>
      <w:r w:rsidRPr="005432AF">
        <w:rPr>
          <w:color w:val="FF0000"/>
          <w:u w:val="single"/>
          <w:shd w:val="clear" w:color="auto" w:fill="FFFFFF"/>
        </w:rPr>
        <w:t>Pero los tipos nominales, según descuenta el mercado, no alcanzarán los niveles de la inflación aunque se cumplan las premisas conservadoras. Es decir, lejos de las ratios actuales del 3,4% en la eurozona o del 5,4% en Estados Unidos</w:t>
      </w:r>
      <w:r w:rsidRPr="00C27DEB">
        <w:rPr>
          <w:color w:val="333333"/>
          <w:shd w:val="clear" w:color="auto" w:fill="FFFFFF"/>
        </w:rPr>
        <w:t xml:space="preserve">. </w:t>
      </w:r>
      <w:r w:rsidRPr="004A0AB9">
        <w:rPr>
          <w:shd w:val="clear" w:color="auto" w:fill="FFFFFF"/>
        </w:rPr>
        <w:t>En España podría alcanzar el 5% a</w:t>
      </w:r>
      <w:r w:rsidR="005432AF" w:rsidRPr="004A0AB9">
        <w:rPr>
          <w:shd w:val="clear" w:color="auto" w:fill="FFFFFF"/>
        </w:rPr>
        <w:t xml:space="preserve"> finales de año, según Funcas. “</w:t>
      </w:r>
      <w:r w:rsidRPr="00570277">
        <w:rPr>
          <w:color w:val="FF0000"/>
          <w:u w:val="single"/>
          <w:shd w:val="clear" w:color="auto" w:fill="FFFFFF"/>
        </w:rPr>
        <w:t>Si vemos la curva de tipos, vamos a tener tipos reales negativos</w:t>
      </w:r>
      <w:r w:rsidRPr="00C27DEB">
        <w:rPr>
          <w:color w:val="333333"/>
          <w:shd w:val="clear" w:color="auto" w:fill="FFFFFF"/>
        </w:rPr>
        <w:t xml:space="preserve">. </w:t>
      </w:r>
      <w:r w:rsidRPr="004A0AB9">
        <w:rPr>
          <w:shd w:val="clear" w:color="auto" w:fill="FFFFFF"/>
        </w:rPr>
        <w:t>Como ya pasó tras la II Guerra Mundial, esto permitirá a los Estados reducir la deuda que han generado para la recuperación económica a través del denominador. Es decir, con crecimiento nominal del PIB. Entre 1942 y 1951 la Fed intervino la curva de tipos, como están ahora haciendo los banc</w:t>
      </w:r>
      <w:r w:rsidR="00570277" w:rsidRPr="004A0AB9">
        <w:rPr>
          <w:shd w:val="clear" w:color="auto" w:fill="FFFFFF"/>
        </w:rPr>
        <w:t>os centrales aunque sin decirlo”</w:t>
      </w:r>
      <w:r w:rsidRPr="004A0AB9">
        <w:rPr>
          <w:shd w:val="clear" w:color="auto" w:fill="FFFFFF"/>
        </w:rPr>
        <w:t>, explica Ignacio de la Torre, economista jefe de Arcano.</w:t>
      </w:r>
    </w:p>
    <w:p w:rsidR="00B839AB" w:rsidRPr="004A0AB9" w:rsidRDefault="00B839AB" w:rsidP="00FA4DA9">
      <w:pPr>
        <w:pStyle w:val="selectionshareable"/>
        <w:shd w:val="clear" w:color="auto" w:fill="FFFFFF"/>
        <w:spacing w:after="300"/>
        <w:jc w:val="both"/>
        <w:textAlignment w:val="baseline"/>
        <w:rPr>
          <w:shd w:val="clear" w:color="auto" w:fill="FFFFFF"/>
        </w:rPr>
      </w:pPr>
      <w:r w:rsidRPr="00570277">
        <w:rPr>
          <w:color w:val="FF0000"/>
          <w:u w:val="single"/>
          <w:shd w:val="clear" w:color="auto" w:fill="FFFFFF"/>
        </w:rPr>
        <w:lastRenderedPageBreak/>
        <w:t>Esto es lo que se conoce como represión financiera, una situación que ya acumula una década en España y que llevó a fuertes críticas a Mario Draghi desde el centro de Europa, especialmente desde el exministro alemán de Finanzas Wolfgang Schäuble</w:t>
      </w:r>
      <w:r w:rsidRPr="00C27DEB">
        <w:rPr>
          <w:color w:val="333333"/>
          <w:shd w:val="clear" w:color="auto" w:fill="FFFFFF"/>
        </w:rPr>
        <w:t xml:space="preserve">. </w:t>
      </w:r>
      <w:r w:rsidRPr="004A0AB9">
        <w:rPr>
          <w:shd w:val="clear" w:color="auto" w:fill="FFFFFF"/>
        </w:rPr>
        <w:t xml:space="preserve">Pero en una situación más proclive a que se acepten los estímulos, Christine Lagarde ha encontrado menos oposición para endurecer esta represión para el ahorro conservador, que busca que el dinero fluya hacia inversiones de más riesgo o consumo, fomentando el endeudamiento. La inflación prevista para este año ya supone devorar más de 24.000 millones de poder adquisitivo de familias que tienen parte de su ahorro en depósitos, donde ya han sobrepasado el billón de euros, o en fondos monetarios y de renta fija. </w:t>
      </w:r>
      <w:r w:rsidRPr="004A0AB9">
        <w:rPr>
          <w:u w:val="single"/>
          <w:shd w:val="clear" w:color="auto" w:fill="FFFFFF"/>
        </w:rPr>
        <w:t>Se trata de un trasvase de riqueza hacia los estados más endeudados, como el español, con un 125% del PIB, o las empresas, que han disparado su apalancamiento por el covid</w:t>
      </w:r>
      <w:r w:rsidRPr="004A0AB9">
        <w:rPr>
          <w:shd w:val="clear" w:color="auto" w:fill="FFFFFF"/>
        </w:rPr>
        <w:t xml:space="preserve">. Todos los economistas coinciden en que estados y empresas deben tener un plan para la reducción de deuda, aprovechando este ciclo de varios años de tipos reales negativos. Porque se asume que esta situación no será para siempre, y los bancos centrales ya han dado el primer paso para desmontar el esquema de apoyo a la economía que evitó el colapso, con compras de activos y financiación a la banca por valor de más de 300.000 millones en España, donde además </w:t>
      </w:r>
      <w:r w:rsidRPr="004A0AB9">
        <w:rPr>
          <w:u w:val="single"/>
          <w:shd w:val="clear" w:color="auto" w:fill="FFFFFF"/>
        </w:rPr>
        <w:t>el BCE cuenta ya con el 30% de la deuda pública emitida</w:t>
      </w:r>
      <w:r w:rsidRPr="004A0AB9">
        <w:rPr>
          <w:shd w:val="clear" w:color="auto" w:fill="FFFFFF"/>
        </w:rPr>
        <w:t>. De hecho, en el proyecto de Presupuestos Generales del Estado para 2021 hay un incremento previsto de la deuda de 80.000 millones pero pagará un 4,7% menos en intereses.</w:t>
      </w:r>
    </w:p>
    <w:p w:rsidR="00B839AB" w:rsidRPr="00F95839" w:rsidRDefault="00B839AB" w:rsidP="00FA4DA9">
      <w:pPr>
        <w:pStyle w:val="selectionshareable"/>
        <w:shd w:val="clear" w:color="auto" w:fill="FFFFFF"/>
        <w:spacing w:after="300"/>
        <w:jc w:val="both"/>
        <w:textAlignment w:val="baseline"/>
        <w:rPr>
          <w:shd w:val="clear" w:color="auto" w:fill="FFFFFF"/>
        </w:rPr>
      </w:pPr>
      <w:r w:rsidRPr="004A0AB9">
        <w:rPr>
          <w:shd w:val="clear" w:color="auto" w:fill="FFFFFF"/>
        </w:rPr>
        <w:t xml:space="preserve">Como se ha mencionado, esta situación no es nueva. De la Torre, historiador además de economista, recuerda que fue así como el Imperio Británico costeó las guerras napoleónicas y, ya en el siglo XX, se pagó la deuda generada en las dos guerras mundiales. Básicamente, recuerdan en Arcano, los pensionistas americanos pagaron los tanques que derrotaron a Hitler. La Fed toleró inflaciones elevadas, que alcanzaron hasta el 30%, con los tipos del bono soberano en torno al 2%. </w:t>
      </w:r>
      <w:r w:rsidRPr="004A0AB9">
        <w:rPr>
          <w:u w:val="single"/>
          <w:shd w:val="clear" w:color="auto" w:fill="FFFFFF"/>
        </w:rPr>
        <w:t>Ahora, aunque nadie piensa en inflaciones tan elevadas, lo cierto es que el déficit fiscal en 2020 de Estados Unidos, del 14,85%, se acercó al récord de 1945, cuando se rozó el 20%. El balance de la Fed en porcentaje del PIB, por su parte, es ahora el doble que entonces.</w:t>
      </w:r>
      <w:r w:rsidR="00570277" w:rsidRPr="004A0AB9">
        <w:rPr>
          <w:shd w:val="clear" w:color="auto" w:fill="FFFFFF"/>
        </w:rPr>
        <w:t xml:space="preserve"> </w:t>
      </w:r>
      <w:r w:rsidR="00570277" w:rsidRPr="00570277">
        <w:rPr>
          <w:color w:val="FF0000"/>
          <w:u w:val="single"/>
          <w:shd w:val="clear" w:color="auto" w:fill="FFFFFF"/>
        </w:rPr>
        <w:t>Además, “</w:t>
      </w:r>
      <w:r w:rsidRPr="00570277">
        <w:rPr>
          <w:color w:val="FF0000"/>
          <w:u w:val="single"/>
          <w:shd w:val="clear" w:color="auto" w:fill="FFFFFF"/>
        </w:rPr>
        <w:t>para entender la curva de tipos a largo plazo es tan importante ver el balance de los bancos centrales que los tipos a corto, y es difícil imaginar que se inicie una reducción de ba</w:t>
      </w:r>
      <w:r w:rsidR="00570277" w:rsidRPr="00570277">
        <w:rPr>
          <w:color w:val="FF0000"/>
          <w:u w:val="single"/>
          <w:shd w:val="clear" w:color="auto" w:fill="FFFFFF"/>
        </w:rPr>
        <w:t>lance antes de cinco años”</w:t>
      </w:r>
      <w:r w:rsidRPr="00570277">
        <w:rPr>
          <w:color w:val="FF0000"/>
          <w:u w:val="single"/>
          <w:shd w:val="clear" w:color="auto" w:fill="FFFFFF"/>
        </w:rPr>
        <w:t>, opina De la Torre</w:t>
      </w:r>
      <w:r w:rsidRPr="00C27DEB">
        <w:rPr>
          <w:color w:val="333333"/>
          <w:shd w:val="clear" w:color="auto" w:fill="FFFFFF"/>
        </w:rPr>
        <w:t xml:space="preserve">. </w:t>
      </w:r>
      <w:r w:rsidRPr="00570277">
        <w:rPr>
          <w:b/>
          <w:color w:val="FF0000"/>
          <w:u w:val="single"/>
          <w:shd w:val="clear" w:color="auto" w:fill="FFFFFF"/>
        </w:rPr>
        <w:t>El balance del BCE supera los siete billones (millones de millones) y sigue aumentando, aunque la institución haya disminuido su ritmo de compras, mientras que en la Fed es de ocho billones, y comenzará este año a rebajar el ritmo de adquisiciones de activos. Pero en ambos casos el balance no disminuirá todavía, manteniendo a raya las primas de riesgo y permitiendo una reducción de la deuda sobre PIB con crecimiento nominal. La inflación aprieta a los bancos centrales, pero estos han sido tozudos en perseverar con sus estímulos y ganar flexibilidad en el mandato de control de precios para no verse obligados a retirar el dopaje a la economía.</w:t>
      </w:r>
      <w:r w:rsidRPr="00570277">
        <w:rPr>
          <w:color w:val="FF0000"/>
          <w:shd w:val="clear" w:color="auto" w:fill="FFFFFF"/>
        </w:rPr>
        <w:t xml:space="preserve"> </w:t>
      </w:r>
      <w:r w:rsidRPr="00F95839">
        <w:rPr>
          <w:shd w:val="clear" w:color="auto" w:fill="FFFFFF"/>
        </w:rPr>
        <w:t>Precisamente, gestoras y banca</w:t>
      </w:r>
      <w:r w:rsidR="00570277" w:rsidRPr="00F95839">
        <w:rPr>
          <w:shd w:val="clear" w:color="auto" w:fill="FFFFFF"/>
        </w:rPr>
        <w:t>s privadas coinciden en que el “timing”</w:t>
      </w:r>
      <w:r w:rsidRPr="00F95839">
        <w:rPr>
          <w:shd w:val="clear" w:color="auto" w:fill="FFFFFF"/>
        </w:rPr>
        <w:t xml:space="preserve"> de la retirada de los estímulos es uno de los principales riesgos actuales para la economía, tanto por alargar demasiado los estímulos creando burbujas y desequilibrios como eliminarlos demasiado pronto y frenar la recuperación poscovid. </w:t>
      </w:r>
    </w:p>
    <w:p w:rsidR="00B839AB" w:rsidRPr="00F95839" w:rsidRDefault="00B839AB" w:rsidP="00FA4DA9">
      <w:pPr>
        <w:pStyle w:val="selectionshareable"/>
        <w:shd w:val="clear" w:color="auto" w:fill="FFFFFF"/>
        <w:spacing w:after="300"/>
        <w:jc w:val="both"/>
        <w:textAlignment w:val="baseline"/>
        <w:rPr>
          <w:shd w:val="clear" w:color="auto" w:fill="FFFFFF"/>
        </w:rPr>
      </w:pPr>
      <w:r w:rsidRPr="00F95839">
        <w:rPr>
          <w:u w:val="single"/>
          <w:shd w:val="clear" w:color="auto" w:fill="FFFFFF"/>
        </w:rPr>
        <w:t>Aun así, es la propia inflación la amenaza más importante, según una encuesta realizada por El Confidencial en la que han participado 25 entidades con un patrimonio gestionado agregado de más de 500.000 millones. Los riesgos más citados son que se desboque la inflación, que la incertidumbre y el aumento de precios disminuyan el consumo, o que la falta de suministros globales y el aumento de las materias primas reduzcan la producción industrial y esto frene la recuperación</w:t>
      </w:r>
      <w:r w:rsidRPr="00F95839">
        <w:rPr>
          <w:shd w:val="clear" w:color="auto" w:fill="FFFFFF"/>
        </w:rPr>
        <w:t xml:space="preserve">. Hay una combinación de varios factores que ha provocado este auge excepcional de los precios. Primero, por la comparación anual con un año de recesión, </w:t>
      </w:r>
      <w:r w:rsidRPr="00F95839">
        <w:rPr>
          <w:shd w:val="clear" w:color="auto" w:fill="FFFFFF"/>
        </w:rPr>
        <w:lastRenderedPageBreak/>
        <w:t>como fue 2020 por el covid. Y, además, por el encarecimiento histórico de la electricidad, el aumento de precio de todas las materias primas o la escasez de suministros clave en la indust</w:t>
      </w:r>
      <w:r w:rsidR="00570277" w:rsidRPr="00F95839">
        <w:rPr>
          <w:shd w:val="clear" w:color="auto" w:fill="FFFFFF"/>
        </w:rPr>
        <w:t>ria que también los encarecen. “</w:t>
      </w:r>
      <w:r w:rsidRPr="00F95839">
        <w:rPr>
          <w:shd w:val="clear" w:color="auto" w:fill="FFFFFF"/>
        </w:rPr>
        <w:t xml:space="preserve">El precio de las materias primas, del combustible y del gas, debería estabilizarse durante los próximos dos trimestres. Sin embargo, el riesgo está ahí porque, hasta ahora, este incremento en costes lo están absorbiendo las empresas a través de menores márgenes. No están subiendo precios </w:t>
      </w:r>
      <w:r w:rsidR="00570277" w:rsidRPr="00F95839">
        <w:rPr>
          <w:shd w:val="clear" w:color="auto" w:fill="FFFFFF"/>
        </w:rPr>
        <w:t>y no están dejando de contratar”</w:t>
      </w:r>
      <w:r w:rsidRPr="00F95839">
        <w:rPr>
          <w:shd w:val="clear" w:color="auto" w:fill="FFFFFF"/>
        </w:rPr>
        <w:t>, comenta Miguel Cardoso, de BBVA Research. De prolong</w:t>
      </w:r>
      <w:r w:rsidR="00570277" w:rsidRPr="00F95839">
        <w:rPr>
          <w:shd w:val="clear" w:color="auto" w:fill="FFFFFF"/>
        </w:rPr>
        <w:t>arse esta situación, prosigue, “</w:t>
      </w:r>
      <w:r w:rsidRPr="00F95839">
        <w:rPr>
          <w:shd w:val="clear" w:color="auto" w:fill="FFFFFF"/>
        </w:rPr>
        <w:t>en algún momento tendrían que comenzar a traspasar este aumento en costes a los consumidores. Esto se puede potenciar si, efectivamente, el incremento en las rentas de diversos agentes sube e incide en la negociación colec</w:t>
      </w:r>
      <w:r w:rsidR="00570277" w:rsidRPr="00F95839">
        <w:rPr>
          <w:shd w:val="clear" w:color="auto" w:fill="FFFFFF"/>
        </w:rPr>
        <w:t>tiva durante los próximos meses”</w:t>
      </w:r>
      <w:r w:rsidRPr="00F95839">
        <w:rPr>
          <w:shd w:val="clear" w:color="auto" w:fill="FFFFFF"/>
        </w:rPr>
        <w:t>.</w:t>
      </w:r>
    </w:p>
    <w:p w:rsidR="00B839AB" w:rsidRPr="00F95839" w:rsidRDefault="00B839AB" w:rsidP="00FA4DA9">
      <w:pPr>
        <w:pStyle w:val="selectionshareable"/>
        <w:shd w:val="clear" w:color="auto" w:fill="FFFFFF"/>
        <w:spacing w:after="300"/>
        <w:jc w:val="both"/>
        <w:textAlignment w:val="baseline"/>
        <w:rPr>
          <w:shd w:val="clear" w:color="auto" w:fill="FFFFFF"/>
        </w:rPr>
      </w:pPr>
      <w:r w:rsidRPr="00F95839">
        <w:rPr>
          <w:shd w:val="clear" w:color="auto" w:fill="FFFFFF"/>
        </w:rPr>
        <w:t>Por ello, habrá que vigilar los efectos de segundo orden, como advirtió el vicepresidente del BCE y ex ministro español, Luis de Guindos. Esto se refiere a incrementos de costes en la economía como indexación a los precios. Algo que puede ocurrir en la revisión de convenios, o en pensionistas y en trabajadores públicos (hay nueve millones de pensionistas y tres mi</w:t>
      </w:r>
      <w:r w:rsidR="00570277" w:rsidRPr="00F95839">
        <w:rPr>
          <w:shd w:val="clear" w:color="auto" w:fill="FFFFFF"/>
        </w:rPr>
        <w:t>llones de empleados públicos). “</w:t>
      </w:r>
      <w:r w:rsidRPr="00F95839">
        <w:rPr>
          <w:shd w:val="clear" w:color="auto" w:fill="FFFFFF"/>
        </w:rPr>
        <w:t xml:space="preserve">Solo si los efectos de segunda ronda se </w:t>
      </w:r>
      <w:r w:rsidR="00570277" w:rsidRPr="00F95839">
        <w:rPr>
          <w:shd w:val="clear" w:color="auto" w:fill="FFFFFF"/>
        </w:rPr>
        <w:t>agudizan y se convierten en un “shock”</w:t>
      </w:r>
      <w:r w:rsidRPr="00F95839">
        <w:rPr>
          <w:shd w:val="clear" w:color="auto" w:fill="FFFFFF"/>
        </w:rPr>
        <w:t xml:space="preserve"> de oferta, podrían tener incidencia sobre el crecimiento potencial. Estaríamos en ese caso hablando de un escenario de estanflación, al que asig</w:t>
      </w:r>
      <w:r w:rsidR="00570277" w:rsidRPr="00F95839">
        <w:rPr>
          <w:shd w:val="clear" w:color="auto" w:fill="FFFFFF"/>
        </w:rPr>
        <w:t>namos una probabilidad reducida”</w:t>
      </w:r>
      <w:r w:rsidRPr="00F95839">
        <w:rPr>
          <w:shd w:val="clear" w:color="auto" w:fill="FFFFFF"/>
        </w:rPr>
        <w:t xml:space="preserve">, arguyen en CaixaBank </w:t>
      </w:r>
      <w:r w:rsidR="00570277" w:rsidRPr="00F95839">
        <w:rPr>
          <w:shd w:val="clear" w:color="auto" w:fill="FFFFFF"/>
        </w:rPr>
        <w:t>Research, que dan dos motivos: “</w:t>
      </w:r>
      <w:r w:rsidRPr="00F95839">
        <w:rPr>
          <w:shd w:val="clear" w:color="auto" w:fill="FFFFFF"/>
        </w:rPr>
        <w:t>En primer lugar, porque la economía mundial es mucho más flexible que hace 50 años. También porque la política económica, especialmente en su vertiente monetaria, tiene los instrumentos (y la independencia) para responder a un riesgo de este tipo. Y, sobre todo, porque pare</w:t>
      </w:r>
      <w:r w:rsidR="00570277" w:rsidRPr="00F95839">
        <w:rPr>
          <w:shd w:val="clear" w:color="auto" w:fill="FFFFFF"/>
        </w:rPr>
        <w:t>ce difícil pasar del riesgo de “japonización”</w:t>
      </w:r>
      <w:r w:rsidRPr="00F95839">
        <w:rPr>
          <w:shd w:val="clear" w:color="auto" w:fill="FFFFFF"/>
        </w:rPr>
        <w:t xml:space="preserve"> al de estanflación en poco más de 18 meses, cuando las grandes tendencias que nos habían aproximado a una situación de estancamien</w:t>
      </w:r>
      <w:r w:rsidR="00570277" w:rsidRPr="00F95839">
        <w:rPr>
          <w:shd w:val="clear" w:color="auto" w:fill="FFFFFF"/>
        </w:rPr>
        <w:t>to secular siguen muy presentes”</w:t>
      </w:r>
      <w:r w:rsidRPr="00F95839">
        <w:rPr>
          <w:shd w:val="clear" w:color="auto" w:fill="FFFFFF"/>
        </w:rPr>
        <w:t>.</w:t>
      </w:r>
    </w:p>
    <w:p w:rsidR="00B839AB" w:rsidRPr="00F95839" w:rsidRDefault="00B839AB" w:rsidP="00FA4DA9">
      <w:pPr>
        <w:pStyle w:val="selectionshareable"/>
        <w:shd w:val="clear" w:color="auto" w:fill="FFFFFF"/>
        <w:spacing w:after="300"/>
        <w:jc w:val="both"/>
        <w:textAlignment w:val="baseline"/>
        <w:rPr>
          <w:shd w:val="clear" w:color="auto" w:fill="FFFFFF"/>
        </w:rPr>
      </w:pPr>
      <w:r w:rsidRPr="00F95839">
        <w:rPr>
          <w:shd w:val="clear" w:color="auto" w:fill="FFFFFF"/>
        </w:rPr>
        <w:t>No obstante, pide De la Torre desde Arcano, hay que comparar los costes laborales con la productividad, para relativizar la importancia de e</w:t>
      </w:r>
      <w:r w:rsidR="00570277" w:rsidRPr="00F95839">
        <w:rPr>
          <w:shd w:val="clear" w:color="auto" w:fill="FFFFFF"/>
        </w:rPr>
        <w:t>stos efectos de segundo orden: “</w:t>
      </w:r>
      <w:r w:rsidRPr="00F95839">
        <w:rPr>
          <w:shd w:val="clear" w:color="auto" w:fill="FFFFFF"/>
        </w:rPr>
        <w:t>Van a ser temporales. Si asumimos que los costes laborales suben al 2% en Europa, hay que ver la productividad para tener el impacto en la inflación. Un supuesto conservador sería del crecimiento del 0,5%, con lo que la diferencia sería del 1,5%. En Estados Unidos los salarios crecen al 4%, pero la productiv</w:t>
      </w:r>
      <w:r w:rsidR="00570277" w:rsidRPr="00F95839">
        <w:rPr>
          <w:shd w:val="clear" w:color="auto" w:fill="FFFFFF"/>
        </w:rPr>
        <w:t>idad, de momento, lo hace al 3%”</w:t>
      </w:r>
      <w:r w:rsidRPr="00F95839">
        <w:rPr>
          <w:shd w:val="clear" w:color="auto" w:fill="FFFFFF"/>
        </w:rPr>
        <w:t xml:space="preserve">. Además, los efectos de segundo orden suelen </w:t>
      </w:r>
      <w:r w:rsidR="00570277" w:rsidRPr="00F95839">
        <w:rPr>
          <w:shd w:val="clear" w:color="auto" w:fill="FFFFFF"/>
        </w:rPr>
        <w:t>verse en el mercado laboral, y “</w:t>
      </w:r>
      <w:r w:rsidRPr="00F95839">
        <w:rPr>
          <w:shd w:val="clear" w:color="auto" w:fill="FFFFFF"/>
        </w:rPr>
        <w:t xml:space="preserve">la afiliación a los sindicatos es mucho más baja de lo que era la última vez que vimos una espiral de inflación </w:t>
      </w:r>
      <w:r w:rsidR="00012535" w:rsidRPr="00F95839">
        <w:rPr>
          <w:shd w:val="clear" w:color="auto" w:fill="FFFFFF"/>
        </w:rPr>
        <w:t>de los precios de los salarios (década de 1970)</w:t>
      </w:r>
      <w:r w:rsidRPr="00F95839">
        <w:rPr>
          <w:shd w:val="clear" w:color="auto" w:fill="FFFFFF"/>
        </w:rPr>
        <w:t>. El mercado laboral es global, a pesar del Brexit y algunas guerras comerciales (por ejemplo, China), por lo que si los salarios suben en Europa, la fabricación puede trasladarse a Turquía, Vietnam o México; esto no era cierto en la década de 1970. El capital todavía tiene</w:t>
      </w:r>
      <w:r w:rsidR="00012535" w:rsidRPr="00F95839">
        <w:rPr>
          <w:shd w:val="clear" w:color="auto" w:fill="FFFFFF"/>
        </w:rPr>
        <w:t xml:space="preserve"> ventaja sobre los trabajadores”</w:t>
      </w:r>
      <w:r w:rsidRPr="00F95839">
        <w:rPr>
          <w:shd w:val="clear" w:color="auto" w:fill="FFFFFF"/>
        </w:rPr>
        <w:t>, expone Jim Leaviss, director de inversiones de renta fija pública de M&amp;G.</w:t>
      </w:r>
    </w:p>
    <w:p w:rsidR="00B839AB" w:rsidRPr="00F95839" w:rsidRDefault="00B839AB" w:rsidP="00FA4DA9">
      <w:pPr>
        <w:pStyle w:val="selectionshareable"/>
        <w:shd w:val="clear" w:color="auto" w:fill="FFFFFF"/>
        <w:spacing w:after="300"/>
        <w:jc w:val="both"/>
        <w:textAlignment w:val="baseline"/>
        <w:rPr>
          <w:shd w:val="clear" w:color="auto" w:fill="FFFFFF"/>
        </w:rPr>
      </w:pPr>
      <w:r w:rsidRPr="00F95839">
        <w:rPr>
          <w:shd w:val="clear" w:color="auto" w:fill="FFFFFF"/>
        </w:rPr>
        <w:t>Riesgo para la recuperación</w:t>
      </w:r>
    </w:p>
    <w:p w:rsidR="00B839AB" w:rsidRPr="00F95839" w:rsidRDefault="00B839AB" w:rsidP="00FA4DA9">
      <w:pPr>
        <w:pStyle w:val="selectionshareable"/>
        <w:shd w:val="clear" w:color="auto" w:fill="FFFFFF"/>
        <w:spacing w:after="300"/>
        <w:jc w:val="both"/>
        <w:textAlignment w:val="baseline"/>
        <w:rPr>
          <w:shd w:val="clear" w:color="auto" w:fill="FFFFFF"/>
        </w:rPr>
      </w:pPr>
      <w:r w:rsidRPr="00F95839">
        <w:rPr>
          <w:shd w:val="clear" w:color="auto" w:fill="FFFFFF"/>
        </w:rPr>
        <w:t>Una de las claves del repunte actual de la inflación está en el mercado energético, con récords en el precio del megavatio hora (MWh), que está por encima de los 200 euros. Ya hay grupos industriales que han reducido o parado su producción. Por otro lado, según la patronal de construcción CNC, el 40% de las empresas han cancelado o paralizado obras por la subida del precio de las materias primas. De hecho, junto a la inflación se está produciendo cierta falta de suministros clave que afecta a la produ</w:t>
      </w:r>
      <w:r w:rsidR="00012535" w:rsidRPr="00F95839">
        <w:rPr>
          <w:shd w:val="clear" w:color="auto" w:fill="FFFFFF"/>
        </w:rPr>
        <w:t>cción. “</w:t>
      </w:r>
      <w:r w:rsidRPr="00F95839">
        <w:rPr>
          <w:u w:val="single"/>
          <w:shd w:val="clear" w:color="auto" w:fill="FFFFFF"/>
        </w:rPr>
        <w:t>Una de las lecciones de la pandemia es la vulneración de la industria debido a la dependencia de la cadena de suministro con la op</w:t>
      </w:r>
      <w:r w:rsidR="00012535" w:rsidRPr="00F95839">
        <w:rPr>
          <w:u w:val="single"/>
          <w:shd w:val="clear" w:color="auto" w:fill="FFFFFF"/>
        </w:rPr>
        <w:t>timización por la globalización”</w:t>
      </w:r>
      <w:r w:rsidRPr="00F95839">
        <w:rPr>
          <w:u w:val="single"/>
          <w:shd w:val="clear" w:color="auto" w:fill="FFFFFF"/>
        </w:rPr>
        <w:t xml:space="preserve">, aluden Olgerd Eichler y Thomas Meier, gestores de </w:t>
      </w:r>
      <w:r w:rsidRPr="00F95839">
        <w:rPr>
          <w:u w:val="single"/>
          <w:shd w:val="clear" w:color="auto" w:fill="FFFFFF"/>
        </w:rPr>
        <w:lastRenderedPageBreak/>
        <w:t>MainFirst. Por ello, creen que las empresas van a reaccionar al choque de la oferta con diversificación regional que reducirá la escalabilidad y habrá productos más caros, y la inmovilización de capital debido a un mayor nivel de existencias</w:t>
      </w:r>
      <w:r w:rsidR="00012535" w:rsidRPr="00F95839">
        <w:rPr>
          <w:shd w:val="clear" w:color="auto" w:fill="FFFFFF"/>
        </w:rPr>
        <w:t>. “</w:t>
      </w:r>
      <w:r w:rsidRPr="00F95839">
        <w:rPr>
          <w:shd w:val="clear" w:color="auto" w:fill="FFFFFF"/>
        </w:rPr>
        <w:t>Ambos efectos influirán negativamente en la evolución de los beneficios y los márgenes si las empresas no son capaces de repercutirlo en su</w:t>
      </w:r>
      <w:r w:rsidR="00012535" w:rsidRPr="00F95839">
        <w:rPr>
          <w:shd w:val="clear" w:color="auto" w:fill="FFFFFF"/>
        </w:rPr>
        <w:t>bidas de precios a los clientes”</w:t>
      </w:r>
      <w:r w:rsidRPr="00F95839">
        <w:rPr>
          <w:shd w:val="clear" w:color="auto" w:fill="FFFFFF"/>
        </w:rPr>
        <w:t>, agregan</w:t>
      </w:r>
      <w:r w:rsidR="00012535" w:rsidRPr="00F95839">
        <w:rPr>
          <w:shd w:val="clear" w:color="auto" w:fill="FFFFFF"/>
        </w:rPr>
        <w:t>. Como consecuencia, asimismo, “</w:t>
      </w:r>
      <w:r w:rsidRPr="00F95839">
        <w:rPr>
          <w:shd w:val="clear" w:color="auto" w:fill="FFFFFF"/>
        </w:rPr>
        <w:t>si este aumento en los precios del gas natural y la energía se mantiene, existe el riesgo de que reduzca el gasto discrecional de los hogares y las ganancias corporativas lo suficiente como para frenar la recuperación posterior al covid. En</w:t>
      </w:r>
      <w:r w:rsidR="00012535" w:rsidRPr="00F95839">
        <w:rPr>
          <w:shd w:val="clear" w:color="auto" w:fill="FFFFFF"/>
        </w:rPr>
        <w:t>tonces, este es un riesgo serio”</w:t>
      </w:r>
      <w:r w:rsidRPr="00F95839">
        <w:rPr>
          <w:shd w:val="clear" w:color="auto" w:fill="FFFFFF"/>
        </w:rPr>
        <w:t>, indica Neville Hill, economista jefe de Credit Suisse. Sin embargo, añad</w:t>
      </w:r>
      <w:r w:rsidR="00012535" w:rsidRPr="00F95839">
        <w:rPr>
          <w:shd w:val="clear" w:color="auto" w:fill="FFFFFF"/>
        </w:rPr>
        <w:t>e, “</w:t>
      </w:r>
      <w:r w:rsidRPr="00F95839">
        <w:rPr>
          <w:shd w:val="clear" w:color="auto" w:fill="FFFFFF"/>
        </w:rPr>
        <w:t>dudo que afecte el crecimiento potencial. Si estos aumentos de precios se revierten, la economía deber</w:t>
      </w:r>
      <w:r w:rsidR="00012535" w:rsidRPr="00F95839">
        <w:rPr>
          <w:shd w:val="clear" w:color="auto" w:fill="FFFFFF"/>
        </w:rPr>
        <w:t>ía recuperar el terreno perdido”</w:t>
      </w:r>
      <w:r w:rsidRPr="00F95839">
        <w:rPr>
          <w:shd w:val="clear" w:color="auto" w:fill="FFFFFF"/>
        </w:rPr>
        <w:t>.</w:t>
      </w:r>
    </w:p>
    <w:p w:rsidR="00B839AB" w:rsidRPr="00C27DEB" w:rsidRDefault="00B839AB" w:rsidP="00FA4DA9">
      <w:pPr>
        <w:pStyle w:val="selectionshareable"/>
        <w:shd w:val="clear" w:color="auto" w:fill="FFFFFF"/>
        <w:spacing w:after="300"/>
        <w:jc w:val="both"/>
        <w:textAlignment w:val="baseline"/>
        <w:rPr>
          <w:color w:val="333333"/>
          <w:shd w:val="clear" w:color="auto" w:fill="FFFFFF"/>
        </w:rPr>
      </w:pPr>
      <w:r w:rsidRPr="00012535">
        <w:rPr>
          <w:color w:val="FF0000"/>
          <w:u w:val="single"/>
          <w:shd w:val="clear" w:color="auto" w:fill="FFFFFF"/>
        </w:rPr>
        <w:t xml:space="preserve">Pese a que hay cierto consenso en que la inflación es temporal, hay gestoras que ven riesgos. </w:t>
      </w:r>
      <w:r w:rsidR="00012535" w:rsidRPr="00F95839">
        <w:rPr>
          <w:shd w:val="clear" w:color="auto" w:fill="FFFFFF"/>
        </w:rPr>
        <w:t>“</w:t>
      </w:r>
      <w:r w:rsidRPr="00F95839">
        <w:rPr>
          <w:shd w:val="clear" w:color="auto" w:fill="FFFFFF"/>
        </w:rPr>
        <w:t>Con la vuelta a los cuellos de botella y la escasez en la oferta, el consecuente aumento de los precios ahoga la demanda y frena el crecimiento. Por ejemplo, en Estados Unidos el aumento de la inflación se considera ahora como un factor adverso en las encuestas sobre el sentimiento de los consumidores y la encuesta de la Universidad de Michigan mostró una caída en el número de personas que dicen que es un buen momento para hacer compras importantes. La inflación supera a los salarios, reduciendo el poder adquisitivo real y fren</w:t>
      </w:r>
      <w:r w:rsidR="00012535" w:rsidRPr="00F95839">
        <w:rPr>
          <w:shd w:val="clear" w:color="auto" w:fill="FFFFFF"/>
        </w:rPr>
        <w:t>ando la demanda”</w:t>
      </w:r>
      <w:r w:rsidRPr="00F95839">
        <w:rPr>
          <w:shd w:val="clear" w:color="auto" w:fill="FFFFFF"/>
        </w:rPr>
        <w:t xml:space="preserve">, dice Keith Wade, economista </w:t>
      </w:r>
      <w:r w:rsidR="00012535" w:rsidRPr="00F95839">
        <w:rPr>
          <w:shd w:val="clear" w:color="auto" w:fill="FFFFFF"/>
        </w:rPr>
        <w:t>y estratega jefe de Schroders. “</w:t>
      </w:r>
      <w:r w:rsidRPr="00F95839">
        <w:rPr>
          <w:shd w:val="clear" w:color="auto" w:fill="FFFFFF"/>
        </w:rPr>
        <w:t>Sí tiene sentido cubrirse contra el riesgo de inflación, mediante bonos vinculados a la inflación, materias primas, activos reales, acciones value, etc. Pero todavía es muy prematuro esperar que la inflación de la zona euro se sitúe por encima del 2</w:t>
      </w:r>
      <w:r w:rsidR="00012535" w:rsidRPr="00F95839">
        <w:rPr>
          <w:shd w:val="clear" w:color="auto" w:fill="FFFFFF"/>
        </w:rPr>
        <w:t>% durante un periodo prolongado”</w:t>
      </w:r>
      <w:r w:rsidRPr="00F95839">
        <w:rPr>
          <w:shd w:val="clear" w:color="auto" w:fill="FFFFFF"/>
        </w:rPr>
        <w:t>, expresa Vicent Chaigneau, jefe de análisis de Generali Insurance AM. Pero Jeremy Lawson, economista jefe de Abrdn, argumenta que los estudios sobre periodos anteriores de inflación coinciden en que se necesitan tres condiciones para entrar</w:t>
      </w:r>
      <w:r w:rsidR="00012535" w:rsidRPr="00F95839">
        <w:rPr>
          <w:shd w:val="clear" w:color="auto" w:fill="FFFFFF"/>
        </w:rPr>
        <w:t xml:space="preserve"> en un régimen de inflación, y “siguen sin cumplirse”</w:t>
      </w:r>
      <w:r w:rsidRPr="00F95839">
        <w:rPr>
          <w:shd w:val="clear" w:color="auto" w:fill="FFFFFF"/>
        </w:rPr>
        <w:t>. Se trataría de que haya un exceso de demanda sostenido, ya sea por querer más consumo o por reducción de la producción; las expectativas de inflación deben desanclarse para que la gente incorpore expectativas mayores de inflación a su toma de decisiones; y que los bancos centrales dejen de fijar su política monetaria según el principio de Taylor, que implica subir tipos nominales más de lo que aumenta la inflación en respuesta a un aumento de precios. Por último, hay que tener en cuenta que las economías occidentales tienen su mayor peso en el sector servicios. Por lo tanto, para que el repunte de precios sea estructu</w:t>
      </w:r>
      <w:r w:rsidR="00012535" w:rsidRPr="00F95839">
        <w:rPr>
          <w:shd w:val="clear" w:color="auto" w:fill="FFFFFF"/>
        </w:rPr>
        <w:t>ral, “</w:t>
      </w:r>
      <w:r w:rsidRPr="00F95839">
        <w:rPr>
          <w:shd w:val="clear" w:color="auto" w:fill="FFFFFF"/>
        </w:rPr>
        <w:t>tendríamos que ver elementos del IPC de los servicios básicos en aumento. Es la parte más pegajosa, y aumentará en Estados Unidos por el canal inmobiliario, pero en la eurozona no hay ningún indicio sólido de que esta categoría esté en senda de subid</w:t>
      </w:r>
      <w:r w:rsidR="00012535" w:rsidRPr="00F95839">
        <w:rPr>
          <w:shd w:val="clear" w:color="auto" w:fill="FFFFFF"/>
        </w:rPr>
        <w:t>a sostenida”</w:t>
      </w:r>
      <w:r w:rsidRPr="00F95839">
        <w:rPr>
          <w:shd w:val="clear" w:color="auto" w:fill="FFFFFF"/>
        </w:rPr>
        <w:t>, expresa Juliuen Tisserand, gestor de Edmond de Rothschild</w:t>
      </w:r>
      <w:r w:rsidR="00012535" w:rsidRPr="00F95839">
        <w:rPr>
          <w:shd w:val="clear" w:color="auto" w:fill="FFFFFF"/>
        </w:rPr>
        <w:t>…</w:t>
      </w:r>
    </w:p>
    <w:p w:rsidR="00B839AB" w:rsidRPr="00F95839" w:rsidRDefault="00B839AB" w:rsidP="00FA4DA9">
      <w:pPr>
        <w:pStyle w:val="selectionshareable"/>
        <w:shd w:val="clear" w:color="auto" w:fill="FFFFFF"/>
        <w:spacing w:after="300"/>
        <w:jc w:val="both"/>
        <w:textAlignment w:val="baseline"/>
        <w:rPr>
          <w:shd w:val="clear" w:color="auto" w:fill="FFFFFF"/>
        </w:rPr>
      </w:pPr>
      <w:r w:rsidRPr="00F95839">
        <w:rPr>
          <w:shd w:val="clear" w:color="auto" w:fill="FFFFFF"/>
        </w:rPr>
        <w:t xml:space="preserve">- </w:t>
      </w:r>
      <w:r w:rsidRPr="00F95839">
        <w:rPr>
          <w:u w:val="single"/>
          <w:shd w:val="clear" w:color="auto" w:fill="FFFFFF"/>
        </w:rPr>
        <w:t>Conocer a la estanflación</w:t>
      </w:r>
      <w:r w:rsidRPr="00F95839">
        <w:rPr>
          <w:shd w:val="clear" w:color="auto" w:fill="FFFFFF"/>
        </w:rPr>
        <w:t xml:space="preserve"> (Vozpópuli - </w:t>
      </w:r>
      <w:r w:rsidRPr="00F95839">
        <w:rPr>
          <w:b/>
          <w:shd w:val="clear" w:color="auto" w:fill="FFFFFF"/>
        </w:rPr>
        <w:t>18/10/21</w:t>
      </w:r>
      <w:r w:rsidRPr="00F95839">
        <w:rPr>
          <w:shd w:val="clear" w:color="auto" w:fill="FFFFFF"/>
        </w:rPr>
        <w:t>)</w:t>
      </w:r>
    </w:p>
    <w:p w:rsidR="00B839AB" w:rsidRPr="00F95839" w:rsidRDefault="00B839AB" w:rsidP="00FA4DA9">
      <w:pPr>
        <w:pStyle w:val="selectionshareable"/>
        <w:shd w:val="clear" w:color="auto" w:fill="FFFFFF"/>
        <w:spacing w:after="300"/>
        <w:jc w:val="both"/>
        <w:textAlignment w:val="baseline"/>
        <w:rPr>
          <w:shd w:val="clear" w:color="auto" w:fill="FFFFFF"/>
        </w:rPr>
      </w:pPr>
      <w:r w:rsidRPr="00F95839">
        <w:rPr>
          <w:shd w:val="clear" w:color="auto" w:fill="FFFFFF"/>
        </w:rPr>
        <w:t>(Por Manuel Hidalgo)</w:t>
      </w:r>
    </w:p>
    <w:p w:rsidR="00B839AB" w:rsidRPr="00012535" w:rsidRDefault="00B839AB" w:rsidP="00FA4DA9">
      <w:pPr>
        <w:pStyle w:val="selectionshareable"/>
        <w:shd w:val="clear" w:color="auto" w:fill="FFFFFF"/>
        <w:spacing w:after="300"/>
        <w:jc w:val="both"/>
        <w:textAlignment w:val="baseline"/>
        <w:rPr>
          <w:color w:val="FF0000"/>
          <w:u w:val="single"/>
          <w:shd w:val="clear" w:color="auto" w:fill="FFFFFF"/>
        </w:rPr>
      </w:pPr>
      <w:r w:rsidRPr="00012535">
        <w:rPr>
          <w:color w:val="FF0000"/>
          <w:u w:val="single"/>
          <w:shd w:val="clear" w:color="auto" w:fill="FFFFFF"/>
        </w:rPr>
        <w:t>Una palabra ha vuelto a los noticiarios, rotativos y salas de redacción después de décadas de olvido: estanflación. Esta palabra, inventada para describir una situación que en su momento era desconocida, tiene como origen etimológico la unión de los términos estancamiento e inflación. Esta combinación, poderosamente nociva, azotó a las economías de los setenta y algunos creen que lo volverá a hacer en breve.</w:t>
      </w:r>
    </w:p>
    <w:p w:rsidR="00B839AB" w:rsidRPr="00012535" w:rsidRDefault="00B839AB" w:rsidP="00FA4DA9">
      <w:pPr>
        <w:pStyle w:val="selectionshareable"/>
        <w:shd w:val="clear" w:color="auto" w:fill="FFFFFF"/>
        <w:spacing w:after="300"/>
        <w:jc w:val="both"/>
        <w:textAlignment w:val="baseline"/>
        <w:rPr>
          <w:color w:val="FF0000"/>
          <w:u w:val="single"/>
          <w:shd w:val="clear" w:color="auto" w:fill="FFFFFF"/>
        </w:rPr>
      </w:pPr>
      <w:r w:rsidRPr="00012535">
        <w:rPr>
          <w:color w:val="FF0000"/>
          <w:u w:val="single"/>
          <w:shd w:val="clear" w:color="auto" w:fill="FFFFFF"/>
        </w:rPr>
        <w:t>En estos días, dos grupos de economistas discuten con tiento y solera sobre si estamos ante una nueva estanflación o, por el contrario, no lo estamos. En realidad son dos vis</w:t>
      </w:r>
      <w:r w:rsidR="00012535" w:rsidRPr="00012535">
        <w:rPr>
          <w:color w:val="FF0000"/>
          <w:u w:val="single"/>
          <w:shd w:val="clear" w:color="auto" w:fill="FFFFFF"/>
        </w:rPr>
        <w:t xml:space="preserve">iones </w:t>
      </w:r>
      <w:r w:rsidR="00012535" w:rsidRPr="00012535">
        <w:rPr>
          <w:color w:val="FF0000"/>
          <w:u w:val="single"/>
          <w:shd w:val="clear" w:color="auto" w:fill="FFFFFF"/>
        </w:rPr>
        <w:lastRenderedPageBreak/>
        <w:t>complementarias entre un “ser” y un “</w:t>
      </w:r>
      <w:r w:rsidRPr="00012535">
        <w:rPr>
          <w:color w:val="FF0000"/>
          <w:u w:val="single"/>
          <w:shd w:val="clear" w:color="auto" w:fill="FFFFFF"/>
        </w:rPr>
        <w:t>puede se</w:t>
      </w:r>
      <w:r w:rsidR="00012535" w:rsidRPr="00012535">
        <w:rPr>
          <w:color w:val="FF0000"/>
          <w:u w:val="single"/>
          <w:shd w:val="clear" w:color="auto" w:fill="FFFFFF"/>
        </w:rPr>
        <w:t>r”. Por un lado, en el “puede ser”, Lawrence Summers y compañía -</w:t>
      </w:r>
      <w:r w:rsidRPr="00012535">
        <w:rPr>
          <w:color w:val="FF0000"/>
          <w:u w:val="single"/>
          <w:shd w:val="clear" w:color="auto" w:fill="FFFFFF"/>
        </w:rPr>
        <w:t>entre los que se encuentra Carmen Reinhart-, se muestran extremadamente preocupados por la situación y señalan los peligros de una inminente explosión de inflación que reduciría irremediablemente el crecimiento futuro. Como nota anecdótica hay que señalar que Summers, hasta antes de la pandemia avisaba de los peligros de precisamente lo con</w:t>
      </w:r>
      <w:r w:rsidR="00012535" w:rsidRPr="00012535">
        <w:rPr>
          <w:color w:val="FF0000"/>
          <w:u w:val="single"/>
          <w:shd w:val="clear" w:color="auto" w:fill="FFFFFF"/>
        </w:rPr>
        <w:t>trario. En el otro lado, en el “ser”</w:t>
      </w:r>
      <w:r w:rsidRPr="00012535">
        <w:rPr>
          <w:color w:val="FF0000"/>
          <w:u w:val="single"/>
          <w:shd w:val="clear" w:color="auto" w:fill="FFFFFF"/>
        </w:rPr>
        <w:t>, un grupo en el que destaca la voz de Blanchard, descartan que estemos ante esa posibilidad en el corto plazo.</w:t>
      </w:r>
    </w:p>
    <w:p w:rsidR="00B839AB" w:rsidRPr="00012535" w:rsidRDefault="00B839AB" w:rsidP="00FA4DA9">
      <w:pPr>
        <w:pStyle w:val="selectionshareable"/>
        <w:shd w:val="clear" w:color="auto" w:fill="FFFFFF"/>
        <w:spacing w:after="300"/>
        <w:jc w:val="both"/>
        <w:textAlignment w:val="baseline"/>
        <w:rPr>
          <w:color w:val="FF0000"/>
          <w:u w:val="single"/>
          <w:shd w:val="clear" w:color="auto" w:fill="FFFFFF"/>
        </w:rPr>
      </w:pPr>
      <w:r w:rsidRPr="00012535">
        <w:rPr>
          <w:color w:val="FF0000"/>
          <w:u w:val="single"/>
          <w:shd w:val="clear" w:color="auto" w:fill="FFFFFF"/>
        </w:rPr>
        <w:t>Y, entonces, ¿quién tiene razón? Como he dicho, son dos posturas diferenciadas por el tiempo, aunque</w:t>
      </w:r>
      <w:r w:rsidR="00012535" w:rsidRPr="00012535">
        <w:rPr>
          <w:color w:val="FF0000"/>
          <w:u w:val="single"/>
          <w:shd w:val="clear" w:color="auto" w:fill="FFFFFF"/>
        </w:rPr>
        <w:t xml:space="preserve"> es cierto que en el grupo del “puede ser”</w:t>
      </w:r>
      <w:r w:rsidRPr="00012535">
        <w:rPr>
          <w:color w:val="FF0000"/>
          <w:u w:val="single"/>
          <w:shd w:val="clear" w:color="auto" w:fill="FFFFFF"/>
        </w:rPr>
        <w:t xml:space="preserve"> se asume que es inevitable la estanflación si no hacemos nada. En el </w:t>
      </w:r>
      <w:r w:rsidR="00012535" w:rsidRPr="00012535">
        <w:rPr>
          <w:color w:val="FF0000"/>
          <w:u w:val="single"/>
          <w:shd w:val="clear" w:color="auto" w:fill="FFFFFF"/>
        </w:rPr>
        <w:t>grupo del “ser”</w:t>
      </w:r>
      <w:r w:rsidRPr="00012535">
        <w:rPr>
          <w:color w:val="FF0000"/>
          <w:u w:val="single"/>
          <w:shd w:val="clear" w:color="auto" w:fill="FFFFFF"/>
        </w:rPr>
        <w:t>, sin embargo, se es más moderado, creyendo que las condiciones existentes son necesarias pero no suficientes para la estanflación.</w:t>
      </w:r>
    </w:p>
    <w:p w:rsidR="00B839AB" w:rsidRPr="004A0AB9" w:rsidRDefault="00B839AB" w:rsidP="00FA4DA9">
      <w:pPr>
        <w:pStyle w:val="selectionshareable"/>
        <w:shd w:val="clear" w:color="auto" w:fill="FFFFFF"/>
        <w:spacing w:after="300"/>
        <w:jc w:val="both"/>
        <w:textAlignment w:val="baseline"/>
        <w:rPr>
          <w:shd w:val="clear" w:color="auto" w:fill="FFFFFF"/>
        </w:rPr>
      </w:pPr>
      <w:r w:rsidRPr="004A0AB9">
        <w:rPr>
          <w:shd w:val="clear" w:color="auto" w:fill="FFFFFF"/>
        </w:rPr>
        <w:t>Dos tipos de shocks</w:t>
      </w:r>
    </w:p>
    <w:p w:rsidR="00B839AB" w:rsidRPr="004A0AB9" w:rsidRDefault="00B839AB" w:rsidP="00FA4DA9">
      <w:pPr>
        <w:pStyle w:val="selectionshareable"/>
        <w:shd w:val="clear" w:color="auto" w:fill="FFFFFF"/>
        <w:spacing w:after="300"/>
        <w:jc w:val="both"/>
        <w:textAlignment w:val="baseline"/>
        <w:rPr>
          <w:shd w:val="clear" w:color="auto" w:fill="FFFFFF"/>
        </w:rPr>
      </w:pPr>
      <w:r w:rsidRPr="004A0AB9">
        <w:rPr>
          <w:shd w:val="clear" w:color="auto" w:fill="FFFFFF"/>
        </w:rPr>
        <w:t>Para entender ambas posturas y, así, tener información que nos eleve sobre el nivel medio de una conversación de sob</w:t>
      </w:r>
      <w:r w:rsidR="00012535" w:rsidRPr="004A0AB9">
        <w:rPr>
          <w:shd w:val="clear" w:color="auto" w:fill="FFFFFF"/>
        </w:rPr>
        <w:t>remesa con nuestros colegas de “solucionar el mundo”</w:t>
      </w:r>
      <w:r w:rsidRPr="004A0AB9">
        <w:rPr>
          <w:shd w:val="clear" w:color="auto" w:fill="FFFFFF"/>
        </w:rPr>
        <w:t xml:space="preserve">, es necesario explicar los fundamentos del debate. De este modo, podremos discernir con algo de conocimiento a quién, creo, le asisten </w:t>
      </w:r>
      <w:r w:rsidR="00012535" w:rsidRPr="004A0AB9">
        <w:rPr>
          <w:shd w:val="clear" w:color="auto" w:fill="FFFFFF"/>
        </w:rPr>
        <w:t>mejor los datos y la evidencia.</w:t>
      </w:r>
    </w:p>
    <w:p w:rsidR="00B839AB" w:rsidRPr="004A0AB9" w:rsidRDefault="00B839AB" w:rsidP="00FA4DA9">
      <w:pPr>
        <w:pStyle w:val="selectionshareable"/>
        <w:shd w:val="clear" w:color="auto" w:fill="FFFFFF"/>
        <w:spacing w:after="300"/>
        <w:jc w:val="both"/>
        <w:textAlignment w:val="baseline"/>
        <w:rPr>
          <w:u w:val="single"/>
          <w:shd w:val="clear" w:color="auto" w:fill="FFFFFF"/>
        </w:rPr>
      </w:pPr>
      <w:r w:rsidRPr="004A0AB9">
        <w:rPr>
          <w:u w:val="single"/>
          <w:shd w:val="clear" w:color="auto" w:fill="FFFFFF"/>
        </w:rPr>
        <w:t>En macroeconomía hay que distinguir dos tipos principales de shocks, y que son los que gobiernan los ciclos a corto plazo de la economía. Todos los demás, de un modo u otro, se pueden catalogar dentro de estos dos: shocks de demanda y shocks de oferta. El primero de ellos es el impulsado por el consumo (privado o público), la inversión (privada o pública) o el sector exterior. El segundo, por cambios en las condiciones de producción que alientan producir más y más barato, o menos y más caro.</w:t>
      </w:r>
    </w:p>
    <w:p w:rsidR="00B839AB" w:rsidRPr="00012535" w:rsidRDefault="00B839AB" w:rsidP="00FA4DA9">
      <w:pPr>
        <w:pStyle w:val="selectionshareable"/>
        <w:shd w:val="clear" w:color="auto" w:fill="FFFFFF"/>
        <w:spacing w:after="300"/>
        <w:jc w:val="both"/>
        <w:textAlignment w:val="baseline"/>
        <w:rPr>
          <w:color w:val="FF0000"/>
          <w:u w:val="single"/>
          <w:shd w:val="clear" w:color="auto" w:fill="FFFFFF"/>
        </w:rPr>
      </w:pPr>
      <w:r w:rsidRPr="00012535">
        <w:rPr>
          <w:color w:val="FF0000"/>
          <w:u w:val="single"/>
          <w:shd w:val="clear" w:color="auto" w:fill="FFFFFF"/>
        </w:rPr>
        <w:t>Sabemos que los efectos de estos shocks son diferentes. Por ejemplo, un impulso positivo de demanda genera crecimiento y, dada una estructura productiva, más inflación. El de oferta, crecimiento y menos inflación (o deflación). ¿Y los shocks negativos de cada uno de ellos? Exactamente lo contrario. Muy pernicioso es el shock negativo de demanda, pues provoca recesión con caída del nivel de precios, lo que eleva los tipos de interés reales, si el nominal alcanza el cero, y con ello un círculo vicioso de falta de demanda. Este episodio es el ocurrido entre 1929 y 1939. Por el contrario, la estanflación vendría provocada por un shock negativo de oferta. Es decir, subidas de precios con estancamiento o caída de la producción, y que lo identificamos como el episodio 1973-1982.</w:t>
      </w:r>
    </w:p>
    <w:p w:rsidR="00B839AB" w:rsidRPr="004A0AB9" w:rsidRDefault="00B839AB" w:rsidP="00FA4DA9">
      <w:pPr>
        <w:pStyle w:val="selectionshareable"/>
        <w:shd w:val="clear" w:color="auto" w:fill="FFFFFF"/>
        <w:spacing w:after="300"/>
        <w:jc w:val="both"/>
        <w:textAlignment w:val="baseline"/>
        <w:rPr>
          <w:shd w:val="clear" w:color="auto" w:fill="FFFFFF"/>
        </w:rPr>
      </w:pPr>
      <w:r w:rsidRPr="004A0AB9">
        <w:rPr>
          <w:shd w:val="clear" w:color="auto" w:fill="FFFFFF"/>
        </w:rPr>
        <w:t>Hasta los setenta, esta segunda posibilidad no entraba en los libros de texto. El keynesianismo se bastaba para explicarlo todo. Este era, en buena parte, una visión desde la perspectiva de la demanda del equilibrio macro. No en vano surgió de las cenizas de una economía clásica que no supo explicar la Gran Depresión, que como sabemos y he adelantado fue evento eminentemente de demanda. Las cuatro décadas posteriores al crac del 29 se podrían encajar en el modelo keynesiano mientras las políticas de impulso o enfriamiento de la demanda se bastaban para conducir a la economía entre los vaivenes de los ciclos.</w:t>
      </w:r>
    </w:p>
    <w:p w:rsidR="00B839AB" w:rsidRPr="004A0AB9" w:rsidRDefault="00B839AB" w:rsidP="00FA4DA9">
      <w:pPr>
        <w:pStyle w:val="selectionshareable"/>
        <w:shd w:val="clear" w:color="auto" w:fill="FFFFFF"/>
        <w:spacing w:after="300"/>
        <w:jc w:val="both"/>
        <w:textAlignment w:val="baseline"/>
        <w:rPr>
          <w:shd w:val="clear" w:color="auto" w:fill="FFFFFF"/>
        </w:rPr>
      </w:pPr>
      <w:r w:rsidRPr="004A0AB9">
        <w:rPr>
          <w:shd w:val="clear" w:color="auto" w:fill="FFFFFF"/>
        </w:rPr>
        <w:t>Presiones en los precios</w:t>
      </w:r>
    </w:p>
    <w:p w:rsidR="00B839AB" w:rsidRPr="004A0AB9" w:rsidRDefault="00B839AB" w:rsidP="00FA4DA9">
      <w:pPr>
        <w:pStyle w:val="selectionshareable"/>
        <w:shd w:val="clear" w:color="auto" w:fill="FFFFFF"/>
        <w:spacing w:after="300"/>
        <w:jc w:val="both"/>
        <w:textAlignment w:val="baseline"/>
        <w:rPr>
          <w:shd w:val="clear" w:color="auto" w:fill="FFFFFF"/>
        </w:rPr>
      </w:pPr>
      <w:r w:rsidRPr="004A0AB9">
        <w:rPr>
          <w:shd w:val="clear" w:color="auto" w:fill="FFFFFF"/>
        </w:rPr>
        <w:t xml:space="preserve">Pero Vietnam, la caída de Bretton Woods y la crisis del petróleo (un evento más geopolítico que económico), introdujeron a las economías en terra ignota (shocks de oferta), de ahí que </w:t>
      </w:r>
      <w:r w:rsidRPr="004A0AB9">
        <w:rPr>
          <w:shd w:val="clear" w:color="auto" w:fill="FFFFFF"/>
        </w:rPr>
        <w:lastRenderedPageBreak/>
        <w:t>hubiera que buscar una nueva acepción para la situación. La macroeconomía tuvo que reinventarse y las instituciones de gestión de política económica buscar nuevos instrumentos y paradigmas.</w:t>
      </w:r>
    </w:p>
    <w:p w:rsidR="00B839AB" w:rsidRPr="00012535" w:rsidRDefault="00B839AB" w:rsidP="00FA4DA9">
      <w:pPr>
        <w:pStyle w:val="selectionshareable"/>
        <w:shd w:val="clear" w:color="auto" w:fill="FFFFFF"/>
        <w:spacing w:after="300"/>
        <w:jc w:val="both"/>
        <w:textAlignment w:val="baseline"/>
        <w:rPr>
          <w:color w:val="FF0000"/>
          <w:u w:val="single"/>
          <w:shd w:val="clear" w:color="auto" w:fill="FFFFFF"/>
        </w:rPr>
      </w:pPr>
      <w:r w:rsidRPr="00012535">
        <w:rPr>
          <w:color w:val="FF0000"/>
          <w:u w:val="single"/>
          <w:shd w:val="clear" w:color="auto" w:fill="FFFFFF"/>
        </w:rPr>
        <w:t>Estos mismos instrumentos de análisis nos dicen con cierta seguridad que, hoy, es eviden</w:t>
      </w:r>
      <w:r w:rsidR="00012535" w:rsidRPr="00012535">
        <w:rPr>
          <w:color w:val="FF0000"/>
          <w:u w:val="single"/>
          <w:shd w:val="clear" w:color="auto" w:fill="FFFFFF"/>
        </w:rPr>
        <w:t>te que lo que observamos es un “precioso”</w:t>
      </w:r>
      <w:r w:rsidRPr="00012535">
        <w:rPr>
          <w:color w:val="FF0000"/>
          <w:u w:val="single"/>
          <w:shd w:val="clear" w:color="auto" w:fill="FFFFFF"/>
        </w:rPr>
        <w:t xml:space="preserve"> shock de demanda. Es esta la que ha movido ficha primero, tomando la delantera a la oferta y esta última solo trata de tomarle la zaga con las presiones en los precios que resultan en consecuencia.</w:t>
      </w:r>
    </w:p>
    <w:p w:rsidR="00B839AB" w:rsidRPr="004A0AB9" w:rsidRDefault="00B839AB" w:rsidP="00FA4DA9">
      <w:pPr>
        <w:pStyle w:val="selectionshareable"/>
        <w:shd w:val="clear" w:color="auto" w:fill="FFFFFF"/>
        <w:spacing w:after="300"/>
        <w:jc w:val="both"/>
        <w:textAlignment w:val="baseline"/>
        <w:rPr>
          <w:shd w:val="clear" w:color="auto" w:fill="FFFFFF"/>
        </w:rPr>
      </w:pPr>
      <w:r w:rsidRPr="004A0AB9">
        <w:rPr>
          <w:shd w:val="clear" w:color="auto" w:fill="FFFFFF"/>
        </w:rPr>
        <w:t>No cabía duda alguna de que el rebote de la demanda sería tanto más intenso</w:t>
      </w:r>
      <w:r w:rsidR="00012535" w:rsidRPr="004A0AB9">
        <w:rPr>
          <w:shd w:val="clear" w:color="auto" w:fill="FFFFFF"/>
        </w:rPr>
        <w:t>,</w:t>
      </w:r>
      <w:r w:rsidRPr="004A0AB9">
        <w:rPr>
          <w:shd w:val="clear" w:color="auto" w:fill="FFFFFF"/>
        </w:rPr>
        <w:t xml:space="preserve"> cuanto mayor profilaxis se introdujera a las rentas de los trabajadores y empresas durante lo peor de la pandemia. Las vacunas han permitido que en el primer mundo la actividad retome el pulso más rápidamente de lo que muchos esperaban, y no hablo solo de gobiernos que han aplicado políticas posiblemente demasiado intensas, particularmente en los Estados Unidos. Hablo también del tejido productivo, donde empresas y corporaciones han lastrado su falta de previsión y exceso de pesimismo generando restricciones en las cadenas de producción y de suministros.</w:t>
      </w:r>
    </w:p>
    <w:p w:rsidR="00B839AB" w:rsidRPr="00012535" w:rsidRDefault="00B839AB" w:rsidP="00FA4DA9">
      <w:pPr>
        <w:pStyle w:val="selectionshareable"/>
        <w:shd w:val="clear" w:color="auto" w:fill="FFFFFF"/>
        <w:spacing w:after="300"/>
        <w:jc w:val="both"/>
        <w:textAlignment w:val="baseline"/>
        <w:rPr>
          <w:color w:val="FF0000"/>
          <w:u w:val="single"/>
          <w:shd w:val="clear" w:color="auto" w:fill="FFFFFF"/>
        </w:rPr>
      </w:pPr>
      <w:r w:rsidRPr="00012535">
        <w:rPr>
          <w:color w:val="FF0000"/>
          <w:u w:val="single"/>
          <w:shd w:val="clear" w:color="auto" w:fill="FFFFFF"/>
        </w:rPr>
        <w:t>Por lo tanto, parafraseando a Blanchard, en estos momentos estamos en un claro pulso de demanda donde la oferta trata de ajustarse. Si esto es así, debemos eliminar estanflación de nuestro vocabulario para describir lo qu</w:t>
      </w:r>
      <w:r w:rsidR="00012535">
        <w:rPr>
          <w:color w:val="FF0000"/>
          <w:u w:val="single"/>
          <w:shd w:val="clear" w:color="auto" w:fill="FFFFFF"/>
        </w:rPr>
        <w:t>e sucede. Sin embargo, recalco “en estos momentos”</w:t>
      </w:r>
      <w:r w:rsidRPr="00012535">
        <w:rPr>
          <w:color w:val="FF0000"/>
          <w:u w:val="single"/>
          <w:shd w:val="clear" w:color="auto" w:fill="FFFFFF"/>
        </w:rPr>
        <w:t xml:space="preserve"> porque nadie tiene claro cómo evolucionará la situación de aquí a doce meses. Las opciones están abiertas y no podemos descartar nada, ni tan s</w:t>
      </w:r>
      <w:r w:rsidR="00012535">
        <w:rPr>
          <w:color w:val="FF0000"/>
          <w:u w:val="single"/>
          <w:shd w:val="clear" w:color="auto" w:fill="FFFFFF"/>
        </w:rPr>
        <w:t>iquiera las amenazas del grupo “puede ser”</w:t>
      </w:r>
      <w:r w:rsidRPr="00012535">
        <w:rPr>
          <w:color w:val="FF0000"/>
          <w:u w:val="single"/>
          <w:shd w:val="clear" w:color="auto" w:fill="FFFFFF"/>
        </w:rPr>
        <w:t>. Ahora mismo, en octubre de 2021, no tenemos estanflación.</w:t>
      </w:r>
    </w:p>
    <w:p w:rsidR="00B839AB" w:rsidRPr="004228E9" w:rsidRDefault="00B839AB" w:rsidP="00FA4DA9">
      <w:pPr>
        <w:pStyle w:val="selectionshareable"/>
        <w:shd w:val="clear" w:color="auto" w:fill="FFFFFF"/>
        <w:spacing w:after="300"/>
        <w:jc w:val="both"/>
        <w:textAlignment w:val="baseline"/>
        <w:rPr>
          <w:color w:val="FF0000"/>
          <w:u w:val="single"/>
          <w:shd w:val="clear" w:color="auto" w:fill="FFFFFF"/>
        </w:rPr>
      </w:pPr>
      <w:r w:rsidRPr="004228E9">
        <w:rPr>
          <w:color w:val="FF0000"/>
          <w:u w:val="single"/>
          <w:shd w:val="clear" w:color="auto" w:fill="FFFFFF"/>
        </w:rPr>
        <w:t>P</w:t>
      </w:r>
      <w:r w:rsidR="004228E9" w:rsidRPr="004228E9">
        <w:rPr>
          <w:color w:val="FF0000"/>
          <w:u w:val="single"/>
          <w:shd w:val="clear" w:color="auto" w:fill="FFFFFF"/>
        </w:rPr>
        <w:t>ero ¿cómo podríamos saltar del “ser” al “puede ser”</w:t>
      </w:r>
      <w:r w:rsidRPr="004228E9">
        <w:rPr>
          <w:color w:val="FF0000"/>
          <w:u w:val="single"/>
          <w:shd w:val="clear" w:color="auto" w:fill="FFFFFF"/>
        </w:rPr>
        <w:t>? Para ello necesitaríamos condiciones suficientes. Por ejemplo, que se activara la indic</w:t>
      </w:r>
      <w:r w:rsidR="004228E9" w:rsidRPr="004228E9">
        <w:rPr>
          <w:color w:val="FF0000"/>
          <w:u w:val="single"/>
          <w:shd w:val="clear" w:color="auto" w:fill="FFFFFF"/>
        </w:rPr>
        <w:t>i</w:t>
      </w:r>
      <w:r w:rsidRPr="004228E9">
        <w:rPr>
          <w:color w:val="FF0000"/>
          <w:u w:val="single"/>
          <w:shd w:val="clear" w:color="auto" w:fill="FFFFFF"/>
        </w:rPr>
        <w:t>ación de las economías, donde los salarios nominales siguieran la estela de los precios sin mejoras de productividad. Este escenario es el</w:t>
      </w:r>
      <w:r w:rsidR="004228E9" w:rsidRPr="004228E9">
        <w:rPr>
          <w:color w:val="FF0000"/>
          <w:u w:val="single"/>
          <w:shd w:val="clear" w:color="auto" w:fill="FFFFFF"/>
        </w:rPr>
        <w:t xml:space="preserve"> que temen los economistas del “puede ser”</w:t>
      </w:r>
      <w:r w:rsidRPr="004228E9">
        <w:rPr>
          <w:color w:val="FF0000"/>
          <w:u w:val="single"/>
          <w:shd w:val="clear" w:color="auto" w:fill="FFFFFF"/>
        </w:rPr>
        <w:t>, ya que alimentaría nuevos ciclos de subidas de precios (el shock de demanda se transforma en el monstruoso shock negativo de oferta). En ese caso, sí tendríamos un problema. Pero aún no estamos en ese momento.</w:t>
      </w:r>
    </w:p>
    <w:p w:rsidR="00B839AB" w:rsidRPr="004228E9" w:rsidRDefault="00B839AB" w:rsidP="00FA4DA9">
      <w:pPr>
        <w:pStyle w:val="selectionshareable"/>
        <w:shd w:val="clear" w:color="auto" w:fill="FFFFFF"/>
        <w:spacing w:after="300"/>
        <w:jc w:val="both"/>
        <w:textAlignment w:val="baseline"/>
        <w:rPr>
          <w:b/>
          <w:color w:val="FF0000"/>
          <w:u w:val="single"/>
          <w:shd w:val="clear" w:color="auto" w:fill="FFFFFF"/>
        </w:rPr>
      </w:pPr>
      <w:r w:rsidRPr="004228E9">
        <w:rPr>
          <w:b/>
          <w:color w:val="FF0000"/>
          <w:u w:val="single"/>
          <w:shd w:val="clear" w:color="auto" w:fill="FFFFFF"/>
        </w:rPr>
        <w:t>Dicha activación no es automática. Exige a su vez de ciertos condicionantes, muchos desaparecidos durante décadas. ¿Significa que no debemos hacer nada? No. En mi opinión algunas políticas de impulso de demanda, monetarias y fiscales, deben levantar el pie del acelerador, especialmente en los EEUU donde estas son claramente mucho más intensas que en Europa y donde su mercado de trabajo está más tensionado. Pero esto no implica necesariamente tomar medidas con consecuencias muy graves si se equivocan. Los bancos centrales deben ser pacientes, para no cometer el error Trichet, pero sin dejar de dar a entender que actuarán en cuanto sea necesario. Por otro lado, se deben restablecer los suministros cuanto antes, y en parte, esta es una labor más de política que económica.</w:t>
      </w:r>
    </w:p>
    <w:p w:rsidR="00B839AB" w:rsidRPr="004A0AB9" w:rsidRDefault="00B839AB" w:rsidP="00FA4DA9">
      <w:pPr>
        <w:pStyle w:val="selectionshareable"/>
        <w:shd w:val="clear" w:color="auto" w:fill="FFFFFF"/>
        <w:spacing w:after="300"/>
        <w:jc w:val="both"/>
        <w:textAlignment w:val="baseline"/>
        <w:rPr>
          <w:shd w:val="clear" w:color="auto" w:fill="FFFFFF"/>
        </w:rPr>
      </w:pPr>
      <w:r w:rsidRPr="004A0AB9">
        <w:rPr>
          <w:shd w:val="clear" w:color="auto" w:fill="FFFFFF"/>
        </w:rPr>
        <w:t>En todo caso, las economías de hoy no son la de los setenta, ni en estructura productiva ni en las instituciones que las rigen. Aunque no se puede descartar nada en esta vida, la amenaza es aún lejana. Sin embargo, nunca pensaría que volvería a hablar de estanflación como una amenaza creíble y factible. Aunque aún no hemos atravesado el canal que nos separa de ese mundo estéril y oscuro, nadie puede asegurar que n</w:t>
      </w:r>
      <w:r w:rsidR="004228E9" w:rsidRPr="004A0AB9">
        <w:rPr>
          <w:shd w:val="clear" w:color="auto" w:fill="FFFFFF"/>
        </w:rPr>
        <w:t>o lo hagamos. Ya veremos si al “puede ser” se transforma en “ser”</w:t>
      </w:r>
      <w:r w:rsidRPr="004A0AB9">
        <w:rPr>
          <w:shd w:val="clear" w:color="auto" w:fill="FFFFFF"/>
        </w:rPr>
        <w:t>.</w:t>
      </w:r>
    </w:p>
    <w:p w:rsidR="008764F5" w:rsidRPr="004A0AB9" w:rsidRDefault="008764F5" w:rsidP="00FA4DA9">
      <w:pPr>
        <w:pStyle w:val="selectionshareable"/>
        <w:shd w:val="clear" w:color="auto" w:fill="FFFFFF"/>
        <w:spacing w:after="300"/>
        <w:jc w:val="both"/>
        <w:textAlignment w:val="baseline"/>
        <w:rPr>
          <w:shd w:val="clear" w:color="auto" w:fill="FFFFFF"/>
        </w:rPr>
      </w:pPr>
      <w:r w:rsidRPr="004A0AB9">
        <w:rPr>
          <w:shd w:val="clear" w:color="auto" w:fill="FFFFFF"/>
        </w:rPr>
        <w:lastRenderedPageBreak/>
        <w:t xml:space="preserve">- </w:t>
      </w:r>
      <w:r w:rsidRPr="004A0AB9">
        <w:rPr>
          <w:u w:val="single"/>
          <w:shd w:val="clear" w:color="auto" w:fill="FFFFFF"/>
        </w:rPr>
        <w:t>Bruselas inicia el proceso para reactivar unos objetivos de deuda y déficit suavizados en 2023</w:t>
      </w:r>
      <w:r w:rsidRPr="004A0AB9">
        <w:rPr>
          <w:shd w:val="clear" w:color="auto" w:fill="FFFFFF"/>
        </w:rPr>
        <w:t xml:space="preserve"> (Cinco Días - </w:t>
      </w:r>
      <w:r w:rsidRPr="004A0AB9">
        <w:rPr>
          <w:b/>
          <w:shd w:val="clear" w:color="auto" w:fill="FFFFFF"/>
        </w:rPr>
        <w:t>19/10/21</w:t>
      </w:r>
      <w:r w:rsidRPr="004A0AB9">
        <w:rPr>
          <w:shd w:val="clear" w:color="auto" w:fill="FFFFFF"/>
        </w:rPr>
        <w:t>)</w:t>
      </w:r>
    </w:p>
    <w:p w:rsidR="008764F5" w:rsidRPr="004A0AB9" w:rsidRDefault="008764F5" w:rsidP="00FA4DA9">
      <w:pPr>
        <w:pStyle w:val="selectionshareable"/>
        <w:shd w:val="clear" w:color="auto" w:fill="FFFFFF"/>
        <w:spacing w:after="300"/>
        <w:jc w:val="both"/>
        <w:textAlignment w:val="baseline"/>
        <w:rPr>
          <w:shd w:val="clear" w:color="auto" w:fill="FFFFFF"/>
        </w:rPr>
      </w:pPr>
      <w:r w:rsidRPr="004A0AB9">
        <w:rPr>
          <w:shd w:val="clear" w:color="auto" w:fill="FFFFFF"/>
        </w:rPr>
        <w:t>(Por Pablo Sempere - Juande Portillo)</w:t>
      </w:r>
    </w:p>
    <w:p w:rsidR="008764F5" w:rsidRPr="008764F5" w:rsidRDefault="008764F5" w:rsidP="00FA4DA9">
      <w:pPr>
        <w:pStyle w:val="selectionshareable"/>
        <w:shd w:val="clear" w:color="auto" w:fill="FFFFFF"/>
        <w:spacing w:after="300"/>
        <w:jc w:val="both"/>
        <w:textAlignment w:val="baseline"/>
        <w:rPr>
          <w:color w:val="FF0000"/>
          <w:u w:val="single"/>
          <w:shd w:val="clear" w:color="auto" w:fill="FFFFFF"/>
        </w:rPr>
      </w:pPr>
      <w:r w:rsidRPr="008764F5">
        <w:rPr>
          <w:color w:val="FF0000"/>
          <w:u w:val="single"/>
          <w:shd w:val="clear" w:color="auto" w:fill="FFFFFF"/>
        </w:rPr>
        <w:t>Bruselas ha dado este martes el primer paso para reactivar en 2023 las reglas fiscales que rigen los objetivos de déficit y deuda de los países de la Unión Europea, suspendidas durante las crisis del Covid, suavizándolas para adaptarlas al incierto panorama pospandémico.</w:t>
      </w:r>
    </w:p>
    <w:p w:rsidR="008764F5" w:rsidRPr="00C45B46" w:rsidRDefault="008764F5" w:rsidP="00FA4DA9">
      <w:pPr>
        <w:pStyle w:val="selectionshareable"/>
        <w:shd w:val="clear" w:color="auto" w:fill="FFFFFF"/>
        <w:spacing w:after="300"/>
        <w:jc w:val="both"/>
        <w:textAlignment w:val="baseline"/>
        <w:rPr>
          <w:color w:val="FF0000"/>
          <w:shd w:val="clear" w:color="auto" w:fill="FFFFFF"/>
        </w:rPr>
      </w:pPr>
      <w:r w:rsidRPr="004A0AB9">
        <w:rPr>
          <w:shd w:val="clear" w:color="auto" w:fill="FFFFFF"/>
        </w:rPr>
        <w:t>En concreto, la Comisión Europea ha puesto en marcha este martes una comunicación no legislativa que relanza el debate público sobre la conveniencia de revisar el marco de gobernanza económica de la Unión Europea con vistas a adaptarlo a los tiempos poscovid</w:t>
      </w:r>
      <w:r w:rsidRPr="006C686E">
        <w:rPr>
          <w:color w:val="333333"/>
          <w:shd w:val="clear" w:color="auto" w:fill="FFFFFF"/>
        </w:rPr>
        <w:t xml:space="preserve">. </w:t>
      </w:r>
      <w:r w:rsidRPr="00C45B46">
        <w:rPr>
          <w:color w:val="FF0000"/>
          <w:shd w:val="clear" w:color="auto" w:fill="FFFFFF"/>
        </w:rPr>
        <w:t>El objetivo de Bruselas es debatir con tiempo con todos los agentes implicados para poder llegar a un consenso amplio sobre el camino a seguir una vez que se recupere el Pacto de Estabilidad y Crecimiento, congelado desde la irrupción de la pandemia y en pausa al menos durante todo el año 2022.</w:t>
      </w:r>
    </w:p>
    <w:p w:rsidR="008764F5" w:rsidRPr="004A0AB9" w:rsidRDefault="008764F5" w:rsidP="00FA4DA9">
      <w:pPr>
        <w:pStyle w:val="selectionshareable"/>
        <w:shd w:val="clear" w:color="auto" w:fill="FFFFFF"/>
        <w:spacing w:after="300"/>
        <w:jc w:val="both"/>
        <w:textAlignment w:val="baseline"/>
        <w:rPr>
          <w:shd w:val="clear" w:color="auto" w:fill="FFFFFF"/>
        </w:rPr>
      </w:pPr>
      <w:r w:rsidRPr="008764F5">
        <w:rPr>
          <w:color w:val="FF0000"/>
          <w:u w:val="single"/>
          <w:shd w:val="clear" w:color="auto" w:fill="FFFFFF"/>
        </w:rPr>
        <w:t>Autoridades y sociedad civil tendrán hasta el 31 de diciembre de este año para presentar sus propuestas, mientras que la Comisión Europea aspira a diseñar el nuevo marco durante el primer trimestre de 2022</w:t>
      </w:r>
      <w:r w:rsidRPr="006C686E">
        <w:rPr>
          <w:color w:val="333333"/>
          <w:shd w:val="clear" w:color="auto" w:fill="FFFFFF"/>
        </w:rPr>
        <w:t xml:space="preserve">. </w:t>
      </w:r>
      <w:r w:rsidRPr="004A0AB9">
        <w:rPr>
          <w:shd w:val="clear" w:color="auto" w:fill="FFFFFF"/>
        </w:rPr>
        <w:t>El Ejecutivo comunitario planteará, de esta forma, cómo deben retomar los Estados miembros la senda fiscal, que en principio se reactivaría el 1 de enero de 2023.</w:t>
      </w:r>
    </w:p>
    <w:p w:rsidR="008764F5" w:rsidRPr="008764F5" w:rsidRDefault="008764F5" w:rsidP="00FA4DA9">
      <w:pPr>
        <w:pStyle w:val="selectionshareable"/>
        <w:shd w:val="clear" w:color="auto" w:fill="FFFFFF"/>
        <w:spacing w:after="300"/>
        <w:jc w:val="both"/>
        <w:textAlignment w:val="baseline"/>
        <w:rPr>
          <w:b/>
          <w:color w:val="FF0000"/>
          <w:u w:val="single"/>
          <w:shd w:val="clear" w:color="auto" w:fill="FFFFFF"/>
        </w:rPr>
      </w:pPr>
      <w:r w:rsidRPr="008764F5">
        <w:rPr>
          <w:b/>
          <w:color w:val="FF0000"/>
          <w:u w:val="single"/>
          <w:shd w:val="clear" w:color="auto" w:fill="FFFFFF"/>
        </w:rPr>
        <w:t>El documento distribuido este martes deja claro, en todo caso, que el reimpulso de los objetivos de deuda y déficit debe acometerse “cuando las condiciones económicas lo permitan”. “Retomar una senda de reducción de la relación entre deuda pública y PIB será fundamental para mantener unas finanzas públicas saneadas, evitar divergencias fiscales”, “preservar condiciones de financiación favorables para los sectores público y privado, y prevenir episodios de crisis” en el futuro.</w:t>
      </w:r>
    </w:p>
    <w:p w:rsidR="008764F5" w:rsidRPr="008764F5" w:rsidRDefault="008764F5" w:rsidP="00FA4DA9">
      <w:pPr>
        <w:pStyle w:val="selectionshareable"/>
        <w:shd w:val="clear" w:color="auto" w:fill="FFFFFF"/>
        <w:spacing w:after="300"/>
        <w:jc w:val="both"/>
        <w:textAlignment w:val="baseline"/>
        <w:rPr>
          <w:color w:val="FF0000"/>
          <w:u w:val="single"/>
          <w:shd w:val="clear" w:color="auto" w:fill="FFFFFF"/>
        </w:rPr>
      </w:pPr>
      <w:r w:rsidRPr="008764F5">
        <w:rPr>
          <w:color w:val="FF0000"/>
          <w:u w:val="single"/>
          <w:shd w:val="clear" w:color="auto" w:fill="FFFFFF"/>
        </w:rPr>
        <w:t>Bruselas se muestra clara en este punto. La reconstrucción de los colchones fiscales es clave para poder reaccionar debidamente a las recesiones que se produzcan en el futuro, pero la consolidación de las cuentas públicas no debe tener por coste justamente causar nuevas crisis.</w:t>
      </w:r>
    </w:p>
    <w:p w:rsidR="008764F5" w:rsidRPr="008764F5" w:rsidRDefault="008764F5" w:rsidP="00FA4DA9">
      <w:pPr>
        <w:pStyle w:val="selectionshareable"/>
        <w:shd w:val="clear" w:color="auto" w:fill="FFFFFF"/>
        <w:spacing w:after="300"/>
        <w:jc w:val="both"/>
        <w:textAlignment w:val="baseline"/>
        <w:rPr>
          <w:b/>
          <w:color w:val="FF0000"/>
          <w:u w:val="single"/>
          <w:shd w:val="clear" w:color="auto" w:fill="FFFFFF"/>
        </w:rPr>
      </w:pPr>
      <w:r w:rsidRPr="008764F5">
        <w:rPr>
          <w:b/>
          <w:color w:val="FF0000"/>
          <w:u w:val="single"/>
          <w:shd w:val="clear" w:color="auto" w:fill="FFFFFF"/>
        </w:rPr>
        <w:t>“Una reducción inicial demasiado grande de los coeficientes de endeudamiento implicaría un alto coste social y económico y sería contraproducente”, alerta, en particular en un contexto en que la política monetaria se irá constriñendo con riesgo de que la pandemia deje cicatrices duraderas en algunas de las economías comunitarias. El reequilibrio presupuestario, añade, debe ser “realista, gradual y sostenido”.</w:t>
      </w:r>
    </w:p>
    <w:p w:rsidR="008764F5" w:rsidRPr="004A0AB9" w:rsidRDefault="008764F5" w:rsidP="00FA4DA9">
      <w:pPr>
        <w:pStyle w:val="selectionshareable"/>
        <w:shd w:val="clear" w:color="auto" w:fill="FFFFFF"/>
        <w:spacing w:after="300"/>
        <w:jc w:val="both"/>
        <w:textAlignment w:val="baseline"/>
        <w:rPr>
          <w:shd w:val="clear" w:color="auto" w:fill="FFFFFF"/>
        </w:rPr>
      </w:pPr>
      <w:r w:rsidRPr="004A0AB9">
        <w:rPr>
          <w:shd w:val="clear" w:color="auto" w:fill="FFFFFF"/>
        </w:rPr>
        <w:t>A falta de ver cómo se va concretando el rediseño, crecen las voces en Europa que ven con buenos ojos la posibilidad de que las inversiones verdes y digitales dejen de pesar en los cómputos fiscales, por ejemplo.</w:t>
      </w:r>
    </w:p>
    <w:p w:rsidR="008764F5" w:rsidRPr="004A0AB9" w:rsidRDefault="008764F5" w:rsidP="00FA4DA9">
      <w:pPr>
        <w:pStyle w:val="selectionshareable"/>
        <w:shd w:val="clear" w:color="auto" w:fill="FFFFFF"/>
        <w:spacing w:after="300"/>
        <w:jc w:val="both"/>
        <w:textAlignment w:val="baseline"/>
        <w:rPr>
          <w:shd w:val="clear" w:color="auto" w:fill="FFFFFF"/>
        </w:rPr>
      </w:pPr>
      <w:r w:rsidRPr="004A0AB9">
        <w:rPr>
          <w:shd w:val="clear" w:color="auto" w:fill="FFFFFF"/>
        </w:rPr>
        <w:t xml:space="preserve">En el documento no legislativo hecho público, la Comisión plantea 11 preguntas a los agentes llamados a participar en el debate, como el Parlamento Europeo, el Consejo, el Comité Económico y Social Europeo, el Comité de las Regiones, el Banco Central Europeo, los bancos centrales nacionales o los gobiernos y parlamentos nacionales. A las nueve cuestiones ya conocidas, como de qué manera se puede mejorar, simplificar y asegurar la </w:t>
      </w:r>
      <w:r w:rsidRPr="004A0AB9">
        <w:rPr>
          <w:shd w:val="clear" w:color="auto" w:fill="FFFFFF"/>
        </w:rPr>
        <w:lastRenderedPageBreak/>
        <w:t>implementación del marco para garantizar unas finanzas públicas sostenibles, se les unen dos más, vinculadas a la crisis económica del coronavirus y a la respuesta comunitaria.</w:t>
      </w:r>
    </w:p>
    <w:p w:rsidR="008764F5" w:rsidRPr="004A0AB9" w:rsidRDefault="008764F5" w:rsidP="00FA4DA9">
      <w:pPr>
        <w:pStyle w:val="selectionshareable"/>
        <w:shd w:val="clear" w:color="auto" w:fill="FFFFFF"/>
        <w:spacing w:after="300"/>
        <w:jc w:val="both"/>
        <w:textAlignment w:val="baseline"/>
        <w:rPr>
          <w:shd w:val="clear" w:color="auto" w:fill="FFFFFF"/>
        </w:rPr>
      </w:pPr>
      <w:r w:rsidRPr="004A0AB9">
        <w:rPr>
          <w:shd w:val="clear" w:color="auto" w:fill="FFFFFF"/>
        </w:rPr>
        <w:t>En concreto, Bruselas deja en el aire en qué aspectos el diseño, la gobernanza y el funcionamiento del mecanismo de recuperación “pueden proporcionar conocimientos útiles en términos de gobernanza económica a través de una mejor propiedad, confianza mutua e interacción entre las dimensiones económica y fiscal”. La Comisión también se pregunta cómo la pandemia ha remodelado las economías europeas y “si existen otros desafíos que el marco de gobernanza económica debería tener en cuenta más allá de los identificados hasta ahora”.</w:t>
      </w:r>
    </w:p>
    <w:p w:rsidR="008764F5" w:rsidRPr="004A0AB9" w:rsidRDefault="008764F5" w:rsidP="00FA4DA9">
      <w:pPr>
        <w:pStyle w:val="selectionshareable"/>
        <w:shd w:val="clear" w:color="auto" w:fill="FFFFFF"/>
        <w:spacing w:after="300"/>
        <w:jc w:val="both"/>
        <w:textAlignment w:val="baseline"/>
        <w:rPr>
          <w:shd w:val="clear" w:color="auto" w:fill="FFFFFF"/>
        </w:rPr>
      </w:pPr>
      <w:r w:rsidRPr="004A0AB9">
        <w:rPr>
          <w:shd w:val="clear" w:color="auto" w:fill="FFFFFF"/>
        </w:rPr>
        <w:t>Un nuevo desafío</w:t>
      </w:r>
    </w:p>
    <w:p w:rsidR="008764F5" w:rsidRPr="004A0AB9" w:rsidRDefault="008764F5" w:rsidP="00FA4DA9">
      <w:pPr>
        <w:pStyle w:val="selectionshareable"/>
        <w:shd w:val="clear" w:color="auto" w:fill="FFFFFF"/>
        <w:spacing w:after="300"/>
        <w:jc w:val="both"/>
        <w:textAlignment w:val="baseline"/>
        <w:rPr>
          <w:shd w:val="clear" w:color="auto" w:fill="FFFFFF"/>
        </w:rPr>
      </w:pPr>
      <w:r w:rsidRPr="004A0AB9">
        <w:rPr>
          <w:shd w:val="clear" w:color="auto" w:fill="FFFFFF"/>
        </w:rPr>
        <w:t>Tal y como ha resumido el vicepresidente económico de la Comisión, Valdis Dombrovskis, “Europa se mueve ahora en aguas más tranquilas después de las turbulencias causadas por la pandemia, pero la crisis ha hecho que algunos desafíos sean más visibles, como los mayores niveles de déficits y deuda, unas divergencias y desigualdades más amplias y la necesidad de más inversión”. Por todo ello, ha recalcado, “necesitamos reglas de gobernanza económica que puedan abordar esos desafíos. Hoy lanzamos un debate público para ello”.</w:t>
      </w:r>
    </w:p>
    <w:p w:rsidR="008764F5" w:rsidRPr="008764F5" w:rsidRDefault="008764F5" w:rsidP="00FA4DA9">
      <w:pPr>
        <w:pStyle w:val="selectionshareable"/>
        <w:shd w:val="clear" w:color="auto" w:fill="FFFFFF"/>
        <w:spacing w:after="300"/>
        <w:jc w:val="both"/>
        <w:textAlignment w:val="baseline"/>
        <w:rPr>
          <w:color w:val="FF0000"/>
          <w:u w:val="single"/>
          <w:shd w:val="clear" w:color="auto" w:fill="FFFFFF"/>
        </w:rPr>
      </w:pPr>
      <w:r w:rsidRPr="008764F5">
        <w:rPr>
          <w:color w:val="FF0000"/>
          <w:u w:val="single"/>
          <w:shd w:val="clear" w:color="auto" w:fill="FFFFFF"/>
        </w:rPr>
        <w:t>El Ejecutivo comunitario inició a principios de 2020, antes de la irrupción de la pandemia, la revisión de las normas, cuya exigencia principal es que el déficit público de los socios se sitúe por debajo del 3% del producto interior bruto (PIB) y la deuda sea inferior al 60%. La reforma, sin embargo, quedó en suspenso una vez se desató la crisis sanitaria y económica</w:t>
      </w:r>
      <w:r w:rsidRPr="006C686E">
        <w:rPr>
          <w:color w:val="333333"/>
          <w:shd w:val="clear" w:color="auto" w:fill="FFFFFF"/>
        </w:rPr>
        <w:t xml:space="preserve">. </w:t>
      </w:r>
      <w:r w:rsidRPr="008764F5">
        <w:rPr>
          <w:color w:val="FF0000"/>
          <w:u w:val="single"/>
          <w:shd w:val="clear" w:color="auto" w:fill="FFFFFF"/>
        </w:rPr>
        <w:t>En marzo de 2020, Bruselas congeló la senda fiscal para permitir el ingente gasto público necesario para responder a la crisis, y tras la prórroga fijada en junio de 2021 (que llevó la suspensión a todo el año 2022), la Comisión pretende que las normas se hayan actualizado cuando llegue el momento de volver al pacto fiscal.</w:t>
      </w:r>
    </w:p>
    <w:p w:rsidR="008764F5" w:rsidRPr="008764F5" w:rsidRDefault="008764F5" w:rsidP="00FA4DA9">
      <w:pPr>
        <w:pStyle w:val="selectionshareable"/>
        <w:shd w:val="clear" w:color="auto" w:fill="FFFFFF"/>
        <w:spacing w:after="300"/>
        <w:jc w:val="both"/>
        <w:textAlignment w:val="baseline"/>
        <w:rPr>
          <w:color w:val="FF0000"/>
          <w:u w:val="single"/>
          <w:shd w:val="clear" w:color="auto" w:fill="FFFFFF"/>
        </w:rPr>
      </w:pPr>
      <w:r w:rsidRPr="008764F5">
        <w:rPr>
          <w:color w:val="FF0000"/>
          <w:u w:val="single"/>
          <w:shd w:val="clear" w:color="auto" w:fill="FFFFFF"/>
        </w:rPr>
        <w:t>Las normas de disciplina fiscal se introdujeron por primera vez en el Tratado de Maastricht, hace casi tres décadas, y desde entonces han ido evolucionando hasta dar forma al actual Pacto de Estabilidad y Crecimiento. Tanto la Comisión como varios socios de la Unión, incluyendo a España, coinciden en que las normas deberían simplificarse, pero discrepan en aspectos más fundamentales, como la validez de los límites de deuda y déficit en el nuevo contexto pospandémico o sobre si es necesario reorientar las reglas para fomentar la inversión.</w:t>
      </w:r>
    </w:p>
    <w:p w:rsidR="008764F5" w:rsidRPr="008764F5" w:rsidRDefault="008764F5" w:rsidP="00FA4DA9">
      <w:pPr>
        <w:pStyle w:val="selectionshareable"/>
        <w:shd w:val="clear" w:color="auto" w:fill="FFFFFF"/>
        <w:spacing w:after="300"/>
        <w:jc w:val="both"/>
        <w:textAlignment w:val="baseline"/>
        <w:rPr>
          <w:b/>
          <w:color w:val="FF0000"/>
          <w:u w:val="single"/>
          <w:shd w:val="clear" w:color="auto" w:fill="FFFFFF"/>
        </w:rPr>
      </w:pPr>
      <w:r w:rsidRPr="008764F5">
        <w:rPr>
          <w:b/>
          <w:color w:val="FF0000"/>
          <w:u w:val="single"/>
          <w:shd w:val="clear" w:color="auto" w:fill="FFFFFF"/>
        </w:rPr>
        <w:t>Antes de la irrupción de la pandemia, el nivel medio de deuda en los países de la UE ya superaba con creces la frontera del 60%, hasta el 77,5%, pero con la crisis las ratios se han disparado hasta casi el 93%, con países como Grecia (209,3%), Italia (160%) y España (125,2%) en niveles preocupantes. La Comisión, por lo pronto, aboga por fijar sendas de reducción de deuda realistas para todos los países.</w:t>
      </w:r>
    </w:p>
    <w:p w:rsidR="008764F5" w:rsidRPr="004A0AB9" w:rsidRDefault="008764F5" w:rsidP="00FA4DA9">
      <w:pPr>
        <w:pStyle w:val="selectionshareable"/>
        <w:shd w:val="clear" w:color="auto" w:fill="FFFFFF"/>
        <w:spacing w:after="300"/>
        <w:jc w:val="both"/>
        <w:textAlignment w:val="baseline"/>
        <w:rPr>
          <w:shd w:val="clear" w:color="auto" w:fill="FFFFFF"/>
        </w:rPr>
      </w:pPr>
      <w:r w:rsidRPr="004A0AB9">
        <w:rPr>
          <w:shd w:val="clear" w:color="auto" w:fill="FFFFFF"/>
        </w:rPr>
        <w:t>“Alcanzar un nuevo marco es una responsabilidad conjunta, crucial para el futuro de la Unión”, ha asegurado el comisario económico, Paolo Gentiloni. “Estamos impulsando esta revisión de nuestra gobernanza en un contexto de enormes necesidades de inversión, ya que la emergencia climática se agudiza al mismo tiempo que el apoyo fiscal durante la pandemia ha llevado los niveles de deuda a ratios muy altas”. Estos desafíos, ha solicitado, hacen que sea “todavía más esencial contar con un marco fiscal transparente y eficaz”.</w:t>
      </w:r>
    </w:p>
    <w:p w:rsidR="008764F5" w:rsidRPr="004A0AB9" w:rsidRDefault="008764F5" w:rsidP="00FA4DA9">
      <w:pPr>
        <w:pStyle w:val="selectionshareable"/>
        <w:shd w:val="clear" w:color="auto" w:fill="FFFFFF"/>
        <w:spacing w:after="300"/>
        <w:jc w:val="both"/>
        <w:textAlignment w:val="baseline"/>
        <w:rPr>
          <w:shd w:val="clear" w:color="auto" w:fill="FFFFFF"/>
        </w:rPr>
      </w:pPr>
      <w:r w:rsidRPr="004A0AB9">
        <w:rPr>
          <w:shd w:val="clear" w:color="auto" w:fill="FFFFFF"/>
        </w:rPr>
        <w:lastRenderedPageBreak/>
        <w:t>650.000 millones al año</w:t>
      </w:r>
    </w:p>
    <w:p w:rsidR="008764F5" w:rsidRPr="008764F5" w:rsidRDefault="008764F5" w:rsidP="00FA4DA9">
      <w:pPr>
        <w:pStyle w:val="selectionshareable"/>
        <w:shd w:val="clear" w:color="auto" w:fill="FFFFFF"/>
        <w:spacing w:after="300"/>
        <w:jc w:val="both"/>
        <w:textAlignment w:val="baseline"/>
        <w:rPr>
          <w:color w:val="FF0000"/>
          <w:u w:val="single"/>
          <w:shd w:val="clear" w:color="auto" w:fill="FFFFFF"/>
        </w:rPr>
      </w:pPr>
      <w:r w:rsidRPr="008764F5">
        <w:rPr>
          <w:color w:val="FF0000"/>
          <w:u w:val="single"/>
          <w:shd w:val="clear" w:color="auto" w:fill="FFFFFF"/>
        </w:rPr>
        <w:t>El debate sobre la reformulación de las reglas fiscales europeas promete centrar parte del foco en el tratamiento de las cuantiosas inversiones en ciernes en materia de transformación medioambiental y digital. La posibilidad de que estos gastos no computen, o lo hagan solo parcialmente, en los cálculos de deuda y déficit comienza a abrirse camino en el debate europeo. Pese al rechazo de los llamados país frugales a abrir la mano de la ortodoxia fiscal, puestos a hacerlo puede tener sentido que sea para incentivar la respuesta a dos de los grandes retos pendientes.</w:t>
      </w:r>
    </w:p>
    <w:p w:rsidR="008764F5" w:rsidRPr="004A0AB9" w:rsidRDefault="008764F5" w:rsidP="00FA4DA9">
      <w:pPr>
        <w:pStyle w:val="selectionshareable"/>
        <w:shd w:val="clear" w:color="auto" w:fill="FFFFFF"/>
        <w:spacing w:after="300"/>
        <w:jc w:val="both"/>
        <w:textAlignment w:val="baseline"/>
        <w:rPr>
          <w:u w:val="single"/>
          <w:shd w:val="clear" w:color="auto" w:fill="FFFFFF"/>
        </w:rPr>
      </w:pPr>
      <w:r w:rsidRPr="004A0AB9">
        <w:rPr>
          <w:u w:val="single"/>
          <w:shd w:val="clear" w:color="auto" w:fill="FFFFFF"/>
        </w:rPr>
        <w:t>De hecho, el documento elaborado por la Comisión Europea para poner en marcha el proceso de revisión sitúa las transiciones verde y digital como los dos mayores, y más caros, desafíos que afrontan las economías europeas a corto plazo. Ambas transformaciones requerirán, en conjunto, una inversión pública y privada de unos 650.000 millones de euros al año hasta el 2030.</w:t>
      </w:r>
    </w:p>
    <w:p w:rsidR="008764F5" w:rsidRPr="004A0AB9" w:rsidRDefault="008764F5" w:rsidP="00FA4DA9">
      <w:pPr>
        <w:pStyle w:val="selectionshareable"/>
        <w:shd w:val="clear" w:color="auto" w:fill="FFFFFF"/>
        <w:spacing w:after="300"/>
        <w:jc w:val="both"/>
        <w:textAlignment w:val="baseline"/>
        <w:rPr>
          <w:u w:val="single"/>
          <w:shd w:val="clear" w:color="auto" w:fill="FFFFFF"/>
        </w:rPr>
      </w:pPr>
      <w:r w:rsidRPr="004A0AB9">
        <w:rPr>
          <w:u w:val="single"/>
          <w:shd w:val="clear" w:color="auto" w:fill="FFFFFF"/>
        </w:rPr>
        <w:t>El grueso del dinero se destinaría a la transición medioambiental, que moverá unos 520.000 millones al año, de los que el 60% se destinará a política climática y energética. Semejante consumo de recursos, asume Bruselas, pone en riesgo el crecimiento económico si su composición no se transforma a la par, dado que habrá que destinar más recursos a la inversión y menos al consumo.</w:t>
      </w:r>
    </w:p>
    <w:p w:rsidR="008764F5" w:rsidRPr="004A0AB9" w:rsidRDefault="008764F5" w:rsidP="00FA4DA9">
      <w:pPr>
        <w:pStyle w:val="selectionshareable"/>
        <w:shd w:val="clear" w:color="auto" w:fill="FFFFFF"/>
        <w:spacing w:after="300"/>
        <w:jc w:val="both"/>
        <w:textAlignment w:val="baseline"/>
        <w:rPr>
          <w:shd w:val="clear" w:color="auto" w:fill="FFFFFF"/>
        </w:rPr>
      </w:pPr>
      <w:r w:rsidRPr="004A0AB9">
        <w:rPr>
          <w:shd w:val="clear" w:color="auto" w:fill="FFFFFF"/>
        </w:rPr>
        <w:t>Solo energía y transportes consumirán unos 390.000 millones al año, un incremento del 50% frente a las cifras que se vienen manejando, y 2,1 puntos más del PIB europeo. El capítulo incluye inversiones en la red eléctrica, las centrales generadoras de luz, calderas industriales, producción y distribución de nuevos combustibles, aislamiento de edificios, renovación energética e inversiones en nuevos vehículos o medios de transporte y sus infraestructuras. Y eso dejando de lado el riesgo de que la aceleración del cambio climático obligue a multiplicar los esfuerzos.</w:t>
      </w:r>
    </w:p>
    <w:p w:rsidR="008764F5" w:rsidRPr="004A0AB9" w:rsidRDefault="008764F5" w:rsidP="00FA4DA9">
      <w:pPr>
        <w:pStyle w:val="selectionshareable"/>
        <w:shd w:val="clear" w:color="auto" w:fill="FFFFFF"/>
        <w:spacing w:after="300"/>
        <w:jc w:val="both"/>
        <w:textAlignment w:val="baseline"/>
        <w:rPr>
          <w:shd w:val="clear" w:color="auto" w:fill="FFFFFF"/>
        </w:rPr>
      </w:pPr>
      <w:r w:rsidRPr="004A0AB9">
        <w:rPr>
          <w:shd w:val="clear" w:color="auto" w:fill="FFFFFF"/>
        </w:rPr>
        <w:t>A su vez, se estima que hacen falta 130.000 millones de euros de inversión anual adicional para atender las políticas de protección medioambiental, defensa de la biodiversidad y de la economía circular.</w:t>
      </w:r>
    </w:p>
    <w:p w:rsidR="008764F5" w:rsidRPr="004A0AB9" w:rsidRDefault="008764F5" w:rsidP="00FA4DA9">
      <w:pPr>
        <w:pStyle w:val="selectionshareable"/>
        <w:shd w:val="clear" w:color="auto" w:fill="FFFFFF"/>
        <w:spacing w:after="300"/>
        <w:jc w:val="both"/>
        <w:textAlignment w:val="baseline"/>
        <w:rPr>
          <w:shd w:val="clear" w:color="auto" w:fill="FFFFFF"/>
        </w:rPr>
      </w:pPr>
      <w:r w:rsidRPr="004A0AB9">
        <w:rPr>
          <w:shd w:val="clear" w:color="auto" w:fill="FFFFFF"/>
        </w:rPr>
        <w:t>En paralelo, el reto de digitalizar las economías europeas exigirá una inversión de 125.000 millones al año, en buena parte privados pero también públicos. En este campo será necesario elevar el gasto en redes de comunicaciones, formación y tecnología, con especial atención al desarrollo de las nubes de datos, los semiconductores y la inteligencia artificial. Y eso sin tener en cuenta la factura de digitalizar las administraciones públicas.</w:t>
      </w:r>
    </w:p>
    <w:p w:rsidR="004228E9" w:rsidRPr="004A0AB9" w:rsidRDefault="004228E9" w:rsidP="00FA4DA9">
      <w:pPr>
        <w:pStyle w:val="selectionshareable"/>
        <w:shd w:val="clear" w:color="auto" w:fill="FFFFFF"/>
        <w:spacing w:after="300"/>
        <w:jc w:val="both"/>
        <w:textAlignment w:val="baseline"/>
        <w:rPr>
          <w:shd w:val="clear" w:color="auto" w:fill="FFFFFF"/>
        </w:rPr>
      </w:pPr>
      <w:r w:rsidRPr="004A0AB9">
        <w:rPr>
          <w:shd w:val="clear" w:color="auto" w:fill="FFFFFF"/>
        </w:rPr>
        <w:t xml:space="preserve">- </w:t>
      </w:r>
      <w:r w:rsidRPr="004A0AB9">
        <w:rPr>
          <w:u w:val="single"/>
          <w:shd w:val="clear" w:color="auto" w:fill="FFFFFF"/>
        </w:rPr>
        <w:t>El gas de la risa monetario llega a su fin: EEUU se prepara para el “tapering”</w:t>
      </w:r>
      <w:r w:rsidRPr="004A0AB9">
        <w:rPr>
          <w:shd w:val="clear" w:color="auto" w:fill="FFFFFF"/>
        </w:rPr>
        <w:t xml:space="preserve"> (Libertad Digital - </w:t>
      </w:r>
      <w:r w:rsidRPr="004A0AB9">
        <w:rPr>
          <w:b/>
          <w:shd w:val="clear" w:color="auto" w:fill="FFFFFF"/>
        </w:rPr>
        <w:t>20/10/21</w:t>
      </w:r>
      <w:r w:rsidRPr="004A0AB9">
        <w:rPr>
          <w:shd w:val="clear" w:color="auto" w:fill="FFFFFF"/>
        </w:rPr>
        <w:t>)</w:t>
      </w:r>
    </w:p>
    <w:p w:rsidR="004228E9" w:rsidRPr="004A0AB9" w:rsidRDefault="004228E9" w:rsidP="00FA4DA9">
      <w:pPr>
        <w:pStyle w:val="selectionshareable"/>
        <w:shd w:val="clear" w:color="auto" w:fill="FFFFFF"/>
        <w:spacing w:after="300"/>
        <w:jc w:val="both"/>
        <w:textAlignment w:val="baseline"/>
        <w:rPr>
          <w:shd w:val="clear" w:color="auto" w:fill="FFFFFF"/>
        </w:rPr>
      </w:pPr>
      <w:r w:rsidRPr="004A0AB9">
        <w:rPr>
          <w:shd w:val="clear" w:color="auto" w:fill="FFFFFF"/>
        </w:rPr>
        <w:t>(Por Jesús Esteban)</w:t>
      </w:r>
    </w:p>
    <w:p w:rsidR="004228E9" w:rsidRPr="004228E9" w:rsidRDefault="004228E9" w:rsidP="00FA4DA9">
      <w:pPr>
        <w:pStyle w:val="selectionshareable"/>
        <w:shd w:val="clear" w:color="auto" w:fill="FFFFFF"/>
        <w:spacing w:after="300"/>
        <w:jc w:val="both"/>
        <w:textAlignment w:val="baseline"/>
        <w:rPr>
          <w:color w:val="FF0000"/>
          <w:u w:val="single"/>
          <w:shd w:val="clear" w:color="auto" w:fill="FFFFFF"/>
        </w:rPr>
      </w:pPr>
      <w:r w:rsidRPr="004228E9">
        <w:rPr>
          <w:color w:val="FF0000"/>
          <w:u w:val="single"/>
          <w:shd w:val="clear" w:color="auto" w:fill="FFFFFF"/>
        </w:rPr>
        <w:t>Desde la llegada de la pandemia, la acción de los bancos centrales de todo el mundo ha jugado un papel esencial en la recuperación, tanto de la economía real, como de los mercados financieros.</w:t>
      </w:r>
    </w:p>
    <w:p w:rsidR="004228E9" w:rsidRPr="0009592D" w:rsidRDefault="004228E9" w:rsidP="00FA4DA9">
      <w:pPr>
        <w:pStyle w:val="selectionshareable"/>
        <w:shd w:val="clear" w:color="auto" w:fill="FFFFFF"/>
        <w:spacing w:after="300"/>
        <w:jc w:val="both"/>
        <w:textAlignment w:val="baseline"/>
        <w:rPr>
          <w:color w:val="FF0000"/>
          <w:u w:val="single"/>
          <w:shd w:val="clear" w:color="auto" w:fill="FFFFFF"/>
        </w:rPr>
      </w:pPr>
      <w:r w:rsidRPr="0009592D">
        <w:rPr>
          <w:color w:val="FF0000"/>
          <w:u w:val="single"/>
          <w:shd w:val="clear" w:color="auto" w:fill="FFFFFF"/>
        </w:rPr>
        <w:lastRenderedPageBreak/>
        <w:t>Pese a que las políticas monetarias acomodaticias y los tipos de interés artificialmente bajos han sido la norma desde la crisis del 2008, los bancos centrales se las han arreglado para implementar mecanismos reforzados de estímulo económico, ejecutados principalmente a través de programas de expansión cuantitativa (QE). Estos se basan en la compra directa de activos financieros (bonos del Estado, bonos de deuda privada, acciones, etc.) a través de dinero de nueva creación.</w:t>
      </w:r>
    </w:p>
    <w:p w:rsidR="004228E9" w:rsidRPr="004A0AB9" w:rsidRDefault="004228E9" w:rsidP="00FA4DA9">
      <w:pPr>
        <w:pStyle w:val="selectionshareable"/>
        <w:shd w:val="clear" w:color="auto" w:fill="FFFFFF"/>
        <w:spacing w:after="300"/>
        <w:jc w:val="both"/>
        <w:textAlignment w:val="baseline"/>
        <w:rPr>
          <w:u w:val="single"/>
          <w:shd w:val="clear" w:color="auto" w:fill="FFFFFF"/>
        </w:rPr>
      </w:pPr>
      <w:r w:rsidRPr="004A0AB9">
        <w:rPr>
          <w:u w:val="single"/>
          <w:shd w:val="clear" w:color="auto" w:fill="FFFFFF"/>
        </w:rPr>
        <w:t>Concretamente, la Reserva Federal de los Estados Unidos (FED) está acudiendo a los mercados para comprar 120.000 millones de dólares en activos cada mes. De estos, 80.000 millones se emplean en comprar bonos del Gobierno, mientras que otros 40.000 millones se destinan a la adquisición de titulizaciones hipotecarias.</w:t>
      </w:r>
    </w:p>
    <w:p w:rsidR="004228E9" w:rsidRPr="004A0AB9" w:rsidRDefault="004228E9" w:rsidP="00FA4DA9">
      <w:pPr>
        <w:pStyle w:val="selectionshareable"/>
        <w:shd w:val="clear" w:color="auto" w:fill="FFFFFF"/>
        <w:spacing w:after="300"/>
        <w:jc w:val="both"/>
        <w:textAlignment w:val="baseline"/>
        <w:rPr>
          <w:u w:val="single"/>
          <w:shd w:val="clear" w:color="auto" w:fill="FFFFFF"/>
        </w:rPr>
      </w:pPr>
      <w:r w:rsidRPr="004A0AB9">
        <w:rPr>
          <w:u w:val="single"/>
          <w:shd w:val="clear" w:color="auto" w:fill="FFFFFF"/>
        </w:rPr>
        <w:t>Su presidente, Jerome Powell, calificó en abril de 2020 est</w:t>
      </w:r>
      <w:r w:rsidR="00E01826" w:rsidRPr="004A0AB9">
        <w:rPr>
          <w:u w:val="single"/>
          <w:shd w:val="clear" w:color="auto" w:fill="FFFFFF"/>
        </w:rPr>
        <w:t>e poder de préstamo como de un “grado sin precedentes”</w:t>
      </w:r>
      <w:r w:rsidRPr="004A0AB9">
        <w:rPr>
          <w:u w:val="single"/>
          <w:shd w:val="clear" w:color="auto" w:fill="FFFFFF"/>
        </w:rPr>
        <w:t xml:space="preserve">, y garantizó </w:t>
      </w:r>
      <w:r w:rsidR="00E01826" w:rsidRPr="004A0AB9">
        <w:rPr>
          <w:u w:val="single"/>
          <w:shd w:val="clear" w:color="auto" w:fill="FFFFFF"/>
        </w:rPr>
        <w:t>que estos apoyos serían usados “</w:t>
      </w:r>
      <w:r w:rsidRPr="004A0AB9">
        <w:rPr>
          <w:u w:val="single"/>
          <w:shd w:val="clear" w:color="auto" w:fill="FFFFFF"/>
        </w:rPr>
        <w:t>con fue</w:t>
      </w:r>
      <w:r w:rsidR="00E01826" w:rsidRPr="004A0AB9">
        <w:rPr>
          <w:u w:val="single"/>
          <w:shd w:val="clear" w:color="auto" w:fill="FFFFFF"/>
        </w:rPr>
        <w:t>rza, proactividad y agresividad”</w:t>
      </w:r>
      <w:r w:rsidRPr="004A0AB9">
        <w:rPr>
          <w:u w:val="single"/>
          <w:shd w:val="clear" w:color="auto" w:fill="FFFFFF"/>
        </w:rPr>
        <w:t xml:space="preserve"> hasta que la recuperación económica fuera sólida.</w:t>
      </w:r>
    </w:p>
    <w:p w:rsidR="004228E9" w:rsidRPr="004A0AB9" w:rsidRDefault="004228E9" w:rsidP="00FA4DA9">
      <w:pPr>
        <w:pStyle w:val="selectionshareable"/>
        <w:shd w:val="clear" w:color="auto" w:fill="FFFFFF"/>
        <w:spacing w:after="300"/>
        <w:jc w:val="both"/>
        <w:textAlignment w:val="baseline"/>
        <w:rPr>
          <w:u w:val="single"/>
          <w:shd w:val="clear" w:color="auto" w:fill="FFFFFF"/>
        </w:rPr>
      </w:pPr>
      <w:r w:rsidRPr="004A0AB9">
        <w:rPr>
          <w:u w:val="single"/>
          <w:shd w:val="clear" w:color="auto" w:fill="FFFFFF"/>
        </w:rPr>
        <w:t>Pues bien, esa recuperación sólida parece haber llegado ya, al menos en EEUU, donde el desempleo ha vuelto a situarse por debajo del 5%, una cifra tres veces menor al pico de paro alcanzado durante al comienzo de la pandemia; mientras que la bolsa americana supera con creces los niveles prepandemia.</w:t>
      </w:r>
    </w:p>
    <w:p w:rsidR="004228E9" w:rsidRPr="00E01826" w:rsidRDefault="004228E9" w:rsidP="00FA4DA9">
      <w:pPr>
        <w:pStyle w:val="selectionshareable"/>
        <w:shd w:val="clear" w:color="auto" w:fill="FFFFFF"/>
        <w:spacing w:after="300"/>
        <w:jc w:val="both"/>
        <w:textAlignment w:val="baseline"/>
        <w:rPr>
          <w:color w:val="FF0000"/>
          <w:u w:val="single"/>
          <w:shd w:val="clear" w:color="auto" w:fill="FFFFFF"/>
        </w:rPr>
      </w:pPr>
      <w:r w:rsidRPr="00E01826">
        <w:rPr>
          <w:color w:val="FF0000"/>
          <w:u w:val="single"/>
          <w:shd w:val="clear" w:color="auto" w:fill="FFFFFF"/>
        </w:rPr>
        <w:t>Es por esto que la Reserva Federal se está preparando ya para una retirada de estímulos (conocida como tapering), que incluiría un descenso en el ritmo de compras netas de activos de 15.000 millones de dólares cada mes, según se desprende de las actas de la última reunión de política monetaria del organismo, celebrada en septiembre.</w:t>
      </w:r>
    </w:p>
    <w:p w:rsidR="004228E9" w:rsidRPr="00E01826" w:rsidRDefault="004228E9" w:rsidP="00FA4DA9">
      <w:pPr>
        <w:pStyle w:val="selectionshareable"/>
        <w:shd w:val="clear" w:color="auto" w:fill="FFFFFF"/>
        <w:spacing w:after="300"/>
        <w:jc w:val="both"/>
        <w:textAlignment w:val="baseline"/>
        <w:rPr>
          <w:color w:val="FF0000"/>
          <w:u w:val="single"/>
          <w:shd w:val="clear" w:color="auto" w:fill="FFFFFF"/>
        </w:rPr>
      </w:pPr>
      <w:r w:rsidRPr="00E01826">
        <w:rPr>
          <w:color w:val="FF0000"/>
          <w:u w:val="single"/>
          <w:shd w:val="clear" w:color="auto" w:fill="FFFFFF"/>
        </w:rPr>
        <w:t>En cualquier caso, y aunque el plan definitivo se concretará tras la reunión de la FED el próximo mes de noviembre, se espera que el tapering comience de manera progresiva a finales de este año, en un proceso que se alargaría hasta mediados de 2022.</w:t>
      </w:r>
    </w:p>
    <w:p w:rsidR="004228E9" w:rsidRPr="00E01826" w:rsidRDefault="004228E9" w:rsidP="00FA4DA9">
      <w:pPr>
        <w:pStyle w:val="selectionshareable"/>
        <w:shd w:val="clear" w:color="auto" w:fill="FFFFFF"/>
        <w:spacing w:after="300"/>
        <w:jc w:val="both"/>
        <w:textAlignment w:val="baseline"/>
        <w:rPr>
          <w:color w:val="FF0000"/>
          <w:u w:val="single"/>
          <w:shd w:val="clear" w:color="auto" w:fill="FFFFFF"/>
        </w:rPr>
      </w:pPr>
      <w:r w:rsidRPr="00E01826">
        <w:rPr>
          <w:color w:val="FF0000"/>
          <w:u w:val="single"/>
          <w:shd w:val="clear" w:color="auto" w:fill="FFFFFF"/>
        </w:rPr>
        <w:t>Por otro lado, a esta retirada de estímulos, se sumará próximamente el aumento de los tipos de interés, que en la actualidad se sitúan prácticamente en el 0%. En la reunión de la Reserva Federal de septiembre, el consenso de sus miembros estimó que esta tasa aumentaría por encima del 1% en 2023 y del 2% en 2024.</w:t>
      </w:r>
    </w:p>
    <w:p w:rsidR="004228E9" w:rsidRPr="00E01826" w:rsidRDefault="004228E9" w:rsidP="00FA4DA9">
      <w:pPr>
        <w:pStyle w:val="selectionshareable"/>
        <w:shd w:val="clear" w:color="auto" w:fill="FFFFFF"/>
        <w:spacing w:after="300"/>
        <w:jc w:val="both"/>
        <w:textAlignment w:val="baseline"/>
        <w:rPr>
          <w:color w:val="FF0000"/>
          <w:u w:val="single"/>
          <w:shd w:val="clear" w:color="auto" w:fill="FFFFFF"/>
        </w:rPr>
      </w:pPr>
      <w:r w:rsidRPr="00E01826">
        <w:rPr>
          <w:color w:val="FF0000"/>
          <w:u w:val="single"/>
          <w:shd w:val="clear" w:color="auto" w:fill="FFFFFF"/>
        </w:rPr>
        <w:t xml:space="preserve">Análogamente a la Reserva Federal, otras autoridades monetarias a lo largo de mundo han venido aplicando medidas similares en los últimos tiempos, y también se preparan para la retirada de estímulos. En el caso del Banco Central Europeo, aunque de momento se resiste a anunciar el tapering, nadie duda de que este </w:t>
      </w:r>
      <w:r w:rsidR="00E01826" w:rsidRPr="00E01826">
        <w:rPr>
          <w:color w:val="FF0000"/>
          <w:u w:val="single"/>
          <w:shd w:val="clear" w:color="auto" w:fill="FFFFFF"/>
        </w:rPr>
        <w:t>acabe</w:t>
      </w:r>
      <w:r w:rsidRPr="00E01826">
        <w:rPr>
          <w:color w:val="FF0000"/>
          <w:u w:val="single"/>
          <w:shd w:val="clear" w:color="auto" w:fill="FFFFFF"/>
        </w:rPr>
        <w:t xml:space="preserve"> llegando tarde o temprano.</w:t>
      </w:r>
    </w:p>
    <w:p w:rsidR="004228E9" w:rsidRPr="004A0AB9" w:rsidRDefault="004228E9" w:rsidP="00FA4DA9">
      <w:pPr>
        <w:pStyle w:val="selectionshareable"/>
        <w:shd w:val="clear" w:color="auto" w:fill="FFFFFF"/>
        <w:spacing w:after="300"/>
        <w:jc w:val="both"/>
        <w:textAlignment w:val="baseline"/>
        <w:rPr>
          <w:shd w:val="clear" w:color="auto" w:fill="FFFFFF"/>
        </w:rPr>
      </w:pPr>
      <w:r w:rsidRPr="004A0AB9">
        <w:rPr>
          <w:shd w:val="clear" w:color="auto" w:fill="FFFFFF"/>
        </w:rPr>
        <w:t>Una inflación por encima de lo previsto</w:t>
      </w:r>
    </w:p>
    <w:p w:rsidR="004228E9" w:rsidRPr="004A0AB9" w:rsidRDefault="004228E9" w:rsidP="00FA4DA9">
      <w:pPr>
        <w:pStyle w:val="selectionshareable"/>
        <w:shd w:val="clear" w:color="auto" w:fill="FFFFFF"/>
        <w:spacing w:after="300"/>
        <w:jc w:val="both"/>
        <w:textAlignment w:val="baseline"/>
        <w:rPr>
          <w:shd w:val="clear" w:color="auto" w:fill="FFFFFF"/>
        </w:rPr>
      </w:pPr>
      <w:r w:rsidRPr="00E01826">
        <w:rPr>
          <w:color w:val="FF0000"/>
          <w:u w:val="single"/>
          <w:shd w:val="clear" w:color="auto" w:fill="FFFFFF"/>
        </w:rPr>
        <w:t>Además del vigoroso ascenso de las bolsas y de los buenos datos de empleo y crecimiento, otro de los motivos que ha precipitado esta inminente retirada de estímulos en EEUU tiene que ver con el importante repunte de la inflación</w:t>
      </w:r>
      <w:r w:rsidRPr="0032598F">
        <w:rPr>
          <w:color w:val="333333"/>
          <w:shd w:val="clear" w:color="auto" w:fill="FFFFFF"/>
        </w:rPr>
        <w:t xml:space="preserve">. </w:t>
      </w:r>
      <w:r w:rsidRPr="00E01826">
        <w:rPr>
          <w:color w:val="FF0000"/>
          <w:u w:val="single"/>
          <w:shd w:val="clear" w:color="auto" w:fill="FFFFFF"/>
        </w:rPr>
        <w:t>Esta, que las propias autoridades monetarias cal</w:t>
      </w:r>
      <w:r w:rsidR="00E01826" w:rsidRPr="00E01826">
        <w:rPr>
          <w:color w:val="FF0000"/>
          <w:u w:val="single"/>
          <w:shd w:val="clear" w:color="auto" w:fill="FFFFFF"/>
        </w:rPr>
        <w:t>ificaban hace no mucho como de “transitoria”</w:t>
      </w:r>
      <w:r w:rsidRPr="00E01826">
        <w:rPr>
          <w:color w:val="FF0000"/>
          <w:u w:val="single"/>
          <w:shd w:val="clear" w:color="auto" w:fill="FFFFFF"/>
        </w:rPr>
        <w:t>, continúa con nosotros, ha alcanzado niveles superiores a los esperados, y no hay expectativas de que amaine en el corto plazo.</w:t>
      </w:r>
      <w:r w:rsidRPr="0032598F">
        <w:rPr>
          <w:color w:val="333333"/>
          <w:shd w:val="clear" w:color="auto" w:fill="FFFFFF"/>
        </w:rPr>
        <w:t xml:space="preserve"> </w:t>
      </w:r>
      <w:r w:rsidRPr="004A0AB9">
        <w:rPr>
          <w:shd w:val="clear" w:color="auto" w:fill="FFFFFF"/>
        </w:rPr>
        <w:t>El crédito barato, unido al aumento del precio de los combustibles y a la crisis de las cadenas de suministro</w:t>
      </w:r>
      <w:r w:rsidR="00E01826" w:rsidRPr="004A0AB9">
        <w:rPr>
          <w:shd w:val="clear" w:color="auto" w:fill="FFFFFF"/>
        </w:rPr>
        <w:t>,</w:t>
      </w:r>
      <w:r w:rsidRPr="004A0AB9">
        <w:rPr>
          <w:shd w:val="clear" w:color="auto" w:fill="FFFFFF"/>
        </w:rPr>
        <w:t xml:space="preserve"> </w:t>
      </w:r>
      <w:r w:rsidR="00324F4A" w:rsidRPr="004A0AB9">
        <w:rPr>
          <w:shd w:val="clear" w:color="auto" w:fill="FFFFFF"/>
        </w:rPr>
        <w:t>ha</w:t>
      </w:r>
      <w:r w:rsidRPr="004A0AB9">
        <w:rPr>
          <w:shd w:val="clear" w:color="auto" w:fill="FFFFFF"/>
        </w:rPr>
        <w:t xml:space="preserve"> contribuido a este fenómeno. Es por ello que las autoridades </w:t>
      </w:r>
      <w:r w:rsidRPr="004A0AB9">
        <w:rPr>
          <w:shd w:val="clear" w:color="auto" w:fill="FFFFFF"/>
        </w:rPr>
        <w:lastRenderedPageBreak/>
        <w:t>monetarias, mediante la retirada paulatina de estímulos, quieren evitar (o, al menos, deberían) el recalentamiento de la economía y el ascenso desmedido de la inflación.</w:t>
      </w:r>
    </w:p>
    <w:p w:rsidR="004228E9" w:rsidRPr="00E01826" w:rsidRDefault="004228E9" w:rsidP="00FA4DA9">
      <w:pPr>
        <w:pStyle w:val="selectionshareable"/>
        <w:shd w:val="clear" w:color="auto" w:fill="FFFFFF"/>
        <w:spacing w:after="300"/>
        <w:jc w:val="both"/>
        <w:textAlignment w:val="baseline"/>
        <w:rPr>
          <w:color w:val="FF0000"/>
          <w:u w:val="single"/>
          <w:shd w:val="clear" w:color="auto" w:fill="FFFFFF"/>
        </w:rPr>
      </w:pPr>
      <w:r w:rsidRPr="00E01826">
        <w:rPr>
          <w:color w:val="FF0000"/>
          <w:u w:val="single"/>
          <w:shd w:val="clear" w:color="auto" w:fill="FFFFFF"/>
        </w:rPr>
        <w:t>De hecho, son varios los analistas que se atreven a hablar de un posible escenario de estanflación, una mezcla entre inflación persistente y estancamiento económico, pudiéndose materializar este último una vez terminen los vientos de cola de la reapertura postpandémica.</w:t>
      </w:r>
    </w:p>
    <w:p w:rsidR="004228E9" w:rsidRPr="004A0AB9" w:rsidRDefault="004228E9" w:rsidP="00FA4DA9">
      <w:pPr>
        <w:pStyle w:val="selectionshareable"/>
        <w:shd w:val="clear" w:color="auto" w:fill="FFFFFF"/>
        <w:spacing w:after="300"/>
        <w:jc w:val="both"/>
        <w:textAlignment w:val="baseline"/>
        <w:rPr>
          <w:shd w:val="clear" w:color="auto" w:fill="FFFFFF"/>
        </w:rPr>
      </w:pPr>
      <w:r w:rsidRPr="004A0AB9">
        <w:rPr>
          <w:shd w:val="clear" w:color="auto" w:fill="FFFFFF"/>
        </w:rPr>
        <w:t>¿Estamos preparados para el fin de los estímulos?</w:t>
      </w:r>
    </w:p>
    <w:p w:rsidR="004228E9" w:rsidRPr="00E01826" w:rsidRDefault="004228E9" w:rsidP="00FA4DA9">
      <w:pPr>
        <w:pStyle w:val="selectionshareable"/>
        <w:shd w:val="clear" w:color="auto" w:fill="FFFFFF"/>
        <w:spacing w:after="300"/>
        <w:jc w:val="both"/>
        <w:textAlignment w:val="baseline"/>
        <w:rPr>
          <w:b/>
          <w:color w:val="FF0000"/>
          <w:u w:val="single"/>
          <w:shd w:val="clear" w:color="auto" w:fill="FFFFFF"/>
        </w:rPr>
      </w:pPr>
      <w:r w:rsidRPr="00E01826">
        <w:rPr>
          <w:b/>
          <w:color w:val="FF0000"/>
          <w:u w:val="single"/>
          <w:shd w:val="clear" w:color="auto" w:fill="FFFFFF"/>
        </w:rPr>
        <w:t>Uno de los efectos de este hipotético escenario de estanflación sería la dificultad para los bancos centrales de aplicar medidas efectivas. Esto es, si suben tipos y retiran estímulos para contrarrestar la inflación, el crecimiento económico se deteriora aún más, mientras que si mantienen los estímulos la inflación se descontrola. En otras palabras, los bancos centrales quedarían atados de pies y manos.</w:t>
      </w:r>
    </w:p>
    <w:p w:rsidR="004228E9" w:rsidRPr="00E01826" w:rsidRDefault="004228E9" w:rsidP="00FA4DA9">
      <w:pPr>
        <w:pStyle w:val="selectionshareable"/>
        <w:shd w:val="clear" w:color="auto" w:fill="FFFFFF"/>
        <w:spacing w:after="300"/>
        <w:jc w:val="both"/>
        <w:textAlignment w:val="baseline"/>
        <w:rPr>
          <w:color w:val="FF0000"/>
          <w:u w:val="single"/>
          <w:shd w:val="clear" w:color="auto" w:fill="FFFFFF"/>
        </w:rPr>
      </w:pPr>
      <w:r w:rsidRPr="00E01826">
        <w:rPr>
          <w:color w:val="FF0000"/>
          <w:u w:val="single"/>
          <w:shd w:val="clear" w:color="auto" w:fill="FFFFFF"/>
        </w:rPr>
        <w:t>Pero este escenario no es la única fuente de incertidumbre económica. De hecho, la propia subida de tipos de interés y la retirada de estímulos suponen un riesgo por sí mismo dada la coyuntura actual de endeudamiento público y privado.</w:t>
      </w:r>
    </w:p>
    <w:p w:rsidR="004228E9" w:rsidRPr="004A0AB9" w:rsidRDefault="004228E9" w:rsidP="00FA4DA9">
      <w:pPr>
        <w:pStyle w:val="selectionshareable"/>
        <w:shd w:val="clear" w:color="auto" w:fill="FFFFFF"/>
        <w:spacing w:after="300"/>
        <w:jc w:val="both"/>
        <w:textAlignment w:val="baseline"/>
        <w:rPr>
          <w:shd w:val="clear" w:color="auto" w:fill="FFFFFF"/>
        </w:rPr>
      </w:pPr>
      <w:r w:rsidRPr="004A0AB9">
        <w:rPr>
          <w:shd w:val="clear" w:color="auto" w:fill="FFFFFF"/>
        </w:rPr>
        <w:t xml:space="preserve">En primer lugar, debemos entender que el endurecimiento de la política monetaria y la subida de los tipos de interés </w:t>
      </w:r>
      <w:r w:rsidR="00E01826" w:rsidRPr="004A0AB9">
        <w:rPr>
          <w:shd w:val="clear" w:color="auto" w:fill="FFFFFF"/>
        </w:rPr>
        <w:t>dan</w:t>
      </w:r>
      <w:r w:rsidRPr="004A0AB9">
        <w:rPr>
          <w:shd w:val="clear" w:color="auto" w:fill="FFFFFF"/>
        </w:rPr>
        <w:t xml:space="preserve"> lugar a un encarecimiento de la financiación.</w:t>
      </w:r>
    </w:p>
    <w:p w:rsidR="004228E9" w:rsidRPr="004A0AB9" w:rsidRDefault="004228E9" w:rsidP="00FA4DA9">
      <w:pPr>
        <w:pStyle w:val="selectionshareable"/>
        <w:shd w:val="clear" w:color="auto" w:fill="FFFFFF"/>
        <w:spacing w:after="300"/>
        <w:jc w:val="both"/>
        <w:textAlignment w:val="baseline"/>
        <w:rPr>
          <w:shd w:val="clear" w:color="auto" w:fill="FFFFFF"/>
        </w:rPr>
      </w:pPr>
      <w:r w:rsidRPr="004A0AB9">
        <w:rPr>
          <w:shd w:val="clear" w:color="auto" w:fill="FFFFFF"/>
        </w:rPr>
        <w:t>En el sector privado, esto se traduce en que, muchas empresas que hasta ahora se han mantenido a flote gracias el crédito barato, podrían dejar de ser viables una vez su refinanciación quede dificultada. En el caso español, solo la deuda acumulada por las empresas no financieras supone alrededor del 85% del PIB, tras haberse elevado en 56.700 millones durante la pandemia, según el Banco de España. Aun así, este no se trata ni mucho menos de un problema nacional, ni tampoco excusable por la crisis sanitaria. De hecho, en 2019 se alcanzó el máximo volumen histórico de deuda corporativa.</w:t>
      </w:r>
    </w:p>
    <w:p w:rsidR="004228E9" w:rsidRPr="004A0AB9" w:rsidRDefault="004228E9" w:rsidP="00FA4DA9">
      <w:pPr>
        <w:pStyle w:val="selectionshareable"/>
        <w:shd w:val="clear" w:color="auto" w:fill="FFFFFF"/>
        <w:spacing w:after="300"/>
        <w:jc w:val="both"/>
        <w:textAlignment w:val="baseline"/>
        <w:rPr>
          <w:shd w:val="clear" w:color="auto" w:fill="FFFFFF"/>
        </w:rPr>
      </w:pPr>
      <w:r w:rsidRPr="004A0AB9">
        <w:rPr>
          <w:shd w:val="clear" w:color="auto" w:fill="FFFFFF"/>
        </w:rPr>
        <w:t>Además, una parte alarmantemente creciente de esta deuda se considera como de baja calidad (es decir, con riesgo importante de no ser devuelta). Hoy en día, solo la mitad de los bonos corporativos mundiales tienen grado de inversión (calificación BBB o superior), mientras que la otra mitad son especulativos. En el siguiente gráfico, observamos cómo el volumen de bonos de grado más riesgoso avanza imparablemente, y nos ilustra la grave situación que podría darse en los mercados si los bancos centrales deciden cortar el grifo.</w:t>
      </w:r>
    </w:p>
    <w:p w:rsidR="007536E6" w:rsidRPr="004A0AB9" w:rsidRDefault="007536E6" w:rsidP="007536E6">
      <w:pPr>
        <w:pStyle w:val="Ttulo1"/>
        <w:shd w:val="clear" w:color="auto" w:fill="FFFFFF"/>
        <w:spacing w:before="0" w:after="24" w:line="240" w:lineRule="auto"/>
        <w:jc w:val="both"/>
        <w:textAlignment w:val="baseline"/>
        <w:rPr>
          <w:rFonts w:ascii="Times New Roman" w:hAnsi="Times New Roman" w:cs="Times New Roman"/>
          <w:b w:val="0"/>
          <w:bCs w:val="0"/>
          <w:color w:val="auto"/>
          <w:sz w:val="24"/>
          <w:szCs w:val="24"/>
        </w:rPr>
      </w:pPr>
      <w:r w:rsidRPr="004A0AB9">
        <w:rPr>
          <w:rFonts w:ascii="Times New Roman" w:hAnsi="Times New Roman" w:cs="Times New Roman"/>
          <w:b w:val="0"/>
          <w:bCs w:val="0"/>
          <w:color w:val="auto"/>
          <w:sz w:val="24"/>
          <w:szCs w:val="24"/>
        </w:rPr>
        <w:t xml:space="preserve">- </w:t>
      </w:r>
      <w:r w:rsidRPr="004A0AB9">
        <w:rPr>
          <w:rFonts w:ascii="Times New Roman" w:hAnsi="Times New Roman" w:cs="Times New Roman"/>
          <w:b w:val="0"/>
          <w:bCs w:val="0"/>
          <w:color w:val="auto"/>
          <w:sz w:val="24"/>
          <w:szCs w:val="24"/>
          <w:u w:val="single"/>
        </w:rPr>
        <w:t>Los tres avisos del FMI y por qué el riesgo mundial es mucho mayor que el de 2008</w:t>
      </w:r>
      <w:r w:rsidRPr="004A0AB9">
        <w:rPr>
          <w:rFonts w:ascii="Times New Roman" w:hAnsi="Times New Roman" w:cs="Times New Roman"/>
          <w:b w:val="0"/>
          <w:bCs w:val="0"/>
          <w:color w:val="auto"/>
          <w:sz w:val="24"/>
          <w:szCs w:val="24"/>
        </w:rPr>
        <w:t xml:space="preserve"> (Libertad Digital - </w:t>
      </w:r>
      <w:r w:rsidRPr="004A0AB9">
        <w:rPr>
          <w:rFonts w:ascii="Times New Roman" w:hAnsi="Times New Roman" w:cs="Times New Roman"/>
          <w:bCs w:val="0"/>
          <w:color w:val="auto"/>
          <w:sz w:val="24"/>
          <w:szCs w:val="24"/>
        </w:rPr>
        <w:t>24/10/21</w:t>
      </w:r>
      <w:r w:rsidRPr="004A0AB9">
        <w:rPr>
          <w:rFonts w:ascii="Times New Roman" w:hAnsi="Times New Roman" w:cs="Times New Roman"/>
          <w:b w:val="0"/>
          <w:bCs w:val="0"/>
          <w:color w:val="auto"/>
          <w:sz w:val="24"/>
          <w:szCs w:val="24"/>
        </w:rPr>
        <w:t>)</w:t>
      </w:r>
    </w:p>
    <w:p w:rsidR="007536E6" w:rsidRPr="004A0AB9" w:rsidRDefault="007536E6" w:rsidP="007536E6">
      <w:pPr>
        <w:pStyle w:val="NormalWeb"/>
        <w:shd w:val="clear" w:color="auto" w:fill="FFFFFF"/>
        <w:spacing w:before="0" w:beforeAutospacing="0" w:after="0" w:afterAutospacing="0"/>
        <w:jc w:val="both"/>
        <w:textAlignment w:val="baseline"/>
        <w:rPr>
          <w:bdr w:val="none" w:sz="0" w:space="0" w:color="auto" w:frame="1"/>
        </w:rPr>
      </w:pPr>
    </w:p>
    <w:p w:rsidR="007536E6" w:rsidRPr="004A0AB9" w:rsidRDefault="007536E6" w:rsidP="007536E6">
      <w:pPr>
        <w:pStyle w:val="NormalWeb"/>
        <w:shd w:val="clear" w:color="auto" w:fill="FFFFFF"/>
        <w:spacing w:before="0" w:beforeAutospacing="0" w:after="0" w:afterAutospacing="0"/>
        <w:jc w:val="both"/>
        <w:textAlignment w:val="baseline"/>
        <w:rPr>
          <w:bdr w:val="none" w:sz="0" w:space="0" w:color="auto" w:frame="1"/>
        </w:rPr>
      </w:pPr>
      <w:r w:rsidRPr="004A0AB9">
        <w:rPr>
          <w:bdr w:val="none" w:sz="0" w:space="0" w:color="auto" w:frame="1"/>
        </w:rPr>
        <w:t>El informe de</w:t>
      </w:r>
      <w:r w:rsidRPr="004A0AB9">
        <w:rPr>
          <w:rStyle w:val="Textoennegrita"/>
          <w:bdr w:val="none" w:sz="0" w:space="0" w:color="auto" w:frame="1"/>
        </w:rPr>
        <w:t> </w:t>
      </w:r>
      <w:r w:rsidRPr="004A0AB9">
        <w:rPr>
          <w:rStyle w:val="Textoennegrita"/>
          <w:b w:val="0"/>
          <w:bdr w:val="none" w:sz="0" w:space="0" w:color="auto" w:frame="1"/>
        </w:rPr>
        <w:t>supervisión económica que publica trimestralmente el Fondo Monetario Internacional (</w:t>
      </w:r>
      <w:hyperlink r:id="rId320" w:history="1">
        <w:r w:rsidRPr="004A0AB9">
          <w:rPr>
            <w:rStyle w:val="Hipervnculo"/>
            <w:bCs/>
            <w:color w:val="auto"/>
            <w:u w:val="none"/>
            <w:bdr w:val="none" w:sz="0" w:space="0" w:color="auto" w:frame="1"/>
          </w:rPr>
          <w:t>FMI</w:t>
        </w:r>
      </w:hyperlink>
      <w:r w:rsidRPr="004A0AB9">
        <w:rPr>
          <w:rStyle w:val="Textoennegrita"/>
          <w:b w:val="0"/>
          <w:bdr w:val="none" w:sz="0" w:space="0" w:color="auto" w:frame="1"/>
        </w:rPr>
        <w:t>) </w:t>
      </w:r>
      <w:r w:rsidRPr="004A0AB9">
        <w:rPr>
          <w:bdr w:val="none" w:sz="0" w:space="0" w:color="auto" w:frame="1"/>
        </w:rPr>
        <w:t>siempre da para muchos titulares: revisión (generalmente a la baja) de las estimaciones de crecimiento, inflación, endeudamiento, etc.</w:t>
      </w:r>
    </w:p>
    <w:p w:rsidR="007536E6" w:rsidRPr="004A0AB9" w:rsidRDefault="007536E6" w:rsidP="007536E6">
      <w:pPr>
        <w:pStyle w:val="NormalWeb"/>
        <w:shd w:val="clear" w:color="auto" w:fill="FFFFFF"/>
        <w:spacing w:before="0" w:beforeAutospacing="0" w:after="0" w:afterAutospacing="0"/>
        <w:jc w:val="both"/>
        <w:textAlignment w:val="baseline"/>
        <w:rPr>
          <w:bdr w:val="none" w:sz="0" w:space="0" w:color="auto" w:frame="1"/>
        </w:rPr>
      </w:pPr>
    </w:p>
    <w:p w:rsidR="007536E6" w:rsidRPr="004A0AB9" w:rsidRDefault="007536E6" w:rsidP="007536E6">
      <w:pPr>
        <w:pStyle w:val="NormalWeb"/>
        <w:shd w:val="clear" w:color="auto" w:fill="FFFFFF"/>
        <w:spacing w:before="0" w:beforeAutospacing="0" w:after="360" w:afterAutospacing="0"/>
        <w:jc w:val="both"/>
        <w:textAlignment w:val="baseline"/>
        <w:rPr>
          <w:bdr w:val="none" w:sz="0" w:space="0" w:color="auto" w:frame="1"/>
        </w:rPr>
      </w:pPr>
      <w:r w:rsidRPr="004A0AB9">
        <w:rPr>
          <w:bdr w:val="none" w:sz="0" w:space="0" w:color="auto" w:frame="1"/>
        </w:rPr>
        <w:t>Lo que no genera tantos titulares, pero es generalmente importante, es la documentación que se adjunta a ese informe, y muy especialmente un documento adjunto que trata de las condiciones de los mercados financieros internacionales. Y eso, con la situación de extrema incertidumbre en la que estamos inmersos es un error a la vez que una irresponsabilidad.</w:t>
      </w:r>
    </w:p>
    <w:p w:rsidR="007536E6" w:rsidRPr="00106F9A" w:rsidRDefault="007536E6" w:rsidP="007536E6">
      <w:pPr>
        <w:pStyle w:val="NormalWeb"/>
        <w:shd w:val="clear" w:color="auto" w:fill="FFFFFF"/>
        <w:spacing w:before="0" w:beforeAutospacing="0" w:after="0" w:afterAutospacing="0"/>
        <w:jc w:val="both"/>
        <w:textAlignment w:val="baseline"/>
        <w:rPr>
          <w:color w:val="FF0000"/>
          <w:u w:val="single"/>
          <w:bdr w:val="none" w:sz="0" w:space="0" w:color="auto" w:frame="1"/>
        </w:rPr>
      </w:pPr>
      <w:r w:rsidRPr="004A0AB9">
        <w:rPr>
          <w:bdr w:val="none" w:sz="0" w:space="0" w:color="auto" w:frame="1"/>
        </w:rPr>
        <w:lastRenderedPageBreak/>
        <w:t>Por dos razones. La primera, porque es tan importante conocer las conclusiones como los hechos que las soportan. Y la segunda, porque, en esta ocasión, </w:t>
      </w:r>
      <w:r w:rsidRPr="004A0AB9">
        <w:rPr>
          <w:rStyle w:val="Textoennegrita"/>
          <w:b w:val="0"/>
          <w:bdr w:val="none" w:sz="0" w:space="0" w:color="auto" w:frame="1"/>
        </w:rPr>
        <w:t>hay información mucho más valiosa que una desaceleración económica</w:t>
      </w:r>
      <w:r w:rsidRPr="004A0AB9">
        <w:rPr>
          <w:rStyle w:val="Textoennegrita"/>
          <w:bdr w:val="none" w:sz="0" w:space="0" w:color="auto" w:frame="1"/>
        </w:rPr>
        <w:t> </w:t>
      </w:r>
      <w:r w:rsidRPr="004A0AB9">
        <w:rPr>
          <w:bdr w:val="none" w:sz="0" w:space="0" w:color="auto" w:frame="1"/>
        </w:rPr>
        <w:t xml:space="preserve">que ya veníamos previendo desde hace meses en esta columna y de una inflación que cada vez tiene más carácter estructural que no debería de haber pillado a nadie de sorpresa. </w:t>
      </w:r>
      <w:r w:rsidRPr="00106F9A">
        <w:rPr>
          <w:color w:val="FF0000"/>
          <w:u w:val="single"/>
          <w:bdr w:val="none" w:sz="0" w:space="0" w:color="auto" w:frame="1"/>
        </w:rPr>
        <w:t>¿Qué ha dicho el FMI que sea de interés?</w:t>
      </w:r>
    </w:p>
    <w:p w:rsidR="007536E6" w:rsidRDefault="007536E6" w:rsidP="007536E6">
      <w:pPr>
        <w:pStyle w:val="Ttulo3"/>
        <w:shd w:val="clear" w:color="auto" w:fill="FFFFFF"/>
        <w:spacing w:before="0" w:line="240" w:lineRule="auto"/>
        <w:jc w:val="both"/>
        <w:textAlignment w:val="baseline"/>
        <w:rPr>
          <w:rFonts w:ascii="Times New Roman" w:hAnsi="Times New Roman" w:cs="Times New Roman"/>
          <w:b w:val="0"/>
          <w:bCs w:val="0"/>
          <w:color w:val="333333"/>
          <w:sz w:val="24"/>
          <w:szCs w:val="24"/>
          <w:bdr w:val="none" w:sz="0" w:space="0" w:color="auto" w:frame="1"/>
        </w:rPr>
      </w:pPr>
    </w:p>
    <w:p w:rsidR="007536E6" w:rsidRPr="004A0AB9" w:rsidRDefault="007536E6" w:rsidP="007536E6">
      <w:pPr>
        <w:pStyle w:val="Ttulo3"/>
        <w:shd w:val="clear" w:color="auto" w:fill="FFFFFF"/>
        <w:spacing w:before="0" w:line="240" w:lineRule="auto"/>
        <w:jc w:val="both"/>
        <w:textAlignment w:val="baseline"/>
        <w:rPr>
          <w:rStyle w:val="Textoennegrita"/>
          <w:rFonts w:ascii="Times New Roman" w:hAnsi="Times New Roman" w:cs="Times New Roman"/>
          <w:color w:val="auto"/>
          <w:sz w:val="24"/>
          <w:szCs w:val="24"/>
          <w:bdr w:val="none" w:sz="0" w:space="0" w:color="auto" w:frame="1"/>
        </w:rPr>
      </w:pPr>
      <w:r w:rsidRPr="004A0AB9">
        <w:rPr>
          <w:rFonts w:ascii="Times New Roman" w:hAnsi="Times New Roman" w:cs="Times New Roman"/>
          <w:b w:val="0"/>
          <w:bCs w:val="0"/>
          <w:color w:val="auto"/>
          <w:sz w:val="24"/>
          <w:szCs w:val="24"/>
          <w:bdr w:val="none" w:sz="0" w:space="0" w:color="auto" w:frame="1"/>
        </w:rPr>
        <w:t>1. P</w:t>
      </w:r>
      <w:r w:rsidRPr="004A0AB9">
        <w:rPr>
          <w:rStyle w:val="Textoennegrita"/>
          <w:rFonts w:ascii="Times New Roman" w:hAnsi="Times New Roman" w:cs="Times New Roman"/>
          <w:color w:val="auto"/>
          <w:sz w:val="24"/>
          <w:szCs w:val="24"/>
          <w:bdr w:val="none" w:sz="0" w:space="0" w:color="auto" w:frame="1"/>
        </w:rPr>
        <w:t>reocupa China</w:t>
      </w:r>
    </w:p>
    <w:p w:rsidR="007536E6" w:rsidRDefault="007536E6" w:rsidP="007536E6">
      <w:pPr>
        <w:pStyle w:val="NormalWeb"/>
        <w:shd w:val="clear" w:color="auto" w:fill="FFFFFF"/>
        <w:spacing w:before="0" w:beforeAutospacing="0" w:after="0" w:afterAutospacing="0"/>
        <w:jc w:val="both"/>
        <w:textAlignment w:val="baseline"/>
        <w:rPr>
          <w:rFonts w:asciiTheme="minorHAnsi" w:eastAsiaTheme="minorHAnsi" w:hAnsiTheme="minorHAnsi" w:cstheme="minorBidi"/>
          <w:sz w:val="22"/>
          <w:szCs w:val="22"/>
          <w:lang w:eastAsia="en-US"/>
        </w:rPr>
      </w:pPr>
    </w:p>
    <w:p w:rsidR="007536E6" w:rsidRPr="00106F9A" w:rsidRDefault="007536E6" w:rsidP="007536E6">
      <w:pPr>
        <w:pStyle w:val="NormalWeb"/>
        <w:shd w:val="clear" w:color="auto" w:fill="FFFFFF"/>
        <w:spacing w:before="0" w:beforeAutospacing="0" w:after="0" w:afterAutospacing="0"/>
        <w:jc w:val="both"/>
        <w:textAlignment w:val="baseline"/>
        <w:rPr>
          <w:color w:val="FF0000"/>
          <w:u w:val="single"/>
          <w:bdr w:val="none" w:sz="0" w:space="0" w:color="auto" w:frame="1"/>
        </w:rPr>
      </w:pPr>
      <w:r w:rsidRPr="00106F9A">
        <w:rPr>
          <w:color w:val="FF0000"/>
          <w:u w:val="single"/>
          <w:bdr w:val="none" w:sz="0" w:space="0" w:color="auto" w:frame="1"/>
        </w:rPr>
        <w:t>Los índices de condiciones financieras internacionales continúan en zona laxa. Esto es,</w:t>
      </w:r>
      <w:r w:rsidRPr="00106F9A">
        <w:rPr>
          <w:rStyle w:val="Textoennegrita"/>
          <w:color w:val="FF0000"/>
          <w:u w:val="single"/>
          <w:bdr w:val="none" w:sz="0" w:space="0" w:color="auto" w:frame="1"/>
        </w:rPr>
        <w:t> el gas de la risa monetario sigue funcionando</w:t>
      </w:r>
      <w:r w:rsidRPr="00106F9A">
        <w:rPr>
          <w:color w:val="FF0000"/>
          <w:u w:val="single"/>
          <w:bdr w:val="none" w:sz="0" w:space="0" w:color="auto" w:frame="1"/>
        </w:rPr>
        <w:t> y los distintos shocks que observamos en la economía real aún no se han trasladado a los mercados financieros.</w:t>
      </w:r>
    </w:p>
    <w:p w:rsidR="007536E6" w:rsidRPr="005977B0" w:rsidRDefault="007536E6" w:rsidP="007536E6">
      <w:pPr>
        <w:pStyle w:val="NormalWeb"/>
        <w:shd w:val="clear" w:color="auto" w:fill="FFFFFF"/>
        <w:spacing w:before="0" w:beforeAutospacing="0" w:after="0" w:afterAutospacing="0"/>
        <w:jc w:val="both"/>
        <w:textAlignment w:val="baseline"/>
        <w:rPr>
          <w:color w:val="333333"/>
          <w:bdr w:val="none" w:sz="0" w:space="0" w:color="auto" w:frame="1"/>
        </w:rPr>
      </w:pPr>
    </w:p>
    <w:p w:rsidR="007536E6" w:rsidRPr="004A0AB9" w:rsidRDefault="007536E6" w:rsidP="007536E6">
      <w:pPr>
        <w:pStyle w:val="NormalWeb"/>
        <w:shd w:val="clear" w:color="auto" w:fill="FFFFFF"/>
        <w:spacing w:before="0" w:beforeAutospacing="0" w:after="0" w:afterAutospacing="0"/>
        <w:jc w:val="both"/>
        <w:textAlignment w:val="baseline"/>
        <w:rPr>
          <w:bdr w:val="none" w:sz="0" w:space="0" w:color="auto" w:frame="1"/>
        </w:rPr>
      </w:pPr>
      <w:r w:rsidRPr="004A0AB9">
        <w:rPr>
          <w:bdr w:val="none" w:sz="0" w:space="0" w:color="auto" w:frame="1"/>
        </w:rPr>
        <w:t>Ahora bien, esto no significa que la situación esté en un bálsamo de placer. La estabilización es evidente durante los últimos meses, y </w:t>
      </w:r>
      <w:r w:rsidRPr="00106F9A">
        <w:rPr>
          <w:rStyle w:val="Textoennegrita"/>
          <w:color w:val="FF0000"/>
          <w:u w:val="single"/>
          <w:bdr w:val="none" w:sz="0" w:space="0" w:color="auto" w:frame="1"/>
        </w:rPr>
        <w:t>China está en su peor momento desde el año 2013. El impacto de </w:t>
      </w:r>
      <w:hyperlink r:id="rId321" w:history="1">
        <w:r w:rsidRPr="00106F9A">
          <w:rPr>
            <w:rStyle w:val="Hipervnculo"/>
            <w:b/>
            <w:bCs/>
            <w:color w:val="FF0000"/>
            <w:bdr w:val="none" w:sz="0" w:space="0" w:color="auto" w:frame="1"/>
          </w:rPr>
          <w:t>Evergrande</w:t>
        </w:r>
      </w:hyperlink>
      <w:r w:rsidRPr="00106F9A">
        <w:rPr>
          <w:bdr w:val="none" w:sz="0" w:space="0" w:color="auto" w:frame="1"/>
        </w:rPr>
        <w:t> </w:t>
      </w:r>
      <w:r w:rsidRPr="004A0AB9">
        <w:rPr>
          <w:bdr w:val="none" w:sz="0" w:space="0" w:color="auto" w:frame="1"/>
        </w:rPr>
        <w:t>aún no se ha absorbido e, indudablemente, la tranquilidad en la que están inmersos los mercados financieros a nivel internacional no tiene nada que ver con lo que vemos en la economía real.</w:t>
      </w:r>
    </w:p>
    <w:p w:rsidR="007536E6" w:rsidRPr="005977B0" w:rsidRDefault="007536E6" w:rsidP="007536E6">
      <w:pPr>
        <w:pStyle w:val="NormalWeb"/>
        <w:shd w:val="clear" w:color="auto" w:fill="FFFFFF"/>
        <w:spacing w:before="0" w:beforeAutospacing="0" w:after="0" w:afterAutospacing="0"/>
        <w:jc w:val="both"/>
        <w:textAlignment w:val="baseline"/>
        <w:rPr>
          <w:color w:val="333333"/>
          <w:bdr w:val="none" w:sz="0" w:space="0" w:color="auto" w:frame="1"/>
        </w:rPr>
      </w:pPr>
    </w:p>
    <w:p w:rsidR="007536E6" w:rsidRDefault="007536E6" w:rsidP="007536E6">
      <w:pPr>
        <w:pStyle w:val="NormalWeb"/>
        <w:shd w:val="clear" w:color="auto" w:fill="FFFFFF"/>
        <w:spacing w:before="0" w:beforeAutospacing="0" w:after="0" w:afterAutospacing="0"/>
        <w:jc w:val="both"/>
        <w:textAlignment w:val="baseline"/>
        <w:rPr>
          <w:b/>
          <w:color w:val="FF0000"/>
          <w:u w:val="single"/>
          <w:bdr w:val="none" w:sz="0" w:space="0" w:color="auto" w:frame="1"/>
        </w:rPr>
      </w:pPr>
      <w:r w:rsidRPr="00106F9A">
        <w:rPr>
          <w:rStyle w:val="Textoennegrita"/>
          <w:color w:val="FF0000"/>
          <w:u w:val="single"/>
          <w:bdr w:val="none" w:sz="0" w:space="0" w:color="auto" w:frame="1"/>
        </w:rPr>
        <w:t>La inflación, la subida de tipos y el posible efecto dominó </w:t>
      </w:r>
      <w:r w:rsidRPr="00106F9A">
        <w:rPr>
          <w:b/>
          <w:color w:val="FF0000"/>
          <w:u w:val="single"/>
          <w:bdr w:val="none" w:sz="0" w:space="0" w:color="auto" w:frame="1"/>
        </w:rPr>
        <w:t>aún pueden dar que hablar</w:t>
      </w:r>
      <w:r w:rsidRPr="005977B0">
        <w:rPr>
          <w:color w:val="333333"/>
          <w:bdr w:val="none" w:sz="0" w:space="0" w:color="auto" w:frame="1"/>
        </w:rPr>
        <w:t xml:space="preserve">. </w:t>
      </w:r>
      <w:r w:rsidRPr="004A0AB9">
        <w:rPr>
          <w:bdr w:val="none" w:sz="0" w:space="0" w:color="auto" w:frame="1"/>
        </w:rPr>
        <w:t>Y, como se puede apreciar en la serie histórica con facilidad, el empeoramiento de las condiciones financieras a nivel global es un movimiento súbito.</w:t>
      </w:r>
      <w:r w:rsidRPr="005977B0">
        <w:rPr>
          <w:color w:val="333333"/>
          <w:bdr w:val="none" w:sz="0" w:space="0" w:color="auto" w:frame="1"/>
        </w:rPr>
        <w:t xml:space="preserve"> </w:t>
      </w:r>
      <w:r w:rsidRPr="00106F9A">
        <w:rPr>
          <w:b/>
          <w:color w:val="FF0000"/>
          <w:u w:val="single"/>
          <w:bdr w:val="none" w:sz="0" w:space="0" w:color="auto" w:frame="1"/>
        </w:rPr>
        <w:t>Con los bancos centrales al límite de expansión de su balance, las herramientas para controlar un (improbable) empeoramiento de la inflación o una situación de falta de crédito, es limitada.</w:t>
      </w:r>
    </w:p>
    <w:p w:rsidR="00E65A04" w:rsidRPr="00106F9A" w:rsidRDefault="00E65A04" w:rsidP="007536E6">
      <w:pPr>
        <w:pStyle w:val="NormalWeb"/>
        <w:shd w:val="clear" w:color="auto" w:fill="FFFFFF"/>
        <w:spacing w:before="0" w:beforeAutospacing="0" w:after="0" w:afterAutospacing="0"/>
        <w:jc w:val="both"/>
        <w:textAlignment w:val="baseline"/>
        <w:rPr>
          <w:b/>
          <w:color w:val="FF0000"/>
          <w:u w:val="single"/>
          <w:bdr w:val="none" w:sz="0" w:space="0" w:color="auto" w:frame="1"/>
        </w:rPr>
      </w:pPr>
    </w:p>
    <w:p w:rsidR="007536E6" w:rsidRPr="005977B0" w:rsidRDefault="007536E6" w:rsidP="007536E6">
      <w:pPr>
        <w:shd w:val="clear" w:color="auto" w:fill="FFFFFF"/>
        <w:spacing w:line="240" w:lineRule="auto"/>
        <w:jc w:val="both"/>
        <w:textAlignment w:val="baseline"/>
        <w:rPr>
          <w:rFonts w:ascii="Times New Roman" w:hAnsi="Times New Roman" w:cs="Times New Roman"/>
          <w:color w:val="333333"/>
          <w:sz w:val="24"/>
          <w:szCs w:val="24"/>
          <w:bdr w:val="none" w:sz="0" w:space="0" w:color="auto" w:frame="1"/>
        </w:rPr>
      </w:pPr>
      <w:r>
        <w:rPr>
          <w:rFonts w:ascii="Times New Roman" w:hAnsi="Times New Roman" w:cs="Times New Roman"/>
          <w:noProof/>
          <w:color w:val="E97D3B"/>
          <w:sz w:val="24"/>
          <w:szCs w:val="24"/>
          <w:bdr w:val="none" w:sz="0" w:space="0" w:color="auto" w:frame="1"/>
        </w:rPr>
        <w:t xml:space="preserve">                </w:t>
      </w:r>
      <w:r w:rsidRPr="005977B0">
        <w:rPr>
          <w:rFonts w:ascii="Times New Roman" w:hAnsi="Times New Roman" w:cs="Times New Roman"/>
          <w:noProof/>
          <w:color w:val="E97D3B"/>
          <w:sz w:val="24"/>
          <w:szCs w:val="24"/>
          <w:bdr w:val="none" w:sz="0" w:space="0" w:color="auto" w:frame="1"/>
          <w:lang w:eastAsia="es-ES"/>
        </w:rPr>
        <w:drawing>
          <wp:inline distT="0" distB="0" distL="0" distR="0" wp14:anchorId="028CC6BD" wp14:editId="6DB0FCC0">
            <wp:extent cx="4838700" cy="4381500"/>
            <wp:effectExtent l="0" t="0" r="0" b="0"/>
            <wp:docPr id="124" name="Imagen 124" descr="mercados-financieros.jpg">
              <a:hlinkClick xmlns:a="http://schemas.openxmlformats.org/drawingml/2006/main" r:id="rId322"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ercados-financieros.jpg">
                      <a:hlinkClick r:id="rId322" tooltip="&quot;&quot;"/>
                    </pic:cNvPr>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4838700" cy="4381500"/>
                    </a:xfrm>
                    <a:prstGeom prst="rect">
                      <a:avLst/>
                    </a:prstGeom>
                    <a:noFill/>
                    <a:ln>
                      <a:noFill/>
                    </a:ln>
                  </pic:spPr>
                </pic:pic>
              </a:graphicData>
            </a:graphic>
          </wp:inline>
        </w:drawing>
      </w:r>
    </w:p>
    <w:p w:rsidR="007536E6" w:rsidRPr="00F95839" w:rsidRDefault="007536E6" w:rsidP="007536E6">
      <w:pPr>
        <w:pStyle w:val="Ttulo3"/>
        <w:shd w:val="clear" w:color="auto" w:fill="FFFFFF"/>
        <w:spacing w:before="0" w:after="242" w:line="240" w:lineRule="auto"/>
        <w:jc w:val="both"/>
        <w:textAlignment w:val="baseline"/>
        <w:rPr>
          <w:rFonts w:ascii="Times New Roman" w:hAnsi="Times New Roman" w:cs="Times New Roman"/>
          <w:b w:val="0"/>
          <w:bCs w:val="0"/>
          <w:color w:val="auto"/>
          <w:sz w:val="24"/>
          <w:szCs w:val="24"/>
          <w:bdr w:val="none" w:sz="0" w:space="0" w:color="auto" w:frame="1"/>
        </w:rPr>
      </w:pPr>
      <w:r w:rsidRPr="00F95839">
        <w:rPr>
          <w:rFonts w:ascii="Times New Roman" w:hAnsi="Times New Roman" w:cs="Times New Roman"/>
          <w:b w:val="0"/>
          <w:bCs w:val="0"/>
          <w:color w:val="auto"/>
          <w:sz w:val="24"/>
          <w:szCs w:val="24"/>
          <w:bdr w:val="none" w:sz="0" w:space="0" w:color="auto" w:frame="1"/>
        </w:rPr>
        <w:lastRenderedPageBreak/>
        <w:t>2. Las vulnerabilidades son mayores que en 2008</w:t>
      </w:r>
    </w:p>
    <w:p w:rsidR="007536E6" w:rsidRPr="00106F9A" w:rsidRDefault="007536E6" w:rsidP="007536E6">
      <w:pPr>
        <w:pStyle w:val="NormalWeb"/>
        <w:shd w:val="clear" w:color="auto" w:fill="FFFFFF"/>
        <w:spacing w:before="0" w:beforeAutospacing="0" w:after="0" w:afterAutospacing="0"/>
        <w:jc w:val="both"/>
        <w:textAlignment w:val="baseline"/>
        <w:rPr>
          <w:color w:val="FF0000"/>
          <w:u w:val="single"/>
          <w:bdr w:val="none" w:sz="0" w:space="0" w:color="auto" w:frame="1"/>
        </w:rPr>
      </w:pPr>
      <w:r w:rsidRPr="00106F9A">
        <w:rPr>
          <w:color w:val="FF0000"/>
          <w:u w:val="single"/>
          <w:bdr w:val="none" w:sz="0" w:space="0" w:color="auto" w:frame="1"/>
        </w:rPr>
        <w:t>La quiebra de Lehman Brothers pilló a todos por sorpresa. O, al menos, eso es lo que se ha quedado en la memoria común. Una crisis, la de 2008, que fue consecuencia de la laxitud política de los bancos centrales y de la represión financiera: Mayor apetito por el riesgo, y mayor endeudamiento. En el caso de 2008, estos desequilibrios vinieron fundamentalmente desde el sector privado. Ahora, sin embargo, fundamentalmente </w:t>
      </w:r>
      <w:r w:rsidRPr="00106F9A">
        <w:rPr>
          <w:rStyle w:val="Textoennegrita"/>
          <w:color w:val="FF0000"/>
          <w:u w:val="single"/>
          <w:bdr w:val="none" w:sz="0" w:space="0" w:color="auto" w:frame="1"/>
        </w:rPr>
        <w:t>son las grandes corporaciones y los Estados los que están altamente endeudados</w:t>
      </w:r>
      <w:r w:rsidRPr="00106F9A">
        <w:rPr>
          <w:color w:val="FF0000"/>
          <w:u w:val="single"/>
          <w:bdr w:val="none" w:sz="0" w:space="0" w:color="auto" w:frame="1"/>
        </w:rPr>
        <w:t> y concentran buena parte del riesgo financiero.</w:t>
      </w:r>
    </w:p>
    <w:p w:rsidR="007536E6" w:rsidRPr="005977B0" w:rsidRDefault="007536E6" w:rsidP="007536E6">
      <w:pPr>
        <w:pStyle w:val="NormalWeb"/>
        <w:shd w:val="clear" w:color="auto" w:fill="FFFFFF"/>
        <w:spacing w:before="0" w:beforeAutospacing="0" w:after="0" w:afterAutospacing="0"/>
        <w:jc w:val="both"/>
        <w:textAlignment w:val="baseline"/>
        <w:rPr>
          <w:color w:val="333333"/>
          <w:bdr w:val="none" w:sz="0" w:space="0" w:color="auto" w:frame="1"/>
        </w:rPr>
      </w:pPr>
    </w:p>
    <w:p w:rsidR="007536E6" w:rsidRPr="004A0AB9" w:rsidRDefault="007536E6" w:rsidP="007536E6">
      <w:pPr>
        <w:pStyle w:val="NormalWeb"/>
        <w:shd w:val="clear" w:color="auto" w:fill="FFFFFF"/>
        <w:spacing w:before="0" w:beforeAutospacing="0" w:after="0" w:afterAutospacing="0"/>
        <w:jc w:val="both"/>
        <w:textAlignment w:val="baseline"/>
        <w:rPr>
          <w:bdr w:val="none" w:sz="0" w:space="0" w:color="auto" w:frame="1"/>
        </w:rPr>
      </w:pPr>
      <w:r w:rsidRPr="004A0AB9">
        <w:rPr>
          <w:bdr w:val="none" w:sz="0" w:space="0" w:color="auto" w:frame="1"/>
        </w:rPr>
        <w:t>Salvo honrosas excepciones (</w:t>
      </w:r>
      <w:r w:rsidRPr="004A0AB9">
        <w:rPr>
          <w:rStyle w:val="Textoennegrita"/>
          <w:b w:val="0"/>
          <w:bdr w:val="none" w:sz="0" w:space="0" w:color="auto" w:frame="1"/>
        </w:rPr>
        <w:t>como Corea, Suecia, Bélgica o Francia</w:t>
      </w:r>
      <w:r w:rsidRPr="004A0AB9">
        <w:rPr>
          <w:bdr w:val="none" w:sz="0" w:space="0" w:color="auto" w:frame="1"/>
        </w:rPr>
        <w:t>) el endeudamiento privado es mucho menor que en 2008 y, por lo tanto, en principio,</w:t>
      </w:r>
      <w:r w:rsidRPr="004A0AB9">
        <w:rPr>
          <w:rStyle w:val="Textoennegrita"/>
          <w:bdr w:val="none" w:sz="0" w:space="0" w:color="auto" w:frame="1"/>
        </w:rPr>
        <w:t> </w:t>
      </w:r>
      <w:r w:rsidRPr="004A0AB9">
        <w:rPr>
          <w:rStyle w:val="Textoennegrita"/>
          <w:b w:val="0"/>
          <w:bdr w:val="none" w:sz="0" w:space="0" w:color="auto" w:frame="1"/>
        </w:rPr>
        <w:t>el riesgo asumido por los agentes de la economía real (familias y empresas) mucho menor.</w:t>
      </w:r>
    </w:p>
    <w:p w:rsidR="007536E6" w:rsidRPr="004A0AB9" w:rsidRDefault="007536E6" w:rsidP="007536E6">
      <w:pPr>
        <w:shd w:val="clear" w:color="auto" w:fill="FFFFFF"/>
        <w:spacing w:line="240" w:lineRule="auto"/>
        <w:jc w:val="both"/>
        <w:textAlignment w:val="baseline"/>
        <w:rPr>
          <w:rFonts w:ascii="Times New Roman" w:hAnsi="Times New Roman" w:cs="Times New Roman"/>
          <w:sz w:val="24"/>
          <w:szCs w:val="24"/>
        </w:rPr>
      </w:pPr>
    </w:p>
    <w:p w:rsidR="007536E6" w:rsidRPr="005977B0" w:rsidRDefault="007536E6" w:rsidP="007536E6">
      <w:pPr>
        <w:shd w:val="clear" w:color="auto" w:fill="FFFFFF"/>
        <w:spacing w:line="240" w:lineRule="auto"/>
        <w:jc w:val="both"/>
        <w:textAlignment w:val="baseline"/>
        <w:rPr>
          <w:rFonts w:ascii="Times New Roman" w:hAnsi="Times New Roman" w:cs="Times New Roman"/>
          <w:color w:val="333333"/>
          <w:sz w:val="24"/>
          <w:szCs w:val="24"/>
          <w:bdr w:val="none" w:sz="0" w:space="0" w:color="auto" w:frame="1"/>
        </w:rPr>
      </w:pPr>
      <w:r>
        <w:rPr>
          <w:rFonts w:ascii="Times New Roman" w:hAnsi="Times New Roman" w:cs="Times New Roman"/>
          <w:color w:val="333333"/>
          <w:sz w:val="24"/>
          <w:szCs w:val="24"/>
          <w:bdr w:val="none" w:sz="0" w:space="0" w:color="auto" w:frame="1"/>
        </w:rPr>
        <w:t xml:space="preserve">            </w:t>
      </w:r>
      <w:r w:rsidRPr="005977B0">
        <w:rPr>
          <w:rFonts w:ascii="Times New Roman" w:hAnsi="Times New Roman" w:cs="Times New Roman"/>
          <w:noProof/>
          <w:color w:val="333333"/>
          <w:sz w:val="24"/>
          <w:szCs w:val="24"/>
          <w:bdr w:val="none" w:sz="0" w:space="0" w:color="auto" w:frame="1"/>
          <w:lang w:eastAsia="es-ES"/>
        </w:rPr>
        <w:drawing>
          <wp:inline distT="0" distB="0" distL="0" distR="0" wp14:anchorId="39DD4584" wp14:editId="78C0BBC8">
            <wp:extent cx="4895850" cy="4826000"/>
            <wp:effectExtent l="0" t="0" r="0" b="0"/>
            <wp:docPr id="156" name="Imagen 156" descr="endeudamiento-pri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ndeudamiento-privado.jpg"/>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4895850" cy="4826000"/>
                    </a:xfrm>
                    <a:prstGeom prst="rect">
                      <a:avLst/>
                    </a:prstGeom>
                    <a:noFill/>
                    <a:ln>
                      <a:noFill/>
                    </a:ln>
                  </pic:spPr>
                </pic:pic>
              </a:graphicData>
            </a:graphic>
          </wp:inline>
        </w:drawing>
      </w:r>
    </w:p>
    <w:p w:rsidR="007536E6" w:rsidRPr="00106F9A" w:rsidRDefault="007536E6" w:rsidP="007536E6">
      <w:pPr>
        <w:pStyle w:val="NormalWeb"/>
        <w:shd w:val="clear" w:color="auto" w:fill="FFFFFF"/>
        <w:spacing w:before="0" w:beforeAutospacing="0" w:after="0" w:afterAutospacing="0"/>
        <w:jc w:val="both"/>
        <w:textAlignment w:val="baseline"/>
        <w:rPr>
          <w:color w:val="FF0000"/>
          <w:u w:val="single"/>
          <w:bdr w:val="none" w:sz="0" w:space="0" w:color="auto" w:frame="1"/>
        </w:rPr>
      </w:pPr>
      <w:r w:rsidRPr="00F95839">
        <w:rPr>
          <w:bdr w:val="none" w:sz="0" w:space="0" w:color="auto" w:frame="1"/>
        </w:rPr>
        <w:t xml:space="preserve">Esto, sin embargo, no debe hacernos perder la perspectiva: </w:t>
      </w:r>
      <w:r w:rsidRPr="00106F9A">
        <w:rPr>
          <w:color w:val="FF0000"/>
          <w:u w:val="single"/>
          <w:bdr w:val="none" w:sz="0" w:space="0" w:color="auto" w:frame="1"/>
        </w:rPr>
        <w:t>La concentración del riesgo en activos teóricamente seguros no lo ha mitigado. Tan sólo lo ha maquillado y ha permitido que se concentre mucho más. O, dicho de otra manera, </w:t>
      </w:r>
      <w:r w:rsidRPr="00DC0283">
        <w:rPr>
          <w:rStyle w:val="Textoennegrita"/>
          <w:b w:val="0"/>
          <w:color w:val="FF0000"/>
          <w:u w:val="single"/>
          <w:bdr w:val="none" w:sz="0" w:space="0" w:color="auto" w:frame="1"/>
        </w:rPr>
        <w:t>el riesgo es mucho mayor, aunque está más concentrado en agentes</w:t>
      </w:r>
      <w:r w:rsidRPr="00DC0283">
        <w:rPr>
          <w:b/>
          <w:color w:val="FF0000"/>
          <w:u w:val="single"/>
          <w:bdr w:val="none" w:sz="0" w:space="0" w:color="auto" w:frame="1"/>
        </w:rPr>
        <w:t> </w:t>
      </w:r>
      <w:r w:rsidRPr="00106F9A">
        <w:rPr>
          <w:color w:val="FF0000"/>
          <w:u w:val="single"/>
          <w:bdr w:val="none" w:sz="0" w:space="0" w:color="auto" w:frame="1"/>
        </w:rPr>
        <w:t>que, supuestamente, son más solventes.</w:t>
      </w:r>
    </w:p>
    <w:p w:rsidR="007536E6" w:rsidRPr="00106F9A" w:rsidRDefault="007536E6" w:rsidP="007536E6">
      <w:pPr>
        <w:pStyle w:val="NormalWeb"/>
        <w:shd w:val="clear" w:color="auto" w:fill="FFFFFF"/>
        <w:spacing w:before="0" w:beforeAutospacing="0" w:after="0" w:afterAutospacing="0"/>
        <w:jc w:val="both"/>
        <w:textAlignment w:val="baseline"/>
        <w:rPr>
          <w:color w:val="FF0000"/>
          <w:u w:val="single"/>
          <w:bdr w:val="none" w:sz="0" w:space="0" w:color="auto" w:frame="1"/>
        </w:rPr>
      </w:pPr>
    </w:p>
    <w:p w:rsidR="007536E6" w:rsidRDefault="007536E6" w:rsidP="007536E6">
      <w:pPr>
        <w:pStyle w:val="NormalWeb"/>
        <w:shd w:val="clear" w:color="auto" w:fill="FFFFFF"/>
        <w:spacing w:before="0" w:beforeAutospacing="0" w:after="0" w:afterAutospacing="0"/>
        <w:jc w:val="both"/>
        <w:textAlignment w:val="baseline"/>
        <w:rPr>
          <w:color w:val="FF0000"/>
          <w:u w:val="single"/>
          <w:bdr w:val="none" w:sz="0" w:space="0" w:color="auto" w:frame="1"/>
        </w:rPr>
      </w:pPr>
      <w:r w:rsidRPr="00106F9A">
        <w:rPr>
          <w:color w:val="FF0000"/>
          <w:u w:val="single"/>
          <w:bdr w:val="none" w:sz="0" w:space="0" w:color="auto" w:frame="1"/>
        </w:rPr>
        <w:t>Lo que queda claro, a la luz del informe de FMI,</w:t>
      </w:r>
      <w:r w:rsidRPr="00106F9A">
        <w:rPr>
          <w:rStyle w:val="Textoennegrita"/>
          <w:color w:val="FF0000"/>
          <w:u w:val="single"/>
          <w:bdr w:val="none" w:sz="0" w:space="0" w:color="auto" w:frame="1"/>
        </w:rPr>
        <w:t> es que el perfil de riesgo mundial es mucho mayor que el de 2008</w:t>
      </w:r>
      <w:r w:rsidRPr="00106F9A">
        <w:rPr>
          <w:color w:val="FF0000"/>
          <w:u w:val="single"/>
          <w:bdr w:val="none" w:sz="0" w:space="0" w:color="auto" w:frame="1"/>
        </w:rPr>
        <w:t> en prácticamente todos los sectores.</w:t>
      </w:r>
      <w:r w:rsidRPr="00106F9A">
        <w:rPr>
          <w:color w:val="FF0000"/>
          <w:bdr w:val="none" w:sz="0" w:space="0" w:color="auto" w:frame="1"/>
        </w:rPr>
        <w:t xml:space="preserve"> </w:t>
      </w:r>
      <w:r w:rsidRPr="00106F9A">
        <w:rPr>
          <w:color w:val="FF0000"/>
          <w:u w:val="single"/>
          <w:bdr w:val="none" w:sz="0" w:space="0" w:color="auto" w:frame="1"/>
        </w:rPr>
        <w:t xml:space="preserve">Además, China es la zona </w:t>
      </w:r>
      <w:r w:rsidRPr="00106F9A">
        <w:rPr>
          <w:color w:val="FF0000"/>
          <w:u w:val="single"/>
          <w:bdr w:val="none" w:sz="0" w:space="0" w:color="auto" w:frame="1"/>
        </w:rPr>
        <w:lastRenderedPageBreak/>
        <w:t>con mayor riesgo actualmente, seguida de la zona Euro. Estados Unidos, por su parte, tampoco está exento de malas noticias, aunque por el momento los nubarrones se ven más lejanos por su buena evolución económica durante 2020.</w:t>
      </w:r>
    </w:p>
    <w:p w:rsidR="00F95839" w:rsidRPr="00106F9A" w:rsidRDefault="00F95839" w:rsidP="007536E6">
      <w:pPr>
        <w:pStyle w:val="NormalWeb"/>
        <w:shd w:val="clear" w:color="auto" w:fill="FFFFFF"/>
        <w:spacing w:before="0" w:beforeAutospacing="0" w:after="0" w:afterAutospacing="0"/>
        <w:jc w:val="both"/>
        <w:textAlignment w:val="baseline"/>
        <w:rPr>
          <w:color w:val="FF0000"/>
          <w:u w:val="single"/>
          <w:bdr w:val="none" w:sz="0" w:space="0" w:color="auto" w:frame="1"/>
        </w:rPr>
      </w:pPr>
    </w:p>
    <w:p w:rsidR="007536E6" w:rsidRPr="005977B0" w:rsidRDefault="007536E6" w:rsidP="007536E6">
      <w:pPr>
        <w:shd w:val="clear" w:color="auto" w:fill="FFFFFF"/>
        <w:spacing w:line="240" w:lineRule="auto"/>
        <w:jc w:val="both"/>
        <w:textAlignment w:val="baseline"/>
        <w:rPr>
          <w:rFonts w:ascii="Times New Roman" w:hAnsi="Times New Roman" w:cs="Times New Roman"/>
          <w:color w:val="333333"/>
          <w:sz w:val="24"/>
          <w:szCs w:val="24"/>
          <w:bdr w:val="none" w:sz="0" w:space="0" w:color="auto" w:frame="1"/>
        </w:rPr>
      </w:pPr>
      <w:r w:rsidRPr="005977B0">
        <w:rPr>
          <w:rFonts w:ascii="Times New Roman" w:hAnsi="Times New Roman" w:cs="Times New Roman"/>
          <w:noProof/>
          <w:color w:val="E97D3B"/>
          <w:sz w:val="24"/>
          <w:szCs w:val="24"/>
          <w:bdr w:val="none" w:sz="0" w:space="0" w:color="auto" w:frame="1"/>
          <w:lang w:eastAsia="es-ES"/>
        </w:rPr>
        <w:drawing>
          <wp:inline distT="0" distB="0" distL="0" distR="0" wp14:anchorId="14F0D7E7" wp14:editId="76977049">
            <wp:extent cx="5746750" cy="5467350"/>
            <wp:effectExtent l="0" t="0" r="6350" b="0"/>
            <wp:docPr id="195" name="Imagen 195" descr="riesgos.jpg">
              <a:hlinkClick xmlns:a="http://schemas.openxmlformats.org/drawingml/2006/main" r:id="rId325"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iesgos.jpg">
                      <a:hlinkClick r:id="rId325" tooltip="&quot;&quot;"/>
                    </pic:cNvPr>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5746750" cy="5467350"/>
                    </a:xfrm>
                    <a:prstGeom prst="rect">
                      <a:avLst/>
                    </a:prstGeom>
                    <a:noFill/>
                    <a:ln>
                      <a:noFill/>
                    </a:ln>
                  </pic:spPr>
                </pic:pic>
              </a:graphicData>
            </a:graphic>
          </wp:inline>
        </w:drawing>
      </w:r>
    </w:p>
    <w:p w:rsidR="007536E6" w:rsidRPr="00106F9A" w:rsidRDefault="007536E6" w:rsidP="007536E6">
      <w:pPr>
        <w:pStyle w:val="NormalWeb"/>
        <w:shd w:val="clear" w:color="auto" w:fill="FFFFFF"/>
        <w:spacing w:before="0" w:beforeAutospacing="0" w:after="0" w:afterAutospacing="0"/>
        <w:jc w:val="both"/>
        <w:textAlignment w:val="baseline"/>
        <w:rPr>
          <w:color w:val="FF0000"/>
          <w:u w:val="single"/>
          <w:bdr w:val="none" w:sz="0" w:space="0" w:color="auto" w:frame="1"/>
        </w:rPr>
      </w:pPr>
      <w:r w:rsidRPr="00106F9A">
        <w:rPr>
          <w:color w:val="FF0000"/>
          <w:u w:val="single"/>
          <w:bdr w:val="none" w:sz="0" w:space="0" w:color="auto" w:frame="1"/>
        </w:rPr>
        <w:t>Esta vez no será distinto. Antes o después los desequilibrios financieros que venimos acumulando durante años explotarán y</w:t>
      </w:r>
      <w:r w:rsidRPr="00106F9A">
        <w:rPr>
          <w:rStyle w:val="Textoennegrita"/>
          <w:color w:val="FF0000"/>
          <w:u w:val="single"/>
          <w:bdr w:val="none" w:sz="0" w:space="0" w:color="auto" w:frame="1"/>
        </w:rPr>
        <w:t> no seremos capaces de medir el impacto por el efecto sedante que llevamos aplicando a los mercados </w:t>
      </w:r>
      <w:r w:rsidRPr="00DC0283">
        <w:rPr>
          <w:b/>
          <w:color w:val="FF0000"/>
          <w:u w:val="single"/>
          <w:bdr w:val="none" w:sz="0" w:space="0" w:color="auto" w:frame="1"/>
        </w:rPr>
        <w:t>durante los últimos años</w:t>
      </w:r>
      <w:r w:rsidRPr="00106F9A">
        <w:rPr>
          <w:color w:val="FF0000"/>
          <w:u w:val="single"/>
          <w:bdr w:val="none" w:sz="0" w:space="0" w:color="auto" w:frame="1"/>
        </w:rPr>
        <w:t>. Lo que sí será distinto a 2008 es que esta vez sí que habrá habido alertas tempranas. Y, salvo China, que lleva varios meses moderando su política monetaria y está intentando gestionar la crisis de crédito de Evergrande, en el resto del mundo están cayendo en saco roto.</w:t>
      </w:r>
    </w:p>
    <w:p w:rsidR="007536E6" w:rsidRPr="005977B0" w:rsidRDefault="007536E6" w:rsidP="007536E6">
      <w:pPr>
        <w:pStyle w:val="NormalWeb"/>
        <w:shd w:val="clear" w:color="auto" w:fill="FFFFFF"/>
        <w:spacing w:before="0" w:beforeAutospacing="0" w:after="0" w:afterAutospacing="0"/>
        <w:jc w:val="both"/>
        <w:textAlignment w:val="baseline"/>
        <w:rPr>
          <w:color w:val="333333"/>
          <w:bdr w:val="none" w:sz="0" w:space="0" w:color="auto" w:frame="1"/>
        </w:rPr>
      </w:pPr>
    </w:p>
    <w:p w:rsidR="007536E6" w:rsidRPr="004A0AB9" w:rsidRDefault="007536E6" w:rsidP="007536E6">
      <w:pPr>
        <w:pStyle w:val="Ttulo3"/>
        <w:shd w:val="clear" w:color="auto" w:fill="FFFFFF"/>
        <w:spacing w:before="0" w:after="242" w:line="240" w:lineRule="auto"/>
        <w:jc w:val="both"/>
        <w:textAlignment w:val="baseline"/>
        <w:rPr>
          <w:rFonts w:ascii="Times New Roman" w:hAnsi="Times New Roman" w:cs="Times New Roman"/>
          <w:b w:val="0"/>
          <w:bCs w:val="0"/>
          <w:color w:val="auto"/>
          <w:sz w:val="24"/>
          <w:szCs w:val="24"/>
          <w:bdr w:val="none" w:sz="0" w:space="0" w:color="auto" w:frame="1"/>
        </w:rPr>
      </w:pPr>
      <w:r w:rsidRPr="004A0AB9">
        <w:rPr>
          <w:rFonts w:ascii="Times New Roman" w:hAnsi="Times New Roman" w:cs="Times New Roman"/>
          <w:b w:val="0"/>
          <w:bCs w:val="0"/>
          <w:color w:val="auto"/>
          <w:sz w:val="24"/>
          <w:szCs w:val="24"/>
          <w:bdr w:val="none" w:sz="0" w:space="0" w:color="auto" w:frame="1"/>
        </w:rPr>
        <w:t>3. Una recuperación débil y endeudada</w:t>
      </w:r>
    </w:p>
    <w:p w:rsidR="007536E6" w:rsidRPr="00106F9A" w:rsidRDefault="007536E6" w:rsidP="007536E6">
      <w:pPr>
        <w:pStyle w:val="NormalWeb"/>
        <w:shd w:val="clear" w:color="auto" w:fill="FFFFFF"/>
        <w:spacing w:before="0" w:beforeAutospacing="0" w:after="0" w:afterAutospacing="0"/>
        <w:jc w:val="both"/>
        <w:textAlignment w:val="baseline"/>
        <w:rPr>
          <w:rStyle w:val="Textoennegrita"/>
          <w:color w:val="FF0000"/>
          <w:u w:val="single"/>
          <w:bdr w:val="none" w:sz="0" w:space="0" w:color="auto" w:frame="1"/>
        </w:rPr>
      </w:pPr>
      <w:r w:rsidRPr="00106F9A">
        <w:rPr>
          <w:color w:val="FF0000"/>
          <w:u w:val="single"/>
          <w:bdr w:val="none" w:sz="0" w:space="0" w:color="auto" w:frame="1"/>
        </w:rPr>
        <w:t>Y el último mensaje relevante que deja el Fondo Monetario Internacional es el del patrón de crecimiento. En la etapa del dinero fiat, en el que se pueden solucionar todas las irresponsabilidades políticas, los desmanes financieros, las catástrofes naturales y hasta las anomalías sanitarias como el Covid19 con dinero que está soportado sólo por la confianza,</w:t>
      </w:r>
      <w:r w:rsidRPr="00106F9A">
        <w:rPr>
          <w:rStyle w:val="Textoennegrita"/>
          <w:color w:val="FF0000"/>
          <w:u w:val="single"/>
          <w:bdr w:val="none" w:sz="0" w:space="0" w:color="auto" w:frame="1"/>
        </w:rPr>
        <w:t> los rendimientos decrecientes ya hacen acto de presencia.</w:t>
      </w:r>
    </w:p>
    <w:p w:rsidR="007536E6" w:rsidRPr="00F95839" w:rsidRDefault="007536E6" w:rsidP="007536E6">
      <w:pPr>
        <w:pStyle w:val="NormalWeb"/>
        <w:shd w:val="clear" w:color="auto" w:fill="FFFFFF"/>
        <w:spacing w:before="0" w:beforeAutospacing="0" w:after="0" w:afterAutospacing="0"/>
        <w:jc w:val="both"/>
        <w:textAlignment w:val="baseline"/>
        <w:rPr>
          <w:bdr w:val="none" w:sz="0" w:space="0" w:color="auto" w:frame="1"/>
        </w:rPr>
      </w:pPr>
      <w:r w:rsidRPr="005977B0">
        <w:rPr>
          <w:rStyle w:val="Textoennegrita"/>
          <w:color w:val="333333"/>
          <w:bdr w:val="none" w:sz="0" w:space="0" w:color="auto" w:frame="1"/>
        </w:rPr>
        <w:lastRenderedPageBreak/>
        <w:t>¿Qué es la ley de rendimientos decrecientes? </w:t>
      </w:r>
      <w:r w:rsidRPr="00F95839">
        <w:rPr>
          <w:bdr w:val="none" w:sz="0" w:space="0" w:color="auto" w:frame="1"/>
        </w:rPr>
        <w:t>Muy sencillo: Para una persona con ingresos de 100€, una inyección de otros 100</w:t>
      </w:r>
      <w:r w:rsidR="004D74E7" w:rsidRPr="00F95839">
        <w:rPr>
          <w:bdr w:val="none" w:sz="0" w:space="0" w:color="auto" w:frame="1"/>
        </w:rPr>
        <w:t xml:space="preserve"> </w:t>
      </w:r>
      <w:r w:rsidRPr="00F95839">
        <w:rPr>
          <w:bdr w:val="none" w:sz="0" w:space="0" w:color="auto" w:frame="1"/>
        </w:rPr>
        <w:t>€ supone duplicar su poder adquisitivo y mejorar sustancialmente sus niveles de vida. Sin embargo, conforme esa misma persona va mejorando su patrimonio hasta alcanzar los 10.000</w:t>
      </w:r>
      <w:r w:rsidR="004D74E7" w:rsidRPr="00F95839">
        <w:rPr>
          <w:bdr w:val="none" w:sz="0" w:space="0" w:color="auto" w:frame="1"/>
        </w:rPr>
        <w:t xml:space="preserve"> </w:t>
      </w:r>
      <w:r w:rsidRPr="00F95839">
        <w:rPr>
          <w:bdr w:val="none" w:sz="0" w:space="0" w:color="auto" w:frame="1"/>
        </w:rPr>
        <w:t>€, la misma inyección de 100</w:t>
      </w:r>
      <w:r w:rsidR="004D74E7" w:rsidRPr="00F95839">
        <w:rPr>
          <w:bdr w:val="none" w:sz="0" w:space="0" w:color="auto" w:frame="1"/>
        </w:rPr>
        <w:t xml:space="preserve"> </w:t>
      </w:r>
      <w:r w:rsidRPr="00F95839">
        <w:rPr>
          <w:bdr w:val="none" w:sz="0" w:space="0" w:color="auto" w:frame="1"/>
        </w:rPr>
        <w:t>€ supone una ganancia marginal de utilidad que es residual, esto es, muy baja.</w:t>
      </w:r>
    </w:p>
    <w:p w:rsidR="007536E6" w:rsidRPr="00F95839" w:rsidRDefault="007536E6" w:rsidP="007536E6">
      <w:pPr>
        <w:pStyle w:val="NormalWeb"/>
        <w:shd w:val="clear" w:color="auto" w:fill="FFFFFF"/>
        <w:spacing w:before="0" w:beforeAutospacing="0" w:after="0" w:afterAutospacing="0"/>
        <w:jc w:val="both"/>
        <w:textAlignment w:val="baseline"/>
        <w:rPr>
          <w:bdr w:val="none" w:sz="0" w:space="0" w:color="auto" w:frame="1"/>
        </w:rPr>
      </w:pPr>
    </w:p>
    <w:p w:rsidR="007536E6" w:rsidRDefault="007536E6" w:rsidP="007536E6">
      <w:pPr>
        <w:pStyle w:val="NormalWeb"/>
        <w:shd w:val="clear" w:color="auto" w:fill="FFFFFF"/>
        <w:spacing w:before="0" w:beforeAutospacing="0" w:after="0" w:afterAutospacing="0"/>
        <w:jc w:val="both"/>
        <w:textAlignment w:val="baseline"/>
        <w:rPr>
          <w:rStyle w:val="Textoennegrita"/>
          <w:color w:val="333333"/>
          <w:bdr w:val="none" w:sz="0" w:space="0" w:color="auto" w:frame="1"/>
        </w:rPr>
      </w:pPr>
      <w:r w:rsidRPr="00F95839">
        <w:rPr>
          <w:bdr w:val="none" w:sz="0" w:space="0" w:color="auto" w:frame="1"/>
        </w:rPr>
        <w:t>Lo mismo pasa con las políticas públicas.</w:t>
      </w:r>
      <w:r w:rsidRPr="00F95839">
        <w:rPr>
          <w:rStyle w:val="Textoennegrita"/>
          <w:bdr w:val="none" w:sz="0" w:space="0" w:color="auto" w:frame="1"/>
        </w:rPr>
        <w:t> </w:t>
      </w:r>
      <w:r w:rsidRPr="00F95839">
        <w:rPr>
          <w:rStyle w:val="Textoennegrita"/>
          <w:b w:val="0"/>
          <w:bdr w:val="none" w:sz="0" w:space="0" w:color="auto" w:frame="1"/>
        </w:rPr>
        <w:t>El primer euro de inversión/estímulo tiene un efecto multiplicador elevado.</w:t>
      </w:r>
      <w:r w:rsidRPr="00F95839">
        <w:rPr>
          <w:rStyle w:val="Textoennegrita"/>
          <w:bdr w:val="none" w:sz="0" w:space="0" w:color="auto" w:frame="1"/>
        </w:rPr>
        <w:t> </w:t>
      </w:r>
      <w:r w:rsidRPr="00F95839">
        <w:rPr>
          <w:bdr w:val="none" w:sz="0" w:space="0" w:color="auto" w:frame="1"/>
        </w:rPr>
        <w:t>Pero</w:t>
      </w:r>
      <w:r w:rsidRPr="005977B0">
        <w:rPr>
          <w:color w:val="333333"/>
          <w:bdr w:val="none" w:sz="0" w:space="0" w:color="auto" w:frame="1"/>
        </w:rPr>
        <w:t xml:space="preserve"> </w:t>
      </w:r>
      <w:r w:rsidRPr="00106F9A">
        <w:rPr>
          <w:color w:val="FF0000"/>
          <w:u w:val="single"/>
          <w:bdr w:val="none" w:sz="0" w:space="0" w:color="auto" w:frame="1"/>
        </w:rPr>
        <w:t>ahora, con los estados suponiendo el 50% del PIB nacional y los bancos centrales superando el 60% del PIB (el caso del BCE supera el 70% del PIB de loa Eurozona), los estímulos suponen fundamentalmente incentivos perversos y tienen un efecto multiplicador por debajo de 1. </w:t>
      </w:r>
      <w:r w:rsidRPr="00DC0283">
        <w:rPr>
          <w:rStyle w:val="Textoennegrita"/>
          <w:b w:val="0"/>
          <w:color w:val="FF0000"/>
          <w:u w:val="single"/>
          <w:bdr w:val="none" w:sz="0" w:space="0" w:color="auto" w:frame="1"/>
        </w:rPr>
        <w:t>Es decir, son contraproducentes.</w:t>
      </w:r>
    </w:p>
    <w:p w:rsidR="007536E6" w:rsidRPr="005977B0" w:rsidRDefault="007536E6" w:rsidP="007536E6">
      <w:pPr>
        <w:pStyle w:val="NormalWeb"/>
        <w:shd w:val="clear" w:color="auto" w:fill="FFFFFF"/>
        <w:spacing w:before="0" w:beforeAutospacing="0" w:after="0" w:afterAutospacing="0"/>
        <w:jc w:val="both"/>
        <w:textAlignment w:val="baseline"/>
        <w:rPr>
          <w:color w:val="333333"/>
          <w:bdr w:val="none" w:sz="0" w:space="0" w:color="auto" w:frame="1"/>
        </w:rPr>
      </w:pPr>
    </w:p>
    <w:p w:rsidR="007536E6" w:rsidRDefault="007536E6" w:rsidP="007536E6">
      <w:pPr>
        <w:pStyle w:val="NormalWeb"/>
        <w:shd w:val="clear" w:color="auto" w:fill="FFFFFF"/>
        <w:spacing w:before="0" w:beforeAutospacing="0" w:after="0" w:afterAutospacing="0"/>
        <w:jc w:val="both"/>
        <w:textAlignment w:val="baseline"/>
        <w:rPr>
          <w:color w:val="FF0000"/>
          <w:u w:val="single"/>
          <w:bdr w:val="none" w:sz="0" w:space="0" w:color="auto" w:frame="1"/>
        </w:rPr>
      </w:pPr>
      <w:r w:rsidRPr="00106F9A">
        <w:rPr>
          <w:color w:val="FF0000"/>
          <w:u w:val="single"/>
          <w:bdr w:val="none" w:sz="0" w:space="0" w:color="auto" w:frame="1"/>
        </w:rPr>
        <w:t>La leve recuperación económica del Covid19 así lo demuestra: Tras la mayor inyección fiscal y monetaria de la historia, la recuperación ha sido corta, extremadamente débil y, sobre todo, muy endeudada</w:t>
      </w:r>
      <w:r w:rsidRPr="00106F9A">
        <w:rPr>
          <w:rStyle w:val="Textoennegrita"/>
          <w:color w:val="FF0000"/>
          <w:u w:val="single"/>
          <w:bdr w:val="none" w:sz="0" w:space="0" w:color="auto" w:frame="1"/>
        </w:rPr>
        <w:t xml:space="preserve">. Los Estados han acudido a la deuda pública barata para financiar gasto </w:t>
      </w:r>
      <w:r w:rsidRPr="00DC0283">
        <w:rPr>
          <w:rStyle w:val="Textoennegrita"/>
          <w:color w:val="FF0000"/>
          <w:u w:val="single"/>
          <w:bdr w:val="none" w:sz="0" w:space="0" w:color="auto" w:frame="1"/>
        </w:rPr>
        <w:t>improductivo</w:t>
      </w:r>
      <w:r w:rsidRPr="00106F9A">
        <w:rPr>
          <w:color w:val="FF0000"/>
          <w:u w:val="single"/>
          <w:bdr w:val="none" w:sz="0" w:space="0" w:color="auto" w:frame="1"/>
        </w:rPr>
        <w:t>, y eso tiene un impacto directo sobre la productividad y, por lo tanto, sobre la capacidad de crecer en el medio y largo plazo. La mayor parte de países lograrán igualar los niveles de PIB previos a la crisis en 2022. Esto, sin embargo, no debe hacernos perder la perspectiva. Los niveles de empleo y de endeudamiento previos a la crisis (que, recordemos, ya mostraban debilidad) tardarán mucho en recuperarse.</w:t>
      </w:r>
    </w:p>
    <w:p w:rsidR="00E65A04" w:rsidRPr="00106F9A" w:rsidRDefault="00E65A04" w:rsidP="007536E6">
      <w:pPr>
        <w:pStyle w:val="NormalWeb"/>
        <w:shd w:val="clear" w:color="auto" w:fill="FFFFFF"/>
        <w:spacing w:before="0" w:beforeAutospacing="0" w:after="0" w:afterAutospacing="0"/>
        <w:jc w:val="both"/>
        <w:textAlignment w:val="baseline"/>
        <w:rPr>
          <w:color w:val="FF0000"/>
          <w:u w:val="single"/>
          <w:bdr w:val="none" w:sz="0" w:space="0" w:color="auto" w:frame="1"/>
        </w:rPr>
      </w:pPr>
    </w:p>
    <w:p w:rsidR="007536E6" w:rsidRPr="005977B0" w:rsidRDefault="007536E6" w:rsidP="007536E6">
      <w:pPr>
        <w:shd w:val="clear" w:color="auto" w:fill="FFFFFF"/>
        <w:spacing w:line="240" w:lineRule="auto"/>
        <w:jc w:val="both"/>
        <w:textAlignment w:val="baseline"/>
        <w:rPr>
          <w:rFonts w:ascii="Times New Roman" w:hAnsi="Times New Roman" w:cs="Times New Roman"/>
          <w:color w:val="333333"/>
          <w:sz w:val="24"/>
          <w:szCs w:val="24"/>
          <w:bdr w:val="none" w:sz="0" w:space="0" w:color="auto" w:frame="1"/>
        </w:rPr>
      </w:pPr>
      <w:r>
        <w:rPr>
          <w:rFonts w:ascii="Times New Roman" w:hAnsi="Times New Roman" w:cs="Times New Roman"/>
          <w:color w:val="333333"/>
          <w:sz w:val="24"/>
          <w:szCs w:val="24"/>
          <w:bdr w:val="none" w:sz="0" w:space="0" w:color="auto" w:frame="1"/>
        </w:rPr>
        <w:t xml:space="preserve">                       </w:t>
      </w:r>
      <w:r w:rsidRPr="005977B0">
        <w:rPr>
          <w:rFonts w:ascii="Times New Roman" w:hAnsi="Times New Roman" w:cs="Times New Roman"/>
          <w:noProof/>
          <w:color w:val="E97D3B"/>
          <w:sz w:val="24"/>
          <w:szCs w:val="24"/>
          <w:bdr w:val="none" w:sz="0" w:space="0" w:color="auto" w:frame="1"/>
          <w:lang w:eastAsia="es-ES"/>
        </w:rPr>
        <w:drawing>
          <wp:inline distT="0" distB="0" distL="0" distR="0" wp14:anchorId="2ABBA9A4" wp14:editId="7C67BBA3">
            <wp:extent cx="3746500" cy="4997450"/>
            <wp:effectExtent l="0" t="0" r="6350" b="0"/>
            <wp:docPr id="200" name="Imagen 200" descr="endeudamiento-y-paro.jpg">
              <a:hlinkClick xmlns:a="http://schemas.openxmlformats.org/drawingml/2006/main" r:id="rId327"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ndeudamiento-y-paro.jpg">
                      <a:hlinkClick r:id="rId327" tooltip="&quot;&quot;"/>
                    </pic:cNvPr>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3746500" cy="4997450"/>
                    </a:xfrm>
                    <a:prstGeom prst="rect">
                      <a:avLst/>
                    </a:prstGeom>
                    <a:noFill/>
                    <a:ln>
                      <a:noFill/>
                    </a:ln>
                  </pic:spPr>
                </pic:pic>
              </a:graphicData>
            </a:graphic>
          </wp:inline>
        </w:drawing>
      </w:r>
    </w:p>
    <w:p w:rsidR="007536E6" w:rsidRPr="00F95839" w:rsidRDefault="007536E6" w:rsidP="007536E6">
      <w:pPr>
        <w:pStyle w:val="NormalWeb"/>
        <w:shd w:val="clear" w:color="auto" w:fill="FFFFFF"/>
        <w:spacing w:before="0" w:beforeAutospacing="0" w:after="0" w:afterAutospacing="0"/>
        <w:jc w:val="both"/>
        <w:textAlignment w:val="baseline"/>
        <w:rPr>
          <w:bdr w:val="none" w:sz="0" w:space="0" w:color="auto" w:frame="1"/>
        </w:rPr>
      </w:pPr>
      <w:r w:rsidRPr="00A20273">
        <w:rPr>
          <w:color w:val="FF0000"/>
          <w:u w:val="single"/>
          <w:bdr w:val="none" w:sz="0" w:space="0" w:color="auto" w:frame="1"/>
        </w:rPr>
        <w:lastRenderedPageBreak/>
        <w:t>En definitiva:</w:t>
      </w:r>
      <w:r w:rsidRPr="00A20273">
        <w:rPr>
          <w:rStyle w:val="Textoennegrita"/>
          <w:color w:val="FF0000"/>
          <w:u w:val="single"/>
          <w:bdr w:val="none" w:sz="0" w:space="0" w:color="auto" w:frame="1"/>
        </w:rPr>
        <w:t> Una recuperación débil, endeudada, pobre en términos de empleo y con graves riesgos a la baja.</w:t>
      </w:r>
      <w:r w:rsidRPr="00A20273">
        <w:rPr>
          <w:color w:val="FF0000"/>
          <w:u w:val="single"/>
          <w:bdr w:val="none" w:sz="0" w:space="0" w:color="auto" w:frame="1"/>
        </w:rPr>
        <w:t> Y la inflación, con cada vez más elementos estructurales de los que deberíamos preocuparnos</w:t>
      </w:r>
      <w:r w:rsidRPr="005977B0">
        <w:rPr>
          <w:color w:val="333333"/>
          <w:bdr w:val="none" w:sz="0" w:space="0" w:color="auto" w:frame="1"/>
        </w:rPr>
        <w:t xml:space="preserve">. </w:t>
      </w:r>
      <w:r w:rsidRPr="00F95839">
        <w:rPr>
          <w:bdr w:val="none" w:sz="0" w:space="0" w:color="auto" w:frame="1"/>
        </w:rPr>
        <w:t>Esta misma semana Francia ha anunciado un</w:t>
      </w:r>
      <w:r w:rsidRPr="00F95839">
        <w:rPr>
          <w:rStyle w:val="Textoennegrita"/>
          <w:bdr w:val="none" w:sz="0" w:space="0" w:color="auto" w:frame="1"/>
        </w:rPr>
        <w:t> </w:t>
      </w:r>
      <w:r w:rsidRPr="00F95839">
        <w:rPr>
          <w:rStyle w:val="Textoennegrita"/>
          <w:b w:val="0"/>
          <w:bdr w:val="none" w:sz="0" w:space="0" w:color="auto" w:frame="1"/>
        </w:rPr>
        <w:t>bono de 100 € para que las rentas menores a 2.000 € al mes no pierdan poder adquisitivo</w:t>
      </w:r>
      <w:r w:rsidRPr="00F95839">
        <w:rPr>
          <w:bdr w:val="none" w:sz="0" w:space="0" w:color="auto" w:frame="1"/>
        </w:rPr>
        <w:t> como consecuencia del repunte de la inflación.</w:t>
      </w:r>
    </w:p>
    <w:p w:rsidR="007536E6" w:rsidRPr="00F95839" w:rsidRDefault="007536E6" w:rsidP="007536E6">
      <w:pPr>
        <w:pStyle w:val="NormalWeb"/>
        <w:shd w:val="clear" w:color="auto" w:fill="FFFFFF"/>
        <w:spacing w:before="0" w:beforeAutospacing="0" w:after="0" w:afterAutospacing="0"/>
        <w:jc w:val="both"/>
        <w:textAlignment w:val="baseline"/>
        <w:rPr>
          <w:bdr w:val="none" w:sz="0" w:space="0" w:color="auto" w:frame="1"/>
        </w:rPr>
      </w:pPr>
    </w:p>
    <w:p w:rsidR="007536E6" w:rsidRPr="00F95839" w:rsidRDefault="007536E6" w:rsidP="007536E6">
      <w:pPr>
        <w:pStyle w:val="NormalWeb"/>
        <w:shd w:val="clear" w:color="auto" w:fill="FFFFFF"/>
        <w:spacing w:before="0" w:beforeAutospacing="0" w:after="360" w:afterAutospacing="0"/>
        <w:jc w:val="both"/>
        <w:textAlignment w:val="baseline"/>
        <w:rPr>
          <w:bdr w:val="none" w:sz="0" w:space="0" w:color="auto" w:frame="1"/>
        </w:rPr>
      </w:pPr>
      <w:r w:rsidRPr="00F95839">
        <w:rPr>
          <w:bdr w:val="none" w:sz="0" w:space="0" w:color="auto" w:frame="1"/>
        </w:rPr>
        <w:t>Nosotro</w:t>
      </w:r>
      <w:r w:rsidR="00CF6789" w:rsidRPr="00F95839">
        <w:rPr>
          <w:bdr w:val="none" w:sz="0" w:space="0" w:color="auto" w:frame="1"/>
        </w:rPr>
        <w:t>s, en España, seguimos con las “medallas de oro”</w:t>
      </w:r>
      <w:r w:rsidRPr="00F95839">
        <w:rPr>
          <w:bdr w:val="none" w:sz="0" w:space="0" w:color="auto" w:frame="1"/>
        </w:rPr>
        <w:t>, las cifras históricas, unos presupuestos de mentira y un gobierno que no cesa en su empeño de mandar globos sonda que expulsan la inversión y desincentivan la actividad privada.</w:t>
      </w:r>
    </w:p>
    <w:p w:rsidR="007536E6" w:rsidRPr="00F95839" w:rsidRDefault="007536E6" w:rsidP="007536E6">
      <w:pPr>
        <w:pStyle w:val="NormalWeb"/>
        <w:shd w:val="clear" w:color="auto" w:fill="FFFFFF"/>
        <w:spacing w:before="0" w:beforeAutospacing="0" w:after="0" w:afterAutospacing="0"/>
        <w:jc w:val="both"/>
        <w:textAlignment w:val="baseline"/>
        <w:rPr>
          <w:bdr w:val="none" w:sz="0" w:space="0" w:color="auto" w:frame="1"/>
        </w:rPr>
      </w:pPr>
      <w:r w:rsidRPr="00F95839">
        <w:rPr>
          <w:bdr w:val="none" w:sz="0" w:space="0" w:color="auto" w:frame="1"/>
        </w:rPr>
        <w:t>Será por ello que nuestro país ha sufrido</w:t>
      </w:r>
      <w:r w:rsidRPr="00F95839">
        <w:rPr>
          <w:rStyle w:val="Textoennegrita"/>
          <w:bdr w:val="none" w:sz="0" w:space="0" w:color="auto" w:frame="1"/>
        </w:rPr>
        <w:t> </w:t>
      </w:r>
      <w:r w:rsidRPr="00F95839">
        <w:rPr>
          <w:rStyle w:val="Textoennegrita"/>
          <w:b w:val="0"/>
          <w:bdr w:val="none" w:sz="0" w:space="0" w:color="auto" w:frame="1"/>
        </w:rPr>
        <w:t>la mayor revisión a la baja en el crecimiento estimado del PIB de toda Europa:</w:t>
      </w:r>
      <w:r w:rsidRPr="00F95839">
        <w:rPr>
          <w:bdr w:val="none" w:sz="0" w:space="0" w:color="auto" w:frame="1"/>
        </w:rPr>
        <w:t> Caída de 7 décimas en 2021 frente a una reducción de 1 décima a nivel global… y una subida de 6 décimas de la UE. Pero ya saben, en 2022 creceremos más y seremos campeones europeos.</w:t>
      </w:r>
    </w:p>
    <w:p w:rsidR="007536E6" w:rsidRPr="00F95839" w:rsidRDefault="007536E6" w:rsidP="007536E6">
      <w:pPr>
        <w:pStyle w:val="NormalWeb"/>
        <w:shd w:val="clear" w:color="auto" w:fill="FFFFFF"/>
        <w:spacing w:before="0" w:beforeAutospacing="0" w:after="0" w:afterAutospacing="0"/>
        <w:jc w:val="both"/>
        <w:textAlignment w:val="baseline"/>
        <w:rPr>
          <w:bdr w:val="none" w:sz="0" w:space="0" w:color="auto" w:frame="1"/>
        </w:rPr>
      </w:pPr>
    </w:p>
    <w:p w:rsidR="007536E6" w:rsidRPr="00F95839" w:rsidRDefault="007536E6" w:rsidP="007536E6">
      <w:pPr>
        <w:pStyle w:val="NormalWeb"/>
        <w:shd w:val="clear" w:color="auto" w:fill="FFFFFF"/>
        <w:spacing w:before="0" w:beforeAutospacing="0" w:after="360" w:afterAutospacing="0"/>
        <w:jc w:val="both"/>
        <w:textAlignment w:val="baseline"/>
        <w:rPr>
          <w:bdr w:val="none" w:sz="0" w:space="0" w:color="auto" w:frame="1"/>
        </w:rPr>
      </w:pPr>
      <w:r w:rsidRPr="00F95839">
        <w:rPr>
          <w:bdr w:val="none" w:sz="0" w:space="0" w:color="auto" w:frame="1"/>
        </w:rPr>
        <w:t>Lo mismo que nos decían desde el Gobierno de España en 2020 sobre 2021.</w:t>
      </w:r>
    </w:p>
    <w:p w:rsidR="007536E6" w:rsidRDefault="007536E6" w:rsidP="007536E6">
      <w:pPr>
        <w:shd w:val="clear" w:color="auto" w:fill="FFFFFF"/>
        <w:spacing w:line="480" w:lineRule="atLeast"/>
        <w:textAlignment w:val="baseline"/>
        <w:rPr>
          <w:rFonts w:ascii="Arial" w:hAnsi="Arial" w:cs="Arial"/>
          <w:color w:val="333333"/>
          <w:sz w:val="30"/>
          <w:szCs w:val="30"/>
        </w:rPr>
      </w:pPr>
      <w:r>
        <w:rPr>
          <w:rFonts w:ascii="inherit" w:hAnsi="inherit" w:cs="Arial"/>
          <w:noProof/>
          <w:color w:val="E97D3B"/>
          <w:sz w:val="18"/>
          <w:szCs w:val="18"/>
          <w:bdr w:val="none" w:sz="0" w:space="0" w:color="auto" w:frame="1"/>
          <w:lang w:eastAsia="es-ES"/>
        </w:rPr>
        <w:drawing>
          <wp:inline distT="0" distB="0" distL="0" distR="0" wp14:anchorId="32964BDC" wp14:editId="4AE90346">
            <wp:extent cx="6013450" cy="4864100"/>
            <wp:effectExtent l="0" t="0" r="6350" b="0"/>
            <wp:docPr id="223" name="Imagen 223" descr="estimaciones.jpg">
              <a:hlinkClick xmlns:a="http://schemas.openxmlformats.org/drawingml/2006/main" r:id="rId329"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stimaciones.jpg">
                      <a:hlinkClick r:id="rId329" tooltip="&quot;&quot;"/>
                    </pic:cNvPr>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6013450" cy="4864100"/>
                    </a:xfrm>
                    <a:prstGeom prst="rect">
                      <a:avLst/>
                    </a:prstGeom>
                    <a:noFill/>
                    <a:ln>
                      <a:noFill/>
                    </a:ln>
                  </pic:spPr>
                </pic:pic>
              </a:graphicData>
            </a:graphic>
          </wp:inline>
        </w:drawing>
      </w:r>
    </w:p>
    <w:p w:rsidR="007536E6" w:rsidRPr="00CF6789" w:rsidRDefault="007536E6" w:rsidP="007536E6">
      <w:pPr>
        <w:pStyle w:val="selectionshareable"/>
        <w:shd w:val="clear" w:color="auto" w:fill="FFFFFF"/>
        <w:spacing w:after="300"/>
        <w:jc w:val="both"/>
        <w:textAlignment w:val="baseline"/>
        <w:rPr>
          <w:b/>
          <w:color w:val="333333"/>
          <w:shd w:val="clear" w:color="auto" w:fill="FFFFFF"/>
        </w:rPr>
      </w:pPr>
      <w:r w:rsidRPr="00CF6789">
        <w:rPr>
          <w:b/>
          <w:color w:val="333333"/>
          <w:shd w:val="clear" w:color="auto" w:fill="FFFFFF"/>
        </w:rPr>
        <w:t>Nota: con este “pronóstico” del FMI (Overview of the</w:t>
      </w:r>
      <w:r w:rsidR="00CF6789" w:rsidRPr="00CF6789">
        <w:rPr>
          <w:b/>
          <w:color w:val="333333"/>
          <w:shd w:val="clear" w:color="auto" w:fill="FFFFFF"/>
        </w:rPr>
        <w:t xml:space="preserve"> World</w:t>
      </w:r>
      <w:r w:rsidRPr="00CF6789">
        <w:rPr>
          <w:b/>
          <w:color w:val="333333"/>
          <w:shd w:val="clear" w:color="auto" w:fill="FFFFFF"/>
        </w:rPr>
        <w:t xml:space="preserve"> Econo</w:t>
      </w:r>
      <w:r w:rsidR="00C45B46">
        <w:rPr>
          <w:b/>
          <w:color w:val="333333"/>
          <w:shd w:val="clear" w:color="auto" w:fill="FFFFFF"/>
        </w:rPr>
        <w:t>mic Outlook Proyection), doy por terminado</w:t>
      </w:r>
      <w:r w:rsidRPr="00CF6789">
        <w:rPr>
          <w:b/>
          <w:color w:val="333333"/>
          <w:shd w:val="clear" w:color="auto" w:fill="FFFFFF"/>
        </w:rPr>
        <w:t xml:space="preserve"> el recorrido po</w:t>
      </w:r>
      <w:r w:rsidR="00DC0283">
        <w:rPr>
          <w:b/>
          <w:color w:val="333333"/>
          <w:shd w:val="clear" w:color="auto" w:fill="FFFFFF"/>
        </w:rPr>
        <w:t>r la “maldi</w:t>
      </w:r>
      <w:r w:rsidR="00C45B46">
        <w:rPr>
          <w:b/>
          <w:color w:val="333333"/>
          <w:shd w:val="clear" w:color="auto" w:fill="FFFFFF"/>
        </w:rPr>
        <w:t xml:space="preserve">ta” hemeroteca, con el objetivo de “desvelar” </w:t>
      </w:r>
      <w:r w:rsidR="00CF6789">
        <w:rPr>
          <w:b/>
          <w:color w:val="333333"/>
          <w:shd w:val="clear" w:color="auto" w:fill="FFFFFF"/>
        </w:rPr>
        <w:t>la “</w:t>
      </w:r>
      <w:r w:rsidR="00324F4A">
        <w:rPr>
          <w:b/>
          <w:color w:val="333333"/>
          <w:shd w:val="clear" w:color="auto" w:fill="FFFFFF"/>
        </w:rPr>
        <w:t>metamorfosis</w:t>
      </w:r>
      <w:r w:rsidR="00CF6789">
        <w:rPr>
          <w:b/>
          <w:color w:val="333333"/>
          <w:shd w:val="clear" w:color="auto" w:fill="FFFFFF"/>
        </w:rPr>
        <w:t>” de los Bancos Centrales</w:t>
      </w:r>
      <w:r w:rsidR="00C45B46">
        <w:rPr>
          <w:b/>
          <w:color w:val="333333"/>
          <w:shd w:val="clear" w:color="auto" w:fill="FFFFFF"/>
        </w:rPr>
        <w:t>,</w:t>
      </w:r>
      <w:r w:rsidR="00CF6789">
        <w:rPr>
          <w:b/>
          <w:color w:val="333333"/>
          <w:shd w:val="clear" w:color="auto" w:fill="FFFFFF"/>
        </w:rPr>
        <w:t xml:space="preserve"> de los países ricos.</w:t>
      </w:r>
    </w:p>
    <w:p w:rsidR="006F63B7" w:rsidRPr="007536E6" w:rsidRDefault="00AE7C58" w:rsidP="007536E6">
      <w:pPr>
        <w:pStyle w:val="selectionshareable"/>
        <w:shd w:val="clear" w:color="auto" w:fill="FFFFFF"/>
        <w:spacing w:after="300"/>
        <w:jc w:val="both"/>
        <w:textAlignment w:val="baseline"/>
        <w:rPr>
          <w:color w:val="333333"/>
          <w:shd w:val="clear" w:color="auto" w:fill="FFFFFF"/>
        </w:rPr>
      </w:pPr>
      <w:r>
        <w:rPr>
          <w:b/>
          <w:shd w:val="clear" w:color="auto" w:fill="FFFFFF"/>
        </w:rPr>
        <w:lastRenderedPageBreak/>
        <w:t xml:space="preserve">- </w:t>
      </w:r>
      <w:r w:rsidR="005944CF" w:rsidRPr="00AE7C58">
        <w:rPr>
          <w:b/>
          <w:shd w:val="clear" w:color="auto" w:fill="FFFFFF"/>
        </w:rPr>
        <w:t>La antesala del infierno (aunque se empeñen en negar la evidencia)</w:t>
      </w:r>
      <w:r>
        <w:rPr>
          <w:b/>
          <w:shd w:val="clear" w:color="auto" w:fill="FFFFFF"/>
        </w:rPr>
        <w:t xml:space="preserve"> </w:t>
      </w:r>
    </w:p>
    <w:p w:rsidR="00D409F9" w:rsidRPr="00AE7C58" w:rsidRDefault="00D409F9" w:rsidP="00FA4DA9">
      <w:pPr>
        <w:spacing w:line="240" w:lineRule="auto"/>
        <w:jc w:val="both"/>
        <w:rPr>
          <w:rFonts w:ascii="Times New Roman" w:hAnsi="Times New Roman" w:cs="Times New Roman"/>
          <w:b/>
          <w:sz w:val="24"/>
          <w:szCs w:val="24"/>
          <w:shd w:val="clear" w:color="auto" w:fill="FFFFFF"/>
        </w:rPr>
      </w:pPr>
      <w:r>
        <w:rPr>
          <w:noProof/>
          <w:lang w:eastAsia="es-ES"/>
        </w:rPr>
        <w:drawing>
          <wp:inline distT="0" distB="0" distL="0" distR="0" wp14:anchorId="17D59F25" wp14:editId="79470356">
            <wp:extent cx="5727700" cy="2984500"/>
            <wp:effectExtent l="0" t="0" r="6350" b="6350"/>
            <wp:docPr id="26" name="Imagen 26" descr="inflacion-billetes-dol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flacion-billetes-dolar.jpg"/>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5731510" cy="2986485"/>
                    </a:xfrm>
                    <a:prstGeom prst="rect">
                      <a:avLst/>
                    </a:prstGeom>
                    <a:noFill/>
                    <a:ln>
                      <a:noFill/>
                    </a:ln>
                  </pic:spPr>
                </pic:pic>
              </a:graphicData>
            </a:graphic>
          </wp:inline>
        </w:drawing>
      </w:r>
    </w:p>
    <w:p w:rsidR="005944CF" w:rsidRDefault="007301BC" w:rsidP="00FA4DA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Este Paper fue escrito durante </w:t>
      </w:r>
      <w:r w:rsidRPr="00CF6789">
        <w:rPr>
          <w:rFonts w:ascii="Times New Roman" w:hAnsi="Times New Roman" w:cs="Times New Roman"/>
          <w:b/>
          <w:sz w:val="24"/>
          <w:szCs w:val="24"/>
          <w:shd w:val="clear" w:color="auto" w:fill="FFFFFF"/>
        </w:rPr>
        <w:t>octubre 2021</w:t>
      </w:r>
      <w:r>
        <w:rPr>
          <w:rFonts w:ascii="Times New Roman" w:hAnsi="Times New Roman" w:cs="Times New Roman"/>
          <w:sz w:val="24"/>
          <w:szCs w:val="24"/>
          <w:shd w:val="clear" w:color="auto" w:fill="FFFFFF"/>
        </w:rPr>
        <w:t>, y ser</w:t>
      </w:r>
      <w:r w:rsidR="00AE7C58">
        <w:rPr>
          <w:rFonts w:ascii="Times New Roman" w:hAnsi="Times New Roman" w:cs="Times New Roman"/>
          <w:sz w:val="24"/>
          <w:szCs w:val="24"/>
          <w:shd w:val="clear" w:color="auto" w:fill="FFFFFF"/>
        </w:rPr>
        <w:t xml:space="preserve">á publicado en </w:t>
      </w:r>
      <w:r w:rsidR="00AE7C58" w:rsidRPr="00CF6789">
        <w:rPr>
          <w:rFonts w:ascii="Times New Roman" w:hAnsi="Times New Roman" w:cs="Times New Roman"/>
          <w:b/>
          <w:sz w:val="24"/>
          <w:szCs w:val="24"/>
          <w:shd w:val="clear" w:color="auto" w:fill="FFFFFF"/>
        </w:rPr>
        <w:t>enero 2022</w:t>
      </w:r>
      <w:r w:rsidR="00AE7C58">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por ello:</w:t>
      </w:r>
    </w:p>
    <w:p w:rsidR="005944CF" w:rsidRDefault="005944CF" w:rsidP="00FA4DA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Mis comentarios no son fruto de la certeza,</w:t>
      </w:r>
      <w:r w:rsidR="007301BC">
        <w:rPr>
          <w:rFonts w:ascii="Times New Roman" w:hAnsi="Times New Roman" w:cs="Times New Roman"/>
          <w:sz w:val="24"/>
          <w:szCs w:val="24"/>
          <w:shd w:val="clear" w:color="auto" w:fill="FFFFFF"/>
        </w:rPr>
        <w:t xml:space="preserve"> tampoco profecías,</w:t>
      </w:r>
      <w:r>
        <w:rPr>
          <w:rFonts w:ascii="Times New Roman" w:hAnsi="Times New Roman" w:cs="Times New Roman"/>
          <w:sz w:val="24"/>
          <w:szCs w:val="24"/>
          <w:shd w:val="clear" w:color="auto" w:fill="FFFFFF"/>
        </w:rPr>
        <w:t xml:space="preserve"> solo son percepciones, o tal vez,</w:t>
      </w:r>
      <w:r w:rsidR="00CF6789">
        <w:rPr>
          <w:rFonts w:ascii="Times New Roman" w:hAnsi="Times New Roman" w:cs="Times New Roman"/>
          <w:sz w:val="24"/>
          <w:szCs w:val="24"/>
          <w:shd w:val="clear" w:color="auto" w:fill="FFFFFF"/>
        </w:rPr>
        <w:t xml:space="preserve"> indicios</w:t>
      </w:r>
      <w:r>
        <w:rPr>
          <w:rFonts w:ascii="Times New Roman" w:hAnsi="Times New Roman" w:cs="Times New Roman"/>
          <w:sz w:val="24"/>
          <w:szCs w:val="24"/>
          <w:shd w:val="clear" w:color="auto" w:fill="FFFFFF"/>
        </w:rPr>
        <w:t xml:space="preserve"> de un síndrome post traumático, pero pueden contar, con absoluta seguridad, que no están formulados, dando por ciertas las sucesivas “deposiciones” de los bancos centrales de los países avanzados (ahora, en vías de subdesarrollo), que se balancean entre la complacencia, el exceso de optimismo, l</w:t>
      </w:r>
      <w:r w:rsidR="007301BC">
        <w:rPr>
          <w:rFonts w:ascii="Times New Roman" w:hAnsi="Times New Roman" w:cs="Times New Roman"/>
          <w:sz w:val="24"/>
          <w:szCs w:val="24"/>
          <w:shd w:val="clear" w:color="auto" w:fill="FFFFFF"/>
        </w:rPr>
        <w:t>a connivencia, el miedo escénico,</w:t>
      </w:r>
      <w:r>
        <w:rPr>
          <w:rFonts w:ascii="Times New Roman" w:hAnsi="Times New Roman" w:cs="Times New Roman"/>
          <w:sz w:val="24"/>
          <w:szCs w:val="24"/>
          <w:shd w:val="clear" w:color="auto" w:fill="FFFFFF"/>
        </w:rPr>
        <w:t xml:space="preserve"> y la corrupción.</w:t>
      </w:r>
    </w:p>
    <w:p w:rsidR="005944CF" w:rsidRDefault="005944CF" w:rsidP="00FA4DA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Como soy</w:t>
      </w:r>
      <w:r w:rsidR="00877EB6">
        <w:rPr>
          <w:rFonts w:ascii="Times New Roman" w:hAnsi="Times New Roman" w:cs="Times New Roman"/>
          <w:sz w:val="24"/>
          <w:szCs w:val="24"/>
          <w:shd w:val="clear" w:color="auto" w:fill="FFFFFF"/>
        </w:rPr>
        <w:t xml:space="preserve"> un</w:t>
      </w:r>
      <w:r>
        <w:rPr>
          <w:rFonts w:ascii="Times New Roman" w:hAnsi="Times New Roman" w:cs="Times New Roman"/>
          <w:sz w:val="24"/>
          <w:szCs w:val="24"/>
          <w:shd w:val="clear" w:color="auto" w:fill="FFFFFF"/>
        </w:rPr>
        <w:t xml:space="preserve"> </w:t>
      </w:r>
      <w:r w:rsidR="00877EB6">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millonario</w:t>
      </w:r>
      <w:r w:rsidR="007301BC">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en derrotas, aunque la situación de partida se modifique durante el último trimestre del año (2021)</w:t>
      </w:r>
      <w:r w:rsidR="00877EB6">
        <w:rPr>
          <w:rFonts w:ascii="Times New Roman" w:hAnsi="Times New Roman" w:cs="Times New Roman"/>
          <w:sz w:val="24"/>
          <w:szCs w:val="24"/>
          <w:shd w:val="clear" w:color="auto" w:fill="FFFFFF"/>
        </w:rPr>
        <w:t>, dejaré lo escrito, para dar o quitar razón, a lo sostenido.</w:t>
      </w:r>
    </w:p>
    <w:p w:rsidR="00AE7C58" w:rsidRPr="0050126D" w:rsidRDefault="00AE7C58" w:rsidP="00FA4DA9">
      <w:pPr>
        <w:pStyle w:val="selectionshareable"/>
        <w:shd w:val="clear" w:color="auto" w:fill="FFFFFF"/>
        <w:spacing w:after="300"/>
        <w:jc w:val="both"/>
        <w:textAlignment w:val="baseline"/>
        <w:rPr>
          <w:shd w:val="clear" w:color="auto" w:fill="FFFFFF"/>
        </w:rPr>
      </w:pPr>
      <w:r w:rsidRPr="0050126D">
        <w:rPr>
          <w:shd w:val="clear" w:color="auto" w:fill="FFFFFF"/>
        </w:rPr>
        <w:t xml:space="preserve">El entorno en el que operan los bancos centrales ha </w:t>
      </w:r>
      <w:r w:rsidR="0050126D" w:rsidRPr="0050126D">
        <w:rPr>
          <w:shd w:val="clear" w:color="auto" w:fill="FFFFFF"/>
        </w:rPr>
        <w:t>cambiado mucho y sus actividades</w:t>
      </w:r>
      <w:r w:rsidR="00CF6789" w:rsidRPr="0050126D">
        <w:rPr>
          <w:shd w:val="clear" w:color="auto" w:fill="FFFFFF"/>
        </w:rPr>
        <w:t xml:space="preserve"> </w:t>
      </w:r>
      <w:r w:rsidRPr="0050126D">
        <w:rPr>
          <w:shd w:val="clear" w:color="auto" w:fill="FFFFFF"/>
        </w:rPr>
        <w:t>han crecido. La crisis financiera, la crisis de endeudamiento soberano y, por último, la pandemia han llevado a decisiones políticas y de política monetaria que tendrán efecto prolongado.</w:t>
      </w:r>
    </w:p>
    <w:p w:rsidR="00AE7C58" w:rsidRPr="0050126D" w:rsidRDefault="00AE7C58" w:rsidP="00FA4DA9">
      <w:pPr>
        <w:pStyle w:val="selectionshareable"/>
        <w:shd w:val="clear" w:color="auto" w:fill="FFFFFF"/>
        <w:spacing w:after="300"/>
        <w:jc w:val="both"/>
        <w:textAlignment w:val="baseline"/>
        <w:rPr>
          <w:shd w:val="clear" w:color="auto" w:fill="FFFFFF"/>
        </w:rPr>
      </w:pPr>
      <w:r w:rsidRPr="0050126D">
        <w:rPr>
          <w:shd w:val="clear" w:color="auto" w:fill="FFFFFF"/>
        </w:rPr>
        <w:t xml:space="preserve">Pero no se debe perder la ocasión para lanzar una advertencia sobre el peligro de la inflación, la gran bestia negra de los bancos centrales, a pesar que no se haya materializado durante la última década en los EEUU, y en la zona euro… </w:t>
      </w:r>
      <w:r w:rsidR="000629AA">
        <w:rPr>
          <w:shd w:val="clear" w:color="auto" w:fill="FFFFFF"/>
        </w:rPr>
        <w:t>“hasta los últimos meses”</w:t>
      </w:r>
      <w:r w:rsidRPr="0050126D">
        <w:rPr>
          <w:shd w:val="clear" w:color="auto" w:fill="FFFFFF"/>
        </w:rPr>
        <w:t>.</w:t>
      </w:r>
    </w:p>
    <w:p w:rsidR="00AE7C58" w:rsidRPr="0050126D" w:rsidRDefault="00AE7C58" w:rsidP="00FA4DA9">
      <w:pPr>
        <w:pStyle w:val="selectionshareable"/>
        <w:shd w:val="clear" w:color="auto" w:fill="FFFFFF"/>
        <w:spacing w:after="300"/>
        <w:jc w:val="both"/>
        <w:textAlignment w:val="baseline"/>
        <w:rPr>
          <w:shd w:val="clear" w:color="auto" w:fill="FFFFFF"/>
        </w:rPr>
      </w:pPr>
      <w:r w:rsidRPr="0050126D">
        <w:rPr>
          <w:shd w:val="clear" w:color="auto" w:fill="FFFFFF"/>
        </w:rPr>
        <w:t>Por ello, de cara al futuro, será decisivo para los bancos centrales no sólo mirar a los eventuales riesgos de deflación de forma unilateral, en su caso, sino no perder de vista los peligros de inflación. Porque, una política monetaria orientada a la estabilidad sólo será posible a largo plazo si la política monetaria respeta su estrecho mandato (volviendo a sus competencias naturales de institución monetaria) y no es atrapada por la miope política fiscal o por la desenfrenada especulación de los mercados financieros (riesgo moral).</w:t>
      </w:r>
    </w:p>
    <w:p w:rsidR="00AE7C58" w:rsidRPr="0050126D" w:rsidRDefault="00AE7C58" w:rsidP="00FA4DA9">
      <w:pPr>
        <w:pStyle w:val="selectionshareable"/>
        <w:shd w:val="clear" w:color="auto" w:fill="FFFFFF"/>
        <w:spacing w:after="300"/>
        <w:jc w:val="both"/>
        <w:textAlignment w:val="baseline"/>
        <w:rPr>
          <w:shd w:val="clear" w:color="auto" w:fill="FFFFFF"/>
        </w:rPr>
      </w:pPr>
      <w:r w:rsidRPr="0050126D">
        <w:rPr>
          <w:shd w:val="clear" w:color="auto" w:fill="FFFFFF"/>
        </w:rPr>
        <w:t>El entorno actual (octubre 2021</w:t>
      </w:r>
      <w:r w:rsidR="000629AA">
        <w:rPr>
          <w:shd w:val="clear" w:color="auto" w:fill="FFFFFF"/>
        </w:rPr>
        <w:t>)</w:t>
      </w:r>
      <w:r w:rsidRPr="0050126D">
        <w:rPr>
          <w:shd w:val="clear" w:color="auto" w:fill="FFFFFF"/>
        </w:rPr>
        <w:t xml:space="preserve"> de precios al alza y una economía regresando a los niveles previos a la pandemia están dando un fuerte argumento para retirar los estímulos de emergencia, comenzar a reducir las compras de activos, y elevar las tasas de interés.</w:t>
      </w:r>
    </w:p>
    <w:p w:rsidR="00AE7C58" w:rsidRPr="0050126D" w:rsidRDefault="00AE7C58" w:rsidP="00FA4DA9">
      <w:pPr>
        <w:pStyle w:val="selectionshareable"/>
        <w:shd w:val="clear" w:color="auto" w:fill="FFFFFF"/>
        <w:spacing w:after="300"/>
        <w:jc w:val="both"/>
        <w:textAlignment w:val="baseline"/>
        <w:rPr>
          <w:shd w:val="clear" w:color="auto" w:fill="FFFFFF"/>
        </w:rPr>
      </w:pPr>
      <w:r w:rsidRPr="0050126D">
        <w:rPr>
          <w:shd w:val="clear" w:color="auto" w:fill="FFFFFF"/>
        </w:rPr>
        <w:lastRenderedPageBreak/>
        <w:t>Mientras arrecia el debate sobre si la actual inflación va a durar más tiempo de lo previsto y a tener un componente estructural que por ahora los bancos centrales descartan, creo conveniente y necesario, no descuidar el “riesgo” inflacionario, de la monetización ilimitada.</w:t>
      </w:r>
    </w:p>
    <w:p w:rsidR="00AE7C58" w:rsidRPr="0050126D" w:rsidRDefault="00AE7C58" w:rsidP="00FA4DA9">
      <w:pPr>
        <w:pStyle w:val="selectionshareable"/>
        <w:shd w:val="clear" w:color="auto" w:fill="FFFFFF"/>
        <w:spacing w:after="300"/>
        <w:jc w:val="both"/>
        <w:textAlignment w:val="baseline"/>
        <w:rPr>
          <w:shd w:val="clear" w:color="auto" w:fill="FFFFFF"/>
        </w:rPr>
      </w:pPr>
      <w:r w:rsidRPr="0050126D">
        <w:rPr>
          <w:shd w:val="clear" w:color="auto" w:fill="FFFFFF"/>
        </w:rPr>
        <w:t>Según el FMI (</w:t>
      </w:r>
      <w:r w:rsidRPr="004A0AB9">
        <w:rPr>
          <w:b/>
          <w:shd w:val="clear" w:color="auto" w:fill="FFFFFF"/>
        </w:rPr>
        <w:t>20/10/21</w:t>
      </w:r>
      <w:r w:rsidRPr="0050126D">
        <w:rPr>
          <w:shd w:val="clear" w:color="auto" w:fill="FFFFFF"/>
        </w:rPr>
        <w:t>) “el aumento de la inflación ha estado impulsado en gran medida por fuerzas que cabe esperar que desaparezcan con el tiempo. Al igual que durante la recuperación de la crisis financiera mundial en 2010-11, la energía ha sido el mayor impulsor, reflejando en gran medida el fuerte repunte de la actividad económica, que ha devuelto los precios del petróleo al rango que prevalecía durante los años anteriores a la crisis.</w:t>
      </w:r>
    </w:p>
    <w:p w:rsidR="00AE7C58" w:rsidRPr="0050126D" w:rsidRDefault="00AE7C58" w:rsidP="00FA4DA9">
      <w:pPr>
        <w:pStyle w:val="selectionshareable"/>
        <w:shd w:val="clear" w:color="auto" w:fill="FFFFFF"/>
        <w:spacing w:after="300"/>
        <w:jc w:val="both"/>
        <w:textAlignment w:val="baseline"/>
        <w:rPr>
          <w:shd w:val="clear" w:color="auto" w:fill="FFFFFF"/>
        </w:rPr>
      </w:pPr>
      <w:r w:rsidRPr="0050126D">
        <w:rPr>
          <w:shd w:val="clear" w:color="auto" w:fill="FFFFFF"/>
        </w:rPr>
        <w:t>El reciente aumento de los precios del gas natural también refleja factores a corto plazo, como la disminución de los inventarios tras un duro invierno y un caluroso verano en 2021, así como la escasez de producción de energías renovables en algunos lugares y una menor oferta.</w:t>
      </w:r>
    </w:p>
    <w:p w:rsidR="00AE7C58" w:rsidRPr="0050126D" w:rsidRDefault="00AE7C58" w:rsidP="00FA4DA9">
      <w:pPr>
        <w:pStyle w:val="selectionshareable"/>
        <w:shd w:val="clear" w:color="auto" w:fill="FFFFFF"/>
        <w:spacing w:after="300"/>
        <w:jc w:val="both"/>
        <w:textAlignment w:val="baseline"/>
        <w:rPr>
          <w:shd w:val="clear" w:color="auto" w:fill="FFFFFF"/>
        </w:rPr>
      </w:pPr>
      <w:r w:rsidRPr="0050126D">
        <w:rPr>
          <w:shd w:val="clear" w:color="auto" w:fill="FFFFFF"/>
        </w:rPr>
        <w:t>Ajustando los precios de la energía “hacia abajo y hacia arriba”, las tasas de inflación anual calculadas en un horizonte de 24 meses se acercan a los rangos anteriores a la pandemia. El Fondo espera que estos desajustes entre la oferta y la demanda disminuyan a lo largo de 2022, a medida que se normalicen las pautas de consumo, se repongan las existencias y se resuelvan los cuellos de botella en el comercio.</w:t>
      </w:r>
    </w:p>
    <w:p w:rsidR="00AE7C58" w:rsidRPr="0050126D" w:rsidRDefault="00AE7C58" w:rsidP="00FA4DA9">
      <w:pPr>
        <w:pStyle w:val="selectionshareable"/>
        <w:shd w:val="clear" w:color="auto" w:fill="FFFFFF"/>
        <w:spacing w:after="300"/>
        <w:jc w:val="both"/>
        <w:textAlignment w:val="baseline"/>
        <w:rPr>
          <w:shd w:val="clear" w:color="auto" w:fill="FFFFFF"/>
        </w:rPr>
      </w:pPr>
      <w:r w:rsidRPr="0050126D">
        <w:rPr>
          <w:shd w:val="clear" w:color="auto" w:fill="FFFFFF"/>
        </w:rPr>
        <w:t xml:space="preserve">El FMI reconoce que aunque exista una considerable incertidumbre en torno a la duración de las perturbaciones de los precios, en general, tanto sus previsiones como las de los analistas y las medidas de las expectativas de inflación basadas en el mercado sugieren que el Banco Central Europeo volverá a tener dificultades para alcanzar su objetivo de inflación a medio plazo en torno al 2%. </w:t>
      </w:r>
    </w:p>
    <w:p w:rsidR="00AE7C58" w:rsidRPr="0050126D" w:rsidRDefault="0050126D" w:rsidP="00FA4DA9">
      <w:pPr>
        <w:pStyle w:val="selectionshareable"/>
        <w:shd w:val="clear" w:color="auto" w:fill="FFFFFF"/>
        <w:spacing w:after="300"/>
        <w:jc w:val="both"/>
        <w:textAlignment w:val="baseline"/>
        <w:rPr>
          <w:b/>
          <w:shd w:val="clear" w:color="auto" w:fill="FFFFFF"/>
        </w:rPr>
      </w:pPr>
      <w:r w:rsidRPr="0050126D">
        <w:rPr>
          <w:b/>
          <w:shd w:val="clear" w:color="auto" w:fill="FFFFFF"/>
        </w:rPr>
        <w:t>Nota: aunque</w:t>
      </w:r>
      <w:r w:rsidR="00AE7C58" w:rsidRPr="0050126D">
        <w:rPr>
          <w:b/>
          <w:shd w:val="clear" w:color="auto" w:fill="FFFFFF"/>
        </w:rPr>
        <w:t xml:space="preserve"> el FMI</w:t>
      </w:r>
      <w:r w:rsidR="00436BE2">
        <w:rPr>
          <w:b/>
          <w:shd w:val="clear" w:color="auto" w:fill="FFFFFF"/>
        </w:rPr>
        <w:t>,</w:t>
      </w:r>
      <w:r w:rsidR="00AE7C58" w:rsidRPr="0050126D">
        <w:rPr>
          <w:b/>
          <w:shd w:val="clear" w:color="auto" w:fill="FFFFFF"/>
        </w:rPr>
        <w:t xml:space="preserve"> </w:t>
      </w:r>
      <w:r w:rsidR="00436BE2">
        <w:rPr>
          <w:b/>
          <w:shd w:val="clear" w:color="auto" w:fill="FFFFFF"/>
        </w:rPr>
        <w:t>“</w:t>
      </w:r>
      <w:r w:rsidR="00AE7C58" w:rsidRPr="0050126D">
        <w:rPr>
          <w:b/>
          <w:shd w:val="clear" w:color="auto" w:fill="FFFFFF"/>
        </w:rPr>
        <w:t>no acierta</w:t>
      </w:r>
      <w:r w:rsidR="000629AA">
        <w:rPr>
          <w:b/>
          <w:shd w:val="clear" w:color="auto" w:fill="FFFFFF"/>
        </w:rPr>
        <w:t>,</w:t>
      </w:r>
      <w:r w:rsidR="00AE7C58" w:rsidRPr="0050126D">
        <w:rPr>
          <w:b/>
          <w:shd w:val="clear" w:color="auto" w:fill="FFFFFF"/>
        </w:rPr>
        <w:t xml:space="preserve"> ni cuando rectifica</w:t>
      </w:r>
      <w:r w:rsidR="00436BE2">
        <w:rPr>
          <w:b/>
          <w:shd w:val="clear" w:color="auto" w:fill="FFFFFF"/>
        </w:rPr>
        <w:t>”</w:t>
      </w:r>
      <w:r w:rsidR="00AE7C58" w:rsidRPr="0050126D">
        <w:rPr>
          <w:b/>
          <w:shd w:val="clear" w:color="auto" w:fill="FFFFFF"/>
        </w:rPr>
        <w:t>… ustedes sabrán, como valorar el problema (del riesgo inflacionario) que muchos organ</w:t>
      </w:r>
      <w:r w:rsidR="00571FBF">
        <w:rPr>
          <w:b/>
          <w:shd w:val="clear" w:color="auto" w:fill="FFFFFF"/>
        </w:rPr>
        <w:t>ismos internacionales, gurús mediáticos</w:t>
      </w:r>
      <w:r w:rsidR="00AE7C58" w:rsidRPr="0050126D">
        <w:rPr>
          <w:b/>
          <w:shd w:val="clear" w:color="auto" w:fill="FFFFFF"/>
        </w:rPr>
        <w:t>, vacas sagradas, gran</w:t>
      </w:r>
      <w:r w:rsidR="00571FBF">
        <w:rPr>
          <w:b/>
          <w:shd w:val="clear" w:color="auto" w:fill="FFFFFF"/>
        </w:rPr>
        <w:t>des bonetes, cabezas de huevo, analistas de postín, y otros</w:t>
      </w:r>
      <w:r w:rsidR="00AE7C58" w:rsidRPr="0050126D">
        <w:rPr>
          <w:b/>
          <w:shd w:val="clear" w:color="auto" w:fill="FFFFFF"/>
        </w:rPr>
        <w:t xml:space="preserve"> “cómplices necesarios”, no quieren ver.</w:t>
      </w:r>
    </w:p>
    <w:p w:rsidR="00AE7C58" w:rsidRPr="0050126D" w:rsidRDefault="008B7751" w:rsidP="00FA4DA9">
      <w:pPr>
        <w:pStyle w:val="selectionshareable"/>
        <w:shd w:val="clear" w:color="auto" w:fill="FFFFFF"/>
        <w:spacing w:after="300"/>
        <w:jc w:val="both"/>
        <w:textAlignment w:val="baseline"/>
        <w:rPr>
          <w:b/>
          <w:shd w:val="clear" w:color="auto" w:fill="FFFFFF"/>
        </w:rPr>
      </w:pPr>
      <w:r w:rsidRPr="0050126D">
        <w:rPr>
          <w:b/>
          <w:shd w:val="clear" w:color="auto" w:fill="FFFFFF"/>
        </w:rPr>
        <w:t>Así es como están las cosas…</w:t>
      </w:r>
      <w:r w:rsidR="00AE7C58" w:rsidRPr="0050126D">
        <w:rPr>
          <w:b/>
          <w:shd w:val="clear" w:color="auto" w:fill="FFFFFF"/>
        </w:rPr>
        <w:t>No se debe “romantizar” la inflación. La única inflación “buena” es la que no existe. Lo demás, es una “fórmula” para licuar pasivos</w:t>
      </w:r>
      <w:r w:rsidR="0050126D">
        <w:rPr>
          <w:b/>
          <w:shd w:val="clear" w:color="auto" w:fill="FFFFFF"/>
        </w:rPr>
        <w:t>, expropiar la riqueza, laminar</w:t>
      </w:r>
      <w:r w:rsidR="00AE7C58" w:rsidRPr="0050126D">
        <w:rPr>
          <w:b/>
          <w:shd w:val="clear" w:color="auto" w:fill="FFFFFF"/>
        </w:rPr>
        <w:t xml:space="preserve"> a las clases medias, y perpetuar la pobreza. El “sí”, pero no tanto, es un oxímoron, una vil patraña, un timo, una estafa, y una hipocresía. </w:t>
      </w:r>
    </w:p>
    <w:p w:rsidR="008B7751" w:rsidRDefault="000629AA" w:rsidP="00FA4DA9">
      <w:pPr>
        <w:pStyle w:val="selectionshareable"/>
        <w:shd w:val="clear" w:color="auto" w:fill="FFFFFF"/>
        <w:spacing w:after="300"/>
        <w:jc w:val="both"/>
        <w:textAlignment w:val="baseline"/>
        <w:rPr>
          <w:b/>
          <w:shd w:val="clear" w:color="auto" w:fill="FFFFFF"/>
        </w:rPr>
      </w:pPr>
      <w:r>
        <w:rPr>
          <w:b/>
          <w:shd w:val="clear" w:color="auto" w:fill="FFFFFF"/>
        </w:rPr>
        <w:t>… y así van</w:t>
      </w:r>
      <w:r w:rsidR="008B7751" w:rsidRPr="0050126D">
        <w:rPr>
          <w:b/>
          <w:shd w:val="clear" w:color="auto" w:fill="FFFFFF"/>
        </w:rPr>
        <w:t xml:space="preserve"> cambia</w:t>
      </w:r>
      <w:r>
        <w:rPr>
          <w:b/>
          <w:shd w:val="clear" w:color="auto" w:fill="FFFFFF"/>
        </w:rPr>
        <w:t>n</w:t>
      </w:r>
      <w:r w:rsidR="008B7751" w:rsidRPr="0050126D">
        <w:rPr>
          <w:b/>
          <w:shd w:val="clear" w:color="auto" w:fill="FFFFFF"/>
        </w:rPr>
        <w:t xml:space="preserve">do: </w:t>
      </w:r>
      <w:r w:rsidR="008B7751">
        <w:rPr>
          <w:b/>
          <w:shd w:val="clear" w:color="auto" w:fill="FFFFFF"/>
        </w:rPr>
        <w:t xml:space="preserve">todo a peor (barro sobre barro) </w:t>
      </w:r>
    </w:p>
    <w:p w:rsidR="00AE7C58" w:rsidRPr="0050126D" w:rsidRDefault="008B7751" w:rsidP="00FA4DA9">
      <w:pPr>
        <w:pStyle w:val="selectionshareable"/>
        <w:shd w:val="clear" w:color="auto" w:fill="FFFFFF"/>
        <w:spacing w:after="300"/>
        <w:jc w:val="both"/>
        <w:textAlignment w:val="baseline"/>
        <w:rPr>
          <w:b/>
          <w:shd w:val="clear" w:color="auto" w:fill="FFFFFF"/>
        </w:rPr>
      </w:pPr>
      <w:r>
        <w:rPr>
          <w:b/>
          <w:shd w:val="clear" w:color="auto" w:fill="FFFFFF"/>
        </w:rPr>
        <w:t>When they begin the beguine (lo</w:t>
      </w:r>
      <w:r w:rsidR="00AE7C58" w:rsidRPr="0050126D">
        <w:rPr>
          <w:b/>
          <w:shd w:val="clear" w:color="auto" w:fill="FFFFFF"/>
        </w:rPr>
        <w:t xml:space="preserve"> último</w:t>
      </w:r>
      <w:r>
        <w:rPr>
          <w:b/>
          <w:shd w:val="clear" w:color="auto" w:fill="FFFFFF"/>
        </w:rPr>
        <w:t>, del</w:t>
      </w:r>
      <w:r w:rsidR="00AE7C58" w:rsidRPr="0050126D">
        <w:rPr>
          <w:b/>
          <w:shd w:val="clear" w:color="auto" w:fill="FFFFFF"/>
        </w:rPr>
        <w:t xml:space="preserve"> festival de coros y danzas)</w:t>
      </w:r>
    </w:p>
    <w:p w:rsidR="00AE7C58" w:rsidRPr="0050126D" w:rsidRDefault="0050126D" w:rsidP="00FA4DA9">
      <w:pPr>
        <w:pStyle w:val="selectionshareable"/>
        <w:shd w:val="clear" w:color="auto" w:fill="FFFFFF"/>
        <w:spacing w:after="300"/>
        <w:jc w:val="both"/>
        <w:textAlignment w:val="baseline"/>
        <w:rPr>
          <w:b/>
          <w:shd w:val="clear" w:color="auto" w:fill="FFFFFF"/>
        </w:rPr>
      </w:pPr>
      <w:r>
        <w:rPr>
          <w:b/>
          <w:shd w:val="clear" w:color="auto" w:fill="FFFFFF"/>
        </w:rPr>
        <w:t xml:space="preserve">El plan de Davos (patrocinado por </w:t>
      </w:r>
      <w:r w:rsidR="00AE7C58" w:rsidRPr="0050126D">
        <w:rPr>
          <w:b/>
          <w:shd w:val="clear" w:color="auto" w:fill="FFFFFF"/>
        </w:rPr>
        <w:t>el Partido Comunista de China): “no tendrás nada y serás feliz” (enero 2021).</w:t>
      </w:r>
    </w:p>
    <w:p w:rsidR="00AE7C58" w:rsidRPr="0050126D" w:rsidRDefault="00AE7C58" w:rsidP="00FA4DA9">
      <w:pPr>
        <w:pStyle w:val="selectionshareable"/>
        <w:shd w:val="clear" w:color="auto" w:fill="FFFFFF"/>
        <w:spacing w:after="300"/>
        <w:jc w:val="both"/>
        <w:textAlignment w:val="baseline"/>
        <w:rPr>
          <w:b/>
          <w:shd w:val="clear" w:color="auto" w:fill="FFFFFF"/>
        </w:rPr>
      </w:pPr>
      <w:r w:rsidRPr="0050126D">
        <w:rPr>
          <w:b/>
          <w:shd w:val="clear" w:color="auto" w:fill="FFFFFF"/>
        </w:rPr>
        <w:t>El plan de Biden (en ejercicio de una procrastinación senil): “rebaja tus expectativas” (octubre 2021).</w:t>
      </w:r>
    </w:p>
    <w:p w:rsidR="00AE7C58" w:rsidRPr="0050126D" w:rsidRDefault="00AE7C58" w:rsidP="00FA4DA9">
      <w:pPr>
        <w:pStyle w:val="selectionshareable"/>
        <w:shd w:val="clear" w:color="auto" w:fill="FFFFFF"/>
        <w:spacing w:after="300"/>
        <w:jc w:val="both"/>
        <w:textAlignment w:val="baseline"/>
        <w:rPr>
          <w:shd w:val="clear" w:color="auto" w:fill="FFFFFF"/>
        </w:rPr>
      </w:pPr>
      <w:r w:rsidRPr="0050126D">
        <w:rPr>
          <w:shd w:val="clear" w:color="auto" w:fill="FFFFFF"/>
        </w:rPr>
        <w:t xml:space="preserve">El que quiera creer que crea: si ustedes prefieren continuar “dopados” con el “gas de la risa monetario”, son libres de hacerlo… pero antes, recuerden otra frase: </w:t>
      </w:r>
      <w:r w:rsidRPr="008B7751">
        <w:rPr>
          <w:shd w:val="clear" w:color="auto" w:fill="FFFFFF"/>
        </w:rPr>
        <w:t>“Tócala de nuevo, Sam”</w:t>
      </w:r>
      <w:r w:rsidRPr="0050126D">
        <w:rPr>
          <w:shd w:val="clear" w:color="auto" w:fill="FFFFFF"/>
        </w:rPr>
        <w:t>.</w:t>
      </w:r>
    </w:p>
    <w:p w:rsidR="007536E6" w:rsidRPr="0050126D" w:rsidRDefault="008B7751" w:rsidP="00FA4DA9">
      <w:pPr>
        <w:pStyle w:val="selectionshareable"/>
        <w:shd w:val="clear" w:color="auto" w:fill="FFFFFF"/>
        <w:spacing w:after="300"/>
        <w:jc w:val="both"/>
        <w:textAlignment w:val="baseline"/>
        <w:rPr>
          <w:b/>
          <w:shd w:val="clear" w:color="auto" w:fill="FFFFFF"/>
        </w:rPr>
      </w:pPr>
      <w:r>
        <w:rPr>
          <w:b/>
          <w:shd w:val="clear" w:color="auto" w:fill="FFFFFF"/>
        </w:rPr>
        <w:lastRenderedPageBreak/>
        <w:t xml:space="preserve">- </w:t>
      </w:r>
      <w:r w:rsidR="0050126D" w:rsidRPr="0050126D">
        <w:rPr>
          <w:b/>
          <w:shd w:val="clear" w:color="auto" w:fill="FFFFFF"/>
        </w:rPr>
        <w:t>Cuá</w:t>
      </w:r>
      <w:r w:rsidR="007536E6" w:rsidRPr="0050126D">
        <w:rPr>
          <w:b/>
          <w:shd w:val="clear" w:color="auto" w:fill="FFFFFF"/>
        </w:rPr>
        <w:t>nto costó el “sarao” del año 2008 (helicópteros monetarios en el a</w:t>
      </w:r>
      <w:r>
        <w:rPr>
          <w:b/>
          <w:shd w:val="clear" w:color="auto" w:fill="FFFFFF"/>
        </w:rPr>
        <w:t>ire - Parte</w:t>
      </w:r>
      <w:r w:rsidR="007536E6" w:rsidRPr="0050126D">
        <w:rPr>
          <w:b/>
          <w:shd w:val="clear" w:color="auto" w:fill="FFFFFF"/>
        </w:rPr>
        <w:t xml:space="preserve"> I)</w:t>
      </w:r>
    </w:p>
    <w:p w:rsidR="004D74E7" w:rsidRPr="00A217C2" w:rsidRDefault="004D74E7" w:rsidP="004D74E7">
      <w:pPr>
        <w:spacing w:line="240" w:lineRule="auto"/>
        <w:jc w:val="both"/>
        <w:rPr>
          <w:rFonts w:ascii="Times New Roman" w:hAnsi="Times New Roman" w:cs="Times New Roman"/>
          <w:b/>
          <w:sz w:val="24"/>
          <w:szCs w:val="24"/>
        </w:rPr>
      </w:pPr>
      <w:r w:rsidRPr="00A217C2">
        <w:rPr>
          <w:rFonts w:ascii="Times New Roman" w:hAnsi="Times New Roman" w:cs="Times New Roman"/>
          <w:b/>
          <w:sz w:val="24"/>
          <w:szCs w:val="24"/>
        </w:rPr>
        <w:t>Datos de partida (los “grandes números” de la UE y los EEUU)</w:t>
      </w:r>
    </w:p>
    <w:p w:rsidR="004D74E7" w:rsidRPr="00364C45" w:rsidRDefault="004D74E7" w:rsidP="004D74E7">
      <w:pPr>
        <w:spacing w:line="240" w:lineRule="auto"/>
        <w:jc w:val="both"/>
        <w:rPr>
          <w:rFonts w:ascii="Times New Roman" w:hAnsi="Times New Roman" w:cs="Times New Roman"/>
          <w:b/>
          <w:bCs/>
          <w:color w:val="000000"/>
          <w:sz w:val="24"/>
          <w:szCs w:val="24"/>
        </w:rPr>
      </w:pPr>
      <w:r w:rsidRPr="00B01B0F">
        <w:rPr>
          <w:rFonts w:ascii="Times New Roman" w:hAnsi="Times New Roman" w:cs="Times New Roman"/>
          <w:b/>
          <w:bCs/>
          <w:color w:val="000000"/>
          <w:sz w:val="24"/>
          <w:szCs w:val="24"/>
        </w:rPr>
        <w:t>Causas de la Euro crisis</w:t>
      </w:r>
    </w:p>
    <w:p w:rsidR="00A217C2" w:rsidRPr="00B01B0F" w:rsidRDefault="00A217C2" w:rsidP="004D74E7">
      <w:pPr>
        <w:pStyle w:val="NormalWeb"/>
        <w:shd w:val="clear" w:color="auto" w:fill="FFFFFF"/>
        <w:jc w:val="both"/>
        <w:rPr>
          <w:color w:val="000000"/>
        </w:rPr>
      </w:pPr>
      <w:r>
        <w:rPr>
          <w:color w:val="000000"/>
        </w:rPr>
        <w:t>E</w:t>
      </w:r>
      <w:r w:rsidR="004D74E7" w:rsidRPr="00B01B0F">
        <w:rPr>
          <w:color w:val="000000"/>
        </w:rPr>
        <w:t>s ilustrativo observar la deuda y el déficit públicos. Los cuadros </w:t>
      </w:r>
      <w:hyperlink r:id="rId332" w:anchor="Cuadro3a" w:history="1">
        <w:r w:rsidR="004D74E7" w:rsidRPr="0050126D">
          <w:rPr>
            <w:rStyle w:val="Hipervnculo"/>
            <w:color w:val="auto"/>
            <w:u w:val="none"/>
          </w:rPr>
          <w:t>3</w:t>
        </w:r>
      </w:hyperlink>
      <w:r w:rsidR="004D74E7" w:rsidRPr="0050126D">
        <w:t> y </w:t>
      </w:r>
      <w:hyperlink r:id="rId333" w:anchor="Cuadro4a" w:history="1">
        <w:r w:rsidR="004D74E7" w:rsidRPr="0050126D">
          <w:rPr>
            <w:rStyle w:val="Hipervnculo"/>
            <w:color w:val="auto"/>
            <w:u w:val="none"/>
          </w:rPr>
          <w:t>4</w:t>
        </w:r>
      </w:hyperlink>
      <w:r w:rsidR="004D74E7" w:rsidRPr="00B01B0F">
        <w:rPr>
          <w:color w:val="000000"/>
        </w:rPr>
        <w:t> muestran la deuda y el déficit público de todos los estados miembros de la Eurozona.</w:t>
      </w:r>
    </w:p>
    <w:p w:rsidR="004D74E7" w:rsidRPr="00B01B0F" w:rsidRDefault="0050126D" w:rsidP="004D74E7">
      <w:pPr>
        <w:pStyle w:val="NormalWeb"/>
        <w:shd w:val="clear" w:color="auto" w:fill="FFFFFF"/>
        <w:jc w:val="both"/>
        <w:rPr>
          <w:color w:val="000000"/>
        </w:rPr>
      </w:pPr>
      <w:r>
        <w:t xml:space="preserve">       </w:t>
      </w:r>
      <w:r w:rsidR="004D74E7" w:rsidRPr="00B01B0F">
        <w:rPr>
          <w:noProof/>
          <w:color w:val="0000FF"/>
        </w:rPr>
        <w:drawing>
          <wp:inline distT="0" distB="0" distL="0" distR="0" wp14:anchorId="3E26A7DE" wp14:editId="6C02BBEC">
            <wp:extent cx="5276850" cy="3352800"/>
            <wp:effectExtent l="0" t="0" r="0" b="0"/>
            <wp:docPr id="321" name="Imagen 321" descr="http://www.scielo.org.mx/img/revistas/estfro/v16n32/a9c3.jpg">
              <a:hlinkClick xmlns:a="http://schemas.openxmlformats.org/drawingml/2006/main" r:id="rId3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scielo.org.mx/img/revistas/estfro/v16n32/a9c3.jpg">
                      <a:hlinkClick r:id="rId334"/>
                    </pic:cNvPr>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5281973" cy="3356055"/>
                    </a:xfrm>
                    <a:prstGeom prst="rect">
                      <a:avLst/>
                    </a:prstGeom>
                    <a:noFill/>
                    <a:ln>
                      <a:noFill/>
                    </a:ln>
                  </pic:spPr>
                </pic:pic>
              </a:graphicData>
            </a:graphic>
          </wp:inline>
        </w:drawing>
      </w:r>
      <w:hyperlink r:id="rId336" w:anchor="Cuadro4b" w:history="1">
        <w:r w:rsidR="004D74E7" w:rsidRPr="00B01B0F">
          <w:rPr>
            <w:color w:val="0000FF"/>
            <w:u w:val="single"/>
          </w:rPr>
          <w:br/>
        </w:r>
        <w:r>
          <w:t xml:space="preserve">        </w:t>
        </w:r>
        <w:r w:rsidR="004D74E7" w:rsidRPr="00B01B0F">
          <w:rPr>
            <w:noProof/>
            <w:color w:val="0000FF"/>
          </w:rPr>
          <w:drawing>
            <wp:inline distT="0" distB="0" distL="0" distR="0" wp14:anchorId="3FF0497E" wp14:editId="00402AE3">
              <wp:extent cx="5238749" cy="3276600"/>
              <wp:effectExtent l="0" t="0" r="635" b="0"/>
              <wp:docPr id="322" name="Imagen 322" descr="http://www.scielo.org.mx/img/revistas/estfro/v16n32/a9c4.jpg">
                <a:hlinkClick xmlns:a="http://schemas.openxmlformats.org/drawingml/2006/main" r:id="rId3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cielo.org.mx/img/revistas/estfro/v16n32/a9c4.jpg">
                        <a:hlinkClick r:id="rId337"/>
                      </pic:cNvPr>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5237480" cy="3275806"/>
                      </a:xfrm>
                      <a:prstGeom prst="rect">
                        <a:avLst/>
                      </a:prstGeom>
                      <a:noFill/>
                      <a:ln>
                        <a:noFill/>
                      </a:ln>
                    </pic:spPr>
                  </pic:pic>
                </a:graphicData>
              </a:graphic>
            </wp:inline>
          </w:drawing>
        </w:r>
      </w:hyperlink>
    </w:p>
    <w:p w:rsidR="004D74E7" w:rsidRPr="00B01B0F" w:rsidRDefault="004D74E7" w:rsidP="004D74E7">
      <w:pPr>
        <w:pStyle w:val="NormalWeb"/>
        <w:shd w:val="clear" w:color="auto" w:fill="FFFFFF"/>
        <w:jc w:val="both"/>
        <w:rPr>
          <w:color w:val="000000"/>
        </w:rPr>
      </w:pPr>
      <w:r w:rsidRPr="00B01B0F">
        <w:rPr>
          <w:color w:val="000000"/>
        </w:rPr>
        <w:t>Los números en negritas en los cuadros </w:t>
      </w:r>
      <w:hyperlink r:id="rId339" w:anchor="Cuadro3a" w:history="1">
        <w:r w:rsidRPr="0050126D">
          <w:rPr>
            <w:rStyle w:val="Hipervnculo"/>
            <w:color w:val="auto"/>
            <w:u w:val="none"/>
          </w:rPr>
          <w:t>3</w:t>
        </w:r>
      </w:hyperlink>
      <w:r w:rsidRPr="0050126D">
        <w:t> y </w:t>
      </w:r>
      <w:hyperlink r:id="rId340" w:anchor="Cuadro4a" w:history="1">
        <w:r w:rsidRPr="0050126D">
          <w:rPr>
            <w:rStyle w:val="Hipervnculo"/>
            <w:color w:val="auto"/>
            <w:u w:val="none"/>
          </w:rPr>
          <w:t>4</w:t>
        </w:r>
      </w:hyperlink>
      <w:r w:rsidRPr="00B01B0F">
        <w:rPr>
          <w:color w:val="000000"/>
        </w:rPr>
        <w:t xml:space="preserve"> indican incumplimientos de los criterios de Maastricht. Algunos aspectos son dignos de mención. Primero, el déficit público de Grecia y </w:t>
      </w:r>
      <w:r w:rsidRPr="00B01B0F">
        <w:rPr>
          <w:color w:val="000000"/>
        </w:rPr>
        <w:lastRenderedPageBreak/>
        <w:t>Portugal estuvo por encima del objetivo durante todos los años de membresía a la Eurozona. Incluso países como Alemania no cumplieron con el criterio de déficit en más de una ocasión. Por otro lado, países como España e Irlanda, que luego enfren</w:t>
      </w:r>
      <w:r w:rsidR="00DC0283">
        <w:rPr>
          <w:color w:val="000000"/>
        </w:rPr>
        <w:t>taron graves problemas, fueron “estudiantes ejemplares”</w:t>
      </w:r>
      <w:r w:rsidRPr="00B01B0F">
        <w:rPr>
          <w:color w:val="000000"/>
        </w:rPr>
        <w:t xml:space="preserve"> en cuanto a déficit público se refiere hasta el año 2008, logrando incluso alcanzar excedentes presupuestarios en algunos años. Sin embargo, Irlanda y España podrían haber alcanzado resultados mucho mejores ya que los ingresos fiscales eran altos debido a crédito y al auge inmobiliario (Lane, 2012). A partir del 2009, la mayoría de los países no cumplieron el criterio del 3%. Los datos sobre la deuda pública cuentan una historia similar, ya que Austria, Bélgica, Grecia e Italia nunca cumplieron con el requisito de la deuda. Alemania lo hizo sólo en una ocasión en un año. España e Irlanda estuvieron de nuevo entre los países con mejores resultados e incluso lograron reducir su relación deuda-PIB hasta el año 2008. La Eurozona en su conjunto logró reducir el endeudamiento desde 1999 hasta el 2007 con respecto al PIB, pero la situación cambió rotundamente después del 2008. La relación deuda-PIB se disparó en todos los países de la Eurozona, hecho que se vincula con la crisis financiera que comenzó en 2008.</w:t>
      </w:r>
    </w:p>
    <w:p w:rsidR="004D74E7" w:rsidRPr="00B01B0F" w:rsidRDefault="004D74E7" w:rsidP="004D74E7">
      <w:pPr>
        <w:pStyle w:val="NormalWeb"/>
        <w:shd w:val="clear" w:color="auto" w:fill="FFFFFF"/>
        <w:jc w:val="both"/>
        <w:rPr>
          <w:color w:val="000000"/>
        </w:rPr>
      </w:pPr>
      <w:r w:rsidRPr="00B01B0F">
        <w:rPr>
          <w:color w:val="000000"/>
        </w:rPr>
        <w:t>Es así que la causa principal de la actual crisis en Europa no fueron los errores cometidos durante la creación de la Eurozona. No hubo crisis de la deuda pública en Europa hasta 2008. La Euro crisis es esencialmente el resultado de la crisis </w:t>
      </w:r>
      <w:r w:rsidRPr="00B01B0F">
        <w:rPr>
          <w:i/>
          <w:iCs/>
          <w:color w:val="000000"/>
        </w:rPr>
        <w:t>subprime</w:t>
      </w:r>
      <w:r w:rsidR="00DC0283">
        <w:rPr>
          <w:color w:val="000000"/>
        </w:rPr>
        <w:t> que comenzó en 2007 en los EEUU</w:t>
      </w:r>
      <w:r w:rsidRPr="00B01B0F">
        <w:rPr>
          <w:color w:val="000000"/>
        </w:rPr>
        <w:t>, y esto nos lleva inevitablemente a preguntarnos por qué Europa se vio afectada de modo tan severo. Muchos bancos europeos invirtieron en </w:t>
      </w:r>
      <w:r w:rsidRPr="00B01B0F">
        <w:rPr>
          <w:i/>
          <w:iCs/>
          <w:color w:val="000000"/>
        </w:rPr>
        <w:t>Asset Backed Securities</w:t>
      </w:r>
      <w:r w:rsidRPr="00B01B0F">
        <w:rPr>
          <w:color w:val="000000"/>
        </w:rPr>
        <w:t> (ABS) (valores respaldados por activos). Después del 2001, la política monetaria en Europa era relativamente expansiva, lo que llevó a los bancos e inversores a centrarse en inversiones alternativas dado que los bonos tradicionales no eran lucrativos debido a los bajos rendimientos. Los ABS parecían ser una buena opción ya que consistentemente obtenían buenos índices y mayores rendimientos. Por lo tanto, los bancos podrían financiarse a bajo costo en el BCE y comprar ABS de alto rendimiento. La otra causa de la participación de Europa en el sector </w:t>
      </w:r>
      <w:r w:rsidRPr="00B01B0F">
        <w:rPr>
          <w:i/>
          <w:iCs/>
          <w:color w:val="000000"/>
        </w:rPr>
        <w:t>subprime</w:t>
      </w:r>
      <w:r w:rsidRPr="00B01B0F">
        <w:rPr>
          <w:color w:val="000000"/>
        </w:rPr>
        <w:t> a través de los ABS fue el financiamiento del gran déficit en cuenta corriente</w:t>
      </w:r>
      <w:r w:rsidR="00DC0283">
        <w:rPr>
          <w:color w:val="000000"/>
        </w:rPr>
        <w:t xml:space="preserve"> de los EEUU.</w:t>
      </w:r>
      <w:r w:rsidRPr="00B01B0F">
        <w:rPr>
          <w:color w:val="000000"/>
        </w:rPr>
        <w:t xml:space="preserve"> Los déficits comerciales de Estados Unidos fueron financiados con la venta de ABS a los países con superávit por cuenta corriente, especialmente a Alemania y los Países Bajos. Cuando la Fed aumentó las tasas de interés desde 2006 a 2007, la </w:t>
      </w:r>
      <w:r w:rsidR="00DC0283">
        <w:rPr>
          <w:color w:val="000000"/>
        </w:rPr>
        <w:t>burbuja inmobiliaria en los EEUU</w:t>
      </w:r>
      <w:r w:rsidRPr="00B01B0F">
        <w:rPr>
          <w:color w:val="000000"/>
        </w:rPr>
        <w:t xml:space="preserve"> estalló y el valor de los ABS se desplomó. Esto desencadenó bajas masivas en el valor de los activos de los bancos, creando desconfianza entre bancos, y entre los ahorristas y los bancos. Como consecuencia, los ahorristas retiraron su dinero de los bancos, y estos últimos se mostraron reacios a prestarse dinero entre sí. Aun así, la situación era todavía relativamente tranquila hasta que Lehman Brothers se fue a la quiebra. Esta insolvencia causó un desplome de los mercados bursátiles en todo el mundo, provocando nuevas amortizaciones y pérdidas de los bancos, lo que a su vez desencadenó solvencia y problemas de liquidez para muchos de ellos.</w:t>
      </w:r>
    </w:p>
    <w:p w:rsidR="004D74E7" w:rsidRPr="00B01B0F" w:rsidRDefault="004D74E7" w:rsidP="004D74E7">
      <w:pPr>
        <w:pStyle w:val="NormalWeb"/>
        <w:shd w:val="clear" w:color="auto" w:fill="FFFFFF"/>
        <w:jc w:val="both"/>
        <w:rPr>
          <w:color w:val="000000"/>
        </w:rPr>
      </w:pPr>
      <w:r w:rsidRPr="00B01B0F">
        <w:rPr>
          <w:color w:val="000000"/>
        </w:rPr>
        <w:t xml:space="preserve">La diferencia entre la Europa continental y los países anglosajones es que en estos últimos, el sistema financiero está orientado al mercado y no dominado por los bancos. En Europa, las compañías y los individuos financian sus inversiones al pedir préstamos a sus propios bancos y retener las ganancias. Las pequeñas y medianas empresas rara vez emiten bonos corporativos para obtener liquidez. Por eso los bancos son esenciales para el funcionamiento de la verdadera economía. Es más, los bancos nacionales son relativamente grandes en comparación con las economías domésticas. Varios balances totales de bancos representan más del 100% del PIB del país en el que se encuentran, e incluso, los bancos europeos todavía invierten principalmente en activos domésticos y en los bonos del gobierno, lo que crea dependencia mutua entre bancos y gobiernos. La solvencia de los bancos depende de la </w:t>
      </w:r>
      <w:r w:rsidRPr="00B01B0F">
        <w:rPr>
          <w:color w:val="000000"/>
        </w:rPr>
        <w:lastRenderedPageBreak/>
        <w:t>solvencia del país donde se encuentra y viceversa y esta dependencia obligó a los gobiernos europeos a salvar a los bancos. Muchos bancos fueron reestructurados o necesitaron capital y liquidez. La </w:t>
      </w:r>
      <w:hyperlink r:id="rId341" w:anchor="Figura1b" w:history="1">
        <w:r w:rsidRPr="00DC0283">
          <w:rPr>
            <w:rStyle w:val="Hipervnculo"/>
            <w:color w:val="auto"/>
            <w:u w:val="none"/>
          </w:rPr>
          <w:t>figura 1</w:t>
        </w:r>
      </w:hyperlink>
      <w:r w:rsidRPr="00B01B0F">
        <w:rPr>
          <w:color w:val="000000"/>
        </w:rPr>
        <w:t> muestra la cantidad de medidas de rescate en la Eurozona.</w:t>
      </w:r>
    </w:p>
    <w:p w:rsidR="004D74E7" w:rsidRPr="00B01B0F" w:rsidRDefault="00DC0283" w:rsidP="004D74E7">
      <w:pPr>
        <w:pStyle w:val="NormalWeb"/>
        <w:shd w:val="clear" w:color="auto" w:fill="FFFFFF"/>
        <w:jc w:val="both"/>
        <w:rPr>
          <w:color w:val="000000"/>
        </w:rPr>
      </w:pPr>
      <w:r>
        <w:rPr>
          <w:color w:val="000000"/>
        </w:rPr>
        <w:t xml:space="preserve">        </w:t>
      </w:r>
      <w:r w:rsidR="004D74E7" w:rsidRPr="00B01B0F">
        <w:rPr>
          <w:noProof/>
          <w:color w:val="0000FF"/>
        </w:rPr>
        <w:drawing>
          <wp:inline distT="0" distB="0" distL="0" distR="0" wp14:anchorId="40F8B291" wp14:editId="1FE74197">
            <wp:extent cx="5237480" cy="3590290"/>
            <wp:effectExtent l="0" t="0" r="1270" b="0"/>
            <wp:docPr id="323" name="Imagen 323" descr="http://www.scielo.org.mx/img/revistas/estfro/v16n32/a9f1.jpg">
              <a:hlinkClick xmlns:a="http://schemas.openxmlformats.org/drawingml/2006/main" r:id="rId3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scielo.org.mx/img/revistas/estfro/v16n32/a9f1.jpg">
                      <a:hlinkClick r:id="rId342"/>
                    </pic:cNvPr>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5237480" cy="3590290"/>
                    </a:xfrm>
                    <a:prstGeom prst="rect">
                      <a:avLst/>
                    </a:prstGeom>
                    <a:noFill/>
                    <a:ln>
                      <a:noFill/>
                    </a:ln>
                  </pic:spPr>
                </pic:pic>
              </a:graphicData>
            </a:graphic>
          </wp:inline>
        </w:drawing>
      </w:r>
    </w:p>
    <w:p w:rsidR="004D74E7" w:rsidRPr="00B01B0F" w:rsidRDefault="004D74E7" w:rsidP="004D74E7">
      <w:pPr>
        <w:pStyle w:val="NormalWeb"/>
        <w:shd w:val="clear" w:color="auto" w:fill="FFFFFF"/>
        <w:jc w:val="both"/>
        <w:rPr>
          <w:color w:val="000000"/>
        </w:rPr>
      </w:pPr>
      <w:r w:rsidRPr="00B01B0F">
        <w:rPr>
          <w:color w:val="000000"/>
        </w:rPr>
        <w:t>Tal como lo ilustra la </w:t>
      </w:r>
      <w:hyperlink r:id="rId344" w:anchor="Figura1b" w:history="1">
        <w:r w:rsidRPr="00DC0283">
          <w:rPr>
            <w:rStyle w:val="Hipervnculo"/>
            <w:color w:val="auto"/>
            <w:u w:val="none"/>
          </w:rPr>
          <w:t>figura 1</w:t>
        </w:r>
      </w:hyperlink>
      <w:r w:rsidRPr="00B01B0F">
        <w:rPr>
          <w:color w:val="000000"/>
        </w:rPr>
        <w:t>, las medidas de rescate consistían en garantías, medidas de alivio, medidas de recapitalización y medidas de liquidez. Las garantías representan la mayor parte, alcanzando 320 mil millones de euros en 2008. Esta suma se duplicó en 2009, al igual que en 2010. También resulta enriquecedor analizar las cifras de la reestructuración bancaria entre 2008 y 2010. Italia (19) y Austria (17) fueron los países que reestructuraron la mayor cantidad de bancos durante esa época. Esta cifra es mucho menor que el número de b</w:t>
      </w:r>
      <w:r w:rsidR="00DC0283">
        <w:rPr>
          <w:color w:val="000000"/>
        </w:rPr>
        <w:t>ancos reestructurados en los EEUU</w:t>
      </w:r>
      <w:r w:rsidRPr="00B01B0F">
        <w:rPr>
          <w:color w:val="000000"/>
        </w:rPr>
        <w:t xml:space="preserve"> (53). Es aún más interesante el hecho de que España sólo cerró tres bancos.</w:t>
      </w:r>
      <w:hyperlink r:id="rId345" w:anchor="ftn8" w:history="1">
        <w:r w:rsidRPr="00B01B0F">
          <w:rPr>
            <w:rStyle w:val="Hipervnculo"/>
            <w:vertAlign w:val="superscript"/>
          </w:rPr>
          <w:t>7</w:t>
        </w:r>
      </w:hyperlink>
      <w:r w:rsidRPr="00B01B0F">
        <w:rPr>
          <w:color w:val="000000"/>
        </w:rPr>
        <w:t xml:space="preserve"> España es uno de los países más afectados por la crisis porque también sufrió el estallido de la burbuja de precios inmobiliarios. Por ende, se esperaría que este país reestructure más bancos, especialmente porque hay gran cantidad de cajas de ahorro en dificultades. Pero, ¿por qué España sólo cerró tres bancos? Existen básicamente dos razones. La primera es que los políticos eran más que conscientes de los problemas del mercado inmobiliario y el cerrar más bancos hubiese puesto mayor presión en los precios debido a mayores tasas de embargo. Ellos también querían que los bancos continuaran prestándole dinero al sector privado para estabilizar la economía. La segunda razón tiene que ver con que el gobierno estaba al tanto de los costos fiscales masivos en los que una reestructuración habría incurrido. Es por eso que dudaron a la hora de sanear el sector bancario. En retrospectiva, sabemos que demorar la crisis bancaria fue un </w:t>
      </w:r>
      <w:r w:rsidR="00DC0283">
        <w:rPr>
          <w:color w:val="000000"/>
        </w:rPr>
        <w:t>grave error. Países como los EEUU</w:t>
      </w:r>
      <w:r w:rsidRPr="00B01B0F">
        <w:rPr>
          <w:color w:val="000000"/>
        </w:rPr>
        <w:t xml:space="preserve"> que pudieron limpiar el desorden rápidamente, se encuentran ahora en una situación mucho mejor.</w:t>
      </w:r>
    </w:p>
    <w:p w:rsidR="004D74E7" w:rsidRPr="00B01B0F" w:rsidRDefault="004D74E7" w:rsidP="004D74E7">
      <w:pPr>
        <w:pStyle w:val="NormalWeb"/>
        <w:shd w:val="clear" w:color="auto" w:fill="FFFFFF"/>
        <w:jc w:val="both"/>
        <w:rPr>
          <w:color w:val="000000"/>
        </w:rPr>
      </w:pPr>
      <w:r w:rsidRPr="00B01B0F">
        <w:rPr>
          <w:color w:val="000000"/>
        </w:rPr>
        <w:t>Sin embargo, la causa principal de la actual crisis de deuda pública es la excesiva deuda privada, no la pública misma. Tanto bancos como individuos aumentaron los préstamos, pero el problema fue que estos créditos no sólo se utilizaron en inversiones para aumentar la productividad sino también para el consumo y la inversión en el sector inmobiliario.</w:t>
      </w:r>
    </w:p>
    <w:p w:rsidR="004D74E7" w:rsidRPr="00B01B0F" w:rsidRDefault="004D74E7" w:rsidP="004D74E7">
      <w:pPr>
        <w:pStyle w:val="NormalWeb"/>
        <w:shd w:val="clear" w:color="auto" w:fill="FFFFFF"/>
        <w:jc w:val="both"/>
        <w:rPr>
          <w:color w:val="000000"/>
        </w:rPr>
      </w:pPr>
      <w:r w:rsidRPr="00B01B0F">
        <w:rPr>
          <w:color w:val="000000"/>
        </w:rPr>
        <w:lastRenderedPageBreak/>
        <w:t>La </w:t>
      </w:r>
      <w:hyperlink r:id="rId346" w:anchor="Figura2b" w:history="1">
        <w:r w:rsidRPr="00DC0283">
          <w:rPr>
            <w:rStyle w:val="Hipervnculo"/>
            <w:color w:val="auto"/>
            <w:u w:val="none"/>
          </w:rPr>
          <w:t>figura 2</w:t>
        </w:r>
      </w:hyperlink>
      <w:r w:rsidRPr="00B01B0F">
        <w:rPr>
          <w:color w:val="000000"/>
        </w:rPr>
        <w:t> muestra el desarrollo de la deuda privada en ciertos países de la Eurozona. Aparentemente la deuda privada estuvo atravesando una etapa de expansión hasta el comienzo de la crisis financiera. Sólo algunos países lograron mantener la deuda privada como porcentaje del PIB estable después de que estallara la crisis. El gasto de los individuos, las empresas y los gobiernos de los países PIIGS fue financiado por los capitale</w:t>
      </w:r>
      <w:r w:rsidR="00DC0283">
        <w:rPr>
          <w:color w:val="000000"/>
        </w:rPr>
        <w:t>s excedentes</w:t>
      </w:r>
      <w:r w:rsidRPr="00B01B0F">
        <w:rPr>
          <w:color w:val="000000"/>
        </w:rPr>
        <w:t>. Los préstamos se utilizaron para la compra de viviendas y en el pico del boom inmobiliario, la proporción de las inversiones de construcción con respecto al PIB fue del 22% en Irlanda y del 18% en</w:t>
      </w:r>
      <w:r w:rsidR="00DC0283">
        <w:rPr>
          <w:color w:val="000000"/>
        </w:rPr>
        <w:t xml:space="preserve"> España</w:t>
      </w:r>
      <w:r w:rsidRPr="00B01B0F">
        <w:rPr>
          <w:color w:val="000000"/>
        </w:rPr>
        <w:t>. España e Irlanda tenían sus propias burbujas de precios inmobiliarios, burbujas que estallaron poco después que lo hiciera la burbuja de las hipotecas </w:t>
      </w:r>
      <w:r w:rsidRPr="00B01B0F">
        <w:rPr>
          <w:i/>
          <w:iCs/>
          <w:color w:val="000000"/>
        </w:rPr>
        <w:t>subprime</w:t>
      </w:r>
      <w:r w:rsidRPr="00B01B0F">
        <w:rPr>
          <w:color w:val="000000"/>
        </w:rPr>
        <w:t>.</w:t>
      </w:r>
    </w:p>
    <w:p w:rsidR="004D74E7" w:rsidRPr="00B01B0F" w:rsidRDefault="00DC0283" w:rsidP="004D74E7">
      <w:pPr>
        <w:pStyle w:val="NormalWeb"/>
        <w:shd w:val="clear" w:color="auto" w:fill="FFFFFF"/>
        <w:jc w:val="both"/>
        <w:rPr>
          <w:color w:val="000000"/>
        </w:rPr>
      </w:pPr>
      <w:r>
        <w:rPr>
          <w:color w:val="000000"/>
        </w:rPr>
        <w:t xml:space="preserve">        </w:t>
      </w:r>
      <w:r w:rsidR="004D74E7" w:rsidRPr="00B01B0F">
        <w:rPr>
          <w:noProof/>
          <w:color w:val="0000FF"/>
        </w:rPr>
        <w:drawing>
          <wp:inline distT="0" distB="0" distL="0" distR="0" wp14:anchorId="52755C3E" wp14:editId="7B60935B">
            <wp:extent cx="5237480" cy="2951480"/>
            <wp:effectExtent l="0" t="0" r="1270" b="1270"/>
            <wp:docPr id="324" name="Imagen 324" descr="http://www.scielo.org.mx/img/revistas/estfro/v16n32/a9f2.jpg">
              <a:hlinkClick xmlns:a="http://schemas.openxmlformats.org/drawingml/2006/main" r:id="rId3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scielo.org.mx/img/revistas/estfro/v16n32/a9f2.jpg">
                      <a:hlinkClick r:id="rId347"/>
                    </pic:cNvPr>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5237480" cy="2951480"/>
                    </a:xfrm>
                    <a:prstGeom prst="rect">
                      <a:avLst/>
                    </a:prstGeom>
                    <a:noFill/>
                    <a:ln>
                      <a:noFill/>
                    </a:ln>
                  </pic:spPr>
                </pic:pic>
              </a:graphicData>
            </a:graphic>
          </wp:inline>
        </w:drawing>
      </w:r>
    </w:p>
    <w:p w:rsidR="004D74E7" w:rsidRDefault="004D74E7" w:rsidP="004D74E7">
      <w:pPr>
        <w:pStyle w:val="NormalWeb"/>
        <w:shd w:val="clear" w:color="auto" w:fill="FFFFFF"/>
        <w:jc w:val="both"/>
        <w:rPr>
          <w:color w:val="000000"/>
        </w:rPr>
      </w:pPr>
      <w:r w:rsidRPr="00B01B0F">
        <w:rPr>
          <w:color w:val="000000"/>
        </w:rPr>
        <w:t>En resumen la causa de todos los males yace en la crisis económica. Previo al estallido de la crisis económica, la Eurozona lograba hacerle frente a los problemas que datan de la época de la creación del área monetaria. La Gran Recesión obligó a los países a rescatar a los bancos y a las empresas, y a implementar una política fiscal expansiva para combatir la recesión.</w:t>
      </w:r>
    </w:p>
    <w:p w:rsidR="004D74E7" w:rsidRDefault="004D74E7" w:rsidP="004D74E7">
      <w:pPr>
        <w:pStyle w:val="NormalWeb"/>
        <w:shd w:val="clear" w:color="auto" w:fill="FFFFFF"/>
        <w:jc w:val="both"/>
        <w:rPr>
          <w:color w:val="000000"/>
        </w:rPr>
      </w:pPr>
      <w:r>
        <w:rPr>
          <w:color w:val="000000"/>
        </w:rPr>
        <w:t xml:space="preserve">- </w:t>
      </w:r>
      <w:r w:rsidRPr="009D7272">
        <w:rPr>
          <w:color w:val="000000"/>
        </w:rPr>
        <w:t>Estrategias económicas de salida de la crisis</w:t>
      </w:r>
      <w:r>
        <w:rPr>
          <w:color w:val="000000"/>
        </w:rPr>
        <w:t xml:space="preserve"> (</w:t>
      </w:r>
      <w:r w:rsidRPr="009D7272">
        <w:rPr>
          <w:color w:val="000000"/>
        </w:rPr>
        <w:t>Discurso pronunciado por José Manuel González-Páramo, miembr</w:t>
      </w:r>
      <w:r>
        <w:rPr>
          <w:color w:val="000000"/>
        </w:rPr>
        <w:t xml:space="preserve">o del Comité Ejecutivo del BCE, Fundación Ramón Areces, </w:t>
      </w:r>
      <w:r w:rsidRPr="009D7272">
        <w:rPr>
          <w:color w:val="000000"/>
        </w:rPr>
        <w:t xml:space="preserve">Madrid, </w:t>
      </w:r>
      <w:r w:rsidRPr="004F114C">
        <w:rPr>
          <w:b/>
          <w:color w:val="000000"/>
        </w:rPr>
        <w:t>25 de marzo de 2010</w:t>
      </w:r>
      <w:r>
        <w:rPr>
          <w:color w:val="000000"/>
        </w:rPr>
        <w:t>)</w:t>
      </w:r>
    </w:p>
    <w:p w:rsidR="004D74E7" w:rsidRDefault="004D74E7" w:rsidP="004D74E7">
      <w:pPr>
        <w:pStyle w:val="NormalWeb"/>
        <w:shd w:val="clear" w:color="auto" w:fill="FFFFFF"/>
        <w:jc w:val="both"/>
        <w:rPr>
          <w:color w:val="000000"/>
        </w:rPr>
      </w:pPr>
      <w:r>
        <w:rPr>
          <w:color w:val="000000"/>
        </w:rPr>
        <w:t>(…)</w:t>
      </w:r>
    </w:p>
    <w:p w:rsidR="004D74E7" w:rsidRPr="009D7272" w:rsidRDefault="004D74E7" w:rsidP="004D74E7">
      <w:pPr>
        <w:pStyle w:val="NormalWeb"/>
        <w:shd w:val="clear" w:color="auto" w:fill="FFFFFF"/>
        <w:jc w:val="both"/>
        <w:rPr>
          <w:color w:val="000000"/>
        </w:rPr>
      </w:pPr>
      <w:r w:rsidRPr="009D7272">
        <w:rPr>
          <w:color w:val="000000"/>
        </w:rPr>
        <w:t>Las medidas de apoyo al sistema financiero</w:t>
      </w:r>
    </w:p>
    <w:p w:rsidR="004D74E7" w:rsidRPr="009D7272" w:rsidRDefault="004D74E7" w:rsidP="004D74E7">
      <w:pPr>
        <w:pStyle w:val="NormalWeb"/>
        <w:shd w:val="clear" w:color="auto" w:fill="FFFFFF"/>
        <w:jc w:val="both"/>
        <w:rPr>
          <w:color w:val="000000"/>
        </w:rPr>
      </w:pPr>
      <w:r w:rsidRPr="009D7272">
        <w:rPr>
          <w:color w:val="000000"/>
        </w:rPr>
        <w:t>Los gobiernos europeos han adoptado iniciativas decisivas y coordinadas para estabilizar el sector bancario y mitigar el riesgo de una severa contracción del crédito. A este fin, los gobiernos han facilitado un respaldo financiero sustancial mediante recapitalizaciones, esquemas de protección de activos y prestación de garantías a las emisiones de la</w:t>
      </w:r>
      <w:r>
        <w:rPr>
          <w:color w:val="000000"/>
        </w:rPr>
        <w:t>s entidades bancarias europeas.</w:t>
      </w:r>
    </w:p>
    <w:p w:rsidR="00A217C2" w:rsidRDefault="004D74E7" w:rsidP="004D74E7">
      <w:pPr>
        <w:pStyle w:val="NormalWeb"/>
        <w:shd w:val="clear" w:color="auto" w:fill="FFFFFF"/>
        <w:jc w:val="both"/>
        <w:rPr>
          <w:color w:val="000000"/>
        </w:rPr>
      </w:pPr>
      <w:r w:rsidRPr="009D7272">
        <w:rPr>
          <w:color w:val="000000"/>
        </w:rPr>
        <w:t xml:space="preserve">Así, los gobiernos han puesto a disposición de las entidades de crédito de la zona del euro hasta 130 mm de euros en inyecciones de capital, 1,7 billones en garantías para la emisión de bonos y unos 240 mm en esquemas de protección de activos. Por distintos motivos, su </w:t>
      </w:r>
      <w:r w:rsidRPr="009D7272">
        <w:rPr>
          <w:color w:val="000000"/>
        </w:rPr>
        <w:lastRenderedPageBreak/>
        <w:t>utilización efectiva es todavía reducida, si bien su volumen total parece adecuado a las potenciales pérdidas derivadas de préstamos fallidos y activos dañados. Debe decirse, al mismo tiempo, que el diseño de estas medidas no debería ser un obstáculo a la necesaria reestructuración en los casos de sobredimensionamiento o de debilidad del modelo de negocio</w:t>
      </w:r>
      <w:r w:rsidR="00DC0283">
        <w:rPr>
          <w:color w:val="000000"/>
        </w:rPr>
        <w:t>…</w:t>
      </w:r>
    </w:p>
    <w:p w:rsidR="004D74E7" w:rsidRPr="004F114C" w:rsidRDefault="004D74E7" w:rsidP="004D74E7">
      <w:pPr>
        <w:pStyle w:val="NormalWeb"/>
        <w:shd w:val="clear" w:color="auto" w:fill="FFFFFF"/>
        <w:jc w:val="both"/>
        <w:rPr>
          <w:b/>
          <w:color w:val="000000"/>
          <w:lang w:val="en-US"/>
        </w:rPr>
      </w:pPr>
      <w:r w:rsidRPr="004F114C">
        <w:rPr>
          <w:b/>
          <w:color w:val="000000"/>
          <w:lang w:val="en-US"/>
        </w:rPr>
        <w:t>Annual consolidated balance sheet of the Eurosystem</w:t>
      </w:r>
    </w:p>
    <w:p w:rsidR="004D74E7" w:rsidRPr="00DC0283" w:rsidRDefault="00DC0283" w:rsidP="004D74E7">
      <w:pPr>
        <w:pStyle w:val="NormalWeb"/>
        <w:shd w:val="clear" w:color="auto" w:fill="FFFFFF"/>
        <w:jc w:val="both"/>
        <w:rPr>
          <w:color w:val="000000"/>
          <w:lang w:val="en-US"/>
        </w:rPr>
      </w:pPr>
      <w:r w:rsidRPr="00DC0283">
        <w:rPr>
          <w:color w:val="000000"/>
          <w:lang w:val="en-US"/>
        </w:rPr>
        <w:t xml:space="preserve">            </w:t>
      </w:r>
      <w:r w:rsidR="004D74E7" w:rsidRPr="004F114C">
        <w:rPr>
          <w:noProof/>
          <w:color w:val="000000"/>
        </w:rPr>
        <w:drawing>
          <wp:inline distT="0" distB="0" distL="0" distR="0" wp14:anchorId="213256F3" wp14:editId="233E7BD3">
            <wp:extent cx="5029200" cy="6692900"/>
            <wp:effectExtent l="0" t="0" r="0" b="0"/>
            <wp:docPr id="325" name="Imagen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9"/>
                    <a:stretch>
                      <a:fillRect/>
                    </a:stretch>
                  </pic:blipFill>
                  <pic:spPr>
                    <a:xfrm>
                      <a:off x="0" y="0"/>
                      <a:ext cx="5029902" cy="6693834"/>
                    </a:xfrm>
                    <a:prstGeom prst="rect">
                      <a:avLst/>
                    </a:prstGeom>
                  </pic:spPr>
                </pic:pic>
              </a:graphicData>
            </a:graphic>
          </wp:inline>
        </w:drawing>
      </w:r>
    </w:p>
    <w:p w:rsidR="00A217C2" w:rsidRPr="00BE3BD3" w:rsidRDefault="004D74E7" w:rsidP="004D74E7">
      <w:pPr>
        <w:pStyle w:val="NormalWeb"/>
        <w:shd w:val="clear" w:color="auto" w:fill="FFFFFF"/>
        <w:jc w:val="both"/>
        <w:rPr>
          <w:color w:val="000000"/>
          <w:lang w:val="en-US"/>
        </w:rPr>
      </w:pPr>
      <w:r w:rsidRPr="004F114C">
        <w:rPr>
          <w:color w:val="000000"/>
          <w:lang w:val="en-US"/>
        </w:rPr>
        <w:t>Consolidated balance sheet of the Eurosystem as at 31 December 2019</w:t>
      </w:r>
      <w:r>
        <w:rPr>
          <w:color w:val="000000"/>
          <w:lang w:val="en-US"/>
        </w:rPr>
        <w:t xml:space="preserve"> (</w:t>
      </w:r>
      <w:r w:rsidRPr="004F114C">
        <w:rPr>
          <w:color w:val="000000"/>
          <w:lang w:val="en-US"/>
        </w:rPr>
        <w:t>Last updated on 20 February 2020</w:t>
      </w:r>
      <w:r w:rsidR="00DC0283">
        <w:rPr>
          <w:color w:val="000000"/>
          <w:lang w:val="en-US"/>
        </w:rPr>
        <w:t>)</w:t>
      </w:r>
    </w:p>
    <w:p w:rsidR="004D74E7" w:rsidRDefault="004D74E7" w:rsidP="004D74E7">
      <w:pPr>
        <w:pStyle w:val="NormalWeb"/>
        <w:shd w:val="clear" w:color="auto" w:fill="FFFFFF"/>
        <w:jc w:val="both"/>
        <w:rPr>
          <w:color w:val="000000"/>
          <w:lang w:val="en-US"/>
        </w:rPr>
      </w:pPr>
      <w:r w:rsidRPr="0038796E">
        <w:rPr>
          <w:noProof/>
          <w:color w:val="000000"/>
        </w:rPr>
        <w:lastRenderedPageBreak/>
        <w:drawing>
          <wp:inline distT="0" distB="0" distL="0" distR="0" wp14:anchorId="6DBCE527" wp14:editId="02AFF033">
            <wp:extent cx="5048955" cy="438211"/>
            <wp:effectExtent l="0" t="0" r="0" b="0"/>
            <wp:docPr id="326" name="Imagen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0"/>
                    <a:stretch>
                      <a:fillRect/>
                    </a:stretch>
                  </pic:blipFill>
                  <pic:spPr>
                    <a:xfrm>
                      <a:off x="0" y="0"/>
                      <a:ext cx="5048955" cy="438211"/>
                    </a:xfrm>
                    <a:prstGeom prst="rect">
                      <a:avLst/>
                    </a:prstGeom>
                  </pic:spPr>
                </pic:pic>
              </a:graphicData>
            </a:graphic>
          </wp:inline>
        </w:drawing>
      </w:r>
    </w:p>
    <w:p w:rsidR="004D74E7" w:rsidRDefault="004D74E7" w:rsidP="004D74E7">
      <w:pPr>
        <w:pStyle w:val="NormalWeb"/>
        <w:shd w:val="clear" w:color="auto" w:fill="FFFFFF"/>
        <w:jc w:val="both"/>
        <w:rPr>
          <w:color w:val="000000"/>
          <w:lang w:val="en-US"/>
        </w:rPr>
      </w:pPr>
      <w:r w:rsidRPr="0038796E">
        <w:rPr>
          <w:noProof/>
          <w:color w:val="000000"/>
        </w:rPr>
        <w:drawing>
          <wp:inline distT="0" distB="0" distL="0" distR="0" wp14:anchorId="056FF014" wp14:editId="3259DF39">
            <wp:extent cx="6299947" cy="2091017"/>
            <wp:effectExtent l="0" t="0" r="5715" b="5080"/>
            <wp:docPr id="327" name="Imagen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1"/>
                    <a:stretch>
                      <a:fillRect/>
                    </a:stretch>
                  </pic:blipFill>
                  <pic:spPr>
                    <a:xfrm>
                      <a:off x="0" y="0"/>
                      <a:ext cx="6311399" cy="2094818"/>
                    </a:xfrm>
                    <a:prstGeom prst="rect">
                      <a:avLst/>
                    </a:prstGeom>
                  </pic:spPr>
                </pic:pic>
              </a:graphicData>
            </a:graphic>
          </wp:inline>
        </w:drawing>
      </w:r>
    </w:p>
    <w:p w:rsidR="004D74E7" w:rsidRPr="00664AEF" w:rsidRDefault="004D74E7" w:rsidP="004D74E7">
      <w:pPr>
        <w:pStyle w:val="NormalWeb"/>
        <w:shd w:val="clear" w:color="auto" w:fill="FFFFFF"/>
        <w:jc w:val="both"/>
        <w:rPr>
          <w:color w:val="000000"/>
          <w:lang w:val="en-US"/>
        </w:rPr>
      </w:pPr>
      <w:r w:rsidRPr="00664AEF">
        <w:rPr>
          <w:noProof/>
          <w:color w:val="000000"/>
        </w:rPr>
        <w:drawing>
          <wp:inline distT="0" distB="0" distL="0" distR="0" wp14:anchorId="5DA26931" wp14:editId="3AAA5FC8">
            <wp:extent cx="5730511" cy="2245658"/>
            <wp:effectExtent l="0" t="0" r="3810" b="2540"/>
            <wp:docPr id="328" name="Imagen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2"/>
                    <a:stretch>
                      <a:fillRect/>
                    </a:stretch>
                  </pic:blipFill>
                  <pic:spPr>
                    <a:xfrm>
                      <a:off x="0" y="0"/>
                      <a:ext cx="5731510" cy="2246050"/>
                    </a:xfrm>
                    <a:prstGeom prst="rect">
                      <a:avLst/>
                    </a:prstGeom>
                  </pic:spPr>
                </pic:pic>
              </a:graphicData>
            </a:graphic>
          </wp:inline>
        </w:drawing>
      </w:r>
    </w:p>
    <w:p w:rsidR="004D74E7" w:rsidRDefault="004D74E7" w:rsidP="004D74E7">
      <w:pPr>
        <w:pStyle w:val="NormalWeb"/>
        <w:shd w:val="clear" w:color="auto" w:fill="FFFFFF"/>
        <w:jc w:val="both"/>
        <w:rPr>
          <w:b/>
          <w:color w:val="000000"/>
          <w:lang w:val="en-US"/>
        </w:rPr>
      </w:pPr>
      <w:r w:rsidRPr="00664AEF">
        <w:rPr>
          <w:b/>
          <w:noProof/>
          <w:color w:val="000000"/>
        </w:rPr>
        <w:drawing>
          <wp:inline distT="0" distB="0" distL="0" distR="0" wp14:anchorId="0D741E4E" wp14:editId="3ABB458B">
            <wp:extent cx="4047565" cy="2595281"/>
            <wp:effectExtent l="0" t="0" r="0" b="0"/>
            <wp:docPr id="329" name="Imagen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3"/>
                    <a:stretch>
                      <a:fillRect/>
                    </a:stretch>
                  </pic:blipFill>
                  <pic:spPr>
                    <a:xfrm>
                      <a:off x="0" y="0"/>
                      <a:ext cx="4044982" cy="2593625"/>
                    </a:xfrm>
                    <a:prstGeom prst="rect">
                      <a:avLst/>
                    </a:prstGeom>
                  </pic:spPr>
                </pic:pic>
              </a:graphicData>
            </a:graphic>
          </wp:inline>
        </w:drawing>
      </w:r>
    </w:p>
    <w:p w:rsidR="00E73CC5" w:rsidRDefault="00E73CC5" w:rsidP="004D74E7">
      <w:pPr>
        <w:pStyle w:val="NormalWeb"/>
        <w:shd w:val="clear" w:color="auto" w:fill="FFFFFF"/>
        <w:jc w:val="both"/>
        <w:rPr>
          <w:b/>
          <w:color w:val="000000"/>
          <w:lang w:val="en-US"/>
        </w:rPr>
      </w:pPr>
    </w:p>
    <w:p w:rsidR="00E73CC5" w:rsidRDefault="00E73CC5" w:rsidP="004D74E7">
      <w:pPr>
        <w:pStyle w:val="NormalWeb"/>
        <w:shd w:val="clear" w:color="auto" w:fill="FFFFFF"/>
        <w:jc w:val="both"/>
        <w:rPr>
          <w:b/>
          <w:color w:val="000000"/>
          <w:lang w:val="en-US"/>
        </w:rPr>
      </w:pPr>
    </w:p>
    <w:p w:rsidR="004D74E7" w:rsidRDefault="004D74E7" w:rsidP="004D74E7">
      <w:pPr>
        <w:pStyle w:val="NormalWeb"/>
        <w:shd w:val="clear" w:color="auto" w:fill="FFFFFF"/>
        <w:jc w:val="both"/>
        <w:rPr>
          <w:b/>
          <w:color w:val="000000"/>
          <w:lang w:val="en-US"/>
        </w:rPr>
      </w:pPr>
      <w:r w:rsidRPr="00664AEF">
        <w:rPr>
          <w:b/>
          <w:noProof/>
          <w:color w:val="000000"/>
        </w:rPr>
        <w:lastRenderedPageBreak/>
        <w:drawing>
          <wp:inline distT="0" distB="0" distL="0" distR="0" wp14:anchorId="4CE27D6B" wp14:editId="27F2511B">
            <wp:extent cx="6134100" cy="2381250"/>
            <wp:effectExtent l="0" t="0" r="0" b="0"/>
            <wp:docPr id="330" name="Imagen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4"/>
                    <a:stretch>
                      <a:fillRect/>
                    </a:stretch>
                  </pic:blipFill>
                  <pic:spPr>
                    <a:xfrm>
                      <a:off x="0" y="0"/>
                      <a:ext cx="6127945" cy="2378861"/>
                    </a:xfrm>
                    <a:prstGeom prst="rect">
                      <a:avLst/>
                    </a:prstGeom>
                  </pic:spPr>
                </pic:pic>
              </a:graphicData>
            </a:graphic>
          </wp:inline>
        </w:drawing>
      </w:r>
    </w:p>
    <w:p w:rsidR="004D74E7" w:rsidRDefault="004D74E7" w:rsidP="004D74E7">
      <w:pPr>
        <w:pStyle w:val="NormalWeb"/>
        <w:shd w:val="clear" w:color="auto" w:fill="FFFFFF"/>
        <w:jc w:val="both"/>
        <w:rPr>
          <w:b/>
          <w:color w:val="000000"/>
          <w:lang w:val="en-US"/>
        </w:rPr>
      </w:pPr>
      <w:r w:rsidRPr="00923BA7">
        <w:rPr>
          <w:b/>
          <w:noProof/>
          <w:color w:val="000000"/>
        </w:rPr>
        <w:drawing>
          <wp:inline distT="0" distB="0" distL="0" distR="0" wp14:anchorId="238F24E7" wp14:editId="458774C1">
            <wp:extent cx="5726590" cy="2241550"/>
            <wp:effectExtent l="0" t="0" r="7620" b="6350"/>
            <wp:docPr id="331" name="Imagen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5"/>
                    <a:stretch>
                      <a:fillRect/>
                    </a:stretch>
                  </pic:blipFill>
                  <pic:spPr>
                    <a:xfrm>
                      <a:off x="0" y="0"/>
                      <a:ext cx="5731510" cy="2243476"/>
                    </a:xfrm>
                    <a:prstGeom prst="rect">
                      <a:avLst/>
                    </a:prstGeom>
                  </pic:spPr>
                </pic:pic>
              </a:graphicData>
            </a:graphic>
          </wp:inline>
        </w:drawing>
      </w:r>
    </w:p>
    <w:p w:rsidR="004D74E7" w:rsidRDefault="004D74E7" w:rsidP="004D74E7">
      <w:pPr>
        <w:pStyle w:val="NormalWeb"/>
        <w:shd w:val="clear" w:color="auto" w:fill="FFFFFF"/>
        <w:jc w:val="both"/>
        <w:rPr>
          <w:b/>
          <w:color w:val="000000"/>
          <w:lang w:val="en-US"/>
        </w:rPr>
      </w:pPr>
      <w:r w:rsidRPr="00923BA7">
        <w:rPr>
          <w:b/>
          <w:noProof/>
          <w:color w:val="000000"/>
        </w:rPr>
        <w:drawing>
          <wp:inline distT="0" distB="0" distL="0" distR="0" wp14:anchorId="50BC85C3" wp14:editId="6B64584A">
            <wp:extent cx="4922438" cy="2190750"/>
            <wp:effectExtent l="0" t="0" r="0" b="0"/>
            <wp:docPr id="332" name="Imagen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6"/>
                    <a:stretch>
                      <a:fillRect/>
                    </a:stretch>
                  </pic:blipFill>
                  <pic:spPr>
                    <a:xfrm>
                      <a:off x="0" y="0"/>
                      <a:ext cx="4925201" cy="2191980"/>
                    </a:xfrm>
                    <a:prstGeom prst="rect">
                      <a:avLst/>
                    </a:prstGeom>
                  </pic:spPr>
                </pic:pic>
              </a:graphicData>
            </a:graphic>
          </wp:inline>
        </w:drawing>
      </w:r>
    </w:p>
    <w:p w:rsidR="00A217C2" w:rsidRDefault="00A217C2" w:rsidP="004D74E7">
      <w:pPr>
        <w:pStyle w:val="NormalWeb"/>
        <w:shd w:val="clear" w:color="auto" w:fill="FFFFFF"/>
        <w:jc w:val="both"/>
        <w:rPr>
          <w:b/>
          <w:color w:val="000000"/>
          <w:lang w:val="en-US"/>
        </w:rPr>
      </w:pPr>
    </w:p>
    <w:p w:rsidR="00A217C2" w:rsidRDefault="00A217C2" w:rsidP="004D74E7">
      <w:pPr>
        <w:pStyle w:val="NormalWeb"/>
        <w:shd w:val="clear" w:color="auto" w:fill="FFFFFF"/>
        <w:jc w:val="both"/>
        <w:rPr>
          <w:b/>
          <w:color w:val="000000"/>
          <w:lang w:val="en-US"/>
        </w:rPr>
      </w:pPr>
    </w:p>
    <w:p w:rsidR="00E73CC5" w:rsidRDefault="00E73CC5" w:rsidP="004D74E7">
      <w:pPr>
        <w:pStyle w:val="NormalWeb"/>
        <w:shd w:val="clear" w:color="auto" w:fill="FFFFFF"/>
        <w:jc w:val="both"/>
        <w:rPr>
          <w:b/>
          <w:color w:val="000000"/>
          <w:lang w:val="en-US"/>
        </w:rPr>
      </w:pPr>
    </w:p>
    <w:p w:rsidR="008B7751" w:rsidRDefault="008B7751" w:rsidP="004D74E7">
      <w:pPr>
        <w:pStyle w:val="NormalWeb"/>
        <w:shd w:val="clear" w:color="auto" w:fill="FFFFFF"/>
        <w:jc w:val="both"/>
        <w:rPr>
          <w:b/>
          <w:color w:val="000000"/>
        </w:rPr>
      </w:pPr>
    </w:p>
    <w:p w:rsidR="004D74E7" w:rsidRDefault="004D74E7" w:rsidP="004D74E7">
      <w:pPr>
        <w:pStyle w:val="NormalWeb"/>
        <w:shd w:val="clear" w:color="auto" w:fill="FFFFFF"/>
        <w:jc w:val="both"/>
        <w:rPr>
          <w:b/>
          <w:color w:val="000000"/>
        </w:rPr>
      </w:pPr>
      <w:r w:rsidRPr="00581FC4">
        <w:rPr>
          <w:b/>
          <w:color w:val="000000"/>
        </w:rPr>
        <w:lastRenderedPageBreak/>
        <w:t>Estados Unidos</w:t>
      </w:r>
      <w:r w:rsidR="004A0AB9">
        <w:rPr>
          <w:b/>
          <w:color w:val="000000"/>
        </w:rPr>
        <w:t xml:space="preserve"> de A</w:t>
      </w:r>
      <w:r w:rsidR="008B7751">
        <w:rPr>
          <w:b/>
          <w:color w:val="000000"/>
        </w:rPr>
        <w:t>mérica</w:t>
      </w:r>
    </w:p>
    <w:p w:rsidR="004D74E7" w:rsidRPr="00581FC4" w:rsidRDefault="004D74E7" w:rsidP="004D74E7">
      <w:pPr>
        <w:pStyle w:val="NormalWeb"/>
        <w:shd w:val="clear" w:color="auto" w:fill="FFFFFF"/>
        <w:jc w:val="both"/>
        <w:rPr>
          <w:b/>
          <w:color w:val="000000"/>
        </w:rPr>
      </w:pPr>
    </w:p>
    <w:p w:rsidR="004D74E7" w:rsidRDefault="004D74E7" w:rsidP="004D74E7">
      <w:pPr>
        <w:pStyle w:val="NormalWeb"/>
        <w:shd w:val="clear" w:color="auto" w:fill="FFFFFF"/>
        <w:jc w:val="both"/>
        <w:rPr>
          <w:color w:val="000000"/>
        </w:rPr>
      </w:pPr>
      <w:r w:rsidRPr="00581FC4">
        <w:rPr>
          <w:noProof/>
          <w:color w:val="000000"/>
        </w:rPr>
        <w:drawing>
          <wp:inline distT="0" distB="0" distL="0" distR="0" wp14:anchorId="3B31A572" wp14:editId="7AA4EBB7">
            <wp:extent cx="5321300" cy="3251200"/>
            <wp:effectExtent l="0" t="0" r="0" b="6350"/>
            <wp:docPr id="333" name="Imagen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7"/>
                    <a:stretch>
                      <a:fillRect/>
                    </a:stretch>
                  </pic:blipFill>
                  <pic:spPr>
                    <a:xfrm>
                      <a:off x="0" y="0"/>
                      <a:ext cx="5315692" cy="3247774"/>
                    </a:xfrm>
                    <a:prstGeom prst="rect">
                      <a:avLst/>
                    </a:prstGeom>
                  </pic:spPr>
                </pic:pic>
              </a:graphicData>
            </a:graphic>
          </wp:inline>
        </w:drawing>
      </w:r>
    </w:p>
    <w:p w:rsidR="004D74E7" w:rsidRDefault="004D74E7" w:rsidP="004D74E7">
      <w:pPr>
        <w:pStyle w:val="NormalWeb"/>
        <w:shd w:val="clear" w:color="auto" w:fill="FFFFFF"/>
        <w:jc w:val="both"/>
        <w:rPr>
          <w:color w:val="000000"/>
        </w:rPr>
      </w:pPr>
      <w:r>
        <w:rPr>
          <w:color w:val="000000"/>
        </w:rPr>
        <w:t xml:space="preserve">Fuente: La política monetaria ante la crisis: análisis y comparación de las medidas adoptadas por el Banco Central Europeo y la Reserva Federal - </w:t>
      </w:r>
      <w:r w:rsidRPr="009A71E9">
        <w:rPr>
          <w:color w:val="000000"/>
        </w:rPr>
        <w:t>Á</w:t>
      </w:r>
      <w:r>
        <w:rPr>
          <w:color w:val="000000"/>
        </w:rPr>
        <w:t xml:space="preserve">lvaro Barba Sáez - Universidad Politécnica de Valencia - España - </w:t>
      </w:r>
      <w:r w:rsidRPr="009A71E9">
        <w:rPr>
          <w:b/>
          <w:color w:val="000000"/>
        </w:rPr>
        <w:t>Septiembre 2017</w:t>
      </w:r>
      <w:r>
        <w:rPr>
          <w:color w:val="000000"/>
        </w:rPr>
        <w:t>)</w:t>
      </w:r>
    </w:p>
    <w:p w:rsidR="004D74E7" w:rsidRDefault="004D74E7" w:rsidP="004D74E7">
      <w:pPr>
        <w:pStyle w:val="NormalWeb"/>
        <w:shd w:val="clear" w:color="auto" w:fill="FFFFFF"/>
        <w:jc w:val="both"/>
        <w:rPr>
          <w:color w:val="000000"/>
        </w:rPr>
      </w:pPr>
      <w:r>
        <w:rPr>
          <w:color w:val="000000"/>
        </w:rPr>
        <w:t xml:space="preserve">- </w:t>
      </w:r>
      <w:r w:rsidRPr="009D7272">
        <w:rPr>
          <w:color w:val="000000"/>
        </w:rPr>
        <w:t>¿</w:t>
      </w:r>
      <w:r w:rsidRPr="009D7272">
        <w:rPr>
          <w:color w:val="000000"/>
          <w:u w:val="single"/>
        </w:rPr>
        <w:t>Cuánto cuesta el rescate financiero de EEUU? La cantidad total casi asciende al PIB del país</w:t>
      </w:r>
      <w:r>
        <w:rPr>
          <w:color w:val="000000"/>
        </w:rPr>
        <w:t xml:space="preserve"> (Bloomberg - </w:t>
      </w:r>
      <w:r w:rsidRPr="009D7272">
        <w:rPr>
          <w:b/>
          <w:color w:val="000000"/>
        </w:rPr>
        <w:t>1/4/2009</w:t>
      </w:r>
      <w:r>
        <w:rPr>
          <w:color w:val="000000"/>
        </w:rPr>
        <w:t>)</w:t>
      </w:r>
    </w:p>
    <w:p w:rsidR="004D74E7" w:rsidRPr="009D7272" w:rsidRDefault="004D74E7" w:rsidP="004D74E7">
      <w:pPr>
        <w:pStyle w:val="NormalWeb"/>
        <w:shd w:val="clear" w:color="auto" w:fill="FFFFFF"/>
        <w:jc w:val="both"/>
        <w:rPr>
          <w:color w:val="000000"/>
        </w:rPr>
      </w:pPr>
      <w:r w:rsidRPr="009D7272">
        <w:rPr>
          <w:color w:val="000000"/>
        </w:rPr>
        <w:t>Un alto en el camino para hacer cuentas. Y es que entre tanto plan de estímulo, el dinero empleado en la primera economía del mundo para hacer frente a la crisis parece incalculable para los mortales de a pie, pero no lo es. El Gobierno de EEUU y la Fed han gastado, prestado o garantizado un total de 12,8 billones de dólares, una cantidad que se acerca mucho al Producto Interior Bruto (PIB) del país.</w:t>
      </w:r>
    </w:p>
    <w:p w:rsidR="004D74E7" w:rsidRDefault="004D74E7" w:rsidP="004D74E7">
      <w:pPr>
        <w:pStyle w:val="NormalWeb"/>
        <w:shd w:val="clear" w:color="auto" w:fill="FFFFFF"/>
        <w:jc w:val="both"/>
        <w:rPr>
          <w:color w:val="000000"/>
        </w:rPr>
      </w:pPr>
      <w:r w:rsidRPr="009D7272">
        <w:rPr>
          <w:color w:val="000000"/>
        </w:rPr>
        <w:t>El dinero asciende a 42.105 dólares por cada hombre, mujer y niño en Estados Unidos y 14 veces los 899.800 millones de dólares de efectivo en circulación. En 2008 el PIB del país fue de 14,2 billones de dólares</w:t>
      </w:r>
      <w:r>
        <w:rPr>
          <w:color w:val="000000"/>
        </w:rPr>
        <w:t>…</w:t>
      </w:r>
    </w:p>
    <w:p w:rsidR="004D74E7" w:rsidRPr="009D7272" w:rsidRDefault="004D74E7" w:rsidP="004D74E7">
      <w:pPr>
        <w:shd w:val="clear" w:color="auto" w:fill="FFFFFF"/>
        <w:spacing w:before="300" w:after="225" w:line="240" w:lineRule="auto"/>
        <w:jc w:val="both"/>
        <w:outlineLvl w:val="1"/>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Detalles de todos los gastos</w:t>
      </w:r>
    </w:p>
    <w:p w:rsidR="004D74E7" w:rsidRPr="009D7272" w:rsidRDefault="004D74E7" w:rsidP="004D74E7">
      <w:pPr>
        <w:shd w:val="clear" w:color="auto" w:fill="FFFFFF"/>
        <w:spacing w:after="270" w:line="240" w:lineRule="auto"/>
        <w:jc w:val="both"/>
        <w:rPr>
          <w:rFonts w:ascii="Times New Roman" w:eastAsia="Times New Roman" w:hAnsi="Times New Roman" w:cs="Times New Roman"/>
          <w:color w:val="212529"/>
          <w:spacing w:val="-1"/>
          <w:sz w:val="24"/>
          <w:szCs w:val="24"/>
        </w:rPr>
      </w:pPr>
      <w:r w:rsidRPr="009D7272">
        <w:rPr>
          <w:rFonts w:ascii="Times New Roman" w:eastAsia="Times New Roman" w:hAnsi="Times New Roman" w:cs="Times New Roman"/>
          <w:color w:val="212529"/>
          <w:spacing w:val="-1"/>
          <w:sz w:val="24"/>
          <w:szCs w:val="24"/>
        </w:rPr>
        <w:t>La siguiente tabla detalla los compromisos hechos por la Fed y el Gobierno con el dinero de los contribuyentes estadounidenses en los últimos 20 meses, según datos recopilados por </w:t>
      </w:r>
      <w:r w:rsidRPr="009D7272">
        <w:rPr>
          <w:rFonts w:ascii="Times New Roman" w:eastAsia="Times New Roman" w:hAnsi="Times New Roman" w:cs="Times New Roman"/>
          <w:i/>
          <w:iCs/>
          <w:color w:val="212529"/>
          <w:spacing w:val="-1"/>
          <w:sz w:val="24"/>
          <w:szCs w:val="24"/>
        </w:rPr>
        <w:t>Bloomberg</w:t>
      </w:r>
      <w:r w:rsidRPr="009D7272">
        <w:rPr>
          <w:rFonts w:ascii="Times New Roman" w:eastAsia="Times New Roman" w:hAnsi="Times New Roman" w:cs="Times New Roman"/>
          <w:color w:val="212529"/>
          <w:spacing w:val="-1"/>
          <w:sz w:val="24"/>
          <w:szCs w:val="24"/>
        </w:rPr>
        <w:t>.</w:t>
      </w:r>
    </w:p>
    <w:tbl>
      <w:tblPr>
        <w:tblW w:w="7425" w:type="dxa"/>
        <w:tblInd w:w="150" w:type="dxa"/>
        <w:shd w:val="clear" w:color="auto" w:fill="FFFFFF"/>
        <w:tblCellMar>
          <w:top w:w="15" w:type="dxa"/>
          <w:left w:w="15" w:type="dxa"/>
          <w:bottom w:w="15" w:type="dxa"/>
          <w:right w:w="15" w:type="dxa"/>
        </w:tblCellMar>
        <w:tblLook w:val="04A0" w:firstRow="1" w:lastRow="0" w:firstColumn="1" w:lastColumn="0" w:noHBand="0" w:noVBand="1"/>
      </w:tblPr>
      <w:tblGrid>
        <w:gridCol w:w="4809"/>
        <w:gridCol w:w="1130"/>
        <w:gridCol w:w="1486"/>
      </w:tblGrid>
      <w:tr w:rsidR="004D74E7" w:rsidRPr="009D7272" w:rsidTr="003E18A2">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Organismo</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Límite</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Gasto actual</w:t>
            </w:r>
          </w:p>
        </w:tc>
      </w:tr>
      <w:tr w:rsidR="004D74E7" w:rsidRPr="009D7272" w:rsidTr="003E18A2">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b/>
                <w:bCs/>
                <w:color w:val="212529"/>
                <w:sz w:val="24"/>
                <w:szCs w:val="24"/>
              </w:rPr>
              <w:t>Reserva Federal</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sz w:val="24"/>
                <w:szCs w:val="24"/>
              </w:rPr>
            </w:pP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sz w:val="24"/>
                <w:szCs w:val="24"/>
              </w:rPr>
            </w:pPr>
          </w:p>
        </w:tc>
      </w:tr>
      <w:tr w:rsidR="004D74E7" w:rsidRPr="009D7272" w:rsidTr="003E18A2">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Descuento crédito primario</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110,74</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61,3</w:t>
            </w:r>
          </w:p>
        </w:tc>
      </w:tr>
      <w:tr w:rsidR="004D74E7" w:rsidRPr="009D7272" w:rsidTr="003E18A2">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lastRenderedPageBreak/>
              <w:t>Crédito secundario</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0,19</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w:t>
            </w:r>
          </w:p>
        </w:tc>
      </w:tr>
      <w:tr w:rsidR="004D74E7" w:rsidRPr="009D7272" w:rsidTr="003E18A2">
        <w:tc>
          <w:tcPr>
            <w:tcW w:w="0" w:type="auto"/>
            <w:shd w:val="clear" w:color="auto" w:fill="FFFFFF"/>
            <w:vAlign w:val="center"/>
            <w:hideMark/>
          </w:tcPr>
          <w:p w:rsidR="004D74E7" w:rsidRPr="009D7272" w:rsidRDefault="00F14030" w:rsidP="003E18A2">
            <w:pPr>
              <w:spacing w:after="0" w:line="240" w:lineRule="auto"/>
              <w:jc w:val="both"/>
              <w:rPr>
                <w:rFonts w:ascii="Times New Roman" w:eastAsia="Times New Roman" w:hAnsi="Times New Roman" w:cs="Times New Roman"/>
                <w:color w:val="212529"/>
                <w:sz w:val="24"/>
                <w:szCs w:val="24"/>
              </w:rPr>
            </w:pPr>
            <w:r>
              <w:rPr>
                <w:rFonts w:ascii="Times New Roman" w:eastAsia="Times New Roman" w:hAnsi="Times New Roman" w:cs="Times New Roman"/>
                <w:color w:val="212529"/>
                <w:sz w:val="24"/>
                <w:szCs w:val="24"/>
              </w:rPr>
              <w:t>“Primary dealer”</w:t>
            </w:r>
            <w:r w:rsidR="004D74E7" w:rsidRPr="009D7272">
              <w:rPr>
                <w:rFonts w:ascii="Times New Roman" w:eastAsia="Times New Roman" w:hAnsi="Times New Roman" w:cs="Times New Roman"/>
                <w:color w:val="212529"/>
                <w:sz w:val="24"/>
                <w:szCs w:val="24"/>
              </w:rPr>
              <w:t xml:space="preserve"> y otros</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147</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20,18</w:t>
            </w:r>
          </w:p>
        </w:tc>
      </w:tr>
      <w:tr w:rsidR="004D74E7" w:rsidRPr="009D7272" w:rsidTr="003E18A2">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Liquidez ABCP</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152,11</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6,85</w:t>
            </w:r>
          </w:p>
        </w:tc>
      </w:tr>
      <w:tr w:rsidR="004D74E7" w:rsidRPr="009D7272" w:rsidTr="003E18A2">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Crédito a AIG</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60</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43,19</w:t>
            </w:r>
          </w:p>
        </w:tc>
      </w:tr>
      <w:tr w:rsidR="004D74E7" w:rsidRPr="009D7272" w:rsidTr="003E18A2">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Financiación CP cartera neta</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1800</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241,31</w:t>
            </w:r>
          </w:p>
        </w:tc>
      </w:tr>
      <w:tr w:rsidR="004D74E7" w:rsidRPr="009D7272" w:rsidTr="003E18A2">
        <w:tc>
          <w:tcPr>
            <w:tcW w:w="0" w:type="auto"/>
            <w:shd w:val="clear" w:color="auto" w:fill="FFFFFF"/>
            <w:vAlign w:val="center"/>
            <w:hideMark/>
          </w:tcPr>
          <w:p w:rsidR="004D74E7" w:rsidRPr="009D7272" w:rsidRDefault="00F14030" w:rsidP="003E18A2">
            <w:pPr>
              <w:spacing w:after="0" w:line="240" w:lineRule="auto"/>
              <w:jc w:val="both"/>
              <w:rPr>
                <w:rFonts w:ascii="Times New Roman" w:eastAsia="Times New Roman" w:hAnsi="Times New Roman" w:cs="Times New Roman"/>
                <w:color w:val="212529"/>
                <w:sz w:val="24"/>
                <w:szCs w:val="24"/>
              </w:rPr>
            </w:pPr>
            <w:r>
              <w:rPr>
                <w:rFonts w:ascii="Times New Roman" w:eastAsia="Times New Roman" w:hAnsi="Times New Roman" w:cs="Times New Roman"/>
                <w:color w:val="212529"/>
                <w:sz w:val="24"/>
                <w:szCs w:val="24"/>
              </w:rPr>
              <w:t>Maiden Lane (Bear Stearn</w:t>
            </w:r>
            <w:r w:rsidR="004D74E7" w:rsidRPr="009D7272">
              <w:rPr>
                <w:rFonts w:ascii="Times New Roman" w:eastAsia="Times New Roman" w:hAnsi="Times New Roman" w:cs="Times New Roman"/>
                <w:color w:val="212529"/>
                <w:sz w:val="24"/>
                <w:szCs w:val="24"/>
              </w:rPr>
              <w:t>)</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29,5</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28,82</w:t>
            </w:r>
          </w:p>
        </w:tc>
      </w:tr>
      <w:tr w:rsidR="004D74E7" w:rsidRPr="009D7272" w:rsidTr="003E18A2">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Maiden Lane II (AIG)</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22,5</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18,54</w:t>
            </w:r>
          </w:p>
        </w:tc>
      </w:tr>
      <w:tr w:rsidR="004D74E7" w:rsidRPr="009D7272" w:rsidTr="003E18A2">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Maiden Lane III (AIG)</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30</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24,04</w:t>
            </w:r>
          </w:p>
        </w:tc>
      </w:tr>
      <w:tr w:rsidR="004D74E7" w:rsidRPr="009D7272" w:rsidTr="003E18A2">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Term Securities Lending</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250</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88,55</w:t>
            </w:r>
          </w:p>
        </w:tc>
      </w:tr>
      <w:tr w:rsidR="004D74E7" w:rsidRPr="009D7272" w:rsidTr="003E18A2">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Term Auction Facility</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900</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468,59</w:t>
            </w:r>
          </w:p>
        </w:tc>
      </w:tr>
      <w:tr w:rsidR="004D74E7" w:rsidRPr="009D7272" w:rsidTr="003E18A2">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Préstamo valores a 1 día</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10</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4,41</w:t>
            </w:r>
          </w:p>
        </w:tc>
      </w:tr>
      <w:tr w:rsidR="004D74E7" w:rsidRPr="009D7272" w:rsidTr="003E18A2">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lang w:val="en-US"/>
              </w:rPr>
            </w:pPr>
            <w:r w:rsidRPr="009D7272">
              <w:rPr>
                <w:rFonts w:ascii="Times New Roman" w:eastAsia="Times New Roman" w:hAnsi="Times New Roman" w:cs="Times New Roman"/>
                <w:color w:val="212529"/>
                <w:sz w:val="24"/>
                <w:szCs w:val="24"/>
                <w:lang w:val="en-US"/>
              </w:rPr>
              <w:t>Term Asset-Backed Loan Facility</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900</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4,71</w:t>
            </w:r>
          </w:p>
        </w:tc>
      </w:tr>
      <w:tr w:rsidR="004D74E7" w:rsidRPr="009D7272" w:rsidTr="003E18A2">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Swaps cambiarios/Otros activos</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606</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377,87</w:t>
            </w:r>
          </w:p>
        </w:tc>
      </w:tr>
      <w:tr w:rsidR="004D74E7" w:rsidRPr="009D7272" w:rsidTr="003E18A2">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MMIFF</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540</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0</w:t>
            </w:r>
          </w:p>
        </w:tc>
      </w:tr>
      <w:tr w:rsidR="004D74E7" w:rsidRPr="009D7272" w:rsidTr="003E18A2">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Compras deuda GSE</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600</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50,39</w:t>
            </w:r>
          </w:p>
        </w:tc>
      </w:tr>
      <w:tr w:rsidR="004D74E7" w:rsidRPr="009D7272" w:rsidTr="003E18A2">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Instrumentos respaldados hipotecas GSE</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1000</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236,16</w:t>
            </w:r>
          </w:p>
        </w:tc>
      </w:tr>
      <w:tr w:rsidR="004D74E7" w:rsidRPr="009D7272" w:rsidTr="003E18A2">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Porción de Fed rescate Citigroup</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220,4</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sz w:val="24"/>
                <w:szCs w:val="24"/>
              </w:rPr>
            </w:pPr>
          </w:p>
        </w:tc>
      </w:tr>
      <w:tr w:rsidR="004D74E7" w:rsidRPr="009D7272" w:rsidTr="003E18A2">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Rescate Bank of America</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87,2</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sz w:val="24"/>
                <w:szCs w:val="24"/>
              </w:rPr>
            </w:pPr>
          </w:p>
        </w:tc>
      </w:tr>
      <w:tr w:rsidR="004D74E7" w:rsidRPr="009D7272" w:rsidTr="003E18A2">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Compromiso compra bonos Tesoro</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300</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7,5</w:t>
            </w:r>
          </w:p>
        </w:tc>
      </w:tr>
      <w:tr w:rsidR="004D74E7" w:rsidRPr="009D7272" w:rsidTr="003E18A2">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Total Reserva Federal</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7765,64</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1678,71</w:t>
            </w:r>
          </w:p>
        </w:tc>
      </w:tr>
      <w:tr w:rsidR="004D74E7" w:rsidRPr="009D7272" w:rsidTr="003E18A2">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b/>
                <w:bCs/>
                <w:color w:val="212529"/>
                <w:sz w:val="24"/>
                <w:szCs w:val="24"/>
              </w:rPr>
              <w:t>FDIC</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sz w:val="24"/>
                <w:szCs w:val="24"/>
              </w:rPr>
            </w:pP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sz w:val="24"/>
                <w:szCs w:val="24"/>
              </w:rPr>
            </w:pPr>
          </w:p>
        </w:tc>
      </w:tr>
      <w:tr w:rsidR="004D74E7" w:rsidRPr="009D7272" w:rsidTr="003E18A2">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Inversión Público-Privada*</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500</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sz w:val="24"/>
                <w:szCs w:val="24"/>
              </w:rPr>
            </w:pPr>
          </w:p>
        </w:tc>
      </w:tr>
      <w:tr w:rsidR="004D74E7" w:rsidRPr="009D7272" w:rsidTr="003E18A2">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Garantías liquidez FDIC</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1400</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316,5</w:t>
            </w:r>
          </w:p>
        </w:tc>
      </w:tr>
      <w:tr w:rsidR="004D74E7" w:rsidRPr="009D7272" w:rsidTr="003E18A2">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GE</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126</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41</w:t>
            </w:r>
          </w:p>
        </w:tc>
      </w:tr>
      <w:tr w:rsidR="004D74E7" w:rsidRPr="009D7272" w:rsidTr="003E18A2">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Rescate Citigroup FDIC</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10</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sz w:val="24"/>
                <w:szCs w:val="24"/>
              </w:rPr>
            </w:pPr>
          </w:p>
        </w:tc>
      </w:tr>
      <w:tr w:rsidR="004D74E7" w:rsidRPr="009D7272" w:rsidTr="003E18A2">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Rescate Bank of America</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2,5</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sz w:val="24"/>
                <w:szCs w:val="24"/>
              </w:rPr>
            </w:pPr>
          </w:p>
        </w:tc>
      </w:tr>
      <w:tr w:rsidR="004D74E7" w:rsidRPr="009D7272" w:rsidTr="003E18A2">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Total FDIC</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2038,5</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357,5</w:t>
            </w:r>
          </w:p>
        </w:tc>
      </w:tr>
      <w:tr w:rsidR="004D74E7" w:rsidRPr="009D7272" w:rsidTr="003E18A2">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b/>
                <w:bCs/>
                <w:color w:val="212529"/>
                <w:sz w:val="24"/>
                <w:szCs w:val="24"/>
              </w:rPr>
              <w:t>Tesoro</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sz w:val="24"/>
                <w:szCs w:val="24"/>
              </w:rPr>
            </w:pP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sz w:val="24"/>
                <w:szCs w:val="24"/>
              </w:rPr>
            </w:pPr>
          </w:p>
        </w:tc>
      </w:tr>
      <w:tr w:rsidR="004D74E7" w:rsidRPr="009D7272" w:rsidTr="003E18A2">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TARP</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700</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599,5</w:t>
            </w:r>
          </w:p>
        </w:tc>
      </w:tr>
      <w:tr w:rsidR="004D74E7" w:rsidRPr="009D7272" w:rsidTr="003E18A2">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Exenciones fiscales para bancos</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29</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29</w:t>
            </w:r>
          </w:p>
        </w:tc>
      </w:tr>
      <w:tr w:rsidR="004D74E7" w:rsidRPr="009D7272" w:rsidTr="003E18A2">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Paquete de estímulo (Bush)</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168</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168</w:t>
            </w:r>
          </w:p>
        </w:tc>
      </w:tr>
      <w:tr w:rsidR="004D74E7" w:rsidRPr="009D7272" w:rsidTr="003E18A2">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Estímulo II (Obama)</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787</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787</w:t>
            </w:r>
          </w:p>
        </w:tc>
      </w:tr>
      <w:tr w:rsidR="004D74E7" w:rsidRPr="009D7272" w:rsidTr="003E18A2">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Estabilización Tesoro</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50</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50</w:t>
            </w:r>
          </w:p>
        </w:tc>
      </w:tr>
      <w:tr w:rsidR="004D74E7" w:rsidRPr="009D7272" w:rsidTr="003E18A2">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Compras préstamos para estudiante</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60</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0</w:t>
            </w:r>
          </w:p>
        </w:tc>
      </w:tr>
      <w:tr w:rsidR="004D74E7" w:rsidRPr="009D7272" w:rsidTr="003E18A2">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Apoyo para Fannie/Freddie</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400</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200</w:t>
            </w:r>
          </w:p>
        </w:tc>
      </w:tr>
      <w:tr w:rsidR="004D74E7" w:rsidRPr="009D7272" w:rsidTr="003E18A2">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Línea de crédito FDIC</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500</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0</w:t>
            </w:r>
          </w:p>
        </w:tc>
      </w:tr>
      <w:tr w:rsidR="004D74E7" w:rsidRPr="009D7272" w:rsidTr="003E18A2">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Total del Tesoro</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2694</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1833,5</w:t>
            </w:r>
          </w:p>
        </w:tc>
      </w:tr>
      <w:tr w:rsidR="004D74E7" w:rsidRPr="009D7272" w:rsidTr="003E18A2">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b/>
                <w:bCs/>
                <w:color w:val="212529"/>
                <w:sz w:val="24"/>
                <w:szCs w:val="24"/>
              </w:rPr>
              <w:t>Departamento Vivienda</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sz w:val="24"/>
                <w:szCs w:val="24"/>
              </w:rPr>
            </w:pP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sz w:val="24"/>
                <w:szCs w:val="24"/>
              </w:rPr>
            </w:pPr>
          </w:p>
        </w:tc>
      </w:tr>
      <w:tr w:rsidR="004D74E7" w:rsidRPr="009D7272" w:rsidTr="003E18A2">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Hope for Homeowners FHA</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300</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300</w:t>
            </w:r>
          </w:p>
        </w:tc>
      </w:tr>
      <w:tr w:rsidR="004D74E7" w:rsidRPr="009D7272" w:rsidTr="003E18A2">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Total Departamento Vivienda</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300</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300</w:t>
            </w:r>
          </w:p>
        </w:tc>
      </w:tr>
      <w:tr w:rsidR="004D74E7" w:rsidRPr="009D7272" w:rsidTr="003E18A2">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b/>
                <w:bCs/>
                <w:color w:val="212529"/>
                <w:sz w:val="24"/>
                <w:szCs w:val="24"/>
              </w:rPr>
              <w:t>TOTAL</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12798,14</w:t>
            </w:r>
          </w:p>
        </w:tc>
        <w:tc>
          <w:tcPr>
            <w:tcW w:w="0" w:type="auto"/>
            <w:shd w:val="clear" w:color="auto" w:fill="FFFFFF"/>
            <w:vAlign w:val="center"/>
            <w:hideMark/>
          </w:tcPr>
          <w:p w:rsidR="004D74E7" w:rsidRPr="009D7272" w:rsidRDefault="004D74E7" w:rsidP="003E18A2">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4169,71</w:t>
            </w:r>
          </w:p>
        </w:tc>
      </w:tr>
    </w:tbl>
    <w:p w:rsidR="004D74E7" w:rsidRPr="009D7272" w:rsidRDefault="004D74E7" w:rsidP="004D74E7">
      <w:pPr>
        <w:shd w:val="clear" w:color="auto" w:fill="FFFFFF"/>
        <w:spacing w:after="270" w:line="240" w:lineRule="auto"/>
        <w:jc w:val="both"/>
        <w:rPr>
          <w:rFonts w:ascii="Times New Roman" w:eastAsia="Times New Roman" w:hAnsi="Times New Roman" w:cs="Times New Roman"/>
          <w:color w:val="212529"/>
          <w:spacing w:val="-1"/>
          <w:sz w:val="24"/>
          <w:szCs w:val="24"/>
        </w:rPr>
      </w:pPr>
      <w:r w:rsidRPr="009D7272">
        <w:rPr>
          <w:rFonts w:ascii="Times New Roman" w:eastAsia="Times New Roman" w:hAnsi="Times New Roman" w:cs="Times New Roman"/>
          <w:i/>
          <w:iCs/>
          <w:color w:val="212529"/>
          <w:spacing w:val="-1"/>
          <w:sz w:val="24"/>
          <w:szCs w:val="24"/>
        </w:rPr>
        <w:t>Fuente Bloomberg. Cantidades en miles de millones de dólares. *El compromiso de la FDIC para garantizar los préstamos en el marco de los Legacy Loan Program y Legacy Asset Program incluye una línea de crédito de 500.000 millones de dólares del Tesoro de Estados Unidos.</w:t>
      </w:r>
    </w:p>
    <w:p w:rsidR="004D74E7" w:rsidRPr="00923BA7" w:rsidRDefault="004D74E7" w:rsidP="004D74E7">
      <w:pPr>
        <w:pStyle w:val="NormalWeb"/>
        <w:shd w:val="clear" w:color="auto" w:fill="FFFFFF"/>
        <w:jc w:val="both"/>
        <w:rPr>
          <w:color w:val="000000"/>
          <w:lang w:val="en-US"/>
        </w:rPr>
      </w:pPr>
      <w:r w:rsidRPr="00923BA7">
        <w:rPr>
          <w:color w:val="000000"/>
          <w:lang w:val="en-US"/>
        </w:rPr>
        <w:lastRenderedPageBreak/>
        <w:t>M1 consists of (1) currency outside the U.S. Treasury, Federal Reserve Banks, and the vaults of depository institutions; (2) traveler's checks of nonbank issuers; (3) demand deposits at commercial banks (excluding those amounts held by depository institutions, the U.S. government, and foreign banks and official institutions) less cash items in the process of collection and Federal Reserve float; and (4) other checkable deposits (OCDs), consisting of negotiable order of withdrawal (NOW) and automatic transfer service (ATS) accounts at depository institutions, credit union share draft accounts, and demand deposits at thrift institutions. Seasonally adjusted M1 is constructed by summing currency, traveler's checks, demand deposits, and OCDs, each seasonally adjusted separately.</w:t>
      </w:r>
    </w:p>
    <w:p w:rsidR="004D74E7" w:rsidRDefault="004D74E7" w:rsidP="004D74E7">
      <w:pPr>
        <w:pStyle w:val="NormalWeb"/>
        <w:shd w:val="clear" w:color="auto" w:fill="FFFFFF"/>
        <w:jc w:val="both"/>
        <w:rPr>
          <w:color w:val="000000"/>
          <w:lang w:val="en-US"/>
        </w:rPr>
      </w:pPr>
      <w:r w:rsidRPr="00923BA7">
        <w:rPr>
          <w:color w:val="000000"/>
          <w:lang w:val="en-US"/>
        </w:rPr>
        <w:t>M2 consists of M1 plus (1) savings deposits (including money market deposit accounts); (2) small-denomination time deposits (time deposits in amounts of less than $100,000), less individual retirement account (IRA) and Keogh balances at depository institutions; and (3) balances in retail money market mutual funds, less IRA and Keogh balances at money market mutual funds. Seasonally adjusted M2 is constructed by summing savings deposits, small-denomination time deposits, and retail money funds, each seasonally adjusted separately, and adding this result to seasonally adjusted M1.</w:t>
      </w:r>
    </w:p>
    <w:p w:rsidR="004D74E7" w:rsidRDefault="004D74E7" w:rsidP="004D74E7">
      <w:pPr>
        <w:pStyle w:val="NormalWeb"/>
        <w:shd w:val="clear" w:color="auto" w:fill="FFFFFF"/>
        <w:jc w:val="both"/>
        <w:rPr>
          <w:color w:val="000000"/>
          <w:lang w:val="en-US"/>
        </w:rPr>
      </w:pPr>
      <w:r>
        <w:rPr>
          <w:noProof/>
        </w:rPr>
        <w:drawing>
          <wp:inline distT="0" distB="0" distL="0" distR="0" wp14:anchorId="435E2B76" wp14:editId="0EB62AA2">
            <wp:extent cx="5730068" cy="5499847"/>
            <wp:effectExtent l="0" t="0" r="4445" b="5715"/>
            <wp:docPr id="334" name="Imagen 334" descr="1-aumento-base-monetaria-f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aumento-base-monetaria-fed.png"/>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5731510" cy="5501231"/>
                    </a:xfrm>
                    <a:prstGeom prst="rect">
                      <a:avLst/>
                    </a:prstGeom>
                    <a:noFill/>
                    <a:ln>
                      <a:noFill/>
                    </a:ln>
                  </pic:spPr>
                </pic:pic>
              </a:graphicData>
            </a:graphic>
          </wp:inline>
        </w:drawing>
      </w:r>
    </w:p>
    <w:p w:rsidR="004D74E7" w:rsidRDefault="00E73CC5" w:rsidP="004D74E7">
      <w:pPr>
        <w:pStyle w:val="NormalWeb"/>
        <w:shd w:val="clear" w:color="auto" w:fill="FFFFFF"/>
        <w:jc w:val="both"/>
        <w:rPr>
          <w:color w:val="000000"/>
        </w:rPr>
      </w:pPr>
      <w:r w:rsidRPr="00E73CC5">
        <w:rPr>
          <w:color w:val="000000"/>
        </w:rPr>
        <w:lastRenderedPageBreak/>
        <w:t xml:space="preserve">                       </w:t>
      </w:r>
      <w:r w:rsidR="004D74E7">
        <w:rPr>
          <w:noProof/>
        </w:rPr>
        <w:drawing>
          <wp:inline distT="0" distB="0" distL="0" distR="0" wp14:anchorId="53EF7CB9" wp14:editId="2590A20C">
            <wp:extent cx="3476064" cy="3576918"/>
            <wp:effectExtent l="0" t="0" r="0" b="5080"/>
            <wp:docPr id="335" name="Imagen 335" descr="2-aumento-base-monetaria-f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aumento-base-monetaria-fed.png"/>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3477924" cy="3578832"/>
                    </a:xfrm>
                    <a:prstGeom prst="rect">
                      <a:avLst/>
                    </a:prstGeom>
                    <a:noFill/>
                    <a:ln>
                      <a:noFill/>
                    </a:ln>
                  </pic:spPr>
                </pic:pic>
              </a:graphicData>
            </a:graphic>
          </wp:inline>
        </w:drawing>
      </w:r>
    </w:p>
    <w:p w:rsidR="00E73CC5" w:rsidRPr="00E73CC5" w:rsidRDefault="00E73CC5" w:rsidP="004D74E7">
      <w:pPr>
        <w:pStyle w:val="NormalWeb"/>
        <w:shd w:val="clear" w:color="auto" w:fill="FFFFFF"/>
        <w:jc w:val="both"/>
        <w:rPr>
          <w:color w:val="000000"/>
        </w:rPr>
      </w:pPr>
    </w:p>
    <w:p w:rsidR="004D74E7" w:rsidRDefault="004D74E7" w:rsidP="004D74E7">
      <w:pPr>
        <w:pStyle w:val="NormalWeb"/>
        <w:shd w:val="clear" w:color="auto" w:fill="FFFFFF"/>
        <w:jc w:val="both"/>
        <w:rPr>
          <w:b/>
        </w:rPr>
      </w:pPr>
      <w:r w:rsidRPr="00E73CC5">
        <w:rPr>
          <w:b/>
        </w:rPr>
        <w:t>Helicopter Money (rescate a la banca - monetización de la deuda)</w:t>
      </w:r>
    </w:p>
    <w:p w:rsidR="00E73CC5" w:rsidRPr="00E73CC5" w:rsidRDefault="00E73CC5" w:rsidP="004D74E7">
      <w:pPr>
        <w:pStyle w:val="NormalWeb"/>
        <w:shd w:val="clear" w:color="auto" w:fill="FFFFFF"/>
        <w:jc w:val="both"/>
        <w:rPr>
          <w:b/>
        </w:rPr>
      </w:pPr>
    </w:p>
    <w:p w:rsidR="004D74E7" w:rsidRPr="00923BA7" w:rsidRDefault="004D74E7" w:rsidP="004D74E7">
      <w:pPr>
        <w:pStyle w:val="NormalWeb"/>
        <w:shd w:val="clear" w:color="auto" w:fill="FFFFFF"/>
        <w:jc w:val="both"/>
        <w:rPr>
          <w:color w:val="000000"/>
          <w:lang w:val="en-US"/>
        </w:rPr>
      </w:pPr>
      <w:r>
        <w:rPr>
          <w:noProof/>
        </w:rPr>
        <w:drawing>
          <wp:inline distT="0" distB="0" distL="0" distR="0" wp14:anchorId="39123EF2" wp14:editId="0C05A242">
            <wp:extent cx="5634318" cy="3341594"/>
            <wp:effectExtent l="0" t="0" r="5080" b="0"/>
            <wp:docPr id="336" name="Imagen 336" descr="Ver imagen en Twit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Ver imagen en Twitter"/>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5632514" cy="3340524"/>
                    </a:xfrm>
                    <a:prstGeom prst="rect">
                      <a:avLst/>
                    </a:prstGeom>
                    <a:noFill/>
                    <a:ln>
                      <a:noFill/>
                    </a:ln>
                  </pic:spPr>
                </pic:pic>
              </a:graphicData>
            </a:graphic>
          </wp:inline>
        </w:drawing>
      </w:r>
    </w:p>
    <w:p w:rsidR="004D74E7" w:rsidRPr="00923BA7" w:rsidRDefault="004D74E7" w:rsidP="004D74E7">
      <w:pPr>
        <w:pStyle w:val="NormalWeb"/>
        <w:shd w:val="clear" w:color="auto" w:fill="FFFFFF"/>
        <w:jc w:val="both"/>
        <w:rPr>
          <w:color w:val="000000"/>
          <w:lang w:val="en-US"/>
        </w:rPr>
      </w:pPr>
    </w:p>
    <w:p w:rsidR="004D74E7" w:rsidRDefault="004D74E7" w:rsidP="004D74E7">
      <w:pPr>
        <w:pStyle w:val="NormalWeb"/>
        <w:shd w:val="clear" w:color="auto" w:fill="FFFFFF"/>
        <w:jc w:val="both"/>
        <w:rPr>
          <w:b/>
          <w:color w:val="FF0000"/>
        </w:rPr>
      </w:pPr>
      <w:r w:rsidRPr="00FA170A">
        <w:rPr>
          <w:b/>
          <w:noProof/>
          <w:color w:val="FF0000"/>
        </w:rPr>
        <w:lastRenderedPageBreak/>
        <w:drawing>
          <wp:inline distT="0" distB="0" distL="0" distR="0" wp14:anchorId="3C54F251" wp14:editId="21E0D2E3">
            <wp:extent cx="5706272" cy="5277587"/>
            <wp:effectExtent l="0" t="0" r="8890" b="0"/>
            <wp:docPr id="337" name="Imagen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1"/>
                    <a:stretch>
                      <a:fillRect/>
                    </a:stretch>
                  </pic:blipFill>
                  <pic:spPr>
                    <a:xfrm>
                      <a:off x="0" y="0"/>
                      <a:ext cx="5706272" cy="5277587"/>
                    </a:xfrm>
                    <a:prstGeom prst="rect">
                      <a:avLst/>
                    </a:prstGeom>
                  </pic:spPr>
                </pic:pic>
              </a:graphicData>
            </a:graphic>
          </wp:inline>
        </w:drawing>
      </w:r>
    </w:p>
    <w:p w:rsidR="004D74E7" w:rsidRDefault="00E73CC5" w:rsidP="004D74E7">
      <w:pPr>
        <w:pStyle w:val="NormalWeb"/>
        <w:shd w:val="clear" w:color="auto" w:fill="FFFFFF"/>
        <w:jc w:val="both"/>
        <w:rPr>
          <w:b/>
          <w:color w:val="FF0000"/>
        </w:rPr>
      </w:pPr>
      <w:r>
        <w:rPr>
          <w:b/>
          <w:color w:val="FF0000"/>
        </w:rPr>
        <w:t xml:space="preserve">   </w:t>
      </w:r>
      <w:r w:rsidR="004D74E7" w:rsidRPr="00FA170A">
        <w:rPr>
          <w:b/>
          <w:noProof/>
          <w:color w:val="FF0000"/>
        </w:rPr>
        <w:drawing>
          <wp:inline distT="0" distB="0" distL="0" distR="0" wp14:anchorId="2F12D301" wp14:editId="0035A8C8">
            <wp:extent cx="5582429" cy="2448267"/>
            <wp:effectExtent l="0" t="0" r="0" b="9525"/>
            <wp:docPr id="338" name="Imagen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2"/>
                    <a:stretch>
                      <a:fillRect/>
                    </a:stretch>
                  </pic:blipFill>
                  <pic:spPr>
                    <a:xfrm>
                      <a:off x="0" y="0"/>
                      <a:ext cx="5582429" cy="2448267"/>
                    </a:xfrm>
                    <a:prstGeom prst="rect">
                      <a:avLst/>
                    </a:prstGeom>
                  </pic:spPr>
                </pic:pic>
              </a:graphicData>
            </a:graphic>
          </wp:inline>
        </w:drawing>
      </w:r>
    </w:p>
    <w:p w:rsidR="004D74E7" w:rsidRDefault="004D74E7" w:rsidP="004D74E7">
      <w:pPr>
        <w:pStyle w:val="NormalWeb"/>
        <w:shd w:val="clear" w:color="auto" w:fill="FFFFFF"/>
        <w:jc w:val="both"/>
        <w:rPr>
          <w:b/>
          <w:color w:val="FF0000"/>
        </w:rPr>
      </w:pPr>
    </w:p>
    <w:p w:rsidR="004D74E7" w:rsidRDefault="00E73CC5" w:rsidP="004D74E7">
      <w:pPr>
        <w:pStyle w:val="NormalWeb"/>
        <w:shd w:val="clear" w:color="auto" w:fill="FFFFFF"/>
        <w:jc w:val="both"/>
        <w:rPr>
          <w:b/>
          <w:color w:val="FF0000"/>
        </w:rPr>
      </w:pPr>
      <w:r>
        <w:rPr>
          <w:b/>
          <w:color w:val="FF0000"/>
        </w:rPr>
        <w:lastRenderedPageBreak/>
        <w:t xml:space="preserve">    </w:t>
      </w:r>
      <w:r w:rsidR="004D74E7" w:rsidRPr="00FA170A">
        <w:rPr>
          <w:b/>
          <w:noProof/>
          <w:color w:val="FF0000"/>
        </w:rPr>
        <w:drawing>
          <wp:inline distT="0" distB="0" distL="0" distR="0" wp14:anchorId="46F8C243" wp14:editId="50414E25">
            <wp:extent cx="5534798" cy="2543530"/>
            <wp:effectExtent l="0" t="0" r="8890" b="9525"/>
            <wp:docPr id="339" name="Imagen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3"/>
                    <a:stretch>
                      <a:fillRect/>
                    </a:stretch>
                  </pic:blipFill>
                  <pic:spPr>
                    <a:xfrm>
                      <a:off x="0" y="0"/>
                      <a:ext cx="5534798" cy="2543530"/>
                    </a:xfrm>
                    <a:prstGeom prst="rect">
                      <a:avLst/>
                    </a:prstGeom>
                  </pic:spPr>
                </pic:pic>
              </a:graphicData>
            </a:graphic>
          </wp:inline>
        </w:drawing>
      </w:r>
    </w:p>
    <w:p w:rsidR="004D74E7" w:rsidRDefault="004D74E7" w:rsidP="004D74E7">
      <w:pPr>
        <w:pStyle w:val="NormalWeb"/>
        <w:shd w:val="clear" w:color="auto" w:fill="FFFFFF"/>
        <w:jc w:val="both"/>
      </w:pPr>
      <w:r>
        <w:t>La Reserva Federal (Fed) introdujo inicialmente varios programas destinados a aumentar la liquidez (como la Term Auction Facility) y a finales de 2008 la institución tenía en balance un montante de aproximadamente 194.000 millones de dólares en préstamos.</w:t>
      </w:r>
    </w:p>
    <w:p w:rsidR="004D74E7" w:rsidRDefault="004D74E7" w:rsidP="004D74E7">
      <w:pPr>
        <w:pStyle w:val="NormalWeb"/>
        <w:shd w:val="clear" w:color="auto" w:fill="FFFFFF"/>
        <w:jc w:val="both"/>
      </w:pPr>
      <w:r>
        <w:t xml:space="preserve">Posteriormente, además de acordar el establecimiento de líneas swaps en dólares con otros bancos centrales, emprendió tres programas de expansión cuantitativa (QE), anunciados en diciembre de 2008, junio de 2010 y septiembre de 2012, además de una medida que ampliaba el plazo medio de los títulos mantenidos en cartera (Maturity Expansion Programme). En mayo de 2013, anunció que podría dejar de expandir su balance en el futuro (Taper Tantrum). </w:t>
      </w:r>
    </w:p>
    <w:p w:rsidR="004D74E7" w:rsidRDefault="004D74E7" w:rsidP="004D74E7">
      <w:pPr>
        <w:pStyle w:val="NormalWeb"/>
        <w:shd w:val="clear" w:color="auto" w:fill="FFFFFF"/>
        <w:jc w:val="both"/>
      </w:pPr>
      <w:r>
        <w:t>La decisión fue finalmente tomada en diciembre de ese mismo año, y a partir de entonces se produjo una reducción paulatina del ritmo de compras (tapering) que concluyó en octubre de 2014. A finales de este año la Fed mantendría 1,7 billones de dólares en MBS y una cifra similar en títulos del Tesoro. Ya en diciembre de 2015 se produjo la primera subida en una década del objetivo del índice de fondos federales en un cuarto de punto.</w:t>
      </w:r>
    </w:p>
    <w:p w:rsidR="004D74E7" w:rsidRDefault="004D74E7" w:rsidP="004D74E7">
      <w:pPr>
        <w:pStyle w:val="NormalWeb"/>
        <w:shd w:val="clear" w:color="auto" w:fill="FFFFFF"/>
        <w:jc w:val="both"/>
      </w:pPr>
      <w:r>
        <w:t>El Banco Central Europeo (ECB) comenzó aumentando el volumen de las operaciones de financiación a más largo plazo (LTRO) frente a las operaciones principales de financiación (MRO). El ratio del volumen de las LTRO respecto a las MRO se situó en torno al 50% en los primeros meses de 2007 pero tras la perturbación de agosto de ese año llegó a superar el 170%.</w:t>
      </w:r>
    </w:p>
    <w:p w:rsidR="004D74E7" w:rsidRPr="00C85028" w:rsidRDefault="004D74E7" w:rsidP="004D74E7">
      <w:pPr>
        <w:pStyle w:val="NormalWeb"/>
        <w:shd w:val="clear" w:color="auto" w:fill="FFFFFF"/>
        <w:jc w:val="both"/>
      </w:pPr>
      <w:r>
        <w:t xml:space="preserve">Tras la quiebra de Lehman Brothers, el ECB modificó su procedimiento de subasta a tipo variable por subastas a tipo fijo y adjudicación plena (Fixed Rate/Full-Allotment), amplió el rango de colateral aceptado en sus operaciones de financiación y también el volumen y el plazo de vencimiento de las LTRO de modo sucesivo hasta alcanzar los 3 años. El total de LTRO pendiente de pago llegó a superar el 1,1 billón de euros en 2012 después de que se hubieran realizado las dos subastas con vencimiento a tres años, y su volumen fue declinando desde entonces, acelerándose el declive en 2013. Además, emprendió sucesivos programas de compras -de relativa baja cuantía- destinados a garantizar liquidez en ciertos mercados </w:t>
      </w:r>
      <w:r w:rsidRPr="00C85028">
        <w:t>(Covered Bond Purchase Programme, Securities Market Programme).</w:t>
      </w:r>
    </w:p>
    <w:p w:rsidR="004D74E7" w:rsidRDefault="004D74E7" w:rsidP="004D74E7">
      <w:pPr>
        <w:pStyle w:val="NormalWeb"/>
        <w:shd w:val="clear" w:color="auto" w:fill="FFFFFF"/>
        <w:jc w:val="both"/>
      </w:pPr>
      <w:r>
        <w:t xml:space="preserve">Ante la persistencia de la crisis de deuda soberana, el ECB anunció una medida, la Outright Monetary Transactions, para adquirir deuda de modo ilimitado de aquellos países que, </w:t>
      </w:r>
      <w:r>
        <w:lastRenderedPageBreak/>
        <w:t>además de otras condiciones, estuviesen recibiendo apoyo financiero a través del Mecanismo de Estabilidad Europeo. La compra selectiva de deuda no requirió ser aplicada para terminar con la crisis de deuda soberana. También instauró nuevas subastas a largo plazo condicionadas a la concesión de crédito (TLTRO). Recientemente, ha sido el último gran banco central que ha emprendido un cuantioso programa de compras que incluye activos garantizados, deuda pública, bonos garantizados y deuda de empresas -Expanded Purchase Programme- que dejaría de aplicarse en marzo de 2017 y reducido el tipo de interés de la facilidad de depósito por debajo del 0%.</w:t>
      </w:r>
    </w:p>
    <w:p w:rsidR="004D74E7" w:rsidRDefault="004D74E7" w:rsidP="004D74E7">
      <w:pPr>
        <w:pStyle w:val="NormalWeb"/>
        <w:shd w:val="clear" w:color="auto" w:fill="FFFFFF"/>
        <w:jc w:val="both"/>
      </w:pPr>
      <w:r>
        <w:t>El Banco de Inglaterra también instauró programas de liquidez como el Special Liquidity Scheme, pero fueron de escasa importancia en relación a los aplicados por la Fed y el ECB. Su principal programa fue el Asset Purchase Funding Facility (APFF) con el que adquirió un total de 375 mil millones de libras en títulos de deuda pública. En los últimos tiempos, debido al Brexit, ha reducido su tipo de interés de referencia en 25 puntos básicos y anunciado su intención de expandir su balance en 170 mil millones de libras más instaurando un nuevo programa de inyección de liquidez para el sector bancario y adquiriendo deuda pública y corporativa.</w:t>
      </w:r>
    </w:p>
    <w:p w:rsidR="004D74E7" w:rsidRDefault="004D74E7" w:rsidP="004D74E7">
      <w:pPr>
        <w:pStyle w:val="NormalWeb"/>
        <w:shd w:val="clear" w:color="auto" w:fill="FFFFFF"/>
        <w:jc w:val="both"/>
      </w:pPr>
      <w:r>
        <w:t>Por último, el Banco de Japón, al comenzar la crisis, aún estaba tratando de hacer frente al largo período de estancamiento económico que se inició con el estallido de su burbuja inmobiliaria a principios de los años 90. A finales de 2008, introdujo programas de suministro de liquidez (Special Funds Supplying Operations) y en octubre de 2010 instauró un programa de compra de activos, el Asset Purchase Program (APP). En marzo de 2013, el montante total de las operaciones llevadas a través del APP superaba los 720 mil millones de yenes. Tras el nombramiento de Kuroda como Gobernador del banco central y de la llegada a la presidencia del país nipón de Shinzo Abe se introdujeron importantes cambios en los instrumentos y operativas de la política monetaria como parte de una nueva política económica que ha sido denominada Abenomics. Esta nueva política económica ha supuesto el establecimiento de un objetivo explícito de inflación del 2%. Además, se ha pasado de instrumentar la política monetaria a través del tipo de interés a corto plazo a hacerlo a través de la base monetaria, que se iría incrementando de acuerdo a objetivos marcados previamente (Quantitative and qualitative easing). Entre las medidas más recientes podemos aludir a que, como también han decidido otros bancos centrales, viene aplicando un tipo de interés negativo por el exceso de reservas bancarias que mantengan los bancos desde enero de 2016.</w:t>
      </w:r>
    </w:p>
    <w:p w:rsidR="004D74E7" w:rsidRDefault="004D74E7" w:rsidP="004D74E7">
      <w:pPr>
        <w:pStyle w:val="NormalWeb"/>
        <w:shd w:val="clear" w:color="auto" w:fill="FFFFFF"/>
        <w:jc w:val="both"/>
      </w:pPr>
      <w:r>
        <w:t>En resumen, podemos concluir que han existido dos grupos de medidas desde que se iniciara la crisis que se han aplicado por los bancos centrales principales, si bien las mismas no han coincidido temporalmente en su aplicación en las zonas monetarias fundamentales:</w:t>
      </w:r>
    </w:p>
    <w:p w:rsidR="004D74E7" w:rsidRDefault="004D74E7" w:rsidP="004D74E7">
      <w:pPr>
        <w:pStyle w:val="NormalWeb"/>
        <w:numPr>
          <w:ilvl w:val="0"/>
          <w:numId w:val="11"/>
        </w:numPr>
        <w:shd w:val="clear" w:color="auto" w:fill="FFFFFF"/>
        <w:jc w:val="both"/>
      </w:pPr>
      <w:r>
        <w:t>Políticas de liquidez. Han tenido como objetivo garantizar la supervivencia de las entidades financieras, especialmente durante el inicio de la crisis.</w:t>
      </w:r>
    </w:p>
    <w:p w:rsidR="004D74E7" w:rsidRDefault="004D74E7" w:rsidP="004D74E7">
      <w:pPr>
        <w:pStyle w:val="NormalWeb"/>
        <w:numPr>
          <w:ilvl w:val="0"/>
          <w:numId w:val="11"/>
        </w:numPr>
        <w:shd w:val="clear" w:color="auto" w:fill="FFFFFF"/>
        <w:jc w:val="both"/>
      </w:pPr>
      <w:r>
        <w:t>Políticas monetarias activas. Los bancos centrales han asumido la función de contribuir a la recuperación económica ante el incumplimiento de las previsiones de autoajuste de la teoría de los mercados eficientes. (…) los tipos de interés nominales de los bancos centrales se aproximaron al 0%. La reducción de los tipos de interés a corto plazo buscaba afectar a los tipos de interés a largo plazo y a su vez, al coste del capital de la inversión…</w:t>
      </w:r>
    </w:p>
    <w:p w:rsidR="004D74E7" w:rsidRDefault="004D74E7" w:rsidP="004D74E7">
      <w:pPr>
        <w:pStyle w:val="NormalWeb"/>
        <w:shd w:val="clear" w:color="auto" w:fill="FFFFFF"/>
        <w:jc w:val="both"/>
      </w:pPr>
      <w:r>
        <w:t xml:space="preserve">Fuente: La política monetaria durante la “Gran Recesión” (Fructuoso Borrallo Egea - Tesis Doctoral 2016 - Universidad de Sevilla - </w:t>
      </w:r>
      <w:r w:rsidRPr="008B7751">
        <w:rPr>
          <w:b/>
        </w:rPr>
        <w:t>Septiembre 2016</w:t>
      </w:r>
      <w:r>
        <w:t>)</w:t>
      </w:r>
    </w:p>
    <w:p w:rsidR="004D74E7" w:rsidRPr="00E73CC5" w:rsidRDefault="004D74E7" w:rsidP="004D74E7">
      <w:pPr>
        <w:pStyle w:val="NormalWeb"/>
        <w:shd w:val="clear" w:color="auto" w:fill="FFFFFF"/>
        <w:jc w:val="both"/>
        <w:rPr>
          <w:b/>
        </w:rPr>
      </w:pPr>
      <w:r w:rsidRPr="00E73CC5">
        <w:rPr>
          <w:b/>
        </w:rPr>
        <w:lastRenderedPageBreak/>
        <w:t xml:space="preserve">Represión financiera (socialización de las pérdidas - castigo al ahorro) </w:t>
      </w:r>
    </w:p>
    <w:p w:rsidR="004D74E7" w:rsidRPr="00B01B0F" w:rsidRDefault="004D74E7" w:rsidP="004D74E7">
      <w:pPr>
        <w:pStyle w:val="NormalWeb"/>
        <w:shd w:val="clear" w:color="auto" w:fill="FFFFFF"/>
        <w:jc w:val="both"/>
        <w:rPr>
          <w:color w:val="000000"/>
        </w:rPr>
      </w:pPr>
      <w:r w:rsidRPr="00581FC4">
        <w:rPr>
          <w:noProof/>
          <w:color w:val="000000"/>
        </w:rPr>
        <w:drawing>
          <wp:inline distT="0" distB="0" distL="0" distR="0" wp14:anchorId="74EA032B" wp14:editId="50887C89">
            <wp:extent cx="5400675" cy="3600450"/>
            <wp:effectExtent l="0" t="0" r="9525" b="0"/>
            <wp:docPr id="340" name="Imagen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4"/>
                    <a:stretch>
                      <a:fillRect/>
                    </a:stretch>
                  </pic:blipFill>
                  <pic:spPr>
                    <a:xfrm>
                      <a:off x="0" y="0"/>
                      <a:ext cx="5401429" cy="3600953"/>
                    </a:xfrm>
                    <a:prstGeom prst="rect">
                      <a:avLst/>
                    </a:prstGeom>
                  </pic:spPr>
                </pic:pic>
              </a:graphicData>
            </a:graphic>
          </wp:inline>
        </w:drawing>
      </w:r>
      <w:r w:rsidRPr="00B01B0F">
        <w:rPr>
          <w:color w:val="000000"/>
        </w:rPr>
        <w:t> </w:t>
      </w:r>
    </w:p>
    <w:p w:rsidR="004D74E7" w:rsidRDefault="004D74E7" w:rsidP="004D74E7">
      <w:pPr>
        <w:spacing w:line="240" w:lineRule="auto"/>
        <w:jc w:val="both"/>
        <w:rPr>
          <w:rFonts w:ascii="Times New Roman" w:hAnsi="Times New Roman" w:cs="Times New Roman"/>
          <w:sz w:val="24"/>
          <w:szCs w:val="24"/>
        </w:rPr>
      </w:pPr>
      <w:r w:rsidRPr="00581FC4">
        <w:rPr>
          <w:rFonts w:ascii="Times New Roman" w:hAnsi="Times New Roman" w:cs="Times New Roman"/>
          <w:noProof/>
          <w:sz w:val="24"/>
          <w:szCs w:val="24"/>
          <w:lang w:eastAsia="es-ES"/>
        </w:rPr>
        <w:drawing>
          <wp:inline distT="0" distB="0" distL="0" distR="0" wp14:anchorId="6D5FCB57" wp14:editId="0F08C85D">
            <wp:extent cx="2716306" cy="3697941"/>
            <wp:effectExtent l="0" t="0" r="8255" b="0"/>
            <wp:docPr id="341" name="Imagen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5"/>
                    <a:stretch>
                      <a:fillRect/>
                    </a:stretch>
                  </pic:blipFill>
                  <pic:spPr>
                    <a:xfrm>
                      <a:off x="0" y="0"/>
                      <a:ext cx="2716022" cy="3697554"/>
                    </a:xfrm>
                    <a:prstGeom prst="rect">
                      <a:avLst/>
                    </a:prstGeom>
                  </pic:spPr>
                </pic:pic>
              </a:graphicData>
            </a:graphic>
          </wp:inline>
        </w:drawing>
      </w:r>
      <w:r w:rsidRPr="00581FC4">
        <w:rPr>
          <w:rFonts w:ascii="Times New Roman" w:hAnsi="Times New Roman" w:cs="Times New Roman"/>
          <w:noProof/>
          <w:sz w:val="24"/>
          <w:szCs w:val="24"/>
          <w:lang w:eastAsia="es-ES"/>
        </w:rPr>
        <w:drawing>
          <wp:inline distT="0" distB="0" distL="0" distR="0" wp14:anchorId="5EFB3FB8" wp14:editId="67C86EED">
            <wp:extent cx="2762600" cy="3583642"/>
            <wp:effectExtent l="0" t="0" r="0" b="0"/>
            <wp:docPr id="342" name="Imagen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6"/>
                    <a:stretch>
                      <a:fillRect/>
                    </a:stretch>
                  </pic:blipFill>
                  <pic:spPr>
                    <a:xfrm>
                      <a:off x="0" y="0"/>
                      <a:ext cx="2762636" cy="3583688"/>
                    </a:xfrm>
                    <a:prstGeom prst="rect">
                      <a:avLst/>
                    </a:prstGeom>
                  </pic:spPr>
                </pic:pic>
              </a:graphicData>
            </a:graphic>
          </wp:inline>
        </w:drawing>
      </w:r>
    </w:p>
    <w:p w:rsidR="004D74E7" w:rsidRDefault="004D74E7" w:rsidP="004D74E7">
      <w:pPr>
        <w:spacing w:line="240" w:lineRule="auto"/>
        <w:jc w:val="both"/>
        <w:rPr>
          <w:rFonts w:ascii="Times New Roman" w:hAnsi="Times New Roman" w:cs="Times New Roman"/>
          <w:sz w:val="24"/>
          <w:szCs w:val="24"/>
        </w:rPr>
      </w:pPr>
      <w:r w:rsidRPr="00581FC4">
        <w:rPr>
          <w:rFonts w:ascii="Times New Roman" w:hAnsi="Times New Roman" w:cs="Times New Roman"/>
          <w:noProof/>
          <w:sz w:val="24"/>
          <w:szCs w:val="24"/>
          <w:lang w:eastAsia="es-ES"/>
        </w:rPr>
        <w:lastRenderedPageBreak/>
        <w:drawing>
          <wp:inline distT="0" distB="0" distL="0" distR="0" wp14:anchorId="3432CCAF" wp14:editId="1BE32693">
            <wp:extent cx="5580529" cy="3032312"/>
            <wp:effectExtent l="0" t="0" r="1270" b="0"/>
            <wp:docPr id="343" name="Imagen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7"/>
                    <a:stretch>
                      <a:fillRect/>
                    </a:stretch>
                  </pic:blipFill>
                  <pic:spPr>
                    <a:xfrm>
                      <a:off x="0" y="0"/>
                      <a:ext cx="5582429" cy="3033344"/>
                    </a:xfrm>
                    <a:prstGeom prst="rect">
                      <a:avLst/>
                    </a:prstGeom>
                  </pic:spPr>
                </pic:pic>
              </a:graphicData>
            </a:graphic>
          </wp:inline>
        </w:drawing>
      </w:r>
    </w:p>
    <w:p w:rsidR="004D74E7" w:rsidRDefault="004D74E7" w:rsidP="004D74E7">
      <w:pPr>
        <w:pStyle w:val="NormalWeb"/>
        <w:shd w:val="clear" w:color="auto" w:fill="FFFFFF"/>
        <w:jc w:val="both"/>
        <w:rPr>
          <w:color w:val="000000"/>
        </w:rPr>
      </w:pPr>
      <w:r>
        <w:rPr>
          <w:color w:val="000000"/>
        </w:rPr>
        <w:t xml:space="preserve">Fuente: La política monetaria ante la crisis: análisis y comparación de las medidas adoptadas por el Banco Central Europeo y la Reserva Federal - </w:t>
      </w:r>
      <w:r w:rsidRPr="009A71E9">
        <w:rPr>
          <w:color w:val="000000"/>
        </w:rPr>
        <w:t>Á</w:t>
      </w:r>
      <w:r>
        <w:rPr>
          <w:color w:val="000000"/>
        </w:rPr>
        <w:t xml:space="preserve">lvaro Barba Sáez - Universidad Politécnica de Valencia - España - </w:t>
      </w:r>
      <w:r w:rsidRPr="009A71E9">
        <w:rPr>
          <w:b/>
          <w:color w:val="000000"/>
        </w:rPr>
        <w:t>Septiembre 2017</w:t>
      </w:r>
      <w:r>
        <w:rPr>
          <w:color w:val="000000"/>
        </w:rPr>
        <w:t>)</w:t>
      </w:r>
    </w:p>
    <w:p w:rsidR="004D74E7" w:rsidRDefault="004D74E7" w:rsidP="004D74E7">
      <w:pPr>
        <w:pStyle w:val="NormalWeb"/>
        <w:shd w:val="clear" w:color="auto" w:fill="FFFFFF"/>
        <w:jc w:val="both"/>
      </w:pPr>
      <w:r w:rsidRPr="007557F1">
        <w:rPr>
          <w:noProof/>
          <w:color w:val="000000"/>
        </w:rPr>
        <w:drawing>
          <wp:inline distT="0" distB="0" distL="0" distR="0" wp14:anchorId="65D900D1" wp14:editId="51014491">
            <wp:extent cx="5661212" cy="4585447"/>
            <wp:effectExtent l="0" t="0" r="0" b="5715"/>
            <wp:docPr id="344" name="Imagen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8"/>
                    <a:stretch>
                      <a:fillRect/>
                    </a:stretch>
                  </pic:blipFill>
                  <pic:spPr>
                    <a:xfrm>
                      <a:off x="0" y="0"/>
                      <a:ext cx="5658640" cy="4583364"/>
                    </a:xfrm>
                    <a:prstGeom prst="rect">
                      <a:avLst/>
                    </a:prstGeom>
                  </pic:spPr>
                </pic:pic>
              </a:graphicData>
            </a:graphic>
          </wp:inline>
        </w:drawing>
      </w:r>
      <w:r>
        <w:t xml:space="preserve">Fuente: La política monetaria durante la “Gran Recesión” (Fructuoso Borrallo Egea - Tesis Doctoral 2016 - Universidad de Sevilla - </w:t>
      </w:r>
      <w:r w:rsidRPr="008B7751">
        <w:rPr>
          <w:b/>
        </w:rPr>
        <w:t>Septiembre 2016</w:t>
      </w:r>
      <w:r>
        <w:t>)</w:t>
      </w:r>
    </w:p>
    <w:p w:rsidR="004D74E7" w:rsidRPr="00E73CC5" w:rsidRDefault="004D74E7" w:rsidP="004D74E7">
      <w:pPr>
        <w:spacing w:line="240" w:lineRule="auto"/>
        <w:jc w:val="both"/>
        <w:rPr>
          <w:rFonts w:ascii="Times New Roman" w:hAnsi="Times New Roman" w:cs="Times New Roman"/>
          <w:b/>
          <w:sz w:val="24"/>
          <w:szCs w:val="24"/>
        </w:rPr>
      </w:pPr>
      <w:r w:rsidRPr="00E73CC5">
        <w:rPr>
          <w:rFonts w:ascii="Times New Roman" w:hAnsi="Times New Roman" w:cs="Times New Roman"/>
          <w:b/>
          <w:sz w:val="24"/>
          <w:szCs w:val="24"/>
        </w:rPr>
        <w:lastRenderedPageBreak/>
        <w:t>La agonía de los depósitos y la máquina de fabricar diner</w:t>
      </w:r>
      <w:r w:rsidR="00931091">
        <w:rPr>
          <w:rFonts w:ascii="Times New Roman" w:hAnsi="Times New Roman" w:cs="Times New Roman"/>
          <w:b/>
          <w:sz w:val="24"/>
          <w:szCs w:val="24"/>
        </w:rPr>
        <w:t xml:space="preserve">o </w:t>
      </w:r>
    </w:p>
    <w:p w:rsidR="004D74E7" w:rsidRPr="00E73CC5" w:rsidRDefault="004D74E7" w:rsidP="004D74E7">
      <w:pPr>
        <w:spacing w:line="240" w:lineRule="auto"/>
        <w:jc w:val="both"/>
        <w:rPr>
          <w:rFonts w:ascii="Times New Roman" w:hAnsi="Times New Roman" w:cs="Times New Roman"/>
          <w:sz w:val="24"/>
          <w:szCs w:val="24"/>
        </w:rPr>
      </w:pPr>
      <w:r w:rsidRPr="00E73CC5">
        <w:rPr>
          <w:rFonts w:ascii="Times New Roman" w:hAnsi="Times New Roman" w:cs="Times New Roman"/>
          <w:sz w:val="24"/>
          <w:szCs w:val="24"/>
        </w:rPr>
        <w:t>El interés ofrecido por el sector financiero inició una cuesta abajo que se fue agudizando con los tipos de interés negativos aplicados por el BCE (11 de junio de 2014) y los programas de compras de activos, que han inundado el sistema de una liquidez que tiene un coste para la banca (un -0,5% de la facilidad de depósito) si no logra rentabilizarla con su negocio. La crisis del covid-19 y las necesarias medidas adoptadas por el BCE (más compra de activos, tipos bajos por más tiempo, inyecciones de liquidez...) podrían complicar aún más la capacidad de la banca para rentabilizar este tipo de productos y prolongar esta situación. De la guerra por captar depósitos, la banca casi se ha pasado a lo contrario. Las consecuencias han sido evidentes: los hogares y empresas han huido de un producto financiero que ofrece un 0,01% de media en los depósitos a un año y un 0,3% en los depósitos de más de dos años.</w:t>
      </w:r>
    </w:p>
    <w:p w:rsidR="004D74E7" w:rsidRPr="00E73CC5" w:rsidRDefault="008B7751" w:rsidP="004D74E7">
      <w:pPr>
        <w:spacing w:line="240" w:lineRule="auto"/>
        <w:jc w:val="both"/>
        <w:rPr>
          <w:rFonts w:ascii="Times New Roman" w:hAnsi="Times New Roman" w:cs="Times New Roman"/>
          <w:sz w:val="24"/>
          <w:szCs w:val="24"/>
        </w:rPr>
      </w:pPr>
      <w:r>
        <w:rPr>
          <w:rFonts w:ascii="Times New Roman" w:hAnsi="Times New Roman" w:cs="Times New Roman"/>
          <w:sz w:val="24"/>
          <w:szCs w:val="24"/>
        </w:rPr>
        <w:t>Ahora, la crisis del C</w:t>
      </w:r>
      <w:r w:rsidR="004D74E7" w:rsidRPr="00E73CC5">
        <w:rPr>
          <w:rFonts w:ascii="Times New Roman" w:hAnsi="Times New Roman" w:cs="Times New Roman"/>
          <w:sz w:val="24"/>
          <w:szCs w:val="24"/>
        </w:rPr>
        <w:t>ovid-19 ha llevado al Banco Central Europeo a dar una vuelta de tuerca más a sus políticas monetarias expansivas, que están obligando a la banca a ofrecer cada vez menos por sus pasivos (chocando contra el límite inferior o zero lower bound) en un intento por seguir siendo rentables. Con rentabilidades irrisoriasen un depósito con condiciones de permanencia pierde atractivo.</w:t>
      </w:r>
    </w:p>
    <w:p w:rsidR="004D74E7" w:rsidRDefault="004D74E7" w:rsidP="004D74E7">
      <w:pPr>
        <w:spacing w:line="240" w:lineRule="auto"/>
        <w:jc w:val="both"/>
        <w:rPr>
          <w:rFonts w:ascii="Times New Roman" w:hAnsi="Times New Roman" w:cs="Times New Roman"/>
          <w:color w:val="FF0000"/>
          <w:sz w:val="24"/>
          <w:szCs w:val="24"/>
        </w:rPr>
      </w:pPr>
      <w:r>
        <w:rPr>
          <w:noProof/>
          <w:lang w:eastAsia="es-ES"/>
        </w:rPr>
        <w:drawing>
          <wp:inline distT="0" distB="0" distL="0" distR="0" wp14:anchorId="19280184" wp14:editId="2ECED608">
            <wp:extent cx="5734049" cy="1892300"/>
            <wp:effectExtent l="0" t="0" r="635" b="0"/>
            <wp:docPr id="345" name="Imagen 345" descr="https://s03.s3c.es/imag/_v0/770x508/a/7/5/tipo-interes-medio-deposi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70x508/a/7/5/tipo-interes-medio-deposito.jpg"/>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5731510" cy="1891462"/>
                    </a:xfrm>
                    <a:prstGeom prst="rect">
                      <a:avLst/>
                    </a:prstGeom>
                    <a:noFill/>
                    <a:ln>
                      <a:noFill/>
                    </a:ln>
                  </pic:spPr>
                </pic:pic>
              </a:graphicData>
            </a:graphic>
          </wp:inline>
        </w:drawing>
      </w:r>
    </w:p>
    <w:p w:rsidR="004D74E7" w:rsidRDefault="004D74E7" w:rsidP="004D74E7">
      <w:pPr>
        <w:spacing w:line="240" w:lineRule="auto"/>
        <w:jc w:val="both"/>
        <w:rPr>
          <w:rFonts w:ascii="Times New Roman" w:hAnsi="Times New Roman" w:cs="Times New Roman"/>
          <w:color w:val="FF0000"/>
          <w:sz w:val="24"/>
          <w:szCs w:val="24"/>
        </w:rPr>
      </w:pPr>
      <w:r>
        <w:rPr>
          <w:noProof/>
          <w:lang w:eastAsia="es-ES"/>
        </w:rPr>
        <w:drawing>
          <wp:inline distT="0" distB="0" distL="0" distR="0" wp14:anchorId="234A74BE" wp14:editId="7A6D5F42">
            <wp:extent cx="5727700" cy="2654300"/>
            <wp:effectExtent l="0" t="0" r="6350" b="0"/>
            <wp:docPr id="346" name="Imagen 346" descr="https://s03.s3c.es/imag/_v0/770x672/c/1/6/dinero-depositos-plazo-ca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770x672/c/1/6/dinero-depositos-plazo-cae.jpg"/>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5731510" cy="2656066"/>
                    </a:xfrm>
                    <a:prstGeom prst="rect">
                      <a:avLst/>
                    </a:prstGeom>
                    <a:noFill/>
                    <a:ln>
                      <a:noFill/>
                    </a:ln>
                  </pic:spPr>
                </pic:pic>
              </a:graphicData>
            </a:graphic>
          </wp:inline>
        </w:drawing>
      </w:r>
    </w:p>
    <w:p w:rsidR="00931091" w:rsidRDefault="004D74E7" w:rsidP="004D74E7">
      <w:pPr>
        <w:spacing w:line="240" w:lineRule="auto"/>
        <w:jc w:val="both"/>
        <w:rPr>
          <w:rFonts w:ascii="Times New Roman" w:hAnsi="Times New Roman" w:cs="Times New Roman"/>
          <w:sz w:val="24"/>
          <w:szCs w:val="24"/>
        </w:rPr>
      </w:pPr>
      <w:r w:rsidRPr="00E73CC5">
        <w:rPr>
          <w:rFonts w:ascii="Times New Roman" w:hAnsi="Times New Roman" w:cs="Times New Roman"/>
          <w:sz w:val="24"/>
          <w:szCs w:val="24"/>
        </w:rPr>
        <w:t>Esta situación no puede ser eterna. Sería muy mala señal. Los depósitos a largo plazo volverán, la pregunta difícil es cuándo ocurrirá porque equivale a responder cuándo tendremos tipos de interés más elevados y menos “intervenidos” por autoridades monetarias.</w:t>
      </w:r>
    </w:p>
    <w:p w:rsidR="004D74E7" w:rsidRPr="00E73CC5" w:rsidRDefault="004D74E7" w:rsidP="004D74E7">
      <w:pPr>
        <w:spacing w:line="240" w:lineRule="auto"/>
        <w:jc w:val="both"/>
        <w:rPr>
          <w:rFonts w:ascii="Times New Roman" w:hAnsi="Times New Roman" w:cs="Times New Roman"/>
          <w:sz w:val="24"/>
          <w:szCs w:val="24"/>
        </w:rPr>
      </w:pPr>
      <w:r w:rsidRPr="00E73CC5">
        <w:rPr>
          <w:rFonts w:ascii="Times New Roman" w:hAnsi="Times New Roman" w:cs="Times New Roman"/>
          <w:sz w:val="24"/>
          <w:szCs w:val="24"/>
        </w:rPr>
        <w:t>El problema es que la trampa monetaria en la que estamos es difícil de revertir a medio plazo.</w:t>
      </w:r>
    </w:p>
    <w:p w:rsidR="00E73CC5" w:rsidRDefault="00E73CC5" w:rsidP="00E73CC5">
      <w:pPr>
        <w:pStyle w:val="selectionshareable"/>
        <w:shd w:val="clear" w:color="auto" w:fill="FFFFFF"/>
        <w:spacing w:after="300"/>
        <w:jc w:val="both"/>
        <w:textAlignment w:val="baseline"/>
        <w:rPr>
          <w:b/>
          <w:shd w:val="clear" w:color="auto" w:fill="FFFFFF"/>
        </w:rPr>
      </w:pPr>
      <w:r>
        <w:rPr>
          <w:b/>
          <w:shd w:val="clear" w:color="auto" w:fill="FFFFFF"/>
        </w:rPr>
        <w:lastRenderedPageBreak/>
        <w:t xml:space="preserve">- </w:t>
      </w:r>
      <w:r w:rsidRPr="00E73CC5">
        <w:rPr>
          <w:b/>
          <w:shd w:val="clear" w:color="auto" w:fill="FFFFFF"/>
        </w:rPr>
        <w:t>Cuánto cost</w:t>
      </w:r>
      <w:r w:rsidR="00A1356D">
        <w:rPr>
          <w:b/>
          <w:shd w:val="clear" w:color="auto" w:fill="FFFFFF"/>
        </w:rPr>
        <w:t xml:space="preserve">ará el </w:t>
      </w:r>
      <w:r w:rsidR="004A0AB9">
        <w:rPr>
          <w:b/>
          <w:shd w:val="clear" w:color="auto" w:fill="FFFFFF"/>
        </w:rPr>
        <w:t>“</w:t>
      </w:r>
      <w:r w:rsidR="00A1356D">
        <w:rPr>
          <w:b/>
          <w:shd w:val="clear" w:color="auto" w:fill="FFFFFF"/>
        </w:rPr>
        <w:t>salvavidas</w:t>
      </w:r>
      <w:r w:rsidR="004A0AB9">
        <w:rPr>
          <w:b/>
          <w:shd w:val="clear" w:color="auto" w:fill="FFFFFF"/>
        </w:rPr>
        <w:t>”</w:t>
      </w:r>
      <w:r w:rsidR="00A1356D">
        <w:rPr>
          <w:b/>
          <w:shd w:val="clear" w:color="auto" w:fill="FFFFFF"/>
        </w:rPr>
        <w:t xml:space="preserve"> del Covid</w:t>
      </w:r>
      <w:r w:rsidRPr="00E73CC5">
        <w:rPr>
          <w:b/>
          <w:shd w:val="clear" w:color="auto" w:fill="FFFFFF"/>
        </w:rPr>
        <w:t xml:space="preserve"> (helicópteros</w:t>
      </w:r>
      <w:r w:rsidR="008B7751">
        <w:rPr>
          <w:b/>
          <w:shd w:val="clear" w:color="auto" w:fill="FFFFFF"/>
        </w:rPr>
        <w:t xml:space="preserve"> monetarios en el aire - Parte</w:t>
      </w:r>
      <w:r w:rsidRPr="00E73CC5">
        <w:rPr>
          <w:b/>
          <w:shd w:val="clear" w:color="auto" w:fill="FFFFFF"/>
        </w:rPr>
        <w:t xml:space="preserve"> II)</w:t>
      </w:r>
    </w:p>
    <w:p w:rsidR="003D59A4" w:rsidRPr="00E73CC5" w:rsidRDefault="003D59A4" w:rsidP="00E73CC5">
      <w:pPr>
        <w:pStyle w:val="selectionshareable"/>
        <w:shd w:val="clear" w:color="auto" w:fill="FFFFFF"/>
        <w:spacing w:after="300"/>
        <w:jc w:val="both"/>
        <w:textAlignment w:val="baseline"/>
        <w:rPr>
          <w:b/>
          <w:shd w:val="clear" w:color="auto" w:fill="FFFFFF"/>
        </w:rPr>
      </w:pPr>
      <w:r>
        <w:rPr>
          <w:noProof/>
        </w:rPr>
        <w:drawing>
          <wp:inline distT="0" distB="0" distL="0" distR="0" wp14:anchorId="3864F03C" wp14:editId="1360F2A9">
            <wp:extent cx="5734050" cy="3124200"/>
            <wp:effectExtent l="0" t="0" r="0" b="0"/>
            <wp:docPr id="317" name="Imagen 317" descr="Christine Lagarde y Jerome Powell, presidentes del BCE y de la Fed. (Reu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ristine Lagarde y Jerome Powell, presidentes del BCE y de la Fed. (Reuters)"/>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5731510" cy="3122816"/>
                    </a:xfrm>
                    <a:prstGeom prst="rect">
                      <a:avLst/>
                    </a:prstGeom>
                    <a:noFill/>
                    <a:ln>
                      <a:noFill/>
                    </a:ln>
                  </pic:spPr>
                </pic:pic>
              </a:graphicData>
            </a:graphic>
          </wp:inline>
        </w:drawing>
      </w:r>
    </w:p>
    <w:p w:rsidR="004D74E7" w:rsidRPr="003D59A4" w:rsidRDefault="004D74E7" w:rsidP="004D74E7">
      <w:pPr>
        <w:spacing w:line="240" w:lineRule="auto"/>
        <w:jc w:val="both"/>
        <w:rPr>
          <w:rFonts w:ascii="Times New Roman" w:hAnsi="Times New Roman" w:cs="Times New Roman"/>
          <w:sz w:val="24"/>
          <w:szCs w:val="24"/>
        </w:rPr>
      </w:pPr>
      <w:r w:rsidRPr="003D59A4">
        <w:rPr>
          <w:rFonts w:ascii="Times New Roman" w:hAnsi="Times New Roman" w:cs="Times New Roman"/>
          <w:sz w:val="24"/>
          <w:szCs w:val="24"/>
        </w:rPr>
        <w:t>Las dos últimas crisis que hemos vivido han estado basadas en esquemas de exponencialidad y de contagio (falta de confianza). La primera se basó en la ley de capitalización compuesta, que rige los mercados financieros y que explica cómo la economía financiera crece muy por encima de la economía real (lineal) sin posibilidad de redención. La consecuencia no es una economía basada en los bienes, como probablemente hubiera dicho Aristóteles, en los activos, que se dice ahora; sino una economía basada en la deuda, en los pasivos: en las perversas ideas de reserva fraccionaria, de dinero basado en la deuda, de las ventas en descubierto, de los derechos a contaminar y otras tantas perversiones que va generando nuestro sistema de acumulación y nuestra economía de casino. Por no hablar de las innovaciones eufemísticas en el ámbito financiero de llamar, por ejemplo, a un bono, que es un título de deuda, activo financiero. Y la segunda, la crisis del Covid-19, basada en la curva exponencial de contagio de cualquier epidemia y que nos ha sobrecogido a todos, no tanto por sus efectos, pues en la historia ha habido crisis epidemiológicas con mayor impacto sanitario, sino por su integración en el sistema económico y por ser el síntoma, aparte del cambio geoestratégico entre China y EEUU, de un problema ambiental sin precedentes: pérdida de biodiversidad, cambio climático, ciclo del nitrógeno, acidificación de los océanos, etc.</w:t>
      </w:r>
    </w:p>
    <w:p w:rsidR="004D74E7" w:rsidRPr="003D59A4" w:rsidRDefault="004D74E7" w:rsidP="004D74E7">
      <w:pPr>
        <w:spacing w:line="240" w:lineRule="auto"/>
        <w:jc w:val="both"/>
        <w:rPr>
          <w:rFonts w:ascii="Times New Roman" w:hAnsi="Times New Roman" w:cs="Times New Roman"/>
          <w:sz w:val="24"/>
          <w:szCs w:val="24"/>
        </w:rPr>
      </w:pPr>
      <w:r w:rsidRPr="003D59A4">
        <w:rPr>
          <w:rFonts w:ascii="Times New Roman" w:hAnsi="Times New Roman" w:cs="Times New Roman"/>
          <w:sz w:val="24"/>
          <w:szCs w:val="24"/>
        </w:rPr>
        <w:t xml:space="preserve">En esta crisis los mercados no han funcionado. Los modelos de </w:t>
      </w:r>
      <w:r w:rsidR="00324F4A" w:rsidRPr="003D59A4">
        <w:rPr>
          <w:rFonts w:ascii="Times New Roman" w:hAnsi="Times New Roman" w:cs="Times New Roman"/>
          <w:sz w:val="24"/>
          <w:szCs w:val="24"/>
        </w:rPr>
        <w:t>tercerización</w:t>
      </w:r>
      <w:r w:rsidRPr="003D59A4">
        <w:rPr>
          <w:rFonts w:ascii="Times New Roman" w:hAnsi="Times New Roman" w:cs="Times New Roman"/>
          <w:sz w:val="24"/>
          <w:szCs w:val="24"/>
        </w:rPr>
        <w:t xml:space="preserve"> o de temporización de la cadena de suministro han mostrado su vulnerabilidad. La obsesión por la rotación de las cosas (obsolescencia programada y economía lineal) y de las personas nos genera problemas ambientales e infelicidad. El riesgo moral y el riesgo de agencia han campado a sus anchas. No estaba previsto un sistema de seguros para hacer frente a una catástrofe de esta índole, que era considerada en términos gaussianos como un problema de cola, y no la reconocimos cuando llegó (como tampoco la crisis financiera de 2008). Los Gobiernos se han visto más débiles que las grandes corporaciones para poder proveer de material sanitario y preservar la seguridad de los ciudadanos. Y lo que es mucho más grave, ha habido un cambio sustancial en las externalidades. Las externalidades negativas, como la del Covid-19, se han hecho transversales y/o globales. Las empresas y la economía financiera </w:t>
      </w:r>
      <w:r w:rsidRPr="003D59A4">
        <w:rPr>
          <w:rFonts w:ascii="Times New Roman" w:hAnsi="Times New Roman" w:cs="Times New Roman"/>
          <w:sz w:val="24"/>
          <w:szCs w:val="24"/>
        </w:rPr>
        <w:lastRenderedPageBreak/>
        <w:t>trasladan hoy más riesgos que costes a la sociedad. Cada vez más riesgos específicos se van convirtiendo en riesgos sistémicos, con importantes consecuencias en términos de desigualdad (socialización de los costes de las crisis y privatización de las ganancias) y distribución de la carga impositiva, de capacidad de diversificación y gestión de los riesgos, o de gobernanza.</w:t>
      </w:r>
    </w:p>
    <w:p w:rsidR="004D74E7" w:rsidRPr="003D59A4" w:rsidRDefault="004D74E7" w:rsidP="004D74E7">
      <w:pPr>
        <w:spacing w:line="240" w:lineRule="auto"/>
        <w:jc w:val="both"/>
        <w:rPr>
          <w:rFonts w:ascii="Times New Roman" w:hAnsi="Times New Roman" w:cs="Times New Roman"/>
          <w:sz w:val="24"/>
          <w:szCs w:val="24"/>
        </w:rPr>
      </w:pPr>
      <w:r w:rsidRPr="003D59A4">
        <w:rPr>
          <w:rFonts w:ascii="Times New Roman" w:hAnsi="Times New Roman" w:cs="Times New Roman"/>
          <w:sz w:val="24"/>
          <w:szCs w:val="24"/>
        </w:rPr>
        <w:t>Precisamente el reto de la gobernanza está en la generación de certidumbre y horizontes de certeza. Ya sabemos que el mundo es incierto y azaroso, que todo está sometido a las leyes del cambio, pero no podemos permitir que las instituciones humanas (Gobiernos y empresas, por ejemplo) sean las que aceleren la incertidumbre, incrementen la entropía y eludan la planificación ante la fungibilidad y el cambio omnipresentes. El fetichismo que nuestra sociedad siente por el cambio nos ha llevado a generar esquemas de exponencialidad a los que no estamos acostumbrados, ni nuestra economía ni nuestra salud mental. Todos deberíamos pensar cómo aportar certidumbre a nuestro entorno, tanto a nivel individual como institucional. Esa debe ser nuestra licencia social para operar: la clave de la confianza a la que debemos enfrentarnos. Y confiar no</w:t>
      </w:r>
      <w:r w:rsidR="00E73CC5" w:rsidRPr="003D59A4">
        <w:rPr>
          <w:rFonts w:ascii="Times New Roman" w:hAnsi="Times New Roman" w:cs="Times New Roman"/>
          <w:sz w:val="24"/>
          <w:szCs w:val="24"/>
        </w:rPr>
        <w:t xml:space="preserve"> es eludir el espíritu crítico.</w:t>
      </w:r>
    </w:p>
    <w:p w:rsidR="003D59A4" w:rsidRDefault="004D74E7" w:rsidP="003D59A4">
      <w:pPr>
        <w:spacing w:line="240" w:lineRule="auto"/>
        <w:jc w:val="both"/>
        <w:rPr>
          <w:rFonts w:ascii="Times New Roman" w:hAnsi="Times New Roman" w:cs="Times New Roman"/>
          <w:sz w:val="24"/>
          <w:szCs w:val="24"/>
        </w:rPr>
      </w:pPr>
      <w:r w:rsidRPr="003D59A4">
        <w:rPr>
          <w:rFonts w:ascii="Times New Roman" w:hAnsi="Times New Roman" w:cs="Times New Roman"/>
          <w:sz w:val="24"/>
          <w:szCs w:val="24"/>
        </w:rPr>
        <w:t>La crisis del coronavirus Covid-19 deja las peores previsiones económicas presentadas por la Organización para la Cooperación y el Desarrollo Económicos (OCDE) en sus 60 años de historia,</w:t>
      </w:r>
      <w:r w:rsidR="003D59A4" w:rsidRPr="003D59A4">
        <w:rPr>
          <w:rFonts w:ascii="Times New Roman" w:hAnsi="Times New Roman" w:cs="Times New Roman"/>
          <w:sz w:val="24"/>
          <w:szCs w:val="24"/>
        </w:rPr>
        <w:t xml:space="preserve"> según </w:t>
      </w:r>
      <w:r w:rsidRPr="003D59A4">
        <w:rPr>
          <w:rFonts w:ascii="Times New Roman" w:hAnsi="Times New Roman" w:cs="Times New Roman"/>
          <w:sz w:val="24"/>
          <w:szCs w:val="24"/>
        </w:rPr>
        <w:t>su secretario general, Ángel Gurría, al presentar la actualización de sus estimaciones de impacto de la pandemia.</w:t>
      </w:r>
      <w:r w:rsidR="003D59A4" w:rsidRPr="003D59A4">
        <w:rPr>
          <w:rFonts w:ascii="Times New Roman" w:hAnsi="Times New Roman" w:cs="Times New Roman"/>
          <w:sz w:val="24"/>
          <w:szCs w:val="24"/>
        </w:rPr>
        <w:t xml:space="preserve"> (Cinco Días - </w:t>
      </w:r>
      <w:r w:rsidR="003D59A4" w:rsidRPr="003D59A4">
        <w:rPr>
          <w:rFonts w:ascii="Times New Roman" w:hAnsi="Times New Roman" w:cs="Times New Roman"/>
          <w:b/>
          <w:sz w:val="24"/>
          <w:szCs w:val="24"/>
        </w:rPr>
        <w:t>10/6/20</w:t>
      </w:r>
      <w:r w:rsidR="003D59A4" w:rsidRPr="003D59A4">
        <w:rPr>
          <w:rFonts w:ascii="Times New Roman" w:hAnsi="Times New Roman" w:cs="Times New Roman"/>
          <w:sz w:val="24"/>
          <w:szCs w:val="24"/>
        </w:rPr>
        <w:t>)</w:t>
      </w:r>
    </w:p>
    <w:p w:rsidR="00536FD0" w:rsidRDefault="00536FD0" w:rsidP="003D59A4">
      <w:pPr>
        <w:spacing w:line="240" w:lineRule="auto"/>
        <w:jc w:val="both"/>
        <w:rPr>
          <w:rFonts w:ascii="Times New Roman" w:hAnsi="Times New Roman" w:cs="Times New Roman"/>
          <w:sz w:val="24"/>
          <w:szCs w:val="24"/>
        </w:rPr>
      </w:pPr>
    </w:p>
    <w:p w:rsidR="00536FD0" w:rsidRDefault="00536FD0" w:rsidP="00536FD0">
      <w:pPr>
        <w:spacing w:line="240" w:lineRule="auto"/>
        <w:jc w:val="both"/>
        <w:rPr>
          <w:rFonts w:ascii="Times New Roman" w:hAnsi="Times New Roman" w:cs="Times New Roman"/>
          <w:color w:val="FF0000"/>
          <w:sz w:val="24"/>
          <w:szCs w:val="24"/>
        </w:rPr>
      </w:pPr>
      <w:r>
        <w:rPr>
          <w:rFonts w:ascii="Open Sans" w:eastAsia="Times New Roman" w:hAnsi="Open Sans" w:cs="Open Sans"/>
          <w:noProof/>
          <w:color w:val="0BB2FF"/>
          <w:sz w:val="23"/>
          <w:szCs w:val="23"/>
          <w:bdr w:val="none" w:sz="0" w:space="0" w:color="auto" w:frame="1"/>
          <w:lang w:eastAsia="es-ES"/>
        </w:rPr>
        <w:drawing>
          <wp:inline distT="0" distB="0" distL="0" distR="0" wp14:anchorId="0844FB06" wp14:editId="595EB7DF">
            <wp:extent cx="5715000" cy="2768600"/>
            <wp:effectExtent l="0" t="0" r="0" b="0"/>
            <wp:docPr id="318" name="Imagen 318" descr="https://nadaesgratis.es/wp-content/uploads/medidas-fiscales-25-de-mayo-2020.jpg">
              <a:hlinkClick xmlns:a="http://schemas.openxmlformats.org/drawingml/2006/main" r:id="rId3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nadaesgratis.es/wp-content/uploads/medidas-fiscales-25-de-mayo-2020.jpg">
                      <a:hlinkClick r:id="rId372"/>
                    </pic:cNvPr>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5715000" cy="2768600"/>
                    </a:xfrm>
                    <a:prstGeom prst="rect">
                      <a:avLst/>
                    </a:prstGeom>
                    <a:noFill/>
                    <a:ln>
                      <a:noFill/>
                    </a:ln>
                  </pic:spPr>
                </pic:pic>
              </a:graphicData>
            </a:graphic>
          </wp:inline>
        </w:drawing>
      </w:r>
    </w:p>
    <w:p w:rsidR="00536FD0" w:rsidRPr="00536FD0" w:rsidRDefault="00536FD0" w:rsidP="00536FD0">
      <w:pPr>
        <w:shd w:val="clear" w:color="auto" w:fill="FFFFFF"/>
        <w:spacing w:after="396" w:line="240" w:lineRule="auto"/>
        <w:textAlignment w:val="baseline"/>
        <w:rPr>
          <w:rFonts w:ascii="Times New Roman" w:eastAsia="Times New Roman" w:hAnsi="Times New Roman" w:cs="Times New Roman"/>
          <w:color w:val="000000"/>
          <w:sz w:val="24"/>
          <w:szCs w:val="24"/>
        </w:rPr>
      </w:pPr>
      <w:r w:rsidRPr="00536FD0">
        <w:rPr>
          <w:rFonts w:ascii="Times New Roman" w:eastAsia="Times New Roman" w:hAnsi="Times New Roman" w:cs="Times New Roman"/>
          <w:color w:val="000000"/>
          <w:sz w:val="24"/>
          <w:szCs w:val="24"/>
        </w:rPr>
        <w:t>Medidas fiscales adoptadas a 25 de mayo de 2020, Bruegel Institute</w:t>
      </w:r>
    </w:p>
    <w:p w:rsidR="00536FD0" w:rsidRDefault="00536FD0" w:rsidP="00536FD0">
      <w:pPr>
        <w:spacing w:line="240" w:lineRule="auto"/>
        <w:jc w:val="both"/>
        <w:rPr>
          <w:rFonts w:ascii="Times New Roman" w:hAnsi="Times New Roman" w:cs="Times New Roman"/>
          <w:color w:val="1A1A1A"/>
          <w:sz w:val="24"/>
          <w:szCs w:val="24"/>
          <w:shd w:val="clear" w:color="auto" w:fill="FFFFFF"/>
        </w:rPr>
      </w:pPr>
      <w:r>
        <w:rPr>
          <w:noProof/>
          <w:lang w:eastAsia="es-ES"/>
        </w:rPr>
        <w:lastRenderedPageBreak/>
        <w:drawing>
          <wp:inline distT="0" distB="0" distL="0" distR="0" wp14:anchorId="20339F64" wp14:editId="777694AB">
            <wp:extent cx="5729942" cy="4387850"/>
            <wp:effectExtent l="0" t="0" r="4445" b="0"/>
            <wp:docPr id="350" name="Imagen 350" descr="Parámetros fiscales en la eurozona. (Fuente: JP Morg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arámetros fiscales en la eurozona. (Fuente: JP Morgan)"/>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5731510" cy="4389051"/>
                    </a:xfrm>
                    <a:prstGeom prst="rect">
                      <a:avLst/>
                    </a:prstGeom>
                    <a:noFill/>
                    <a:ln>
                      <a:noFill/>
                    </a:ln>
                  </pic:spPr>
                </pic:pic>
              </a:graphicData>
            </a:graphic>
          </wp:inline>
        </w:drawing>
      </w:r>
      <w:r w:rsidRPr="00074CF6">
        <w:rPr>
          <w:rFonts w:ascii="Times New Roman" w:hAnsi="Times New Roman" w:cs="Times New Roman"/>
          <w:color w:val="1A1A1A"/>
          <w:sz w:val="24"/>
          <w:szCs w:val="24"/>
          <w:shd w:val="clear" w:color="auto" w:fill="FFFFFF"/>
        </w:rPr>
        <w:t>Parámetros fiscales en la eurozona. (Fuente: JP Morgan</w:t>
      </w:r>
      <w:r>
        <w:rPr>
          <w:rFonts w:ascii="Times New Roman" w:hAnsi="Times New Roman" w:cs="Times New Roman"/>
          <w:color w:val="1A1A1A"/>
          <w:sz w:val="24"/>
          <w:szCs w:val="24"/>
          <w:shd w:val="clear" w:color="auto" w:fill="FFFFFF"/>
        </w:rPr>
        <w:t xml:space="preserve"> - 17/6/20</w:t>
      </w:r>
      <w:r w:rsidRPr="00074CF6">
        <w:rPr>
          <w:rFonts w:ascii="Times New Roman" w:hAnsi="Times New Roman" w:cs="Times New Roman"/>
          <w:color w:val="1A1A1A"/>
          <w:sz w:val="24"/>
          <w:szCs w:val="24"/>
          <w:shd w:val="clear" w:color="auto" w:fill="FFFFFF"/>
        </w:rPr>
        <w:t>)</w:t>
      </w:r>
    </w:p>
    <w:p w:rsidR="00C45B46" w:rsidRDefault="00D750B8" w:rsidP="00536FD0">
      <w:pPr>
        <w:spacing w:line="240" w:lineRule="auto"/>
        <w:jc w:val="both"/>
        <w:rPr>
          <w:rFonts w:ascii="Times New Roman" w:hAnsi="Times New Roman" w:cs="Times New Roman"/>
          <w:b/>
          <w:color w:val="1A1A1A"/>
          <w:sz w:val="24"/>
          <w:szCs w:val="24"/>
          <w:shd w:val="clear" w:color="auto" w:fill="FFFFFF"/>
        </w:rPr>
      </w:pPr>
      <w:r>
        <w:rPr>
          <w:rFonts w:ascii="Times New Roman" w:hAnsi="Times New Roman" w:cs="Times New Roman"/>
          <w:b/>
          <w:color w:val="1A1A1A"/>
          <w:sz w:val="24"/>
          <w:szCs w:val="24"/>
          <w:shd w:val="clear" w:color="auto" w:fill="FFFFFF"/>
        </w:rPr>
        <w:t>La “danza de los billones” y el “baile de los enanos” (</w:t>
      </w:r>
      <w:r w:rsidR="004D3C6C">
        <w:rPr>
          <w:rFonts w:ascii="Times New Roman" w:hAnsi="Times New Roman" w:cs="Times New Roman"/>
          <w:b/>
          <w:color w:val="1A1A1A"/>
          <w:sz w:val="24"/>
          <w:szCs w:val="24"/>
          <w:shd w:val="clear" w:color="auto" w:fill="FFFFFF"/>
        </w:rPr>
        <w:t>la ruta del dinero durante</w:t>
      </w:r>
      <w:r w:rsidR="00C45B46" w:rsidRPr="00D750B8">
        <w:rPr>
          <w:rFonts w:ascii="Times New Roman" w:hAnsi="Times New Roman" w:cs="Times New Roman"/>
          <w:b/>
          <w:color w:val="1A1A1A"/>
          <w:sz w:val="24"/>
          <w:szCs w:val="24"/>
          <w:shd w:val="clear" w:color="auto" w:fill="FFFFFF"/>
        </w:rPr>
        <w:t xml:space="preserve"> la </w:t>
      </w:r>
      <w:r w:rsidR="004D3C6C">
        <w:rPr>
          <w:rFonts w:ascii="Times New Roman" w:hAnsi="Times New Roman" w:cs="Times New Roman"/>
          <w:b/>
          <w:color w:val="1A1A1A"/>
          <w:sz w:val="24"/>
          <w:szCs w:val="24"/>
          <w:shd w:val="clear" w:color="auto" w:fill="FFFFFF"/>
        </w:rPr>
        <w:t xml:space="preserve">primera parte de </w:t>
      </w:r>
      <w:r w:rsidR="00C45B46" w:rsidRPr="00D750B8">
        <w:rPr>
          <w:rFonts w:ascii="Times New Roman" w:hAnsi="Times New Roman" w:cs="Times New Roman"/>
          <w:b/>
          <w:color w:val="1A1A1A"/>
          <w:sz w:val="24"/>
          <w:szCs w:val="24"/>
          <w:shd w:val="clear" w:color="auto" w:fill="FFFFFF"/>
        </w:rPr>
        <w:t>crisis del Covid-19</w:t>
      </w:r>
      <w:r w:rsidR="00571FBF">
        <w:rPr>
          <w:rFonts w:ascii="Times New Roman" w:hAnsi="Times New Roman" w:cs="Times New Roman"/>
          <w:b/>
          <w:color w:val="1A1A1A"/>
          <w:sz w:val="24"/>
          <w:szCs w:val="24"/>
          <w:shd w:val="clear" w:color="auto" w:fill="FFFFFF"/>
        </w:rPr>
        <w:t xml:space="preserve"> (</w:t>
      </w:r>
      <w:r w:rsidR="004D3C6C">
        <w:rPr>
          <w:rFonts w:ascii="Times New Roman" w:hAnsi="Times New Roman" w:cs="Times New Roman"/>
          <w:b/>
          <w:color w:val="1A1A1A"/>
          <w:sz w:val="24"/>
          <w:szCs w:val="24"/>
          <w:shd w:val="clear" w:color="auto" w:fill="FFFFFF"/>
        </w:rPr>
        <w:t>Marzo 2020 a Octubre 2021</w:t>
      </w:r>
      <w:r>
        <w:rPr>
          <w:rFonts w:ascii="Times New Roman" w:hAnsi="Times New Roman" w:cs="Times New Roman"/>
          <w:b/>
          <w:color w:val="1A1A1A"/>
          <w:sz w:val="24"/>
          <w:szCs w:val="24"/>
          <w:shd w:val="clear" w:color="auto" w:fill="FFFFFF"/>
        </w:rPr>
        <w:t xml:space="preserve">) </w:t>
      </w:r>
    </w:p>
    <w:p w:rsidR="00D750B8" w:rsidRPr="00D750B8" w:rsidRDefault="00D750B8" w:rsidP="00536FD0">
      <w:pPr>
        <w:spacing w:line="240" w:lineRule="auto"/>
        <w:jc w:val="both"/>
        <w:rPr>
          <w:rFonts w:ascii="Times New Roman" w:hAnsi="Times New Roman" w:cs="Times New Roman"/>
          <w:color w:val="FF0000"/>
          <w:sz w:val="24"/>
          <w:szCs w:val="24"/>
        </w:rPr>
      </w:pPr>
      <w:r>
        <w:rPr>
          <w:rFonts w:ascii="Times New Roman" w:hAnsi="Times New Roman" w:cs="Times New Roman"/>
          <w:b/>
          <w:color w:val="1A1A1A"/>
          <w:sz w:val="24"/>
          <w:szCs w:val="24"/>
          <w:shd w:val="clear" w:color="auto" w:fill="FFFFFF"/>
        </w:rPr>
        <w:t xml:space="preserve">- </w:t>
      </w:r>
      <w:r w:rsidRPr="00D750B8">
        <w:rPr>
          <w:rFonts w:ascii="Times New Roman" w:hAnsi="Times New Roman" w:cs="Times New Roman"/>
          <w:color w:val="1A1A1A"/>
          <w:sz w:val="24"/>
          <w:szCs w:val="24"/>
          <w:u w:val="single"/>
          <w:shd w:val="clear" w:color="auto" w:fill="FFFFFF"/>
        </w:rPr>
        <w:t>El Banco Central Europeo (BCE) anuncia por sorpresa un plan de compras de 750.000 millones de euros</w:t>
      </w:r>
      <w:r>
        <w:rPr>
          <w:rFonts w:ascii="Times New Roman" w:hAnsi="Times New Roman" w:cs="Times New Roman"/>
          <w:color w:val="1A1A1A"/>
          <w:sz w:val="24"/>
          <w:szCs w:val="24"/>
          <w:shd w:val="clear" w:color="auto" w:fill="FFFFFF"/>
        </w:rPr>
        <w:t xml:space="preserve"> (</w:t>
      </w:r>
      <w:r>
        <w:rPr>
          <w:rFonts w:ascii="Times New Roman" w:hAnsi="Times New Roman" w:cs="Times New Roman"/>
          <w:sz w:val="24"/>
          <w:szCs w:val="24"/>
        </w:rPr>
        <w:t xml:space="preserve">El Economista - </w:t>
      </w:r>
      <w:r>
        <w:rPr>
          <w:rFonts w:ascii="Times New Roman" w:hAnsi="Times New Roman" w:cs="Times New Roman"/>
          <w:b/>
          <w:sz w:val="24"/>
          <w:szCs w:val="24"/>
        </w:rPr>
        <w:t>20</w:t>
      </w:r>
      <w:r w:rsidRPr="00671378">
        <w:rPr>
          <w:rFonts w:ascii="Times New Roman" w:hAnsi="Times New Roman" w:cs="Times New Roman"/>
          <w:b/>
          <w:sz w:val="24"/>
          <w:szCs w:val="24"/>
        </w:rPr>
        <w:t>/3/20</w:t>
      </w:r>
      <w:r>
        <w:rPr>
          <w:rFonts w:ascii="Times New Roman" w:hAnsi="Times New Roman" w:cs="Times New Roman"/>
          <w:b/>
          <w:sz w:val="24"/>
          <w:szCs w:val="24"/>
        </w:rPr>
        <w:t>)</w:t>
      </w:r>
    </w:p>
    <w:p w:rsidR="00C45B46" w:rsidRDefault="00D750B8" w:rsidP="00C45B46">
      <w:pPr>
        <w:spacing w:line="240" w:lineRule="auto"/>
        <w:jc w:val="both"/>
        <w:rPr>
          <w:rFonts w:ascii="Times New Roman" w:hAnsi="Times New Roman" w:cs="Times New Roman"/>
          <w:b/>
          <w:sz w:val="24"/>
          <w:szCs w:val="24"/>
        </w:rPr>
      </w:pPr>
      <w:r>
        <w:t xml:space="preserve">- </w:t>
      </w:r>
      <w:r w:rsidR="004A0AB9">
        <w:rPr>
          <w:rFonts w:ascii="Times New Roman" w:hAnsi="Times New Roman" w:cs="Times New Roman"/>
          <w:sz w:val="24"/>
          <w:szCs w:val="24"/>
          <w:u w:val="single"/>
        </w:rPr>
        <w:t>EE</w:t>
      </w:r>
      <w:r w:rsidR="00C45B46" w:rsidRPr="00102303">
        <w:rPr>
          <w:rFonts w:ascii="Times New Roman" w:hAnsi="Times New Roman" w:cs="Times New Roman"/>
          <w:sz w:val="24"/>
          <w:szCs w:val="24"/>
          <w:u w:val="single"/>
        </w:rPr>
        <w:t>UU y Europa movilizan 6 billones de euros para combatir el impacto económico del virus</w:t>
      </w:r>
      <w:r w:rsidR="00C45B46">
        <w:rPr>
          <w:rFonts w:ascii="Times New Roman" w:hAnsi="Times New Roman" w:cs="Times New Roman"/>
          <w:sz w:val="24"/>
          <w:szCs w:val="24"/>
          <w:u w:val="single"/>
        </w:rPr>
        <w:t xml:space="preserve"> </w:t>
      </w:r>
      <w:r w:rsidR="00C45B46" w:rsidRPr="00102303">
        <w:rPr>
          <w:rFonts w:ascii="Times New Roman" w:hAnsi="Times New Roman" w:cs="Times New Roman"/>
          <w:b/>
          <w:sz w:val="24"/>
          <w:szCs w:val="24"/>
        </w:rPr>
        <w:t>(26/3/20)</w:t>
      </w:r>
    </w:p>
    <w:p w:rsidR="00D750B8" w:rsidRPr="00D750B8" w:rsidRDefault="00C45B46" w:rsidP="00C45B46">
      <w:pPr>
        <w:spacing w:line="240" w:lineRule="auto"/>
        <w:jc w:val="both"/>
        <w:rPr>
          <w:rFonts w:ascii="Times New Roman" w:hAnsi="Times New Roman" w:cs="Times New Roman"/>
          <w:sz w:val="24"/>
          <w:szCs w:val="24"/>
        </w:rPr>
      </w:pPr>
      <w:r w:rsidRPr="00D750B8">
        <w:rPr>
          <w:rFonts w:ascii="Times New Roman" w:hAnsi="Times New Roman" w:cs="Times New Roman"/>
          <w:sz w:val="24"/>
          <w:szCs w:val="24"/>
        </w:rPr>
        <w:t xml:space="preserve">Gobiernos y bancos centrales de las grandes economías del mundo han declarado la guerra al impacto económico del coronavirus Covid-19. En la respuesta más rápida y contundente que se haya visto nunca ante una crisis económica, han movilizado en poco más de dos semanas alrededor de 6 billones de euros. </w:t>
      </w:r>
    </w:p>
    <w:p w:rsidR="00C45B46" w:rsidRPr="00D750B8" w:rsidRDefault="00C45B46" w:rsidP="00C45B46">
      <w:pPr>
        <w:spacing w:line="240" w:lineRule="auto"/>
        <w:jc w:val="both"/>
        <w:rPr>
          <w:rFonts w:ascii="Times New Roman" w:hAnsi="Times New Roman" w:cs="Times New Roman"/>
          <w:sz w:val="24"/>
          <w:szCs w:val="24"/>
        </w:rPr>
      </w:pPr>
      <w:r w:rsidRPr="00D750B8">
        <w:rPr>
          <w:rFonts w:ascii="Times New Roman" w:hAnsi="Times New Roman" w:cs="Times New Roman"/>
          <w:sz w:val="24"/>
          <w:szCs w:val="24"/>
        </w:rPr>
        <w:t>El BCE asegura haber ofrecido financiación por 3 billones en respuesta al coronavirus y la Fed ha suministrado liquidez multimillonaria en dólares a todos los bancos centrales, además de retirar cualquier limitación a las compras de deuda. Con sus estímulos, la cuantía de las ayudas supera ampliamente los 10 billones de euros…</w:t>
      </w:r>
    </w:p>
    <w:p w:rsidR="00C45B46" w:rsidRPr="004956B9" w:rsidRDefault="00C45B46" w:rsidP="00C45B4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956B9">
        <w:rPr>
          <w:rFonts w:ascii="Times New Roman" w:hAnsi="Times New Roman" w:cs="Times New Roman"/>
          <w:sz w:val="24"/>
          <w:szCs w:val="24"/>
          <w:u w:val="single"/>
        </w:rPr>
        <w:t>El FMI da por hecho que “estamos ante una crisis nunca vista antes en la historia”</w:t>
      </w:r>
      <w:r>
        <w:rPr>
          <w:rFonts w:ascii="Times New Roman" w:hAnsi="Times New Roman" w:cs="Times New Roman"/>
          <w:sz w:val="24"/>
          <w:szCs w:val="24"/>
        </w:rPr>
        <w:t xml:space="preserve"> (Cinco Días - </w:t>
      </w:r>
      <w:r>
        <w:rPr>
          <w:rFonts w:ascii="Times New Roman" w:hAnsi="Times New Roman" w:cs="Times New Roman"/>
          <w:b/>
          <w:sz w:val="24"/>
          <w:szCs w:val="24"/>
        </w:rPr>
        <w:t>3</w:t>
      </w:r>
      <w:r w:rsidRPr="004956B9">
        <w:rPr>
          <w:rFonts w:ascii="Times New Roman" w:hAnsi="Times New Roman" w:cs="Times New Roman"/>
          <w:b/>
          <w:sz w:val="24"/>
          <w:szCs w:val="24"/>
        </w:rPr>
        <w:t>/4/20</w:t>
      </w:r>
      <w:r>
        <w:rPr>
          <w:rFonts w:ascii="Times New Roman" w:hAnsi="Times New Roman" w:cs="Times New Roman"/>
          <w:sz w:val="24"/>
          <w:szCs w:val="24"/>
        </w:rPr>
        <w:t>)</w:t>
      </w:r>
    </w:p>
    <w:p w:rsidR="00C45B46" w:rsidRPr="00D750B8" w:rsidRDefault="00C45B46" w:rsidP="00C45B46">
      <w:pPr>
        <w:spacing w:line="240" w:lineRule="auto"/>
        <w:jc w:val="both"/>
        <w:rPr>
          <w:rFonts w:ascii="Times New Roman" w:hAnsi="Times New Roman" w:cs="Times New Roman"/>
          <w:sz w:val="24"/>
          <w:szCs w:val="24"/>
        </w:rPr>
      </w:pPr>
      <w:r w:rsidRPr="00D750B8">
        <w:rPr>
          <w:rFonts w:ascii="Times New Roman" w:hAnsi="Times New Roman" w:cs="Times New Roman"/>
          <w:sz w:val="24"/>
          <w:szCs w:val="24"/>
        </w:rPr>
        <w:t xml:space="preserve">La directora gerente del Fondo Monetario Internacional (FMI), Kristalina Georgieva, subrayó este viernes que el mundo se enfrenta a “una crisis nunca antes vista en la historia”, y destacó </w:t>
      </w:r>
      <w:r w:rsidRPr="00D750B8">
        <w:rPr>
          <w:rFonts w:ascii="Times New Roman" w:hAnsi="Times New Roman" w:cs="Times New Roman"/>
          <w:sz w:val="24"/>
          <w:szCs w:val="24"/>
        </w:rPr>
        <w:lastRenderedPageBreak/>
        <w:t>que su organización movilizará su reserva de emergencias para préstamos, de un billón de dólares, para afrontarla.</w:t>
      </w:r>
    </w:p>
    <w:p w:rsidR="00C45B46" w:rsidRPr="00D750B8" w:rsidRDefault="00C45B46" w:rsidP="00C45B46">
      <w:pPr>
        <w:spacing w:line="240" w:lineRule="auto"/>
        <w:jc w:val="both"/>
        <w:rPr>
          <w:rFonts w:ascii="Times New Roman" w:hAnsi="Times New Roman" w:cs="Times New Roman"/>
          <w:sz w:val="24"/>
          <w:szCs w:val="24"/>
        </w:rPr>
      </w:pPr>
      <w:r w:rsidRPr="00D750B8">
        <w:rPr>
          <w:rFonts w:ascii="Times New Roman" w:hAnsi="Times New Roman" w:cs="Times New Roman"/>
          <w:sz w:val="24"/>
          <w:szCs w:val="24"/>
        </w:rPr>
        <w:t>“Tenemos una reserva para emergencias de un billón de dólares y estamos decididos a usar toda la que haga falta para proteger de las cicatrices que causará esta crisis”, destacó la economista búlgara en una rueda de prensa junto al director general de la Organización Mundial de la Salud (OMS), Tedros Adhanom Ghebreyesus…</w:t>
      </w:r>
    </w:p>
    <w:p w:rsidR="00C45B46" w:rsidRDefault="00C45B46" w:rsidP="00C45B4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A170A">
        <w:rPr>
          <w:rFonts w:ascii="Times New Roman" w:hAnsi="Times New Roman" w:cs="Times New Roman"/>
          <w:sz w:val="24"/>
          <w:szCs w:val="24"/>
          <w:u w:val="single"/>
        </w:rPr>
        <w:t>Los bancos centrales duplicarán sus balances en la crisis del coronavirus</w:t>
      </w:r>
      <w:r>
        <w:rPr>
          <w:rFonts w:ascii="Times New Roman" w:hAnsi="Times New Roman" w:cs="Times New Roman"/>
          <w:sz w:val="24"/>
          <w:szCs w:val="24"/>
        </w:rPr>
        <w:t xml:space="preserve"> (Expansión - </w:t>
      </w:r>
      <w:r w:rsidRPr="00FA170A">
        <w:rPr>
          <w:rFonts w:ascii="Times New Roman" w:hAnsi="Times New Roman" w:cs="Times New Roman"/>
          <w:b/>
          <w:sz w:val="24"/>
          <w:szCs w:val="24"/>
        </w:rPr>
        <w:t>7/4/20</w:t>
      </w:r>
      <w:r>
        <w:rPr>
          <w:rFonts w:ascii="Times New Roman" w:hAnsi="Times New Roman" w:cs="Times New Roman"/>
          <w:sz w:val="24"/>
          <w:szCs w:val="24"/>
        </w:rPr>
        <w:t>)</w:t>
      </w:r>
    </w:p>
    <w:p w:rsidR="00C45B46" w:rsidRPr="00D750B8" w:rsidRDefault="00C45B46" w:rsidP="00C45B46">
      <w:pPr>
        <w:spacing w:line="240" w:lineRule="auto"/>
        <w:jc w:val="both"/>
        <w:rPr>
          <w:rFonts w:ascii="Times New Roman" w:hAnsi="Times New Roman" w:cs="Times New Roman"/>
          <w:sz w:val="24"/>
          <w:szCs w:val="24"/>
        </w:rPr>
      </w:pPr>
      <w:r w:rsidRPr="00D750B8">
        <w:rPr>
          <w:rFonts w:ascii="Times New Roman" w:hAnsi="Times New Roman" w:cs="Times New Roman"/>
          <w:sz w:val="24"/>
          <w:szCs w:val="24"/>
        </w:rPr>
        <w:t>Avalancha de estímulos sin precedentes. El BCE y la Fed mantendrán activos por más de ocho billones cada uno.</w:t>
      </w:r>
    </w:p>
    <w:p w:rsidR="00C45B46" w:rsidRPr="00D750B8" w:rsidRDefault="00C45B46" w:rsidP="00C45B46">
      <w:pPr>
        <w:spacing w:line="240" w:lineRule="auto"/>
        <w:jc w:val="both"/>
        <w:rPr>
          <w:rFonts w:ascii="Times New Roman" w:hAnsi="Times New Roman" w:cs="Times New Roman"/>
          <w:sz w:val="24"/>
          <w:szCs w:val="24"/>
        </w:rPr>
      </w:pPr>
      <w:r w:rsidRPr="00D750B8">
        <w:rPr>
          <w:rFonts w:ascii="Times New Roman" w:hAnsi="Times New Roman" w:cs="Times New Roman"/>
          <w:sz w:val="24"/>
          <w:szCs w:val="24"/>
        </w:rPr>
        <w:t>Contra el virus, billones. No previenen los contagios, pero tratarán de evitar impagos en el mercado de deuda para contribuir a la recuperación posterior, una vez que la crisis sanitaria haya remitido. Ese es el plan de los grandes bancos centrales, que han puesto sobre la mesa el mayor programa de estímulos de la historia de la política monetaria.</w:t>
      </w:r>
    </w:p>
    <w:p w:rsidR="00C45B46" w:rsidRPr="00D750B8" w:rsidRDefault="00C45B46" w:rsidP="00C45B46">
      <w:pPr>
        <w:spacing w:line="240" w:lineRule="auto"/>
        <w:jc w:val="both"/>
        <w:rPr>
          <w:rFonts w:ascii="Times New Roman" w:hAnsi="Times New Roman" w:cs="Times New Roman"/>
          <w:sz w:val="24"/>
          <w:szCs w:val="24"/>
        </w:rPr>
      </w:pPr>
      <w:r w:rsidRPr="00D750B8">
        <w:rPr>
          <w:rFonts w:ascii="Times New Roman" w:hAnsi="Times New Roman" w:cs="Times New Roman"/>
          <w:sz w:val="24"/>
          <w:szCs w:val="24"/>
        </w:rPr>
        <w:t>El Banco Central Europeo (BCE) y la Reserva Federal de Estados Unidos (Fed) duplicarán sus balances a lo largo del año hasta los 8,77 billones de euros y los 8,2 billones de dólares (7,59 millones de euros), respectivamente, desde los 4,66 billones de euros y 4,17 millones de dólares (alrededor de 3,86 millones de euros) que presentaban al comienzo de 2020. Es el reflejo de la maquinaria con la que tratarán combatir el impacto económico del virus. En un año, las dos grandes autoridades monetarias casi duplicarán sus balances…</w:t>
      </w:r>
    </w:p>
    <w:p w:rsidR="00C45B46" w:rsidRPr="00D750B8" w:rsidRDefault="00C45B46" w:rsidP="00C45B46">
      <w:pPr>
        <w:spacing w:line="240" w:lineRule="auto"/>
        <w:jc w:val="both"/>
        <w:rPr>
          <w:rFonts w:ascii="Times New Roman" w:hAnsi="Times New Roman" w:cs="Times New Roman"/>
          <w:sz w:val="24"/>
          <w:szCs w:val="24"/>
        </w:rPr>
      </w:pPr>
      <w:r w:rsidRPr="00D750B8">
        <w:rPr>
          <w:rFonts w:ascii="Times New Roman" w:hAnsi="Times New Roman" w:cs="Times New Roman"/>
          <w:sz w:val="24"/>
          <w:szCs w:val="24"/>
        </w:rPr>
        <w:t>De momento, con las medidas puestas en marcha, el balance del BCE se sitúa en los 5,06 billones de euros.</w:t>
      </w:r>
    </w:p>
    <w:p w:rsidR="00C45B46" w:rsidRPr="00D750B8" w:rsidRDefault="00C45B46" w:rsidP="00C45B46">
      <w:pPr>
        <w:spacing w:line="240" w:lineRule="auto"/>
        <w:jc w:val="both"/>
        <w:rPr>
          <w:rFonts w:ascii="Times New Roman" w:hAnsi="Times New Roman" w:cs="Times New Roman"/>
          <w:sz w:val="24"/>
          <w:szCs w:val="24"/>
        </w:rPr>
      </w:pPr>
      <w:r w:rsidRPr="00D750B8">
        <w:rPr>
          <w:rFonts w:ascii="Times New Roman" w:hAnsi="Times New Roman" w:cs="Times New Roman"/>
          <w:sz w:val="24"/>
          <w:szCs w:val="24"/>
        </w:rPr>
        <w:t>Por su parte, la institución que lidera Jerome Powell ha anunciado que llevará su programa de compra de deuda a su máxima expresión, con adquisiciones sin límite durante el tiempo que sea necesario.</w:t>
      </w:r>
    </w:p>
    <w:p w:rsidR="00C45B46" w:rsidRPr="00D750B8" w:rsidRDefault="00C45B46" w:rsidP="00C45B46">
      <w:pPr>
        <w:spacing w:line="240" w:lineRule="auto"/>
        <w:jc w:val="both"/>
        <w:rPr>
          <w:rFonts w:ascii="Times New Roman" w:hAnsi="Times New Roman" w:cs="Times New Roman"/>
          <w:sz w:val="24"/>
          <w:szCs w:val="24"/>
        </w:rPr>
      </w:pPr>
      <w:r w:rsidRPr="00D750B8">
        <w:rPr>
          <w:rFonts w:ascii="Times New Roman" w:hAnsi="Times New Roman" w:cs="Times New Roman"/>
          <w:sz w:val="24"/>
          <w:szCs w:val="24"/>
        </w:rPr>
        <w:t>Además, la Fed ha aprobado un aluvión de nuevos programas de préstamos por un total de 300.000 millones de dólares con el propósito de dar apoyo a los más afectados por la paralización de la economía. Entre otros, ofertará préstamos a estudiantes, créditos al consumo y a pequeñas empresas. También adquirirá bonos de grandes compañías a las que concederá préstamos puente a cuatro años.</w:t>
      </w:r>
    </w:p>
    <w:p w:rsidR="00C45B46" w:rsidRPr="00D750B8" w:rsidRDefault="00C45B46" w:rsidP="00C45B46">
      <w:pPr>
        <w:spacing w:line="240" w:lineRule="auto"/>
        <w:jc w:val="both"/>
        <w:rPr>
          <w:rFonts w:ascii="Times New Roman" w:hAnsi="Times New Roman" w:cs="Times New Roman"/>
          <w:sz w:val="24"/>
          <w:szCs w:val="24"/>
        </w:rPr>
      </w:pPr>
      <w:r w:rsidRPr="00D750B8">
        <w:rPr>
          <w:rFonts w:ascii="Times New Roman" w:hAnsi="Times New Roman" w:cs="Times New Roman"/>
          <w:sz w:val="24"/>
          <w:szCs w:val="24"/>
        </w:rPr>
        <w:t>Por las compras ilimitadas, resulta especialmente difícil predecir la evolución del balance de la Fed. Sin embargo, Steven Mnuchin, secretario del Tesoro de Estados Unidos, valoró la intervención de la autoridad monetaria en cuatro billones de dólares a la hora de cuantificar la intervención de seis billones de dólares que movilizará el país, ya que dos billones proceden de la política fiscal. Por el momento, el balance de la Fed ha escalado hasta los 5,81 billones de dólares…</w:t>
      </w:r>
    </w:p>
    <w:p w:rsidR="00C45B46" w:rsidRPr="00393AD3" w:rsidRDefault="00C45B46" w:rsidP="00C45B46">
      <w:pPr>
        <w:pStyle w:val="NormalWeb"/>
        <w:spacing w:after="0"/>
        <w:jc w:val="both"/>
        <w:textAlignment w:val="baseline"/>
      </w:pPr>
      <w:r>
        <w:t xml:space="preserve">- </w:t>
      </w:r>
      <w:r w:rsidRPr="00393AD3">
        <w:rPr>
          <w:u w:val="single"/>
        </w:rPr>
        <w:t>El Covid-19 es la ruina: la deuda supondrá el 342% del PIB mundial este año</w:t>
      </w:r>
      <w:r>
        <w:t xml:space="preserve"> (El Confidencial - </w:t>
      </w:r>
      <w:r w:rsidRPr="00393AD3">
        <w:rPr>
          <w:b/>
        </w:rPr>
        <w:t>8/4/20</w:t>
      </w:r>
      <w:r>
        <w:t>)</w:t>
      </w:r>
    </w:p>
    <w:p w:rsidR="00C45B46" w:rsidRPr="00D750B8" w:rsidRDefault="00C45B46" w:rsidP="00C45B46">
      <w:pPr>
        <w:pStyle w:val="NormalWeb"/>
        <w:shd w:val="clear" w:color="auto" w:fill="FFFFFF"/>
        <w:spacing w:before="0" w:beforeAutospacing="0" w:after="0" w:afterAutospacing="0"/>
        <w:jc w:val="both"/>
        <w:textAlignment w:val="baseline"/>
      </w:pPr>
      <w:r w:rsidRPr="00D750B8">
        <w:t>La pandemia del Covid-19 continúa pulverizando todos los registros. Ahora ha vuelto a ser la </w:t>
      </w:r>
      <w:r w:rsidRPr="00D750B8">
        <w:rPr>
          <w:rStyle w:val="Textoennegrita"/>
          <w:b w:val="0"/>
          <w:bdr w:val="none" w:sz="0" w:space="0" w:color="auto" w:frame="1"/>
        </w:rPr>
        <w:t>patronal bancaria mundial</w:t>
      </w:r>
      <w:r w:rsidRPr="00D750B8">
        <w:t> quien ha llamado la atención sobre el enorme </w:t>
      </w:r>
      <w:hyperlink r:id="rId375" w:history="1">
        <w:r w:rsidRPr="00D750B8">
          <w:rPr>
            <w:rStyle w:val="Hipervnculo"/>
            <w:bCs/>
            <w:color w:val="auto"/>
            <w:u w:val="none"/>
          </w:rPr>
          <w:t>aumento de la deuda</w:t>
        </w:r>
      </w:hyperlink>
      <w:r w:rsidRPr="00D750B8">
        <w:t xml:space="preserve"> en el conjunto de la economía global en marzo. En concreto, el endeudamiento, solo de </w:t>
      </w:r>
      <w:r w:rsidRPr="00D750B8">
        <w:lastRenderedPageBreak/>
        <w:t>los Estados, se ha disparado hasta los 2,1 billones de dólares, una cifra que el propio </w:t>
      </w:r>
      <w:r w:rsidRPr="00D750B8">
        <w:rPr>
          <w:rStyle w:val="Textoennegrita"/>
          <w:b w:val="0"/>
          <w:bdr w:val="none" w:sz="0" w:space="0" w:color="auto" w:frame="1"/>
        </w:rPr>
        <w:t>Instituto de Finanzas Internacionales</w:t>
      </w:r>
      <w:r w:rsidRPr="00D750B8">
        <w:t> (IIF, por sus siglas en inglés) califica de “récord”…</w:t>
      </w:r>
    </w:p>
    <w:p w:rsidR="00C45B46" w:rsidRPr="00D750B8" w:rsidRDefault="00C45B46" w:rsidP="00C45B46">
      <w:pPr>
        <w:pStyle w:val="NormalWeb"/>
        <w:shd w:val="clear" w:color="auto" w:fill="FFFFFF"/>
        <w:spacing w:before="0" w:beforeAutospacing="0" w:after="0" w:afterAutospacing="0"/>
        <w:jc w:val="both"/>
        <w:textAlignment w:val="baseline"/>
      </w:pPr>
    </w:p>
    <w:p w:rsidR="00C45B46" w:rsidRPr="00D750B8" w:rsidRDefault="00C45B46" w:rsidP="00C45B46">
      <w:pPr>
        <w:pStyle w:val="NormalWeb"/>
        <w:shd w:val="clear" w:color="auto" w:fill="FFFFFF"/>
        <w:spacing w:before="0" w:beforeAutospacing="0" w:after="0" w:afterAutospacing="0"/>
        <w:jc w:val="both"/>
        <w:textAlignment w:val="baseline"/>
      </w:pPr>
      <w:r w:rsidRPr="00D750B8">
        <w:t>Ahora bien, si se incluyen las </w:t>
      </w:r>
      <w:hyperlink r:id="rId376" w:history="1">
        <w:r w:rsidRPr="00D750B8">
          <w:rPr>
            <w:rStyle w:val="Hipervnculo"/>
            <w:bCs/>
            <w:color w:val="auto"/>
            <w:u w:val="none"/>
          </w:rPr>
          <w:t>deudas</w:t>
        </w:r>
      </w:hyperlink>
      <w:r w:rsidRPr="00D750B8">
        <w:t> que han contraído las empresas y los particulares, se estaría hablando de 3,2 billones (</w:t>
      </w:r>
      <w:r w:rsidRPr="00D750B8">
        <w:rPr>
          <w:rStyle w:val="Textoennegrita"/>
          <w:b w:val="0"/>
          <w:bdr w:val="none" w:sz="0" w:space="0" w:color="auto" w:frame="1"/>
        </w:rPr>
        <w:t>2,9 billones de euros</w:t>
      </w:r>
      <w:r w:rsidRPr="00D750B8">
        <w:t>). Es decir, cerca de dos veces y media el PIB de España.</w:t>
      </w:r>
    </w:p>
    <w:p w:rsidR="00C45B46" w:rsidRPr="00D750B8" w:rsidRDefault="00C45B46" w:rsidP="00C45B46">
      <w:pPr>
        <w:pStyle w:val="NormalWeb"/>
        <w:shd w:val="clear" w:color="auto" w:fill="FFFFFF"/>
        <w:spacing w:before="0" w:beforeAutospacing="0" w:after="0" w:afterAutospacing="0"/>
        <w:jc w:val="both"/>
        <w:textAlignment w:val="baseline"/>
      </w:pPr>
    </w:p>
    <w:p w:rsidR="00C45B46" w:rsidRPr="00D750B8" w:rsidRDefault="00C45B46" w:rsidP="00C45B46">
      <w:pPr>
        <w:pStyle w:val="NormalWeb"/>
        <w:shd w:val="clear" w:color="auto" w:fill="FFFFFF"/>
        <w:spacing w:before="0" w:beforeAutospacing="0" w:after="0" w:afterAutospacing="0"/>
        <w:jc w:val="both"/>
        <w:textAlignment w:val="baseline"/>
      </w:pPr>
      <w:r w:rsidRPr="00D750B8">
        <w:t>Para hacerse una idea de lo que significa aquella cifra -y en ese momento todavía no se habían materializado los gigantescos planes de estímulo que </w:t>
      </w:r>
      <w:hyperlink r:id="rId377" w:history="1">
        <w:r w:rsidRPr="00D750B8">
          <w:rPr>
            <w:rStyle w:val="Hipervnculo"/>
            <w:bCs/>
            <w:color w:val="auto"/>
            <w:u w:val="none"/>
          </w:rPr>
          <w:t>han anunciado</w:t>
        </w:r>
      </w:hyperlink>
      <w:r w:rsidRPr="00D750B8">
        <w:t> los gobiernos en las última semanas, hay que tener en cuenta que representa más del doble del promedio registrado entre 2017 y 2019, que fue equivalente a 0,9 billones de dólares…</w:t>
      </w:r>
    </w:p>
    <w:p w:rsidR="00C45B46" w:rsidRPr="00D750B8" w:rsidRDefault="00C45B46" w:rsidP="00C45B46">
      <w:pPr>
        <w:pStyle w:val="NormalWeb"/>
        <w:shd w:val="clear" w:color="auto" w:fill="FFFFFF"/>
        <w:spacing w:before="0" w:beforeAutospacing="0" w:after="0" w:afterAutospacing="0"/>
        <w:jc w:val="both"/>
        <w:textAlignment w:val="baseline"/>
      </w:pPr>
    </w:p>
    <w:p w:rsidR="00C45B46" w:rsidRPr="00D750B8" w:rsidRDefault="00C45B46" w:rsidP="00C45B46">
      <w:pPr>
        <w:pStyle w:val="NormalWeb"/>
        <w:shd w:val="clear" w:color="auto" w:fill="FFFFFF"/>
        <w:spacing w:before="0" w:beforeAutospacing="0" w:after="0" w:afterAutospacing="0"/>
        <w:jc w:val="both"/>
        <w:textAlignment w:val="baseline"/>
      </w:pPr>
      <w:r w:rsidRPr="00D750B8">
        <w:t>El órgano que reúne a los banqueros del planeta destaca, en el sentido negativo, dentro de las economías avanzadas a seis países, </w:t>
      </w:r>
      <w:r w:rsidRPr="00D750B8">
        <w:rPr>
          <w:rStyle w:val="Textoennegrita"/>
          <w:b w:val="0"/>
          <w:bdr w:val="none" w:sz="0" w:space="0" w:color="auto" w:frame="1"/>
        </w:rPr>
        <w:t>España, Reino Unido, Japón, Francia, Italia y EEUU</w:t>
      </w:r>
      <w:r w:rsidRPr="00D750B8">
        <w:t>, que han visto crecer su deuda en más de 40 puntos de PIB desde la última gran crisis.</w:t>
      </w:r>
    </w:p>
    <w:p w:rsidR="00C45B46" w:rsidRPr="00D750B8" w:rsidRDefault="00C45B46" w:rsidP="00C45B46">
      <w:pPr>
        <w:pStyle w:val="NormalWeb"/>
        <w:shd w:val="clear" w:color="auto" w:fill="FFFFFF"/>
        <w:spacing w:before="0" w:beforeAutospacing="0" w:after="0" w:afterAutospacing="0"/>
        <w:jc w:val="both"/>
        <w:textAlignment w:val="baseline"/>
      </w:pPr>
    </w:p>
    <w:p w:rsidR="00C45B46" w:rsidRPr="00D750B8" w:rsidRDefault="00C45B46" w:rsidP="00C45B46">
      <w:pPr>
        <w:pStyle w:val="NormalWeb"/>
        <w:shd w:val="clear" w:color="auto" w:fill="FFFFFF"/>
        <w:spacing w:before="0" w:beforeAutospacing="0" w:after="0" w:afterAutospacing="0"/>
        <w:jc w:val="both"/>
        <w:textAlignment w:val="baseline"/>
      </w:pPr>
      <w:r w:rsidRPr="00D750B8">
        <w:t>A partir de estos datos, los banqueros han hecho una </w:t>
      </w:r>
      <w:hyperlink r:id="rId378" w:history="1">
        <w:r w:rsidRPr="00D750B8">
          <w:rPr>
            <w:rStyle w:val="Hipervnculo"/>
            <w:bCs/>
            <w:color w:val="auto"/>
            <w:u w:val="none"/>
          </w:rPr>
          <w:t>proyección</w:t>
        </w:r>
      </w:hyperlink>
      <w:r w:rsidRPr="00D750B8">
        <w:t> y estiman que, si se mantiene este ritmo a lo largo del año 2020, y teniendo en cuenta que el PIB del planeta puede caer un 3% en términos nominales, una estimación moderada respecto a otros informes, la </w:t>
      </w:r>
      <w:r w:rsidRPr="00D750B8">
        <w:rPr>
          <w:rStyle w:val="Textoennegrita"/>
          <w:b w:val="0"/>
          <w:bdr w:val="none" w:sz="0" w:space="0" w:color="auto" w:frame="1"/>
        </w:rPr>
        <w:t>deuda global</w:t>
      </w:r>
      <w:r w:rsidRPr="00D750B8">
        <w:t> pasará de representar un 322% del producto interior bruto a un 342%. No hace falta decir que se trata de niveles jamás alcanzados…</w:t>
      </w:r>
    </w:p>
    <w:p w:rsidR="00C45B46" w:rsidRDefault="00C45B46" w:rsidP="00C45B46">
      <w:pPr>
        <w:pStyle w:val="NormalWeb"/>
        <w:spacing w:after="0"/>
        <w:jc w:val="both"/>
        <w:textAlignment w:val="baseline"/>
      </w:pPr>
      <w:r>
        <w:t xml:space="preserve">- </w:t>
      </w:r>
      <w:r w:rsidRPr="00E36244">
        <w:rPr>
          <w:u w:val="single"/>
        </w:rPr>
        <w:t>El Eurogrupo alcanza un acuerdo y desbloquea más de 500.000 millones contra el coronavirus</w:t>
      </w:r>
      <w:r>
        <w:t xml:space="preserve"> (Cinco Días - </w:t>
      </w:r>
      <w:r>
        <w:rPr>
          <w:b/>
        </w:rPr>
        <w:t>9</w:t>
      </w:r>
      <w:r w:rsidRPr="00E36244">
        <w:rPr>
          <w:b/>
        </w:rPr>
        <w:t>/4/20</w:t>
      </w:r>
      <w:r>
        <w:t>)</w:t>
      </w:r>
      <w:r w:rsidRPr="00E36244">
        <w:t xml:space="preserve"> </w:t>
      </w:r>
    </w:p>
    <w:p w:rsidR="00C45B46" w:rsidRPr="00D750B8" w:rsidRDefault="00C45B46" w:rsidP="00C45B46">
      <w:pPr>
        <w:pStyle w:val="NormalWeb"/>
        <w:shd w:val="clear" w:color="auto" w:fill="FFFFFF"/>
        <w:spacing w:before="0" w:beforeAutospacing="0" w:after="0" w:afterAutospacing="0"/>
        <w:jc w:val="both"/>
        <w:textAlignment w:val="baseline"/>
      </w:pPr>
      <w:r w:rsidRPr="00D750B8">
        <w:t>A la quinta va la vencida. El Eurogrupo, los ministros de Economía y Finanzas de la zona euro, ha alcanzado a última hora del jueves un acuerdo de mínimos para desbloquear más de 500.000 millones de euros en la lucha contra el coronavirus…</w:t>
      </w:r>
    </w:p>
    <w:p w:rsidR="00C45B46" w:rsidRDefault="00C45B46" w:rsidP="00C45B46">
      <w:pPr>
        <w:pStyle w:val="NormalWeb"/>
        <w:spacing w:after="0"/>
        <w:jc w:val="both"/>
        <w:textAlignment w:val="baseline"/>
      </w:pPr>
      <w:r>
        <w:t xml:space="preserve">- </w:t>
      </w:r>
      <w:r w:rsidRPr="00E36244">
        <w:rPr>
          <w:u w:val="single"/>
        </w:rPr>
        <w:t>El FMI estima en 7,4 billones la respuesta fiscal mundial a la recesión global</w:t>
      </w:r>
      <w:r>
        <w:t xml:space="preserve"> (Cinco Días - </w:t>
      </w:r>
      <w:r w:rsidRPr="00E36244">
        <w:rPr>
          <w:b/>
        </w:rPr>
        <w:t>9/4/20</w:t>
      </w:r>
      <w:r>
        <w:t>)</w:t>
      </w:r>
    </w:p>
    <w:p w:rsidR="00C45B46" w:rsidRPr="004D3C6C" w:rsidRDefault="00C45B46" w:rsidP="00C45B46">
      <w:pPr>
        <w:pStyle w:val="NormalWeb"/>
        <w:spacing w:after="0"/>
        <w:jc w:val="both"/>
        <w:textAlignment w:val="baseline"/>
      </w:pPr>
      <w:r w:rsidRPr="004D3C6C">
        <w:t>El mundo ha movilizado ya ocho billones de dólares (7,4 billones de euros) en ayudas fiscales y cuantiosos estímulos monetarios para afrontar la crisis económica que acompaña a la pandemia del coronavirus Covid-19, según ha estimado este viernes el Fondo Monetario Internacional (FMI) que alerta de que el planeta encara una recesión global, con las consecuencias más graves desde la Gran Depresión.</w:t>
      </w:r>
    </w:p>
    <w:p w:rsidR="00C45B46" w:rsidRPr="004D3C6C" w:rsidRDefault="00C45B46" w:rsidP="00C45B46">
      <w:pPr>
        <w:pStyle w:val="NormalWeb"/>
        <w:spacing w:after="0"/>
        <w:jc w:val="both"/>
        <w:textAlignment w:val="baseline"/>
      </w:pPr>
      <w:r w:rsidRPr="004D3C6C">
        <w:t>Así lo ha expuesto este viernes la directora gerente del FMI, Kristalina Georgieva, en un discurso titulado “Enfrentando la crisis: prioridades para la economía global” en el que ha recordado que el fondo dispone de un billón de dólares (0,92 billones de euros) en préstamos a disposición de los países afectados…</w:t>
      </w:r>
    </w:p>
    <w:p w:rsidR="00C45B46" w:rsidRDefault="00C45B46" w:rsidP="00C45B4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E4969">
        <w:rPr>
          <w:rFonts w:ascii="Times New Roman" w:hAnsi="Times New Roman" w:cs="Times New Roman"/>
          <w:sz w:val="24"/>
          <w:szCs w:val="24"/>
          <w:u w:val="single"/>
        </w:rPr>
        <w:t>La desglobalización entorpece el rescate fiscal de 10 billones de dólares a la economía mundial por el coronavirus</w:t>
      </w:r>
      <w:r>
        <w:rPr>
          <w:rFonts w:ascii="Times New Roman" w:hAnsi="Times New Roman" w:cs="Times New Roman"/>
          <w:sz w:val="24"/>
          <w:szCs w:val="24"/>
        </w:rPr>
        <w:t xml:space="preserve"> (El Economista - </w:t>
      </w:r>
      <w:r w:rsidRPr="001E4969">
        <w:rPr>
          <w:rFonts w:ascii="Times New Roman" w:hAnsi="Times New Roman" w:cs="Times New Roman"/>
          <w:b/>
          <w:sz w:val="24"/>
          <w:szCs w:val="24"/>
        </w:rPr>
        <w:t>6/5/20</w:t>
      </w:r>
      <w:r w:rsidR="004D3C6C">
        <w:rPr>
          <w:rFonts w:ascii="Times New Roman" w:hAnsi="Times New Roman" w:cs="Times New Roman"/>
          <w:sz w:val="24"/>
          <w:szCs w:val="24"/>
        </w:rPr>
        <w:t>)</w:t>
      </w:r>
    </w:p>
    <w:p w:rsidR="00C45B46" w:rsidRPr="004D3C6C" w:rsidRDefault="00C45B46" w:rsidP="00C45B46">
      <w:pPr>
        <w:spacing w:line="240" w:lineRule="auto"/>
        <w:jc w:val="both"/>
        <w:rPr>
          <w:rFonts w:ascii="Times New Roman" w:hAnsi="Times New Roman" w:cs="Times New Roman"/>
          <w:sz w:val="24"/>
          <w:szCs w:val="24"/>
        </w:rPr>
      </w:pPr>
      <w:r w:rsidRPr="004D3C6C">
        <w:rPr>
          <w:rFonts w:ascii="Times New Roman" w:hAnsi="Times New Roman" w:cs="Times New Roman"/>
          <w:sz w:val="24"/>
          <w:szCs w:val="24"/>
        </w:rPr>
        <w:t xml:space="preserve">A mediados de abril, el Fondo Monetario Internacional aseguraba que los países del G-20 habían activado ya alrededor de 8 billones de dólares en medidas fiscales para enfrentar la peor crisis económica desde la Gran Depresión. La pandemia del coronavirus ha paralizado la </w:t>
      </w:r>
      <w:r w:rsidRPr="004D3C6C">
        <w:rPr>
          <w:rFonts w:ascii="Times New Roman" w:hAnsi="Times New Roman" w:cs="Times New Roman"/>
          <w:sz w:val="24"/>
          <w:szCs w:val="24"/>
        </w:rPr>
        <w:lastRenderedPageBreak/>
        <w:t>actividad mundial, destruido empleo a un ritmo voraz y todavía se continúa calculando cuál será la factura final a medida que se intenta recuperar una nueva normalidad.</w:t>
      </w:r>
    </w:p>
    <w:p w:rsidR="00C45B46" w:rsidRPr="004D3C6C" w:rsidRDefault="00C45B46" w:rsidP="00C45B46">
      <w:pPr>
        <w:spacing w:line="240" w:lineRule="auto"/>
        <w:jc w:val="both"/>
        <w:rPr>
          <w:rFonts w:ascii="Times New Roman" w:hAnsi="Times New Roman" w:cs="Times New Roman"/>
          <w:sz w:val="24"/>
          <w:szCs w:val="24"/>
        </w:rPr>
      </w:pPr>
      <w:r w:rsidRPr="004D3C6C">
        <w:rPr>
          <w:rFonts w:ascii="Times New Roman" w:hAnsi="Times New Roman" w:cs="Times New Roman"/>
          <w:sz w:val="24"/>
          <w:szCs w:val="24"/>
        </w:rPr>
        <w:t>Desde que el FMI diera a conocer sus estimaciones, el Congreso de EEUU aprobó otro plan por valor de casi medio billón de dólares al tiempo que continúa en estos momentos debatiendo otra remesa de ayudas que podrían sumar hasta otro billón de dólares en estímulos. En todo el mundo se estima ya que el rescate fiscal asciende ya a los 10 billones de dólares, según el semanario Barron´s y el Consejo de Relaciones Exteriores (CFR, por sus siglas en inglés)…</w:t>
      </w:r>
    </w:p>
    <w:p w:rsidR="00C45B46" w:rsidRPr="00536F20" w:rsidRDefault="00C45B46" w:rsidP="00C45B46">
      <w:pPr>
        <w:spacing w:line="240" w:lineRule="auto"/>
        <w:jc w:val="both"/>
        <w:rPr>
          <w:rFonts w:ascii="Times New Roman" w:hAnsi="Times New Roman" w:cs="Times New Roman"/>
          <w:sz w:val="24"/>
          <w:szCs w:val="24"/>
          <w:shd w:val="clear" w:color="auto" w:fill="FFFFFF"/>
        </w:rPr>
      </w:pPr>
      <w:r w:rsidRPr="00DD5436">
        <w:rPr>
          <w:rFonts w:ascii="Times New Roman" w:hAnsi="Times New Roman" w:cs="Times New Roman"/>
          <w:sz w:val="24"/>
          <w:szCs w:val="24"/>
          <w:shd w:val="clear" w:color="auto" w:fill="FFFFFF"/>
        </w:rPr>
        <w:t xml:space="preserve">- </w:t>
      </w:r>
      <w:r w:rsidRPr="00DD5436">
        <w:rPr>
          <w:rFonts w:ascii="Times New Roman" w:hAnsi="Times New Roman" w:cs="Times New Roman"/>
          <w:sz w:val="24"/>
          <w:szCs w:val="24"/>
          <w:u w:val="single"/>
          <w:shd w:val="clear" w:color="auto" w:fill="FFFFFF"/>
        </w:rPr>
        <w:t>El mercado empuja a la Fed y al Banco de Inglaterra hacia los tipos negativos</w:t>
      </w:r>
      <w:r>
        <w:rPr>
          <w:rFonts w:ascii="Times New Roman" w:hAnsi="Times New Roman" w:cs="Times New Roman"/>
          <w:sz w:val="24"/>
          <w:szCs w:val="24"/>
          <w:shd w:val="clear" w:color="auto" w:fill="FFFFFF"/>
        </w:rPr>
        <w:t xml:space="preserve"> </w:t>
      </w:r>
      <w:r w:rsidRPr="00DD5436">
        <w:rPr>
          <w:rFonts w:ascii="Times New Roman" w:hAnsi="Times New Roman" w:cs="Times New Roman"/>
          <w:sz w:val="24"/>
          <w:szCs w:val="24"/>
          <w:shd w:val="clear" w:color="auto" w:fill="FFFFFF"/>
        </w:rPr>
        <w:t xml:space="preserve">(Cinco Días - </w:t>
      </w:r>
      <w:r w:rsidRPr="00DD5436">
        <w:rPr>
          <w:rFonts w:ascii="Times New Roman" w:hAnsi="Times New Roman" w:cs="Times New Roman"/>
          <w:b/>
          <w:sz w:val="24"/>
          <w:szCs w:val="24"/>
          <w:shd w:val="clear" w:color="auto" w:fill="FFFFFF"/>
        </w:rPr>
        <w:t>27/5/20</w:t>
      </w:r>
      <w:r w:rsidRPr="00DD5436">
        <w:rPr>
          <w:rFonts w:ascii="Times New Roman" w:hAnsi="Times New Roman" w:cs="Times New Roman"/>
          <w:sz w:val="24"/>
          <w:szCs w:val="24"/>
          <w:shd w:val="clear" w:color="auto" w:fill="FFFFFF"/>
        </w:rPr>
        <w:t>)</w:t>
      </w:r>
    </w:p>
    <w:p w:rsidR="00C45B46" w:rsidRPr="004D3C6C" w:rsidRDefault="00C45B46" w:rsidP="00C45B46">
      <w:pPr>
        <w:spacing w:line="240" w:lineRule="auto"/>
        <w:jc w:val="both"/>
        <w:rPr>
          <w:rFonts w:ascii="Times New Roman" w:hAnsi="Times New Roman" w:cs="Times New Roman"/>
          <w:sz w:val="24"/>
          <w:szCs w:val="24"/>
          <w:shd w:val="clear" w:color="auto" w:fill="FFFFFF"/>
        </w:rPr>
      </w:pPr>
      <w:r w:rsidRPr="004D3C6C">
        <w:rPr>
          <w:rFonts w:ascii="Times New Roman" w:hAnsi="Times New Roman" w:cs="Times New Roman"/>
          <w:sz w:val="24"/>
          <w:szCs w:val="24"/>
          <w:shd w:val="clear" w:color="auto" w:fill="FFFFFF"/>
        </w:rPr>
        <w:t>El mercado está empujando a la deuda soberana de Estados Unidos y Reino Unido hacia un terreno desconocido al que la Reserva Federal y el Banco de Inglaterra se resisten. Los rendimientos están cayendo en picado, no solo ante las drásticas rebajas de tipos de interés con las que se respondió en marzo al impacto económico de la pandemia y que han dejado el precio del dinero al cero en Estados Unidos y al 0,1% en Reino Unido, sino ante la gravedad de una crisis que avanza a pasos agigantados…</w:t>
      </w:r>
    </w:p>
    <w:p w:rsidR="00C45B46" w:rsidRPr="006A754D" w:rsidRDefault="00C45B46" w:rsidP="00C45B46">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6A754D">
        <w:rPr>
          <w:rFonts w:ascii="Times New Roman" w:hAnsi="Times New Roman" w:cs="Times New Roman"/>
          <w:sz w:val="24"/>
          <w:szCs w:val="24"/>
          <w:u w:val="single"/>
          <w:shd w:val="clear" w:color="auto" w:fill="FFFFFF"/>
        </w:rPr>
        <w:t>Bruselas propone un presupuesto de 1,85 billones, de los que 750.000 millones irían a la reconstrucción poscovid</w:t>
      </w:r>
      <w:r>
        <w:rPr>
          <w:rFonts w:ascii="Times New Roman" w:hAnsi="Times New Roman" w:cs="Times New Roman"/>
          <w:sz w:val="24"/>
          <w:szCs w:val="24"/>
          <w:shd w:val="clear" w:color="auto" w:fill="FFFFFF"/>
        </w:rPr>
        <w:t xml:space="preserve"> (Cinco Días - </w:t>
      </w:r>
      <w:r w:rsidRPr="006A754D">
        <w:rPr>
          <w:rFonts w:ascii="Times New Roman" w:hAnsi="Times New Roman" w:cs="Times New Roman"/>
          <w:b/>
          <w:sz w:val="24"/>
          <w:szCs w:val="24"/>
          <w:shd w:val="clear" w:color="auto" w:fill="FFFFFF"/>
        </w:rPr>
        <w:t>27/5/20</w:t>
      </w:r>
      <w:r>
        <w:rPr>
          <w:rFonts w:ascii="Times New Roman" w:hAnsi="Times New Roman" w:cs="Times New Roman"/>
          <w:sz w:val="24"/>
          <w:szCs w:val="24"/>
          <w:shd w:val="clear" w:color="auto" w:fill="FFFFFF"/>
        </w:rPr>
        <w:t>)</w:t>
      </w:r>
    </w:p>
    <w:p w:rsidR="00C45B46" w:rsidRPr="004D3C6C" w:rsidRDefault="00C45B46" w:rsidP="00C45B46">
      <w:pPr>
        <w:spacing w:line="240" w:lineRule="auto"/>
        <w:jc w:val="both"/>
        <w:rPr>
          <w:rFonts w:ascii="Times New Roman" w:hAnsi="Times New Roman" w:cs="Times New Roman"/>
          <w:sz w:val="24"/>
          <w:szCs w:val="24"/>
          <w:shd w:val="clear" w:color="auto" w:fill="FFFFFF"/>
        </w:rPr>
      </w:pPr>
      <w:r w:rsidRPr="004D3C6C">
        <w:rPr>
          <w:rFonts w:ascii="Times New Roman" w:hAnsi="Times New Roman" w:cs="Times New Roman"/>
          <w:sz w:val="24"/>
          <w:szCs w:val="24"/>
          <w:shd w:val="clear" w:color="auto" w:fill="FFFFFF"/>
        </w:rPr>
        <w:t>La Comisión Europea ha desvelado este miércoles el ansiado borrador del plan de recuperación económica de la UE para los próximos años, basado en la emisión de bonos europeos para su financiación y canalizado a los gobiernos europeos mediante un híbrido de transferencias directas y préstamos reembolsables. La propuesta de Bruselas para el fondo de reconstrucción alcanza la cifra total de 750.000 millones de euros en dos años. De ellos, la mayoría son transferencias directas (500.000 millones) que se repartirían en base a la incidencia de la pandemia en cada región, situando a España como uno de los miembros más beneficiados por las ayudas. Los 250.000 millones restantes corresponden a préstamos reembolsables. El fondo, por su parte, se incluye en la propuesta de presupuesto comunitario para el marco 2021-2027, que Bruselas eleva en su borrador a los 1,85 billones de euros en total…</w:t>
      </w:r>
    </w:p>
    <w:p w:rsidR="00C45B46" w:rsidRDefault="00C45B46" w:rsidP="00C45B46">
      <w:pPr>
        <w:pStyle w:val="Estndar"/>
        <w:jc w:val="both"/>
        <w:rPr>
          <w:color w:val="auto"/>
        </w:rPr>
      </w:pPr>
      <w:r>
        <w:rPr>
          <w:color w:val="auto"/>
        </w:rPr>
        <w:t xml:space="preserve">- </w:t>
      </w:r>
      <w:r w:rsidRPr="00002114">
        <w:rPr>
          <w:color w:val="auto"/>
          <w:u w:val="single"/>
        </w:rPr>
        <w:t>Un tsunami de liquidez de más de 15 billones de dólares impulsará a las bolsas, según JPMorgan</w:t>
      </w:r>
      <w:r>
        <w:rPr>
          <w:color w:val="auto"/>
        </w:rPr>
        <w:t xml:space="preserve"> (El Economista - </w:t>
      </w:r>
      <w:r w:rsidRPr="00002114">
        <w:rPr>
          <w:b/>
          <w:color w:val="auto"/>
        </w:rPr>
        <w:t>7/6/20</w:t>
      </w:r>
      <w:r>
        <w:rPr>
          <w:color w:val="auto"/>
        </w:rPr>
        <w:t>)</w:t>
      </w:r>
    </w:p>
    <w:p w:rsidR="00C45B46" w:rsidRPr="00002114" w:rsidRDefault="00C45B46" w:rsidP="00C45B46">
      <w:pPr>
        <w:pStyle w:val="Estndar"/>
        <w:jc w:val="both"/>
        <w:rPr>
          <w:color w:val="auto"/>
        </w:rPr>
      </w:pPr>
    </w:p>
    <w:p w:rsidR="00C45B46" w:rsidRPr="004D3C6C" w:rsidRDefault="00C45B46" w:rsidP="00C45B46">
      <w:pPr>
        <w:pStyle w:val="Estndar"/>
        <w:jc w:val="both"/>
        <w:rPr>
          <w:color w:val="auto"/>
        </w:rPr>
      </w:pPr>
      <w:r w:rsidRPr="004D3C6C">
        <w:rPr>
          <w:color w:val="auto"/>
        </w:rPr>
        <w:t>Al igual que ocurrió con la crisis financiera de 2008 y el colapso de Lehman Brothers, la pandemia del Covid-19 ha desencadenado un aumento gradual en la cantidad de deuda en el sistema financiero. La necesidad de reemplazar los ingresos perdidos induce a un mayor apalancamiento tanto por parte del sector público como el privado, donde se incluyen los hogares y las empresas no financieras.</w:t>
      </w:r>
    </w:p>
    <w:p w:rsidR="00C45B46" w:rsidRPr="004D3C6C" w:rsidRDefault="00C45B46" w:rsidP="00C45B46">
      <w:pPr>
        <w:pStyle w:val="Estndar"/>
        <w:jc w:val="both"/>
        <w:rPr>
          <w:color w:val="auto"/>
        </w:rPr>
      </w:pPr>
    </w:p>
    <w:p w:rsidR="00C45B46" w:rsidRPr="004D3C6C" w:rsidRDefault="00C45B46" w:rsidP="00C45B46">
      <w:pPr>
        <w:pStyle w:val="Estndar"/>
        <w:jc w:val="both"/>
        <w:rPr>
          <w:color w:val="auto"/>
        </w:rPr>
      </w:pPr>
      <w:r w:rsidRPr="004D3C6C">
        <w:rPr>
          <w:color w:val="auto"/>
        </w:rPr>
        <w:t>Según señala el analista de JPMorgan Nikolaos Panigirtzoglou, en un informe distribuido entre sus clientes, este año se sumarán un total de 16 billones de dólares en deuda adicional si se incluye la generada tanto por el sector privado como el público. Asumiendo que el PIB se contraerá en un 5% este año, la relación entre la deuda total y el PIB mundial ascenderá en alrededor de 35 puntos porcentuales hasta el 278% del PIB a fines de 2020.</w:t>
      </w:r>
    </w:p>
    <w:p w:rsidR="00C45B46" w:rsidRPr="004D3C6C" w:rsidRDefault="00C45B46" w:rsidP="00C45B46">
      <w:pPr>
        <w:pStyle w:val="Estndar"/>
        <w:jc w:val="both"/>
        <w:rPr>
          <w:color w:val="auto"/>
        </w:rPr>
      </w:pPr>
    </w:p>
    <w:p w:rsidR="00C45B46" w:rsidRPr="004D3C6C" w:rsidRDefault="00C45B46" w:rsidP="00C45B46">
      <w:pPr>
        <w:pStyle w:val="Estndar"/>
        <w:jc w:val="both"/>
        <w:rPr>
          <w:color w:val="auto"/>
        </w:rPr>
      </w:pPr>
      <w:r w:rsidRPr="004D3C6C">
        <w:rPr>
          <w:color w:val="auto"/>
        </w:rPr>
        <w:lastRenderedPageBreak/>
        <w:t>“Este aumento en el endeudamiento global es aún mayor que el aumento del 20% del PIB observado en el año posterior a la crisis de Lehman”</w:t>
      </w:r>
      <w:r w:rsidR="004D3C6C">
        <w:rPr>
          <w:color w:val="auto"/>
        </w:rPr>
        <w:t>,</w:t>
      </w:r>
      <w:r w:rsidRPr="004D3C6C">
        <w:rPr>
          <w:color w:val="auto"/>
        </w:rPr>
        <w:t xml:space="preserve"> indica Panigirtzoglou, quien considera que esto tendrá distintas implicaciones…</w:t>
      </w:r>
    </w:p>
    <w:p w:rsidR="00C45B46" w:rsidRPr="004D3C6C" w:rsidRDefault="00C45B46" w:rsidP="00C45B46">
      <w:pPr>
        <w:pStyle w:val="Estndar"/>
        <w:jc w:val="both"/>
        <w:rPr>
          <w:color w:val="auto"/>
        </w:rPr>
      </w:pPr>
    </w:p>
    <w:p w:rsidR="00C45B46" w:rsidRPr="004D3C6C" w:rsidRDefault="00C45B46" w:rsidP="00C45B46">
      <w:pPr>
        <w:pStyle w:val="Estndar"/>
        <w:jc w:val="both"/>
        <w:rPr>
          <w:color w:val="auto"/>
        </w:rPr>
      </w:pPr>
      <w:r w:rsidRPr="004D3C6C">
        <w:rPr>
          <w:color w:val="auto"/>
        </w:rPr>
        <w:t>“Dado que la creación de deuda y el QE continuarán siendo más fuertes de lo normal hasta 2021, creemos que la creación total de dinero o liquidez podría superar los 15 billones de dólares a nivel mundial a mediados del próximo año”, asegura…</w:t>
      </w:r>
    </w:p>
    <w:p w:rsidR="00C45B46" w:rsidRDefault="00C45B46" w:rsidP="00C45B46">
      <w:pPr>
        <w:pStyle w:val="Estndar"/>
        <w:jc w:val="both"/>
        <w:rPr>
          <w:b/>
          <w:color w:val="FF0000"/>
          <w:u w:val="single"/>
        </w:rPr>
      </w:pPr>
    </w:p>
    <w:p w:rsidR="00C45B46" w:rsidRPr="0064575B" w:rsidRDefault="00C45B46" w:rsidP="00C45B4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4575B">
        <w:rPr>
          <w:rFonts w:ascii="Times New Roman" w:hAnsi="Times New Roman" w:cs="Times New Roman"/>
          <w:sz w:val="24"/>
          <w:szCs w:val="24"/>
        </w:rPr>
        <w:t>¿</w:t>
      </w:r>
      <w:r w:rsidRPr="002E0696">
        <w:rPr>
          <w:rFonts w:ascii="Times New Roman" w:hAnsi="Times New Roman" w:cs="Times New Roman"/>
          <w:sz w:val="24"/>
          <w:szCs w:val="24"/>
          <w:u w:val="single"/>
        </w:rPr>
        <w:t>Qué ha cambiado con 2008? En unas semanas se ha logrado lo que en la anterior crisis llevó años</w:t>
      </w:r>
      <w:r>
        <w:rPr>
          <w:rFonts w:ascii="Times New Roman" w:hAnsi="Times New Roman" w:cs="Times New Roman"/>
          <w:sz w:val="24"/>
          <w:szCs w:val="24"/>
        </w:rPr>
        <w:t xml:space="preserve"> (El Economista - </w:t>
      </w:r>
      <w:r w:rsidRPr="002E0696">
        <w:rPr>
          <w:rFonts w:ascii="Times New Roman" w:hAnsi="Times New Roman" w:cs="Times New Roman"/>
          <w:b/>
          <w:sz w:val="24"/>
          <w:szCs w:val="24"/>
        </w:rPr>
        <w:t>8/6/20</w:t>
      </w:r>
      <w:r>
        <w:rPr>
          <w:rFonts w:ascii="Times New Roman" w:hAnsi="Times New Roman" w:cs="Times New Roman"/>
          <w:sz w:val="24"/>
          <w:szCs w:val="24"/>
        </w:rPr>
        <w:t>)</w:t>
      </w:r>
    </w:p>
    <w:p w:rsidR="00C45B46" w:rsidRPr="004D3C6C" w:rsidRDefault="00C45B46" w:rsidP="00C45B46">
      <w:pPr>
        <w:spacing w:line="240" w:lineRule="auto"/>
        <w:jc w:val="both"/>
        <w:rPr>
          <w:rFonts w:ascii="Times New Roman" w:hAnsi="Times New Roman" w:cs="Times New Roman"/>
          <w:sz w:val="24"/>
          <w:szCs w:val="24"/>
        </w:rPr>
      </w:pPr>
      <w:r w:rsidRPr="004D3C6C">
        <w:rPr>
          <w:rFonts w:ascii="Times New Roman" w:hAnsi="Times New Roman" w:cs="Times New Roman"/>
          <w:sz w:val="24"/>
          <w:szCs w:val="24"/>
        </w:rPr>
        <w:t>Teniendo en cuenta los movimientos del Banco Central Europeo, el Banco de Japón, el de Inglaterra, Canadá y la Reserva Federal de EEUU, se espera que las medidas diseñadas para proporcionar crédito al sector privado (no financiero) durante la pandemia del Covid-19 incrementen los balances de los bancos centrales en un 6,3% del PIB de media, frente al 2,5% de la GFC. Hasta ahora, los préstamos de liquidez de emergencia a los bancos, que representan la función tradicional de prestamista de último recurso de los bancos centrales, han sido en menor escala que durante el GFC…</w:t>
      </w:r>
    </w:p>
    <w:p w:rsidR="00C45B46" w:rsidRPr="004D3C6C" w:rsidRDefault="00C45B46" w:rsidP="00C45B46">
      <w:pPr>
        <w:spacing w:line="240" w:lineRule="auto"/>
        <w:jc w:val="both"/>
        <w:rPr>
          <w:rFonts w:ascii="Times New Roman" w:hAnsi="Times New Roman" w:cs="Times New Roman"/>
          <w:sz w:val="24"/>
          <w:szCs w:val="24"/>
        </w:rPr>
      </w:pPr>
      <w:r w:rsidRPr="004D3C6C">
        <w:rPr>
          <w:rFonts w:ascii="Times New Roman" w:hAnsi="Times New Roman" w:cs="Times New Roman"/>
          <w:sz w:val="24"/>
          <w:szCs w:val="24"/>
        </w:rPr>
        <w:t xml:space="preserve">Por ahora, los balances de los bancos centrales han aumentado de media en un 10% del PIB durante los primeros tres meses de la crisis. </w:t>
      </w:r>
      <w:r w:rsidR="004D3C6C">
        <w:rPr>
          <w:rFonts w:ascii="Times New Roman" w:hAnsi="Times New Roman" w:cs="Times New Roman"/>
          <w:sz w:val="24"/>
          <w:szCs w:val="24"/>
        </w:rPr>
        <w:t>“</w:t>
      </w:r>
      <w:r w:rsidRPr="004D3C6C">
        <w:rPr>
          <w:rFonts w:ascii="Times New Roman" w:hAnsi="Times New Roman" w:cs="Times New Roman"/>
          <w:sz w:val="24"/>
          <w:szCs w:val="24"/>
        </w:rPr>
        <w:t>Los escenarios razonables implican un aumento general de entre el 15 y el 23% d</w:t>
      </w:r>
      <w:r w:rsidR="004D3C6C">
        <w:rPr>
          <w:rFonts w:ascii="Times New Roman" w:hAnsi="Times New Roman" w:cs="Times New Roman"/>
          <w:sz w:val="24"/>
          <w:szCs w:val="24"/>
        </w:rPr>
        <w:t>el PIB antes de finales de 2020”</w:t>
      </w:r>
      <w:r w:rsidRPr="004D3C6C">
        <w:rPr>
          <w:rFonts w:ascii="Times New Roman" w:hAnsi="Times New Roman" w:cs="Times New Roman"/>
          <w:sz w:val="24"/>
          <w:szCs w:val="24"/>
        </w:rPr>
        <w:t>, sentencian los expertos del BiS</w:t>
      </w:r>
      <w:r w:rsidR="008B7751">
        <w:rPr>
          <w:rFonts w:ascii="Times New Roman" w:hAnsi="Times New Roman" w:cs="Times New Roman"/>
          <w:sz w:val="24"/>
          <w:szCs w:val="24"/>
        </w:rPr>
        <w:t>…</w:t>
      </w:r>
    </w:p>
    <w:p w:rsidR="00C45B46" w:rsidRPr="00BD371B" w:rsidRDefault="00C45B46" w:rsidP="00C45B4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A34A5">
        <w:rPr>
          <w:rFonts w:ascii="Times New Roman" w:hAnsi="Times New Roman" w:cs="Times New Roman"/>
          <w:sz w:val="24"/>
          <w:szCs w:val="24"/>
          <w:u w:val="single"/>
        </w:rPr>
        <w:t>Quién pagará la colosal factura fiscal que deja el coronavirus?: 30 billones de dólares</w:t>
      </w:r>
      <w:r>
        <w:rPr>
          <w:rFonts w:ascii="Times New Roman" w:hAnsi="Times New Roman" w:cs="Times New Roman"/>
          <w:sz w:val="24"/>
          <w:szCs w:val="24"/>
        </w:rPr>
        <w:t xml:space="preserve"> (Libertad Digital - </w:t>
      </w:r>
      <w:r w:rsidRPr="008A34A5">
        <w:rPr>
          <w:rFonts w:ascii="Times New Roman" w:hAnsi="Times New Roman" w:cs="Times New Roman"/>
          <w:b/>
          <w:sz w:val="24"/>
          <w:szCs w:val="24"/>
        </w:rPr>
        <w:t>21/6/20</w:t>
      </w:r>
      <w:r>
        <w:rPr>
          <w:rFonts w:ascii="Times New Roman" w:hAnsi="Times New Roman" w:cs="Times New Roman"/>
          <w:sz w:val="24"/>
          <w:szCs w:val="24"/>
        </w:rPr>
        <w:t>)</w:t>
      </w:r>
    </w:p>
    <w:p w:rsidR="00C45B46" w:rsidRPr="004D3C6C" w:rsidRDefault="00C45B46" w:rsidP="00C45B46">
      <w:pPr>
        <w:spacing w:line="240" w:lineRule="auto"/>
        <w:jc w:val="both"/>
        <w:rPr>
          <w:rFonts w:ascii="Times New Roman" w:hAnsi="Times New Roman" w:cs="Times New Roman"/>
          <w:sz w:val="24"/>
          <w:szCs w:val="24"/>
        </w:rPr>
      </w:pPr>
      <w:r w:rsidRPr="004D3C6C">
        <w:rPr>
          <w:rFonts w:ascii="Times New Roman" w:hAnsi="Times New Roman" w:cs="Times New Roman"/>
          <w:sz w:val="24"/>
          <w:szCs w:val="24"/>
        </w:rPr>
        <w:t>Los gobiernos tendrán que recortar de forma drástica el gasto y/o subir impuestos de forma masiva para reequilibrar sus cuentas públicas.</w:t>
      </w:r>
    </w:p>
    <w:p w:rsidR="00C45B46" w:rsidRPr="004D3C6C" w:rsidRDefault="00C45B46" w:rsidP="00C45B46">
      <w:pPr>
        <w:shd w:val="clear" w:color="auto" w:fill="FFFFFF"/>
        <w:spacing w:after="0" w:line="240" w:lineRule="auto"/>
        <w:jc w:val="both"/>
        <w:textAlignment w:val="baseline"/>
        <w:rPr>
          <w:rFonts w:ascii="Times New Roman" w:eastAsia="Times New Roman" w:hAnsi="Times New Roman" w:cs="Times New Roman"/>
          <w:sz w:val="24"/>
          <w:szCs w:val="24"/>
        </w:rPr>
      </w:pPr>
      <w:r w:rsidRPr="004D3C6C">
        <w:rPr>
          <w:rFonts w:ascii="Times New Roman" w:eastAsia="Times New Roman" w:hAnsi="Times New Roman" w:cs="Times New Roman"/>
          <w:sz w:val="24"/>
          <w:szCs w:val="24"/>
        </w:rPr>
        <w:t>Ahora que la </w:t>
      </w:r>
      <w:r w:rsidRPr="004D3C6C">
        <w:rPr>
          <w:rFonts w:ascii="Times New Roman" w:eastAsia="Times New Roman" w:hAnsi="Times New Roman" w:cs="Times New Roman"/>
          <w:bCs/>
          <w:sz w:val="24"/>
          <w:szCs w:val="24"/>
          <w:bdr w:val="none" w:sz="0" w:space="0" w:color="auto" w:frame="1"/>
        </w:rPr>
        <w:t>primera oleada del coronavirus</w:t>
      </w:r>
      <w:r w:rsidRPr="004D3C6C">
        <w:rPr>
          <w:rFonts w:ascii="Times New Roman" w:eastAsia="Times New Roman" w:hAnsi="Times New Roman" w:cs="Times New Roman"/>
          <w:sz w:val="24"/>
          <w:szCs w:val="24"/>
        </w:rPr>
        <w:t> parece estar llegando a su fin en la mayoría de los países ricos, empiezan a emerger los efectos económicos y fiscales que deja tras de sí la pandemia. A la histórica recesión que registrará el mundo en 2020, la mayor desde la II Guerra Mundial, se sumará una </w:t>
      </w:r>
      <w:r w:rsidRPr="004D3C6C">
        <w:rPr>
          <w:rFonts w:ascii="Times New Roman" w:eastAsia="Times New Roman" w:hAnsi="Times New Roman" w:cs="Times New Roman"/>
          <w:bCs/>
          <w:sz w:val="24"/>
          <w:szCs w:val="24"/>
          <w:bdr w:val="none" w:sz="0" w:space="0" w:color="auto" w:frame="1"/>
        </w:rPr>
        <w:t>colosal factura fiscal </w:t>
      </w:r>
      <w:r w:rsidRPr="004D3C6C">
        <w:rPr>
          <w:rFonts w:ascii="Times New Roman" w:eastAsia="Times New Roman" w:hAnsi="Times New Roman" w:cs="Times New Roman"/>
          <w:sz w:val="24"/>
          <w:szCs w:val="24"/>
        </w:rPr>
        <w:t>en forma de déficit y deuda, cuya financiación corre el riesgo de llevarse por delante la solvencia de varios estados.</w:t>
      </w:r>
    </w:p>
    <w:p w:rsidR="00C45B46" w:rsidRPr="004D3C6C" w:rsidRDefault="00C45B46" w:rsidP="00C45B46">
      <w:pPr>
        <w:shd w:val="clear" w:color="auto" w:fill="FFFFFF"/>
        <w:spacing w:after="0" w:line="240" w:lineRule="auto"/>
        <w:jc w:val="both"/>
        <w:textAlignment w:val="baseline"/>
        <w:rPr>
          <w:rFonts w:ascii="Times New Roman" w:eastAsia="Times New Roman" w:hAnsi="Times New Roman" w:cs="Times New Roman"/>
          <w:sz w:val="24"/>
          <w:szCs w:val="24"/>
        </w:rPr>
      </w:pPr>
    </w:p>
    <w:p w:rsidR="00C45B46" w:rsidRPr="004D3C6C" w:rsidRDefault="00C45B46" w:rsidP="00C45B46">
      <w:pPr>
        <w:shd w:val="clear" w:color="auto" w:fill="FFFFFF"/>
        <w:spacing w:after="0" w:line="240" w:lineRule="auto"/>
        <w:jc w:val="both"/>
        <w:textAlignment w:val="baseline"/>
        <w:rPr>
          <w:rFonts w:ascii="Times New Roman" w:eastAsia="Times New Roman" w:hAnsi="Times New Roman" w:cs="Times New Roman"/>
          <w:sz w:val="24"/>
          <w:szCs w:val="24"/>
        </w:rPr>
      </w:pPr>
      <w:r w:rsidRPr="004D3C6C">
        <w:rPr>
          <w:rFonts w:ascii="Times New Roman" w:eastAsia="Times New Roman" w:hAnsi="Times New Roman" w:cs="Times New Roman"/>
          <w:sz w:val="24"/>
          <w:szCs w:val="24"/>
        </w:rPr>
        <w:t>La prestigiosa consultora McKinsey estima que, a día de hoy, los gobiernos afectados acumularán un </w:t>
      </w:r>
      <w:r w:rsidRPr="004D3C6C">
        <w:rPr>
          <w:rFonts w:ascii="Times New Roman" w:eastAsia="Times New Roman" w:hAnsi="Times New Roman" w:cs="Times New Roman"/>
          <w:bCs/>
          <w:sz w:val="24"/>
          <w:szCs w:val="24"/>
          <w:bdr w:val="none" w:sz="0" w:space="0" w:color="auto" w:frame="1"/>
        </w:rPr>
        <w:t>déficit de entre 25 y 30 billones de dólares hasta 2023</w:t>
      </w:r>
      <w:r w:rsidRPr="004D3C6C">
        <w:rPr>
          <w:rFonts w:ascii="Times New Roman" w:eastAsia="Times New Roman" w:hAnsi="Times New Roman" w:cs="Times New Roman"/>
          <w:sz w:val="24"/>
          <w:szCs w:val="24"/>
        </w:rPr>
        <w:t>, equivalente al 30% del PIB global, una cifra inédita en tiempos de paz. Este desequilibrio es fruto, por un lado, del fuerte aumento que registrará el gasto público como consecuencia de los estímulos fiscales puestos en marcha para tratar de combatir la crisis económica y, por otro, de la intensa reducción de los ingresos debido, igualmente, a la recesión…</w:t>
      </w:r>
    </w:p>
    <w:p w:rsidR="00C45B46" w:rsidRPr="004D3C6C" w:rsidRDefault="00C45B46" w:rsidP="00C45B46">
      <w:pPr>
        <w:shd w:val="clear" w:color="auto" w:fill="FFFFFF"/>
        <w:spacing w:after="0" w:line="240" w:lineRule="auto"/>
        <w:jc w:val="both"/>
        <w:textAlignment w:val="baseline"/>
        <w:rPr>
          <w:rFonts w:ascii="Times New Roman" w:eastAsia="Times New Roman" w:hAnsi="Times New Roman" w:cs="Times New Roman"/>
          <w:sz w:val="24"/>
          <w:szCs w:val="24"/>
        </w:rPr>
      </w:pPr>
    </w:p>
    <w:p w:rsidR="00C45B46" w:rsidRPr="004D3C6C" w:rsidRDefault="00C45B46" w:rsidP="00C45B46">
      <w:pPr>
        <w:spacing w:line="240" w:lineRule="auto"/>
        <w:jc w:val="both"/>
        <w:rPr>
          <w:rFonts w:ascii="Times New Roman" w:hAnsi="Times New Roman" w:cs="Times New Roman"/>
          <w:sz w:val="24"/>
          <w:szCs w:val="24"/>
        </w:rPr>
      </w:pPr>
      <w:r w:rsidRPr="004D3C6C">
        <w:rPr>
          <w:rFonts w:ascii="Times New Roman" w:hAnsi="Times New Roman" w:cs="Times New Roman"/>
          <w:sz w:val="24"/>
          <w:szCs w:val="24"/>
        </w:rPr>
        <w:t>La economía global ya puede contar con que se han puesto en marcha estímulos para relanzar el crecimiento económico por un total de 16 billones (trillion) de dólares. De ellos, aproximadamente diez billones corresponden a estímulos fiscales, de los que la mitad serían, a su vez, gasto contante y sonante y la otra mitad avales, préstamos, etc.</w:t>
      </w:r>
    </w:p>
    <w:p w:rsidR="00C45B46" w:rsidRDefault="00C45B46" w:rsidP="00C45B46">
      <w:pPr>
        <w:spacing w:line="240" w:lineRule="auto"/>
        <w:jc w:val="both"/>
        <w:rPr>
          <w:rFonts w:ascii="Times New Roman" w:hAnsi="Times New Roman" w:cs="Times New Roman"/>
          <w:sz w:val="24"/>
          <w:szCs w:val="24"/>
        </w:rPr>
      </w:pPr>
      <w:r w:rsidRPr="004D3C6C">
        <w:rPr>
          <w:rFonts w:ascii="Times New Roman" w:hAnsi="Times New Roman" w:cs="Times New Roman"/>
          <w:sz w:val="24"/>
          <w:szCs w:val="24"/>
        </w:rPr>
        <w:t xml:space="preserve">Los otros seis billones son estímulos monetarios de los que cinco tienen su origen en solo tres bancos centrales: Reserva Federal de los EEUU, Banco Central Europeo y Banco de Japón. Y aún se espera que esa cifra de 16 billones de dólares siga subiendo, en parte porque EEUU ya </w:t>
      </w:r>
      <w:r w:rsidRPr="004D3C6C">
        <w:rPr>
          <w:rFonts w:ascii="Times New Roman" w:hAnsi="Times New Roman" w:cs="Times New Roman"/>
          <w:sz w:val="24"/>
          <w:szCs w:val="24"/>
        </w:rPr>
        <w:lastRenderedPageBreak/>
        <w:t>lo preanuncia y en parte porque se espera más de China que, hasta ahora, ha mostrado también… poca ambición</w:t>
      </w:r>
      <w:r w:rsidR="008B7751">
        <w:rPr>
          <w:rFonts w:ascii="Times New Roman" w:hAnsi="Times New Roman" w:cs="Times New Roman"/>
          <w:sz w:val="24"/>
          <w:szCs w:val="24"/>
        </w:rPr>
        <w:t>…</w:t>
      </w:r>
      <w:r>
        <w:rPr>
          <w:rFonts w:ascii="Times New Roman" w:hAnsi="Times New Roman" w:cs="Times New Roman"/>
          <w:color w:val="FF0000"/>
          <w:sz w:val="24"/>
          <w:szCs w:val="24"/>
        </w:rPr>
        <w:t xml:space="preserve"> </w:t>
      </w:r>
      <w:r w:rsidRPr="00356FED">
        <w:rPr>
          <w:rFonts w:ascii="Times New Roman" w:hAnsi="Times New Roman" w:cs="Times New Roman"/>
          <w:sz w:val="24"/>
          <w:szCs w:val="24"/>
        </w:rPr>
        <w:t xml:space="preserve">(El Español - </w:t>
      </w:r>
      <w:r w:rsidRPr="00356FED">
        <w:rPr>
          <w:rFonts w:ascii="Times New Roman" w:hAnsi="Times New Roman" w:cs="Times New Roman"/>
          <w:b/>
          <w:sz w:val="24"/>
          <w:szCs w:val="24"/>
        </w:rPr>
        <w:t>22/6/20</w:t>
      </w:r>
      <w:r w:rsidRPr="00356FED">
        <w:rPr>
          <w:rFonts w:ascii="Times New Roman" w:hAnsi="Times New Roman" w:cs="Times New Roman"/>
          <w:sz w:val="24"/>
          <w:szCs w:val="24"/>
        </w:rPr>
        <w:t>)</w:t>
      </w:r>
    </w:p>
    <w:p w:rsidR="00C45B46" w:rsidRPr="00DA7425" w:rsidRDefault="00C45B46" w:rsidP="00C45B4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A7425">
        <w:rPr>
          <w:rFonts w:ascii="Times New Roman" w:hAnsi="Times New Roman" w:cs="Times New Roman"/>
          <w:sz w:val="24"/>
          <w:szCs w:val="24"/>
          <w:u w:val="single"/>
        </w:rPr>
        <w:t>El BCE, la Fed y el Banco de Japón elevan su balance en cuatro billones en tres meses</w:t>
      </w:r>
      <w:r>
        <w:rPr>
          <w:rFonts w:ascii="Times New Roman" w:hAnsi="Times New Roman" w:cs="Times New Roman"/>
          <w:sz w:val="24"/>
          <w:szCs w:val="24"/>
        </w:rPr>
        <w:t xml:space="preserve"> (Cinco Días - </w:t>
      </w:r>
      <w:r w:rsidRPr="00DA7425">
        <w:rPr>
          <w:rFonts w:ascii="Times New Roman" w:hAnsi="Times New Roman" w:cs="Times New Roman"/>
          <w:b/>
          <w:sz w:val="24"/>
          <w:szCs w:val="24"/>
        </w:rPr>
        <w:t>2/7/20</w:t>
      </w:r>
      <w:r>
        <w:rPr>
          <w:rFonts w:ascii="Times New Roman" w:hAnsi="Times New Roman" w:cs="Times New Roman"/>
          <w:sz w:val="24"/>
          <w:szCs w:val="24"/>
        </w:rPr>
        <w:t>)</w:t>
      </w:r>
    </w:p>
    <w:p w:rsidR="00C45B46" w:rsidRPr="004D3C6C" w:rsidRDefault="00C45B46" w:rsidP="00C45B46">
      <w:pPr>
        <w:spacing w:line="240" w:lineRule="auto"/>
        <w:jc w:val="both"/>
        <w:rPr>
          <w:rFonts w:ascii="Times New Roman" w:hAnsi="Times New Roman" w:cs="Times New Roman"/>
          <w:sz w:val="24"/>
          <w:szCs w:val="24"/>
        </w:rPr>
      </w:pPr>
      <w:r w:rsidRPr="004D3C6C">
        <w:rPr>
          <w:rFonts w:ascii="Times New Roman" w:hAnsi="Times New Roman" w:cs="Times New Roman"/>
          <w:sz w:val="24"/>
          <w:szCs w:val="24"/>
        </w:rPr>
        <w:t>Mientras los Gobiernos aceleran sus planes de financiación para obtener los recursos necesarios con los que costear el gasto sanitario y social, los bancos centrales no han dudado en inyectar dinero al sistema. La consecuencia directa de ello es la ampliación de los balances y el giro de la política monetaria. Si el año pasado la idea que imperaba en el mercado era la normalización, en este 2020 las medidas no convencionales vuelven a tomar el relevo. Desde el pasado mes de marzo, momento en el que la pandemia comenzó su expansión por Europa y EEUU, el balance de los tres grandes bancos centrales del planeta (el BCE, la Reserva Federal y el Banco de Japón) ha aumentado de manera conjunta en más de cuatro billones de euros, pasando de los 9,04 billones que tenían a cierre de febrero a los 13,35 billones actuales. El incremento de los balances sido una corriente progresiva desde 2008, pero la llegada de la crisis derivada del coronavirus ha provocado un incremento exponencial hasta niveles históricos.</w:t>
      </w:r>
    </w:p>
    <w:p w:rsidR="00C45B46" w:rsidRPr="004D3C6C" w:rsidRDefault="00C45B46" w:rsidP="00C45B46">
      <w:pPr>
        <w:spacing w:line="240" w:lineRule="auto"/>
        <w:jc w:val="both"/>
        <w:rPr>
          <w:rFonts w:ascii="Times New Roman" w:hAnsi="Times New Roman" w:cs="Times New Roman"/>
          <w:sz w:val="24"/>
          <w:szCs w:val="24"/>
        </w:rPr>
      </w:pPr>
      <w:r w:rsidRPr="004D3C6C">
        <w:rPr>
          <w:rFonts w:ascii="Times New Roman" w:hAnsi="Times New Roman" w:cs="Times New Roman"/>
          <w:sz w:val="24"/>
          <w:szCs w:val="24"/>
        </w:rPr>
        <w:t>El BCE, que en cuestión de meses ha pasado de estudiar una subida de los tipos a poner en marcha el programa de compras frente a la pandemia, ha elevado su balance un 31,9% (más de un billón), hasta los 6,2 billones de euros, el 52,8% del PIB de la zona euro. La institución que preside Christine Lagarde era reacia a la aplicación de nuevas medidas. Sin embargo, el incremento de las rentabilidades en el mercado de deuda, especialmente la de los países periféricos, revivió los fantasmas de 2011. El organismo rectificó y siguiendo los pasos de la Fed, puso en marcha una batería de medidas. A las subastas diarias de liquidez al sistema financiero, el BCE anunció una nueva ronda de financiación a tres años, conocida como TLTRO III, y vinculada a la concesión de créditos. El organismo cifra en tres billones estas medidas. Solo en la última subasta de liquidez la banca europea ha pedido 1,3 billones de euros.</w:t>
      </w:r>
    </w:p>
    <w:p w:rsidR="00C45B46" w:rsidRPr="004D3C6C" w:rsidRDefault="00C45B46" w:rsidP="00C45B46">
      <w:pPr>
        <w:spacing w:line="240" w:lineRule="auto"/>
        <w:jc w:val="both"/>
        <w:rPr>
          <w:rFonts w:ascii="Times New Roman" w:hAnsi="Times New Roman" w:cs="Times New Roman"/>
          <w:sz w:val="24"/>
          <w:szCs w:val="24"/>
        </w:rPr>
      </w:pPr>
      <w:r w:rsidRPr="004D3C6C">
        <w:rPr>
          <w:rFonts w:ascii="Times New Roman" w:hAnsi="Times New Roman" w:cs="Times New Roman"/>
          <w:sz w:val="24"/>
          <w:szCs w:val="24"/>
        </w:rPr>
        <w:t>Como complemento a todo esto, el BCE puso en marcha el programa de compras de deuda. El plan, que en un principio estaba valorado en 750.00 millones de euros, fue ampliado en 600.000 millones, hasta los 1,36 billones. Con todo ello el balance del organismo podría concluir 2020 en los 9 billones desde los 4,69 con los que comenzó el año.</w:t>
      </w:r>
    </w:p>
    <w:p w:rsidR="00C45B46" w:rsidRPr="004D3C6C" w:rsidRDefault="00C45B46" w:rsidP="00C45B46">
      <w:pPr>
        <w:spacing w:line="240" w:lineRule="auto"/>
        <w:jc w:val="both"/>
        <w:rPr>
          <w:rFonts w:ascii="Times New Roman" w:hAnsi="Times New Roman" w:cs="Times New Roman"/>
          <w:sz w:val="24"/>
          <w:szCs w:val="24"/>
        </w:rPr>
      </w:pPr>
      <w:r w:rsidRPr="004D3C6C">
        <w:rPr>
          <w:rFonts w:ascii="Times New Roman" w:hAnsi="Times New Roman" w:cs="Times New Roman"/>
          <w:sz w:val="24"/>
          <w:szCs w:val="24"/>
        </w:rPr>
        <w:t>Más ambicioso parece el plan de actuación lanzado por la Reserva Federal. La institución que la semana pasada comenzó la compra de bonos corporativos anunció a comienzos de abril medidas por valor de 2,3 billones de dólares (2,1 billones de euros). En este programa, además de los ETF, se incluye la compra de 750.000 millones en bonos del Tesoro y 600.000 millones en préstamos a pequeñas y medianas empresas concedidos o refinanciados por los bancos comerciales.</w:t>
      </w:r>
    </w:p>
    <w:p w:rsidR="00C45B46" w:rsidRPr="004D3C6C" w:rsidRDefault="00C45B46" w:rsidP="00C45B46">
      <w:pPr>
        <w:spacing w:line="240" w:lineRule="auto"/>
        <w:jc w:val="both"/>
        <w:rPr>
          <w:rFonts w:ascii="Times New Roman" w:hAnsi="Times New Roman" w:cs="Times New Roman"/>
          <w:sz w:val="24"/>
          <w:szCs w:val="24"/>
        </w:rPr>
      </w:pPr>
      <w:r w:rsidRPr="004D3C6C">
        <w:rPr>
          <w:rFonts w:ascii="Times New Roman" w:hAnsi="Times New Roman" w:cs="Times New Roman"/>
          <w:sz w:val="24"/>
          <w:szCs w:val="24"/>
        </w:rPr>
        <w:t>Hasta las adquisiciones se habían limitado a los fondos cotizados de deuda, operación en la que ha invertido 5.500 millones de dólares (unos 4.858 millones de euros). Pero esto ha sido suficiente para que en cuestión de tres meses el balance haya pasado de los 3,8 billones de euros que registraba a comienzos de marzo a los 6,3 billones, cifra que equivale al 32,6% del PIB de EE UU. Atendiendo a las declaraciones efectuadas por el secretario del Tesoro, Steven Mnuchin, la institución podría finalizar el año con un balance cercano a los ocho billones de euros, cifra no registrada hasta la fecha.</w:t>
      </w:r>
    </w:p>
    <w:p w:rsidR="00C45B46" w:rsidRPr="004D3C6C" w:rsidRDefault="00C45B46" w:rsidP="00C45B46">
      <w:pPr>
        <w:spacing w:line="240" w:lineRule="auto"/>
        <w:jc w:val="both"/>
        <w:rPr>
          <w:rFonts w:ascii="Times New Roman" w:hAnsi="Times New Roman" w:cs="Times New Roman"/>
          <w:sz w:val="24"/>
          <w:szCs w:val="24"/>
        </w:rPr>
      </w:pPr>
      <w:r w:rsidRPr="004D3C6C">
        <w:rPr>
          <w:rFonts w:ascii="Times New Roman" w:hAnsi="Times New Roman" w:cs="Times New Roman"/>
          <w:sz w:val="24"/>
          <w:szCs w:val="24"/>
        </w:rPr>
        <w:lastRenderedPageBreak/>
        <w:t>Banco de Japón. La flexibilización monetaria es una de las características de las actuaciones del Banco Central de Japón, que mantiene los tipos de interés en el -0,1%. Junto a esto, la institución nipona también ha recurrido a los programas de compras de deuda. De hecho, a mediados de mes el BoJ anunció la ampliación hasta los 110 billones de yenes (901.000 millones de euros) su programa de créditos a tipos cero y otras medidas de liquidez para las empresas. Las medidas aplicadas desde comienzos de año han llevado a la institución a elevar su balance desde los 4,9 billones de euros hasta 5,4 billones de euros, con lo que se sitúa por encima del 115% del PIB.</w:t>
      </w:r>
    </w:p>
    <w:p w:rsidR="00C45B46" w:rsidRPr="004D3C6C" w:rsidRDefault="00C45B46" w:rsidP="00C45B46">
      <w:pPr>
        <w:spacing w:line="240" w:lineRule="auto"/>
        <w:jc w:val="both"/>
        <w:rPr>
          <w:rFonts w:ascii="Times New Roman" w:hAnsi="Times New Roman" w:cs="Times New Roman"/>
          <w:sz w:val="24"/>
          <w:szCs w:val="24"/>
        </w:rPr>
      </w:pPr>
      <w:r w:rsidRPr="004D3C6C">
        <w:rPr>
          <w:rFonts w:ascii="Times New Roman" w:hAnsi="Times New Roman" w:cs="Times New Roman"/>
          <w:sz w:val="24"/>
          <w:szCs w:val="24"/>
        </w:rPr>
        <w:t>Banco de Inglaterra. La institución ha ampliado su programa de compra en 1.110 millones de euros, hasta los 832.500 millones. El balance del Banco de Inglaterra no ha escapado a los repuntes. Esto, unido a la caída del PIB, ha provocado que en cuestión de tres meses el balance pasara de representar el 21,7% del PIB al 31,3% actual</w:t>
      </w:r>
      <w:r w:rsidR="008B7751">
        <w:rPr>
          <w:rFonts w:ascii="Times New Roman" w:hAnsi="Times New Roman" w:cs="Times New Roman"/>
          <w:sz w:val="24"/>
          <w:szCs w:val="24"/>
        </w:rPr>
        <w:t>…</w:t>
      </w:r>
    </w:p>
    <w:p w:rsidR="00C45B46" w:rsidRDefault="00C45B46" w:rsidP="00C45B46">
      <w:pPr>
        <w:shd w:val="clear" w:color="auto" w:fill="FFFFFF"/>
        <w:spacing w:after="0" w:line="240" w:lineRule="auto"/>
        <w:jc w:val="both"/>
        <w:textAlignment w:val="baseline"/>
        <w:rPr>
          <w:rFonts w:ascii="Times New Roman" w:hAnsi="Times New Roman" w:cs="Times New Roman"/>
          <w:sz w:val="24"/>
          <w:szCs w:val="24"/>
        </w:rPr>
      </w:pPr>
      <w:r w:rsidRPr="00BC74D3">
        <w:rPr>
          <w:rFonts w:ascii="Times New Roman" w:hAnsi="Times New Roman" w:cs="Times New Roman"/>
          <w:sz w:val="24"/>
          <w:szCs w:val="24"/>
        </w:rPr>
        <w:t xml:space="preserve">- </w:t>
      </w:r>
      <w:r w:rsidRPr="00BC74D3">
        <w:rPr>
          <w:rFonts w:ascii="Times New Roman" w:hAnsi="Times New Roman" w:cs="Times New Roman"/>
          <w:sz w:val="24"/>
          <w:szCs w:val="24"/>
          <w:u w:val="single"/>
        </w:rPr>
        <w:t>El “efecto Covid” duplicará el balance del BCE hasta el 70% del PIB de la eurozona en 2021</w:t>
      </w:r>
      <w:r w:rsidRPr="00BC74D3">
        <w:rPr>
          <w:rFonts w:ascii="Times New Roman" w:hAnsi="Times New Roman" w:cs="Times New Roman"/>
          <w:sz w:val="24"/>
          <w:szCs w:val="24"/>
        </w:rPr>
        <w:t xml:space="preserve"> (El Español - </w:t>
      </w:r>
      <w:r w:rsidRPr="00BC74D3">
        <w:rPr>
          <w:rFonts w:ascii="Times New Roman" w:hAnsi="Times New Roman" w:cs="Times New Roman"/>
          <w:b/>
          <w:sz w:val="24"/>
          <w:szCs w:val="24"/>
        </w:rPr>
        <w:t>14/7/20</w:t>
      </w:r>
      <w:r w:rsidRPr="00BC74D3">
        <w:rPr>
          <w:rFonts w:ascii="Times New Roman" w:hAnsi="Times New Roman" w:cs="Times New Roman"/>
          <w:sz w:val="24"/>
          <w:szCs w:val="24"/>
        </w:rPr>
        <w:t>)</w:t>
      </w:r>
    </w:p>
    <w:p w:rsidR="00C45B46" w:rsidRDefault="00C45B46" w:rsidP="00C45B46">
      <w:pPr>
        <w:shd w:val="clear" w:color="auto" w:fill="FFFFFF"/>
        <w:spacing w:after="0" w:line="240" w:lineRule="auto"/>
        <w:jc w:val="both"/>
        <w:textAlignment w:val="baseline"/>
        <w:rPr>
          <w:rFonts w:ascii="Times New Roman" w:hAnsi="Times New Roman" w:cs="Times New Roman"/>
          <w:sz w:val="24"/>
          <w:szCs w:val="24"/>
        </w:rPr>
      </w:pPr>
    </w:p>
    <w:p w:rsidR="00C45B46" w:rsidRPr="004D3C6C" w:rsidRDefault="00C45B46" w:rsidP="00C45B46">
      <w:pPr>
        <w:shd w:val="clear" w:color="auto" w:fill="FFFFFF"/>
        <w:spacing w:after="0" w:line="240" w:lineRule="auto"/>
        <w:jc w:val="both"/>
        <w:textAlignment w:val="baseline"/>
        <w:rPr>
          <w:rFonts w:ascii="Times New Roman" w:eastAsia="Times New Roman" w:hAnsi="Times New Roman" w:cs="Times New Roman"/>
          <w:sz w:val="24"/>
          <w:szCs w:val="24"/>
        </w:rPr>
      </w:pPr>
      <w:r w:rsidRPr="004D3C6C">
        <w:rPr>
          <w:rFonts w:ascii="Times New Roman" w:eastAsia="Times New Roman" w:hAnsi="Times New Roman" w:cs="Times New Roman"/>
          <w:sz w:val="24"/>
          <w:szCs w:val="24"/>
        </w:rPr>
        <w:t>Las medidas del Banco Central Europeo (BCE) para frenar el impacto del coronavirus en la economía han tenido un impacto más allá de limitar la subida de las primas de riesgo y evitar una nueva crisis de deuda. Los paquetes de compras y otras estrategias han provocado que el balance del organismo engorde semana a semana y supere ya los 6,2 billones de euros por primera vez en la historia.</w:t>
      </w:r>
    </w:p>
    <w:p w:rsidR="00C45B46" w:rsidRPr="004D3C6C" w:rsidRDefault="00C45B46" w:rsidP="00C45B46">
      <w:pPr>
        <w:shd w:val="clear" w:color="auto" w:fill="FFFFFF"/>
        <w:spacing w:after="0" w:line="240" w:lineRule="auto"/>
        <w:jc w:val="both"/>
        <w:textAlignment w:val="baseline"/>
        <w:rPr>
          <w:rFonts w:ascii="Times New Roman" w:eastAsia="Times New Roman" w:hAnsi="Times New Roman" w:cs="Times New Roman"/>
          <w:sz w:val="24"/>
          <w:szCs w:val="24"/>
        </w:rPr>
      </w:pPr>
    </w:p>
    <w:p w:rsidR="00C45B46" w:rsidRPr="004D3C6C" w:rsidRDefault="00C45B46" w:rsidP="00C45B46">
      <w:pPr>
        <w:shd w:val="clear" w:color="auto" w:fill="FFFFFF"/>
        <w:spacing w:after="0" w:line="240" w:lineRule="auto"/>
        <w:jc w:val="both"/>
        <w:textAlignment w:val="baseline"/>
        <w:rPr>
          <w:rFonts w:ascii="Times New Roman" w:eastAsia="Times New Roman" w:hAnsi="Times New Roman" w:cs="Times New Roman"/>
          <w:sz w:val="24"/>
          <w:szCs w:val="24"/>
        </w:rPr>
      </w:pPr>
      <w:r w:rsidRPr="004D3C6C">
        <w:rPr>
          <w:rFonts w:ascii="Times New Roman" w:eastAsia="Times New Roman" w:hAnsi="Times New Roman" w:cs="Times New Roman"/>
          <w:sz w:val="24"/>
          <w:szCs w:val="24"/>
        </w:rPr>
        <w:t>La cifra que refleja el estado financiero del eurosistema cobra más envergadura si se tiene en cuenta que, a finales de febrero, justo antes del inicio de la pandemia, rondaba los 4,6 billones de euros. Y los analistas de Bank of America, que realizan previsiones periódicas sobre la evolución del “activo” y del “pasivo” del organismo para calcular también la evolución de la inflación, apuntan a que la cifra superará los 8 billones de euros el próximo año.</w:t>
      </w:r>
    </w:p>
    <w:p w:rsidR="00C45B46" w:rsidRPr="004D3C6C" w:rsidRDefault="00C45B46" w:rsidP="00C45B46">
      <w:pPr>
        <w:shd w:val="clear" w:color="auto" w:fill="FFFFFF"/>
        <w:spacing w:after="0" w:line="240" w:lineRule="auto"/>
        <w:jc w:val="both"/>
        <w:textAlignment w:val="baseline"/>
        <w:rPr>
          <w:rFonts w:ascii="Times New Roman" w:eastAsia="Times New Roman" w:hAnsi="Times New Roman" w:cs="Times New Roman"/>
          <w:sz w:val="24"/>
          <w:szCs w:val="24"/>
        </w:rPr>
      </w:pPr>
    </w:p>
    <w:p w:rsidR="00C45B46" w:rsidRPr="004D3C6C" w:rsidRDefault="00C45B46" w:rsidP="00C45B46">
      <w:pPr>
        <w:shd w:val="clear" w:color="auto" w:fill="FFFFFF"/>
        <w:spacing w:after="0" w:line="240" w:lineRule="auto"/>
        <w:jc w:val="both"/>
        <w:textAlignment w:val="baseline"/>
        <w:rPr>
          <w:rFonts w:ascii="Times New Roman" w:eastAsia="Times New Roman" w:hAnsi="Times New Roman" w:cs="Times New Roman"/>
          <w:sz w:val="24"/>
          <w:szCs w:val="24"/>
        </w:rPr>
      </w:pPr>
      <w:r w:rsidRPr="004D3C6C">
        <w:rPr>
          <w:rFonts w:ascii="Times New Roman" w:eastAsia="Times New Roman" w:hAnsi="Times New Roman" w:cs="Times New Roman"/>
          <w:sz w:val="24"/>
          <w:szCs w:val="24"/>
        </w:rPr>
        <w:t>Es decir, desde el inicio de la pandemia y hasta 2021, el BCE habrá casi duplicado su balance como consecuencia de los programas puestos en marcha para paliar la crisis, suponiendo al final del periodo un 70% del PIB de toda la eurozona. El ritmo de crecimiento será mucho mayor que en cualquier otro banco central del mundo, incluido el de Japón…</w:t>
      </w:r>
    </w:p>
    <w:p w:rsidR="00C45B46" w:rsidRPr="004D3C6C" w:rsidRDefault="00C45B46" w:rsidP="00C45B46">
      <w:pPr>
        <w:shd w:val="clear" w:color="auto" w:fill="FFFFFF"/>
        <w:spacing w:after="0" w:line="240" w:lineRule="auto"/>
        <w:jc w:val="both"/>
        <w:textAlignment w:val="baseline"/>
        <w:rPr>
          <w:rFonts w:ascii="Times New Roman" w:eastAsia="Times New Roman" w:hAnsi="Times New Roman" w:cs="Times New Roman"/>
          <w:sz w:val="24"/>
          <w:szCs w:val="24"/>
        </w:rPr>
      </w:pPr>
    </w:p>
    <w:p w:rsidR="00C45B46" w:rsidRPr="00A52DAC" w:rsidRDefault="00C45B46" w:rsidP="00C45B46">
      <w:pPr>
        <w:shd w:val="clear" w:color="auto" w:fill="FFFFFF"/>
        <w:spacing w:after="270" w:line="240" w:lineRule="auto"/>
        <w:jc w:val="both"/>
        <w:rPr>
          <w:rFonts w:ascii="Times New Roman" w:eastAsia="Times New Roman" w:hAnsi="Times New Roman" w:cs="Times New Roman"/>
          <w:spacing w:val="-1"/>
          <w:sz w:val="24"/>
          <w:szCs w:val="24"/>
        </w:rPr>
      </w:pPr>
      <w:r w:rsidRPr="00A52DAC">
        <w:rPr>
          <w:rFonts w:ascii="Times New Roman" w:eastAsia="Times New Roman" w:hAnsi="Times New Roman" w:cs="Times New Roman"/>
          <w:spacing w:val="-1"/>
          <w:sz w:val="24"/>
          <w:szCs w:val="24"/>
        </w:rPr>
        <w:t xml:space="preserve">- </w:t>
      </w:r>
      <w:r w:rsidRPr="00A52DAC">
        <w:rPr>
          <w:rFonts w:ascii="Times New Roman" w:eastAsia="Times New Roman" w:hAnsi="Times New Roman" w:cs="Times New Roman"/>
          <w:spacing w:val="-1"/>
          <w:sz w:val="24"/>
          <w:szCs w:val="24"/>
          <w:u w:val="single"/>
        </w:rPr>
        <w:t>La Fed se erige ya como el mayor tenedor de deuda pública de EEUU con 4,2 billones de dólares</w:t>
      </w:r>
      <w:r w:rsidRPr="00A52DAC">
        <w:rPr>
          <w:rFonts w:ascii="Times New Roman" w:eastAsia="Times New Roman" w:hAnsi="Times New Roman" w:cs="Times New Roman"/>
          <w:spacing w:val="-1"/>
          <w:sz w:val="24"/>
          <w:szCs w:val="24"/>
        </w:rPr>
        <w:t xml:space="preserve"> (El Economista - </w:t>
      </w:r>
      <w:r w:rsidRPr="00A52DAC">
        <w:rPr>
          <w:rFonts w:ascii="Times New Roman" w:eastAsia="Times New Roman" w:hAnsi="Times New Roman" w:cs="Times New Roman"/>
          <w:b/>
          <w:spacing w:val="-1"/>
          <w:sz w:val="24"/>
          <w:szCs w:val="24"/>
        </w:rPr>
        <w:t>21/7/20</w:t>
      </w:r>
      <w:r w:rsidRPr="00A52DAC">
        <w:rPr>
          <w:rFonts w:ascii="Times New Roman" w:eastAsia="Times New Roman" w:hAnsi="Times New Roman" w:cs="Times New Roman"/>
          <w:spacing w:val="-1"/>
          <w:sz w:val="24"/>
          <w:szCs w:val="24"/>
        </w:rPr>
        <w:t>)</w:t>
      </w:r>
    </w:p>
    <w:p w:rsidR="00C45B46" w:rsidRPr="004D3C6C" w:rsidRDefault="00C45B46" w:rsidP="00C45B46">
      <w:pPr>
        <w:shd w:val="clear" w:color="auto" w:fill="FFFFFF"/>
        <w:spacing w:after="270" w:line="240" w:lineRule="auto"/>
        <w:jc w:val="both"/>
        <w:rPr>
          <w:rFonts w:ascii="Times New Roman" w:eastAsia="Times New Roman" w:hAnsi="Times New Roman" w:cs="Times New Roman"/>
          <w:spacing w:val="-1"/>
          <w:sz w:val="24"/>
          <w:szCs w:val="24"/>
        </w:rPr>
      </w:pPr>
      <w:r w:rsidRPr="004D3C6C">
        <w:rPr>
          <w:rFonts w:ascii="Times New Roman" w:eastAsia="Times New Roman" w:hAnsi="Times New Roman" w:cs="Times New Roman"/>
          <w:spacing w:val="-1"/>
          <w:sz w:val="24"/>
          <w:szCs w:val="24"/>
        </w:rPr>
        <w:t>A medida que el balance de la Reserva Federal continúa creciendo exponencialmente, rozando actualmente los 7 billones de dólares, el banco central de Estados Unidos también se postula ya como el mayor tenedor único de bonos del Tesoro patrios.</w:t>
      </w:r>
    </w:p>
    <w:p w:rsidR="00C45B46" w:rsidRPr="004D3C6C" w:rsidRDefault="00C45B46" w:rsidP="00C45B46">
      <w:pPr>
        <w:shd w:val="clear" w:color="auto" w:fill="FFFFFF"/>
        <w:spacing w:after="270" w:line="240" w:lineRule="auto"/>
        <w:jc w:val="both"/>
        <w:rPr>
          <w:rFonts w:ascii="Times New Roman" w:eastAsia="Times New Roman" w:hAnsi="Times New Roman" w:cs="Times New Roman"/>
          <w:spacing w:val="-1"/>
          <w:sz w:val="24"/>
          <w:szCs w:val="24"/>
        </w:rPr>
      </w:pPr>
      <w:r w:rsidRPr="004D3C6C">
        <w:rPr>
          <w:rFonts w:ascii="Times New Roman" w:eastAsia="Times New Roman" w:hAnsi="Times New Roman" w:cs="Times New Roman"/>
          <w:spacing w:val="-1"/>
          <w:sz w:val="24"/>
          <w:szCs w:val="24"/>
        </w:rPr>
        <w:t>Con un total de 4,25 billones de dólares registrados la semana pasada, Jerome Powell y sus chicos superan ya el total de deuda pública estadounidense en manos de gobiernos extranjeros…</w:t>
      </w:r>
    </w:p>
    <w:p w:rsidR="00C45B46" w:rsidRDefault="00C45B46" w:rsidP="00C45B46">
      <w:pPr>
        <w:shd w:val="clear" w:color="auto" w:fill="FFFFFF"/>
        <w:spacing w:after="270" w:line="240" w:lineRule="auto"/>
        <w:jc w:val="both"/>
        <w:rPr>
          <w:rFonts w:ascii="Times New Roman" w:hAnsi="Times New Roman" w:cs="Times New Roman"/>
          <w:sz w:val="24"/>
          <w:szCs w:val="24"/>
        </w:rPr>
      </w:pPr>
      <w:r w:rsidRPr="00D95EC4">
        <w:rPr>
          <w:rFonts w:ascii="Times New Roman" w:hAnsi="Times New Roman" w:cs="Times New Roman"/>
          <w:sz w:val="24"/>
          <w:szCs w:val="24"/>
        </w:rPr>
        <w:t xml:space="preserve">- </w:t>
      </w:r>
      <w:r w:rsidRPr="00D95EC4">
        <w:rPr>
          <w:rFonts w:ascii="Times New Roman" w:hAnsi="Times New Roman" w:cs="Times New Roman"/>
          <w:sz w:val="24"/>
          <w:szCs w:val="24"/>
          <w:u w:val="single"/>
        </w:rPr>
        <w:t>Europa cierra un acuerdo histórico con 360.000 millones de ayudas directas</w:t>
      </w:r>
      <w:r w:rsidRPr="00D95EC4">
        <w:rPr>
          <w:rFonts w:ascii="Times New Roman" w:hAnsi="Times New Roman" w:cs="Times New Roman"/>
          <w:sz w:val="24"/>
          <w:szCs w:val="24"/>
        </w:rPr>
        <w:t xml:space="preserve"> (Expansión - </w:t>
      </w:r>
      <w:r w:rsidRPr="00D95EC4">
        <w:rPr>
          <w:rFonts w:ascii="Times New Roman" w:hAnsi="Times New Roman" w:cs="Times New Roman"/>
          <w:b/>
          <w:sz w:val="24"/>
          <w:szCs w:val="24"/>
        </w:rPr>
        <w:t>21/7/20</w:t>
      </w:r>
      <w:r w:rsidRPr="00D95EC4">
        <w:rPr>
          <w:rFonts w:ascii="Times New Roman" w:hAnsi="Times New Roman" w:cs="Times New Roman"/>
          <w:sz w:val="24"/>
          <w:szCs w:val="24"/>
        </w:rPr>
        <w:t>)</w:t>
      </w:r>
    </w:p>
    <w:p w:rsidR="00C45B46" w:rsidRPr="004D3C6C" w:rsidRDefault="00C45B46" w:rsidP="00C45B46">
      <w:pPr>
        <w:shd w:val="clear" w:color="auto" w:fill="FFFFFF"/>
        <w:spacing w:after="270" w:line="240" w:lineRule="auto"/>
        <w:jc w:val="both"/>
        <w:rPr>
          <w:rFonts w:ascii="Times New Roman" w:hAnsi="Times New Roman" w:cs="Times New Roman"/>
          <w:sz w:val="24"/>
          <w:szCs w:val="24"/>
        </w:rPr>
      </w:pPr>
      <w:r w:rsidRPr="004D3C6C">
        <w:rPr>
          <w:rFonts w:ascii="Times New Roman" w:hAnsi="Times New Roman" w:cs="Times New Roman"/>
          <w:sz w:val="24"/>
          <w:szCs w:val="24"/>
        </w:rPr>
        <w:t>Los jefes de Estado y de Gobierno de la Unión Europea alcanzaron esta madrugada un acuerdo para crear un fondo de recuperación de 750.000 millones de euros para ayudar a los países más afectados, incluyendo hasta 390.000 millones en transferencias directas.</w:t>
      </w:r>
    </w:p>
    <w:p w:rsidR="00C45B46" w:rsidRPr="004D3C6C" w:rsidRDefault="00C45B46" w:rsidP="00C45B46">
      <w:pPr>
        <w:shd w:val="clear" w:color="auto" w:fill="FFFFFF"/>
        <w:spacing w:after="270" w:line="240" w:lineRule="auto"/>
        <w:jc w:val="both"/>
        <w:rPr>
          <w:rFonts w:ascii="Times New Roman" w:hAnsi="Times New Roman" w:cs="Times New Roman"/>
          <w:sz w:val="24"/>
          <w:szCs w:val="24"/>
        </w:rPr>
      </w:pPr>
      <w:r w:rsidRPr="004D3C6C">
        <w:rPr>
          <w:rFonts w:ascii="Times New Roman" w:hAnsi="Times New Roman" w:cs="Times New Roman"/>
          <w:sz w:val="24"/>
          <w:szCs w:val="24"/>
        </w:rPr>
        <w:lastRenderedPageBreak/>
        <w:t>“¡Acuerdo!”, anunció en redes sociales el presidente del Consejo europeo, Charles Michel, poco después de las 5.30 horas del martes. Este plan de reconstrucción, que estará financiado por una emisión sin precedentes de deuda conjunta por parte de la Comisión Europea y tendrá una duración de tres años, se sumará a un presupuesto comunitario para el periodo 2021-2027 de 1,074 billones de euros…</w:t>
      </w:r>
    </w:p>
    <w:p w:rsidR="00C45B46" w:rsidRPr="00D95EC4" w:rsidRDefault="00C45B46" w:rsidP="00C45B46">
      <w:pPr>
        <w:shd w:val="clear" w:color="auto" w:fill="FFFFFF"/>
        <w:spacing w:after="270" w:line="240" w:lineRule="auto"/>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Pr="00D95EC4">
        <w:rPr>
          <w:rFonts w:ascii="Times New Roman" w:eastAsia="Times New Roman" w:hAnsi="Times New Roman" w:cs="Times New Roman"/>
          <w:spacing w:val="-1"/>
          <w:sz w:val="24"/>
          <w:szCs w:val="24"/>
          <w:u w:val="single"/>
        </w:rPr>
        <w:t>La UE acuerda un fondo histórico de 750.000M para reactivar la economía</w:t>
      </w:r>
      <w:r w:rsidRPr="00D95EC4">
        <w:rPr>
          <w:rFonts w:ascii="Times New Roman" w:eastAsia="Times New Roman" w:hAnsi="Times New Roman" w:cs="Times New Roman"/>
          <w:spacing w:val="-1"/>
          <w:sz w:val="24"/>
          <w:szCs w:val="24"/>
        </w:rPr>
        <w:t xml:space="preserve"> (El Confidencial - </w:t>
      </w:r>
      <w:r w:rsidRPr="00D95EC4">
        <w:rPr>
          <w:rFonts w:ascii="Times New Roman" w:eastAsia="Times New Roman" w:hAnsi="Times New Roman" w:cs="Times New Roman"/>
          <w:b/>
          <w:spacing w:val="-1"/>
          <w:sz w:val="24"/>
          <w:szCs w:val="24"/>
        </w:rPr>
        <w:t>22/7/20</w:t>
      </w:r>
      <w:r w:rsidRPr="00D95EC4">
        <w:rPr>
          <w:rFonts w:ascii="Times New Roman" w:eastAsia="Times New Roman" w:hAnsi="Times New Roman" w:cs="Times New Roman"/>
          <w:spacing w:val="-1"/>
          <w:sz w:val="24"/>
          <w:szCs w:val="24"/>
        </w:rPr>
        <w:t>)</w:t>
      </w:r>
    </w:p>
    <w:p w:rsidR="00C45B46" w:rsidRPr="00D95EC4" w:rsidRDefault="00C45B46" w:rsidP="00C45B46">
      <w:pPr>
        <w:shd w:val="clear" w:color="auto" w:fill="FFFFFF"/>
        <w:spacing w:after="270" w:line="240" w:lineRule="auto"/>
        <w:jc w:val="both"/>
        <w:rPr>
          <w:rFonts w:ascii="Times New Roman" w:eastAsia="Times New Roman" w:hAnsi="Times New Roman" w:cs="Times New Roman"/>
          <w:spacing w:val="-1"/>
          <w:sz w:val="24"/>
          <w:szCs w:val="24"/>
        </w:rPr>
      </w:pPr>
      <w:r w:rsidRPr="00D95EC4">
        <w:rPr>
          <w:rFonts w:ascii="Times New Roman" w:eastAsia="Times New Roman" w:hAnsi="Times New Roman" w:cs="Times New Roman"/>
          <w:spacing w:val="-1"/>
          <w:sz w:val="24"/>
          <w:szCs w:val="24"/>
        </w:rPr>
        <w:t>La UE busca con este Fondo reactivar la economía tras el shock del coronavirus a través de la financiación de una serie de reformas e inversiones que los distintos Estados miembros tienen que proponer y que deben estar dirigidos a cumplir con las recomendaciones específicas por país (CSR, por sus siglas en inglés) de la Comisión Europea. En el caso español las CSR suelen hacer referencia a la sostenibilidad de las pensiones, inversiones sociales, reforma de la educación o la inversión en transición verde y digital.</w:t>
      </w:r>
    </w:p>
    <w:p w:rsidR="004D3C6C" w:rsidRDefault="00C45B46" w:rsidP="004D3C6C">
      <w:pPr>
        <w:shd w:val="clear" w:color="auto" w:fill="FFFFFF"/>
        <w:spacing w:after="270" w:line="240" w:lineRule="auto"/>
        <w:jc w:val="both"/>
        <w:rPr>
          <w:rFonts w:ascii="Times New Roman" w:eastAsia="Times New Roman" w:hAnsi="Times New Roman" w:cs="Times New Roman"/>
          <w:spacing w:val="-1"/>
          <w:sz w:val="24"/>
          <w:szCs w:val="24"/>
        </w:rPr>
      </w:pPr>
      <w:r w:rsidRPr="00D95EC4">
        <w:rPr>
          <w:rFonts w:ascii="Times New Roman" w:eastAsia="Times New Roman" w:hAnsi="Times New Roman" w:cs="Times New Roman"/>
          <w:spacing w:val="-1"/>
          <w:sz w:val="24"/>
          <w:szCs w:val="24"/>
        </w:rPr>
        <w:t>El acuerdo es histórico porque nunca antes la UE había planteado una gran emisión de deuda conjunta para financiar la recuperación ante una crisis, y pone la primera piedra de una posible futura mejor gestión europea de las crisis. Si cuaja, la lógica con la que Europa afrontara futuros shocks cambiará y la UE será más fuerte para gestionar crisis. Pero el precio que los líderes han pagado ha sido alto: importantes recortes en partidas clave para el futuro de Europa y premios tanto para los Estados miembros que han bloqueado parte de las negociaciones como para algunas capitales del este que han logrado eliminar la vinculación de la financiación de la UE con el cumplimiento de la</w:t>
      </w:r>
      <w:r w:rsidR="004D3C6C">
        <w:rPr>
          <w:rFonts w:ascii="Times New Roman" w:eastAsia="Times New Roman" w:hAnsi="Times New Roman" w:cs="Times New Roman"/>
          <w:spacing w:val="-1"/>
          <w:sz w:val="24"/>
          <w:szCs w:val="24"/>
        </w:rPr>
        <w:t>s normas del Estado de derecho…</w:t>
      </w:r>
    </w:p>
    <w:p w:rsidR="00C45B46" w:rsidRPr="004D3C6C" w:rsidRDefault="00C45B46" w:rsidP="004D3C6C">
      <w:pPr>
        <w:shd w:val="clear" w:color="auto" w:fill="FFFFFF"/>
        <w:spacing w:after="270" w:line="240" w:lineRule="auto"/>
        <w:jc w:val="both"/>
        <w:rPr>
          <w:rFonts w:ascii="Times New Roman" w:eastAsia="Times New Roman" w:hAnsi="Times New Roman" w:cs="Times New Roman"/>
          <w:spacing w:val="-1"/>
          <w:sz w:val="24"/>
          <w:szCs w:val="24"/>
        </w:rPr>
      </w:pPr>
      <w:r w:rsidRPr="004D3C6C">
        <w:rPr>
          <w:rFonts w:ascii="Times New Roman" w:hAnsi="Times New Roman" w:cs="Times New Roman"/>
          <w:sz w:val="24"/>
          <w:szCs w:val="24"/>
        </w:rPr>
        <w:t>El Consejo y la Comisión Europea, con todo, ponen en valor las cifras movilizadas. En conjunto, sumando el presupuesto plurianual (1,074 billones), el fondo de reconstrucción (750.000 millones) y la primera respuesta comunitaria que movilizó dinero del MEDE, el Sure y el Banco Europeo de Inversiones (540.000 millones en total), la respuesta europea asciende a los 2.364 billones de euros, el 17% del PIB de la UE.</w:t>
      </w:r>
    </w:p>
    <w:p w:rsidR="00C45B46" w:rsidRDefault="00C45B46" w:rsidP="00C45B46">
      <w:pPr>
        <w:pStyle w:val="NormalWeb"/>
        <w:shd w:val="clear" w:color="auto" w:fill="FFFFFF"/>
        <w:spacing w:after="0"/>
        <w:jc w:val="both"/>
        <w:textAlignment w:val="baseline"/>
      </w:pPr>
      <w:r w:rsidRPr="004D3C6C">
        <w:t>Estados Unidos, según los datos del Consejo, ha movilizado 3.061 billones de dólares para hacer frente a la crisis sanitaria y económica, el 15,9% de su riqueza, mientras que la respuesta de China, con 4.200 billones de yenes, supone algo más del 4% de su riqueza</w:t>
      </w:r>
      <w:r w:rsidR="008B7751">
        <w:t>…</w:t>
      </w:r>
      <w:r w:rsidRPr="004D3C6C">
        <w:rPr>
          <w:u w:val="single"/>
        </w:rPr>
        <w:t xml:space="preserve"> </w:t>
      </w:r>
      <w:r>
        <w:t xml:space="preserve">(Cinco Días - </w:t>
      </w:r>
      <w:r w:rsidRPr="00DA1700">
        <w:rPr>
          <w:b/>
        </w:rPr>
        <w:t>22/7/20</w:t>
      </w:r>
      <w:r>
        <w:t>)</w:t>
      </w:r>
    </w:p>
    <w:p w:rsidR="00C45B46" w:rsidRPr="00E36222" w:rsidRDefault="00C45B46" w:rsidP="00C45B46">
      <w:pPr>
        <w:pStyle w:val="Sinespaciado"/>
        <w:jc w:val="both"/>
        <w:rPr>
          <w:rFonts w:ascii="Times New Roman" w:hAnsi="Times New Roman" w:cs="Times New Roman"/>
          <w:sz w:val="24"/>
          <w:szCs w:val="24"/>
        </w:rPr>
      </w:pPr>
      <w:r w:rsidRPr="00E36222">
        <w:rPr>
          <w:rFonts w:ascii="Times New Roman" w:hAnsi="Times New Roman" w:cs="Times New Roman"/>
          <w:sz w:val="24"/>
          <w:szCs w:val="24"/>
        </w:rPr>
        <w:t xml:space="preserve">- </w:t>
      </w:r>
      <w:r w:rsidRPr="00B10763">
        <w:rPr>
          <w:rFonts w:ascii="Times New Roman" w:hAnsi="Times New Roman" w:cs="Times New Roman"/>
          <w:sz w:val="24"/>
          <w:szCs w:val="24"/>
          <w:u w:val="single"/>
        </w:rPr>
        <w:t>El virus deja el mundo sobre un barril de pólvora: 68 billones de deuda pública</w:t>
      </w:r>
      <w:r w:rsidRPr="00E36222">
        <w:rPr>
          <w:rFonts w:ascii="Times New Roman" w:hAnsi="Times New Roman" w:cs="Times New Roman"/>
          <w:sz w:val="24"/>
          <w:szCs w:val="24"/>
        </w:rPr>
        <w:t xml:space="preserve"> (El Confidencial - </w:t>
      </w:r>
      <w:r w:rsidRPr="00B10763">
        <w:rPr>
          <w:rFonts w:ascii="Times New Roman" w:hAnsi="Times New Roman" w:cs="Times New Roman"/>
          <w:b/>
          <w:sz w:val="24"/>
          <w:szCs w:val="24"/>
        </w:rPr>
        <w:t>15/10/20</w:t>
      </w:r>
      <w:r w:rsidRPr="00E36222">
        <w:rPr>
          <w:rFonts w:ascii="Times New Roman" w:hAnsi="Times New Roman" w:cs="Times New Roman"/>
          <w:sz w:val="24"/>
          <w:szCs w:val="24"/>
        </w:rPr>
        <w:t>)</w:t>
      </w:r>
    </w:p>
    <w:p w:rsidR="00C45B46" w:rsidRPr="00E36222" w:rsidRDefault="00C45B46" w:rsidP="00C45B46">
      <w:pPr>
        <w:pStyle w:val="Sinespaciado"/>
        <w:jc w:val="both"/>
        <w:rPr>
          <w:rFonts w:ascii="Times New Roman" w:hAnsi="Times New Roman" w:cs="Times New Roman"/>
          <w:sz w:val="24"/>
          <w:szCs w:val="24"/>
        </w:rPr>
      </w:pPr>
    </w:p>
    <w:p w:rsidR="00C45B46" w:rsidRDefault="00C45B46" w:rsidP="00C45B46">
      <w:pPr>
        <w:pStyle w:val="Sinespaciado"/>
        <w:jc w:val="both"/>
        <w:rPr>
          <w:rFonts w:ascii="Times New Roman" w:hAnsi="Times New Roman" w:cs="Times New Roman"/>
          <w:sz w:val="24"/>
          <w:szCs w:val="24"/>
        </w:rPr>
      </w:pPr>
      <w:r w:rsidRPr="00E36222">
        <w:rPr>
          <w:rFonts w:ascii="Times New Roman" w:hAnsi="Times New Roman" w:cs="Times New Roman"/>
          <w:sz w:val="24"/>
          <w:szCs w:val="24"/>
        </w:rPr>
        <w:t>El mundo se sienta hoy sobre un auténtico arsenal. La deuda pública supera los 68 billones de euros. Desde la II Guerra Mundial, en el caso de los paí</w:t>
      </w:r>
      <w:r>
        <w:rPr>
          <w:rFonts w:ascii="Times New Roman" w:hAnsi="Times New Roman" w:cs="Times New Roman"/>
          <w:sz w:val="24"/>
          <w:szCs w:val="24"/>
        </w:rPr>
        <w:t>ses ricos, no había tanta deuda</w:t>
      </w:r>
    </w:p>
    <w:p w:rsidR="00C45B46" w:rsidRDefault="00C45B46" w:rsidP="00C45B46">
      <w:pPr>
        <w:pStyle w:val="Sinespaciado"/>
        <w:jc w:val="both"/>
        <w:rPr>
          <w:rFonts w:ascii="Times New Roman" w:hAnsi="Times New Roman" w:cs="Times New Roman"/>
          <w:sz w:val="24"/>
          <w:szCs w:val="24"/>
        </w:rPr>
      </w:pPr>
    </w:p>
    <w:p w:rsidR="00C45B46" w:rsidRPr="004D3C6C" w:rsidRDefault="00C45B46" w:rsidP="00C45B46">
      <w:pPr>
        <w:pStyle w:val="NormalWeb"/>
        <w:spacing w:before="0" w:beforeAutospacing="0" w:after="0" w:afterAutospacing="0"/>
        <w:jc w:val="both"/>
        <w:textAlignment w:val="baseline"/>
      </w:pPr>
      <w:r w:rsidRPr="004D3C6C">
        <w:t>La factura de esta crisis, como se sabe, no solo se mide en términos de </w:t>
      </w:r>
      <w:r w:rsidRPr="004D3C6C">
        <w:rPr>
          <w:rStyle w:val="Textoennegrita"/>
          <w:b w:val="0"/>
          <w:bdr w:val="none" w:sz="0" w:space="0" w:color="auto" w:frame="1"/>
        </w:rPr>
        <w:t>salud pública</w:t>
      </w:r>
      <w:r w:rsidRPr="004D3C6C">
        <w:t>: 1,08 millones de muertos hasta este miércoles, </w:t>
      </w:r>
      <w:hyperlink r:id="rId379" w:history="1">
        <w:r w:rsidRPr="004D3C6C">
          <w:rPr>
            <w:rStyle w:val="Hipervnculo"/>
            <w:color w:val="auto"/>
            <w:u w:val="none"/>
          </w:rPr>
          <w:t>según</w:t>
        </w:r>
      </w:hyperlink>
      <w:r w:rsidRPr="004D3C6C">
        <w:t> la Universidad Johns Hopkins. El coronavirus también arrastrará a la </w:t>
      </w:r>
      <w:r w:rsidRPr="004D3C6C">
        <w:rPr>
          <w:rStyle w:val="Textoennegrita"/>
          <w:b w:val="0"/>
          <w:bdr w:val="none" w:sz="0" w:space="0" w:color="auto" w:frame="1"/>
        </w:rPr>
        <w:t>pobreza extrema</w:t>
      </w:r>
      <w:r w:rsidRPr="004D3C6C">
        <w:t> a más de 100 millones de personas en todo el planeta</w:t>
      </w:r>
      <w:hyperlink r:id="rId380" w:history="1">
        <w:r w:rsidRPr="004D3C6C">
          <w:rPr>
            <w:rStyle w:val="Hipervnculo"/>
            <w:color w:val="auto"/>
            <w:u w:val="none"/>
          </w:rPr>
          <w:t>, según</w:t>
        </w:r>
      </w:hyperlink>
      <w:r w:rsidRPr="004D3C6C">
        <w:t> el Fondo Monetario, rompiéndose una tendencia decreciente desde el inicio de la globalización. Pero es que, si se miden sus consecuencias dramáticas sobre las </w:t>
      </w:r>
      <w:r w:rsidRPr="004D3C6C">
        <w:rPr>
          <w:rStyle w:val="Textoennegrita"/>
          <w:b w:val="0"/>
          <w:bdr w:val="none" w:sz="0" w:space="0" w:color="auto" w:frame="1"/>
        </w:rPr>
        <w:t>cuentas públicas</w:t>
      </w:r>
      <w:r w:rsidRPr="004D3C6C">
        <w:t>, el efecto de la pandemia es demoledor: el mundo se sienta hoy sobre un barril de pólvora en términos de deuda soberana superior a </w:t>
      </w:r>
      <w:r w:rsidRPr="004D3C6C">
        <w:rPr>
          <w:rStyle w:val="Textoennegrita"/>
          <w:b w:val="0"/>
          <w:bdr w:val="none" w:sz="0" w:space="0" w:color="auto" w:frame="1"/>
        </w:rPr>
        <w:t>68 billones de euros</w:t>
      </w:r>
      <w:r w:rsidRPr="004D3C6C">
        <w:t> (algo más de 80 billones de dólares).</w:t>
      </w:r>
    </w:p>
    <w:p w:rsidR="00C45B46" w:rsidRPr="004D3C6C" w:rsidRDefault="00C45B46" w:rsidP="00C45B46">
      <w:pPr>
        <w:pStyle w:val="NormalWeb"/>
        <w:spacing w:before="0" w:beforeAutospacing="0" w:after="0" w:afterAutospacing="0"/>
        <w:jc w:val="both"/>
        <w:textAlignment w:val="baseline"/>
      </w:pPr>
    </w:p>
    <w:p w:rsidR="00C45B46" w:rsidRPr="004D3C6C" w:rsidRDefault="00C45B46" w:rsidP="00C45B46">
      <w:pPr>
        <w:pStyle w:val="NormalWeb"/>
        <w:spacing w:before="0" w:beforeAutospacing="0" w:after="0" w:afterAutospacing="0"/>
        <w:jc w:val="both"/>
        <w:textAlignment w:val="baseline"/>
      </w:pPr>
      <w:r w:rsidRPr="004D3C6C">
        <w:t>Esto quiere decir que los Estados, por primera vez desde que hay registros, </w:t>
      </w:r>
      <w:r w:rsidRPr="004D3C6C">
        <w:rPr>
          <w:rStyle w:val="Textoennegrita"/>
          <w:b w:val="0"/>
          <w:bdr w:val="none" w:sz="0" w:space="0" w:color="auto" w:frame="1"/>
        </w:rPr>
        <w:t>deben tanto como sus economías son capaces de producir</w:t>
      </w:r>
      <w:r w:rsidRPr="004D3C6C">
        <w:rPr>
          <w:rStyle w:val="Textoennegrita"/>
          <w:bdr w:val="none" w:sz="0" w:space="0" w:color="auto" w:frame="1"/>
        </w:rPr>
        <w:t> </w:t>
      </w:r>
      <w:r w:rsidRPr="004D3C6C">
        <w:t>en un año. O lo que es lo mismo, el endeudamiento público representará el 100% del PIB entre 2021 y 2025. En el caso de las economías avanzadas, que incluye a los países más ricos, la deuda pública alcanzará un histórico 125%...</w:t>
      </w:r>
    </w:p>
    <w:p w:rsidR="00C45B46" w:rsidRDefault="00C45B46" w:rsidP="00C45B46">
      <w:pPr>
        <w:pStyle w:val="NormalWeb"/>
        <w:spacing w:before="0" w:beforeAutospacing="0" w:after="0" w:afterAutospacing="0"/>
        <w:jc w:val="both"/>
        <w:textAlignment w:val="baseline"/>
        <w:rPr>
          <w:b/>
          <w:color w:val="FF0000"/>
          <w:u w:val="single"/>
        </w:rPr>
      </w:pPr>
    </w:p>
    <w:p w:rsidR="00C45B46" w:rsidRPr="00162486" w:rsidRDefault="00C45B46" w:rsidP="00C45B4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El “tsunami”</w:t>
      </w:r>
      <w:r w:rsidRPr="00162486">
        <w:rPr>
          <w:rFonts w:ascii="Times New Roman" w:hAnsi="Times New Roman" w:cs="Times New Roman"/>
          <w:sz w:val="24"/>
          <w:szCs w:val="24"/>
          <w:u w:val="single"/>
        </w:rPr>
        <w:t xml:space="preserve"> de gasto y crédito dispara la deuda mundial hasta el 365% del PIB, máximos históricos</w:t>
      </w:r>
      <w:r>
        <w:rPr>
          <w:rFonts w:ascii="Times New Roman" w:hAnsi="Times New Roman" w:cs="Times New Roman"/>
          <w:sz w:val="24"/>
          <w:szCs w:val="24"/>
        </w:rPr>
        <w:t xml:space="preserve"> (El Economista - </w:t>
      </w:r>
      <w:r w:rsidRPr="00162486">
        <w:rPr>
          <w:rFonts w:ascii="Times New Roman" w:hAnsi="Times New Roman" w:cs="Times New Roman"/>
          <w:b/>
          <w:sz w:val="24"/>
          <w:szCs w:val="24"/>
        </w:rPr>
        <w:t>19/11/20</w:t>
      </w:r>
      <w:r>
        <w:rPr>
          <w:rFonts w:ascii="Times New Roman" w:hAnsi="Times New Roman" w:cs="Times New Roman"/>
          <w:sz w:val="24"/>
          <w:szCs w:val="24"/>
        </w:rPr>
        <w:t>)</w:t>
      </w:r>
    </w:p>
    <w:p w:rsidR="00C45B46" w:rsidRPr="004D3C6C" w:rsidRDefault="00C45B46" w:rsidP="00C45B46">
      <w:pPr>
        <w:pStyle w:val="NormalWeb"/>
        <w:shd w:val="clear" w:color="auto" w:fill="FFFFFF"/>
        <w:spacing w:before="0" w:beforeAutospacing="0" w:after="270" w:afterAutospacing="0"/>
        <w:jc w:val="both"/>
        <w:rPr>
          <w:spacing w:val="-1"/>
        </w:rPr>
      </w:pPr>
      <w:r w:rsidRPr="004D3C6C">
        <w:rPr>
          <w:spacing w:val="-1"/>
        </w:rPr>
        <w:t>La respuesta de gobiernos y empresas ante la recesión desatada por la pandemia covid-19 ha sido fundamental para amortiguar el golpe económico. Sin embargo, esta acción global tiene también consecuencias negativas:</w:t>
      </w:r>
      <w:hyperlink r:id="rId381" w:history="1">
        <w:r w:rsidRPr="004D3C6C">
          <w:rPr>
            <w:rStyle w:val="Hipervnculo"/>
            <w:color w:val="auto"/>
            <w:spacing w:val="-1"/>
            <w:u w:val="none"/>
          </w:rPr>
          <w:t> la deuda total mundial</w:t>
        </w:r>
      </w:hyperlink>
      <w:r w:rsidRPr="004D3C6C">
        <w:rPr>
          <w:spacing w:val="-1"/>
        </w:rPr>
        <w:t> está a punto de alcanzar un máximo histórico de 277 billones de dólares (233 billones de euros), el 365% del PIB. La combinación no da lugar a dudas, un aumento del gasto junto a una caída de ingresos se traduce en mucha más deuda.</w:t>
      </w:r>
    </w:p>
    <w:p w:rsidR="00C45B46" w:rsidRPr="004D3C6C" w:rsidRDefault="00C45B46" w:rsidP="00C45B46">
      <w:pPr>
        <w:pStyle w:val="NormalWeb"/>
        <w:shd w:val="clear" w:color="auto" w:fill="FFFFFF"/>
        <w:spacing w:before="0" w:beforeAutospacing="0" w:after="270" w:afterAutospacing="0"/>
        <w:jc w:val="both"/>
        <w:rPr>
          <w:spacing w:val="-1"/>
        </w:rPr>
      </w:pPr>
      <w:r w:rsidRPr="004D3C6C">
        <w:rPr>
          <w:spacing w:val="-1"/>
        </w:rPr>
        <w:t>Este nivel de endeudamiento equivale a 198 veces el tamaño de la economía de España. Mientras que la inflación esté bajo control y los tipos de interés puedan permanecer en los niveles actuales, la sostenibilidad de la deuda no será cuestionada. Si lo anterior cambia, la deuda puede ser un problema mucho mayor…</w:t>
      </w:r>
    </w:p>
    <w:p w:rsidR="00C45B46" w:rsidRPr="004D3C6C" w:rsidRDefault="00C45B46" w:rsidP="00C45B46">
      <w:pPr>
        <w:pStyle w:val="NormalWeb"/>
        <w:shd w:val="clear" w:color="auto" w:fill="FFFFFF"/>
        <w:spacing w:before="0" w:beforeAutospacing="0" w:after="270" w:afterAutospacing="0"/>
        <w:jc w:val="both"/>
        <w:rPr>
          <w:spacing w:val="-1"/>
        </w:rPr>
      </w:pPr>
      <w:r w:rsidRPr="004D3C6C">
        <w:rPr>
          <w:spacing w:val="-1"/>
        </w:rPr>
        <w:t>No obstante, “esperamos que la relación deuda/PIB mundial alcance</w:t>
      </w:r>
      <w:r w:rsidRPr="004D3C6C">
        <w:rPr>
          <w:bCs/>
          <w:spacing w:val="-1"/>
        </w:rPr>
        <w:t> el 365% del PIB</w:t>
      </w:r>
      <w:r w:rsidRPr="004D3C6C">
        <w:rPr>
          <w:spacing w:val="-1"/>
        </w:rPr>
        <w:t> en 2020. La deuda en los mercados desarrollados (entre los que se encuentra España y Europa) superó el 432% del PIB en el tercer trimestre de 2020, más de 50 puntos porcentuales con respecto a 2019”, reza el informe del IIF.</w:t>
      </w:r>
    </w:p>
    <w:p w:rsidR="00C45B46" w:rsidRPr="004D3C6C" w:rsidRDefault="00C45B46" w:rsidP="00C45B46">
      <w:pPr>
        <w:pStyle w:val="NormalWeb"/>
        <w:shd w:val="clear" w:color="auto" w:fill="FFFFFF"/>
        <w:spacing w:before="0" w:beforeAutospacing="0" w:after="270" w:afterAutospacing="0"/>
        <w:jc w:val="both"/>
        <w:rPr>
          <w:spacing w:val="-1"/>
        </w:rPr>
      </w:pPr>
      <w:r w:rsidRPr="004D3C6C">
        <w:rPr>
          <w:spacing w:val="-1"/>
        </w:rPr>
        <w:t>Estados Unidos representó casi la mitad de todo el incremento, con una deuda total en camino de alcanzar los 80 billones de dólares en 2020, frente a los 71 billones de dólares de 2019. Por sectores (gobierno, familias y empresas), la mayor parte del aumento se produjo en el gobierno general (hasta 3,7 billones de dólares) y en las empresas (hasta 1,7 billones de dólares).</w:t>
      </w:r>
    </w:p>
    <w:p w:rsidR="00C45B46" w:rsidRPr="004D3C6C" w:rsidRDefault="00C45B46" w:rsidP="00C45B46">
      <w:pPr>
        <w:pStyle w:val="NormalWeb"/>
        <w:shd w:val="clear" w:color="auto" w:fill="FFFFFF"/>
        <w:spacing w:before="0" w:beforeAutospacing="0" w:after="270" w:afterAutospacing="0"/>
        <w:jc w:val="both"/>
        <w:rPr>
          <w:spacing w:val="-1"/>
        </w:rPr>
      </w:pPr>
      <w:r w:rsidRPr="004D3C6C">
        <w:rPr>
          <w:spacing w:val="-1"/>
        </w:rPr>
        <w:t>En la zona del euro, un aumento de 1,5 billones de dólares en la deuda pública ha elevado la deuda total a más de 53 billones de dólares en el tercer trimestre de 2020 (aunque todavía está por debajo del máximo histórico de 55 billones de dólares en el segundo trimestre de 2014). La deuda en otros mercados desarrollados ascendió en más de 3,7 billones de dólares hasta los 65 billones en los primeros tres trimestres de 2020…</w:t>
      </w:r>
    </w:p>
    <w:p w:rsidR="00C45B46" w:rsidRDefault="00C45B46" w:rsidP="00C45B46">
      <w:pPr>
        <w:pStyle w:val="NormalWeb"/>
        <w:shd w:val="clear" w:color="auto" w:fill="FFFFFF"/>
        <w:spacing w:before="0" w:beforeAutospacing="0" w:after="270" w:afterAutospacing="0"/>
        <w:jc w:val="both"/>
        <w:rPr>
          <w:spacing w:val="-1"/>
        </w:rPr>
      </w:pPr>
      <w:r w:rsidRPr="004D3C6C">
        <w:rPr>
          <w:spacing w:val="-1"/>
        </w:rPr>
        <w:t>Volviendo a la deuda global, el IIF concluye que el ritmo de acumulación de deuda mundial en estos momentos es muy elevado, con un incremento de 52 billones de dólares. “Como resultado, existe una incertidumbre significativa sobre cómo la economía global puede desapalancarse (reducir estos niveles de deuda) en el futuro sin implicaciones adversas significativas para la actividad económica. La próxima década podría traer una </w:t>
      </w:r>
      <w:r w:rsidRPr="004D3C6C">
        <w:rPr>
          <w:bCs/>
          <w:spacing w:val="-1"/>
        </w:rPr>
        <w:t>respuesta fiscal reflacionaria</w:t>
      </w:r>
      <w:r w:rsidRPr="004D3C6C">
        <w:rPr>
          <w:spacing w:val="-1"/>
        </w:rPr>
        <w:t>, algo totalmente opuesto a la austeridad que se aplicó en la década de 2010. Si la montaña de deuda global continúa creciendo al ritmo promedio de los últimos 15 años, nuestras estimaciones iniciales sugieren que la deuda global podría superar los 360 billones de dólares para 2030, más 85 billones más que los niveles actuales”, concluye el informe</w:t>
      </w:r>
      <w:r w:rsidR="009E186A">
        <w:rPr>
          <w:spacing w:val="-1"/>
        </w:rPr>
        <w:t>…</w:t>
      </w:r>
    </w:p>
    <w:p w:rsidR="004D3C6C" w:rsidRDefault="004D3C6C" w:rsidP="00C45B46">
      <w:pPr>
        <w:pStyle w:val="NormalWeb"/>
        <w:shd w:val="clear" w:color="auto" w:fill="FFFFFF"/>
        <w:spacing w:before="0" w:beforeAutospacing="0" w:after="270" w:afterAutospacing="0"/>
        <w:jc w:val="both"/>
        <w:rPr>
          <w:spacing w:val="-1"/>
        </w:rPr>
      </w:pPr>
    </w:p>
    <w:p w:rsidR="004D3C6C" w:rsidRPr="004D3C6C" w:rsidRDefault="004D3C6C" w:rsidP="00C45B46">
      <w:pPr>
        <w:pStyle w:val="NormalWeb"/>
        <w:shd w:val="clear" w:color="auto" w:fill="FFFFFF"/>
        <w:spacing w:before="0" w:beforeAutospacing="0" w:after="270" w:afterAutospacing="0"/>
        <w:jc w:val="both"/>
        <w:rPr>
          <w:spacing w:val="-1"/>
        </w:rPr>
      </w:pPr>
    </w:p>
    <w:p w:rsidR="00C45B46" w:rsidRPr="00EB38CA" w:rsidRDefault="00C45B46" w:rsidP="00C45B46">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EB38CA">
        <w:rPr>
          <w:rFonts w:ascii="Times New Roman" w:hAnsi="Times New Roman" w:cs="Times New Roman"/>
          <w:sz w:val="24"/>
          <w:szCs w:val="24"/>
          <w:u w:val="single"/>
        </w:rPr>
        <w:t>Los tipos de interés cero quitan miles de millones a las fa</w:t>
      </w:r>
      <w:r>
        <w:rPr>
          <w:rFonts w:ascii="Times New Roman" w:hAnsi="Times New Roman" w:cs="Times New Roman"/>
          <w:sz w:val="24"/>
          <w:szCs w:val="24"/>
          <w:u w:val="single"/>
        </w:rPr>
        <w:t>milias para “dárselos”</w:t>
      </w:r>
      <w:r w:rsidRPr="00EB38CA">
        <w:rPr>
          <w:rFonts w:ascii="Times New Roman" w:hAnsi="Times New Roman" w:cs="Times New Roman"/>
          <w:sz w:val="24"/>
          <w:szCs w:val="24"/>
          <w:u w:val="single"/>
        </w:rPr>
        <w:t xml:space="preserve"> a gobiernos y empresas</w:t>
      </w:r>
      <w:r>
        <w:rPr>
          <w:rFonts w:ascii="Times New Roman" w:hAnsi="Times New Roman" w:cs="Times New Roman"/>
          <w:sz w:val="24"/>
          <w:szCs w:val="24"/>
        </w:rPr>
        <w:t xml:space="preserve"> (El Economista - </w:t>
      </w:r>
      <w:r>
        <w:rPr>
          <w:rFonts w:ascii="Times New Roman" w:hAnsi="Times New Roman" w:cs="Times New Roman"/>
          <w:b/>
          <w:sz w:val="24"/>
          <w:szCs w:val="24"/>
        </w:rPr>
        <w:t>21</w:t>
      </w:r>
      <w:r w:rsidRPr="00EB38CA">
        <w:rPr>
          <w:rFonts w:ascii="Times New Roman" w:hAnsi="Times New Roman" w:cs="Times New Roman"/>
          <w:b/>
          <w:sz w:val="24"/>
          <w:szCs w:val="24"/>
        </w:rPr>
        <w:t>/11/20</w:t>
      </w:r>
      <w:r>
        <w:rPr>
          <w:rFonts w:ascii="Times New Roman" w:hAnsi="Times New Roman" w:cs="Times New Roman"/>
          <w:sz w:val="24"/>
          <w:szCs w:val="24"/>
        </w:rPr>
        <w:t>)</w:t>
      </w:r>
    </w:p>
    <w:p w:rsidR="00C45B46" w:rsidRPr="004D3C6C" w:rsidRDefault="00C45B46" w:rsidP="00C45B46">
      <w:pPr>
        <w:pStyle w:val="NormalWeb"/>
        <w:shd w:val="clear" w:color="auto" w:fill="FFFFFF"/>
        <w:spacing w:before="0" w:beforeAutospacing="0" w:after="270" w:afterAutospacing="0"/>
        <w:jc w:val="both"/>
        <w:rPr>
          <w:spacing w:val="-1"/>
        </w:rPr>
      </w:pPr>
      <w:r w:rsidRPr="004D3C6C">
        <w:rPr>
          <w:spacing w:val="-1"/>
        </w:rPr>
        <w:t>El precio del dinero (tipos de interés) está en mínimos históricos y lo seguirá estando en un intento por estimular la economía (a través del consumo y la inversión) y </w:t>
      </w:r>
      <w:hyperlink r:id="rId382" w:history="1">
        <w:r w:rsidRPr="004D3C6C">
          <w:rPr>
            <w:rStyle w:val="Hipervnculo"/>
            <w:color w:val="auto"/>
            <w:spacing w:val="-1"/>
            <w:u w:val="none"/>
          </w:rPr>
          <w:t>hacer sostenible la elevada deuda</w:t>
        </w:r>
      </w:hyperlink>
      <w:r w:rsidRPr="004D3C6C">
        <w:rPr>
          <w:spacing w:val="-1"/>
        </w:rPr>
        <w:t> de gobiernos y empresas. Sin embargo, pese a las buenas intenciones de los banqueros centrales, este tipo de políticas impactan de diferentes formas en la sociedad. Aunque su resultado global pueda ser positivo, algunos efectos en el corto y largo plazo pueden ser un tanto controvertidos y afectar algunos sectores de la economía en particular.</w:t>
      </w:r>
    </w:p>
    <w:p w:rsidR="00C45B46" w:rsidRPr="004D3C6C" w:rsidRDefault="004C6999" w:rsidP="00C45B46">
      <w:pPr>
        <w:pStyle w:val="NormalWeb"/>
        <w:shd w:val="clear" w:color="auto" w:fill="FFFFFF"/>
        <w:spacing w:before="0" w:beforeAutospacing="0" w:after="270" w:afterAutospacing="0"/>
        <w:jc w:val="both"/>
        <w:rPr>
          <w:spacing w:val="-1"/>
        </w:rPr>
      </w:pPr>
      <w:hyperlink r:id="rId383" w:history="1">
        <w:r w:rsidR="00C45B46" w:rsidRPr="004D3C6C">
          <w:rPr>
            <w:rStyle w:val="Hipervnculo"/>
            <w:color w:val="auto"/>
            <w:spacing w:val="-1"/>
            <w:u w:val="none"/>
          </w:rPr>
          <w:t>Unos tipos de interés muy bajos</w:t>
        </w:r>
      </w:hyperlink>
      <w:r w:rsidR="00C45B46" w:rsidRPr="004D3C6C">
        <w:rPr>
          <w:spacing w:val="-1"/>
        </w:rPr>
        <w:t> benefician a los agentes más endeudados en términos netos (estos agentes son los que llevan el peso de la inversión en la economía), que son las empresas y los gobiernos. Por el contrario, las familias (cuyo ahorro se convierte en la deuda/inversión de empresas y gobiernos) suelen ser las perdedoras en términos netos, sobre todo aquellas que tienen una mayor cantidad de activos con rentabilidad ligada a los tipos de interés (depósitos, bonos...). Tras años de tipos cero se puede observar cómo las familias de la zona euro han visto una fuerte caída de los intereses que reciben a su favor pese a haber incrementado la cantidad relativa de activos (sobre pasivos). Por el contrario, gobiernos y empresas, pese a </w:t>
      </w:r>
      <w:hyperlink r:id="rId384" w:history="1">
        <w:r w:rsidR="00C45B46" w:rsidRPr="004D3C6C">
          <w:rPr>
            <w:rStyle w:val="Hipervnculo"/>
            <w:color w:val="auto"/>
            <w:spacing w:val="-1"/>
            <w:u w:val="none"/>
          </w:rPr>
          <w:t>haber elevado su endeudamiento</w:t>
        </w:r>
      </w:hyperlink>
      <w:r w:rsidR="00C45B46" w:rsidRPr="004D3C6C">
        <w:rPr>
          <w:spacing w:val="-1"/>
        </w:rPr>
        <w:t>, pagan hoy muchos menos intereses que en el pasado. El difícil equilibrio de la sostenibilidad de la deuda.</w:t>
      </w:r>
    </w:p>
    <w:p w:rsidR="00C45B46" w:rsidRPr="004D3C6C" w:rsidRDefault="00C45B46" w:rsidP="00C45B46">
      <w:pPr>
        <w:pStyle w:val="NormalWeb"/>
        <w:shd w:val="clear" w:color="auto" w:fill="FFFFFF"/>
        <w:spacing w:before="0" w:beforeAutospacing="0" w:after="270" w:afterAutospacing="0"/>
        <w:jc w:val="both"/>
        <w:rPr>
          <w:spacing w:val="-1"/>
        </w:rPr>
      </w:pPr>
      <w:r w:rsidRPr="004D3C6C">
        <w:rPr>
          <w:spacing w:val="-1"/>
        </w:rPr>
        <w:t>La aseguradora alemana Allianz destaca en un nuevo trabajo que “con la crisis del covid-19, los tipos de interés cero se afianzarán en Europa. Además de los efectos (negativos) a largo plazo (aumento de la desigualdad, mercados financieros distorsionados y mala asignación de recursos), también hay efectos directos sobre los ingresos. Hasta ahora, el resultado ha sido una “transferencia” de miles de millones de euros de los hogares privados al sector público y empresarial”</w:t>
      </w:r>
      <w:r w:rsidR="009E186A">
        <w:rPr>
          <w:spacing w:val="-1"/>
        </w:rPr>
        <w:t>…</w:t>
      </w:r>
    </w:p>
    <w:p w:rsidR="00C45B46" w:rsidRPr="00173916" w:rsidRDefault="00C45B46" w:rsidP="00C45B4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73916">
        <w:rPr>
          <w:rFonts w:ascii="Times New Roman" w:hAnsi="Times New Roman" w:cs="Times New Roman"/>
          <w:sz w:val="24"/>
          <w:szCs w:val="24"/>
          <w:u w:val="single"/>
        </w:rPr>
        <w:t>El Ibex maquilla el descalabro pero cierra 2020 como la Bolsa europea más castigada</w:t>
      </w:r>
      <w:r>
        <w:rPr>
          <w:rFonts w:ascii="Times New Roman" w:hAnsi="Times New Roman" w:cs="Times New Roman"/>
          <w:sz w:val="24"/>
          <w:szCs w:val="24"/>
        </w:rPr>
        <w:t xml:space="preserve"> (Cinco Días - </w:t>
      </w:r>
      <w:r w:rsidRPr="00173916">
        <w:rPr>
          <w:rFonts w:ascii="Times New Roman" w:hAnsi="Times New Roman" w:cs="Times New Roman"/>
          <w:b/>
          <w:sz w:val="24"/>
          <w:szCs w:val="24"/>
        </w:rPr>
        <w:t>1/1/21</w:t>
      </w:r>
      <w:r>
        <w:rPr>
          <w:rFonts w:ascii="Times New Roman" w:hAnsi="Times New Roman" w:cs="Times New Roman"/>
          <w:sz w:val="24"/>
          <w:szCs w:val="24"/>
        </w:rPr>
        <w:t>)</w:t>
      </w:r>
    </w:p>
    <w:p w:rsidR="00C45B46" w:rsidRPr="004D3C6C" w:rsidRDefault="00C45B46" w:rsidP="00C45B46">
      <w:pPr>
        <w:spacing w:line="240" w:lineRule="auto"/>
        <w:jc w:val="both"/>
        <w:rPr>
          <w:rFonts w:ascii="Times New Roman" w:hAnsi="Times New Roman" w:cs="Times New Roman"/>
          <w:sz w:val="24"/>
          <w:szCs w:val="24"/>
        </w:rPr>
      </w:pPr>
      <w:r w:rsidRPr="004D3C6C">
        <w:rPr>
          <w:rFonts w:ascii="Times New Roman" w:hAnsi="Times New Roman" w:cs="Times New Roman"/>
          <w:sz w:val="24"/>
          <w:szCs w:val="24"/>
        </w:rPr>
        <w:t>La debacle bursátil desatada en marzo por la pandemia fue tal que forzó a los bancos centrales a intervenir con un nivel de estímulos sin precedentes. La Reserva Federal de EEUU, el BCE el Banco de Inglaterra y el Banco de Japón sacaron su artillería pesada e inundaron de liquidez al mercado. Los índices tocaron fondo en marzo y fue entonces, de la mano de los bancos centrales, cuando iniciaron su recuperación. En total, entre los cuatro grandes bancos centrales han inyectado más de ocho billones de dólares en la economía para reactivar el crédito y evitar el colapso. En EEUU, los tipos han vuelto al 0%, niveles no vistos desde la crisis de 2008</w:t>
      </w:r>
      <w:r w:rsidR="009E186A">
        <w:rPr>
          <w:rFonts w:ascii="Times New Roman" w:hAnsi="Times New Roman" w:cs="Times New Roman"/>
          <w:sz w:val="24"/>
          <w:szCs w:val="24"/>
        </w:rPr>
        <w:t>…</w:t>
      </w:r>
    </w:p>
    <w:p w:rsidR="00C45B46" w:rsidRPr="00F02FBA" w:rsidRDefault="00C45B46" w:rsidP="00C45B4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02FBA">
        <w:rPr>
          <w:rFonts w:ascii="Times New Roman" w:hAnsi="Times New Roman" w:cs="Times New Roman"/>
          <w:sz w:val="24"/>
          <w:szCs w:val="24"/>
          <w:u w:val="single"/>
        </w:rPr>
        <w:t>Biden anuncia un plan de ayudas urgentes para inyectar 1,5 billones en la economía</w:t>
      </w:r>
      <w:r>
        <w:rPr>
          <w:rFonts w:ascii="Times New Roman" w:hAnsi="Times New Roman" w:cs="Times New Roman"/>
          <w:sz w:val="24"/>
          <w:szCs w:val="24"/>
        </w:rPr>
        <w:t xml:space="preserve"> (Cinco Días - </w:t>
      </w:r>
      <w:r w:rsidRPr="00F02FBA">
        <w:rPr>
          <w:rFonts w:ascii="Times New Roman" w:hAnsi="Times New Roman" w:cs="Times New Roman"/>
          <w:b/>
          <w:sz w:val="24"/>
          <w:szCs w:val="24"/>
        </w:rPr>
        <w:t>15/1/21</w:t>
      </w:r>
      <w:r>
        <w:rPr>
          <w:rFonts w:ascii="Times New Roman" w:hAnsi="Times New Roman" w:cs="Times New Roman"/>
          <w:sz w:val="24"/>
          <w:szCs w:val="24"/>
        </w:rPr>
        <w:t>)</w:t>
      </w:r>
    </w:p>
    <w:p w:rsidR="00C45B46" w:rsidRPr="004D3C6C" w:rsidRDefault="00C45B46" w:rsidP="00C45B46">
      <w:pPr>
        <w:spacing w:line="240" w:lineRule="auto"/>
        <w:jc w:val="both"/>
        <w:rPr>
          <w:rFonts w:ascii="Times New Roman" w:hAnsi="Times New Roman" w:cs="Times New Roman"/>
          <w:sz w:val="24"/>
          <w:szCs w:val="24"/>
        </w:rPr>
      </w:pPr>
      <w:r w:rsidRPr="004D3C6C">
        <w:rPr>
          <w:rFonts w:ascii="Times New Roman" w:hAnsi="Times New Roman" w:cs="Times New Roman"/>
          <w:sz w:val="24"/>
          <w:szCs w:val="24"/>
        </w:rPr>
        <w:t>El plan prevé la creación de 18 millones de puestos de trabajo, con ayudas directas de 1.150 euros por ciudadano</w:t>
      </w:r>
    </w:p>
    <w:p w:rsidR="00C45B46" w:rsidRPr="004D3C6C" w:rsidRDefault="00C45B46" w:rsidP="00C45B46">
      <w:pPr>
        <w:spacing w:line="240" w:lineRule="auto"/>
        <w:jc w:val="both"/>
        <w:rPr>
          <w:rFonts w:ascii="Times New Roman" w:hAnsi="Times New Roman" w:cs="Times New Roman"/>
          <w:sz w:val="24"/>
          <w:szCs w:val="24"/>
        </w:rPr>
      </w:pPr>
      <w:r w:rsidRPr="004D3C6C">
        <w:rPr>
          <w:rFonts w:ascii="Times New Roman" w:hAnsi="Times New Roman" w:cs="Times New Roman"/>
          <w:sz w:val="24"/>
          <w:szCs w:val="24"/>
        </w:rPr>
        <w:t xml:space="preserve">El presidente electo de Estados Unidos, Joe Biden, ha anunciado este jueves un paquete de ayuda económica valorado en 1,9 billones de dólares (1,5 billones de euros) para hacer frente a la crisis económica provocada por la pandemia del coronavirus. “Hemos de actuar ahora”, anunció ayer Biden en una comparecencia celebrada en Delaware, en la costa este de Estados Unidos, con la presencia también de la que será su vicepresidenta, Kamala Harris. “Durante </w:t>
      </w:r>
      <w:r w:rsidRPr="004D3C6C">
        <w:rPr>
          <w:rFonts w:ascii="Times New Roman" w:hAnsi="Times New Roman" w:cs="Times New Roman"/>
          <w:sz w:val="24"/>
          <w:szCs w:val="24"/>
        </w:rPr>
        <w:lastRenderedPageBreak/>
        <w:t>esta pandemia, millones de estadounidenses, sin tener la culpa, han perdido la dignidad y el respeto que conlleva un trabajo”</w:t>
      </w:r>
      <w:r w:rsidR="009E186A">
        <w:rPr>
          <w:rFonts w:ascii="Times New Roman" w:hAnsi="Times New Roman" w:cs="Times New Roman"/>
          <w:sz w:val="24"/>
          <w:szCs w:val="24"/>
        </w:rPr>
        <w:t>…</w:t>
      </w:r>
    </w:p>
    <w:p w:rsidR="00C45B46" w:rsidRPr="001F34C1" w:rsidRDefault="00C45B46" w:rsidP="00C45B4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F34C1">
        <w:rPr>
          <w:rFonts w:ascii="Times New Roman" w:hAnsi="Times New Roman" w:cs="Times New Roman"/>
          <w:sz w:val="24"/>
          <w:szCs w:val="24"/>
          <w:u w:val="single"/>
        </w:rPr>
        <w:t>El legado de Trump: casi 7,8 billones de dólares en deuda pública en EEUU</w:t>
      </w:r>
      <w:r>
        <w:rPr>
          <w:rFonts w:ascii="Times New Roman" w:hAnsi="Times New Roman" w:cs="Times New Roman"/>
          <w:sz w:val="24"/>
          <w:szCs w:val="24"/>
        </w:rPr>
        <w:t xml:space="preserve"> (El Economista - </w:t>
      </w:r>
      <w:r w:rsidRPr="001F34C1">
        <w:rPr>
          <w:rFonts w:ascii="Times New Roman" w:hAnsi="Times New Roman" w:cs="Times New Roman"/>
          <w:b/>
          <w:sz w:val="24"/>
          <w:szCs w:val="24"/>
        </w:rPr>
        <w:t>16/1/21</w:t>
      </w:r>
      <w:r>
        <w:rPr>
          <w:rFonts w:ascii="Times New Roman" w:hAnsi="Times New Roman" w:cs="Times New Roman"/>
          <w:sz w:val="24"/>
          <w:szCs w:val="24"/>
        </w:rPr>
        <w:t>)</w:t>
      </w:r>
    </w:p>
    <w:p w:rsidR="00C45B46" w:rsidRPr="001F34C1" w:rsidRDefault="00C45B46" w:rsidP="00C45B46">
      <w:pPr>
        <w:spacing w:line="240" w:lineRule="auto"/>
        <w:jc w:val="both"/>
        <w:rPr>
          <w:rFonts w:ascii="Times New Roman" w:hAnsi="Times New Roman" w:cs="Times New Roman"/>
          <w:sz w:val="24"/>
          <w:szCs w:val="24"/>
        </w:rPr>
      </w:pPr>
      <w:r w:rsidRPr="001F34C1">
        <w:rPr>
          <w:rFonts w:ascii="Times New Roman" w:hAnsi="Times New Roman" w:cs="Times New Roman"/>
          <w:sz w:val="24"/>
          <w:szCs w:val="24"/>
        </w:rPr>
        <w:t>El impacto de la pandemia marcará el último año del presidente saliente, Donald Trump en la Casa Blanca. La crisis de salud y posterior debacle económica cerró el año pasado con la peor destrucción de empleo desde que se registran estos datos desde 1939 mientras que solo en diciembre se destruyeron otros 140.000 empleos y las ven</w:t>
      </w:r>
      <w:r>
        <w:rPr>
          <w:rFonts w:ascii="Times New Roman" w:hAnsi="Times New Roman" w:cs="Times New Roman"/>
          <w:sz w:val="24"/>
          <w:szCs w:val="24"/>
        </w:rPr>
        <w:t>tas minoristas cayeron un 0,7%.</w:t>
      </w:r>
    </w:p>
    <w:p w:rsidR="00C45B46" w:rsidRPr="004D3C6C" w:rsidRDefault="00C45B46" w:rsidP="00C45B46">
      <w:pPr>
        <w:spacing w:line="240" w:lineRule="auto"/>
        <w:jc w:val="both"/>
        <w:rPr>
          <w:rFonts w:ascii="Times New Roman" w:hAnsi="Times New Roman" w:cs="Times New Roman"/>
          <w:sz w:val="24"/>
          <w:szCs w:val="24"/>
        </w:rPr>
      </w:pPr>
      <w:r w:rsidRPr="004D3C6C">
        <w:rPr>
          <w:rFonts w:ascii="Times New Roman" w:hAnsi="Times New Roman" w:cs="Times New Roman"/>
          <w:sz w:val="24"/>
          <w:szCs w:val="24"/>
        </w:rPr>
        <w:t>Para hacer frente a esta situación, el masivo desembolso público, en forma de dos paquetes de estímulo, uno por algo más de 2 billones de dólares y otro por alrededor de 900.000 millones de dólares, incrementó sensiblemente la deuda del país. Sin embargo, incluso antes del azote del Covid-19, la Administración del republicano ya había puesto en una senda ascendente el apalancamiento del gobierno.</w:t>
      </w:r>
    </w:p>
    <w:p w:rsidR="00C45B46" w:rsidRPr="004D3C6C" w:rsidRDefault="00C45B46" w:rsidP="00C45B46">
      <w:pPr>
        <w:spacing w:line="240" w:lineRule="auto"/>
        <w:jc w:val="both"/>
        <w:rPr>
          <w:rFonts w:ascii="Times New Roman" w:hAnsi="Times New Roman" w:cs="Times New Roman"/>
          <w:sz w:val="24"/>
          <w:szCs w:val="24"/>
        </w:rPr>
      </w:pPr>
      <w:r w:rsidRPr="004D3C6C">
        <w:rPr>
          <w:rFonts w:ascii="Times New Roman" w:hAnsi="Times New Roman" w:cs="Times New Roman"/>
          <w:sz w:val="24"/>
          <w:szCs w:val="24"/>
        </w:rPr>
        <w:t>Durante los cuatro años de Trump la deuda nacional ha aumentado en casi 7,8 billones de dólares hasta un total de 27,7 billones de dólares, según la plataforma USDebtClock.org.</w:t>
      </w:r>
    </w:p>
    <w:p w:rsidR="00C45B46" w:rsidRPr="004D3C6C" w:rsidRDefault="00C45B46" w:rsidP="00C45B46">
      <w:pPr>
        <w:spacing w:line="240" w:lineRule="auto"/>
        <w:jc w:val="both"/>
        <w:rPr>
          <w:rFonts w:ascii="Times New Roman" w:hAnsi="Times New Roman" w:cs="Times New Roman"/>
          <w:sz w:val="24"/>
          <w:szCs w:val="24"/>
        </w:rPr>
      </w:pPr>
      <w:r w:rsidRPr="004D3C6C">
        <w:rPr>
          <w:rFonts w:ascii="Times New Roman" w:hAnsi="Times New Roman" w:cs="Times New Roman"/>
          <w:sz w:val="24"/>
          <w:szCs w:val="24"/>
        </w:rPr>
        <w:t>El aumento bajo su mandato equivale casi al doble de lo que los estadounidenses deben en préstamos estudiantiles, para automóviles, tarjetas de crédito y cualquier otro tipo de deuda que no sean hipotecas. Es decir, alrededor de 23.500 dólares por contribuyente, según los datos de la Reserva Federal de Nueva York que recoge el portal ProPublica.</w:t>
      </w:r>
    </w:p>
    <w:p w:rsidR="00C45B46" w:rsidRPr="004D3C6C" w:rsidRDefault="00C45B46" w:rsidP="00C45B46">
      <w:pPr>
        <w:spacing w:line="240" w:lineRule="auto"/>
        <w:jc w:val="both"/>
        <w:rPr>
          <w:rFonts w:ascii="Times New Roman" w:hAnsi="Times New Roman" w:cs="Times New Roman"/>
          <w:sz w:val="24"/>
          <w:szCs w:val="24"/>
        </w:rPr>
      </w:pPr>
      <w:r w:rsidRPr="004D3C6C">
        <w:rPr>
          <w:rFonts w:ascii="Times New Roman" w:hAnsi="Times New Roman" w:cs="Times New Roman"/>
          <w:sz w:val="24"/>
          <w:szCs w:val="24"/>
        </w:rPr>
        <w:t>Por su parte, la Oficina Presupuestaria del Congreso (CBO, por sus siglas en inglés) estima que el déficit cerró el año pasado en los 3,3 billones de dólares, alrededor del 16% del PIB. En estos momentos se prevé que, en el ejercicio en curso, el déficit baje considerablemente pero seguirá rondando casi el 9% del PIB.</w:t>
      </w:r>
    </w:p>
    <w:p w:rsidR="00C45B46" w:rsidRPr="004D3C6C" w:rsidRDefault="00C45B46" w:rsidP="00C45B46">
      <w:pPr>
        <w:spacing w:line="240" w:lineRule="auto"/>
        <w:jc w:val="both"/>
        <w:rPr>
          <w:rFonts w:ascii="Times New Roman" w:hAnsi="Times New Roman" w:cs="Times New Roman"/>
          <w:sz w:val="24"/>
          <w:szCs w:val="24"/>
        </w:rPr>
      </w:pPr>
      <w:r w:rsidRPr="004D3C6C">
        <w:rPr>
          <w:rFonts w:ascii="Times New Roman" w:hAnsi="Times New Roman" w:cs="Times New Roman"/>
          <w:sz w:val="24"/>
          <w:szCs w:val="24"/>
        </w:rPr>
        <w:t>Eso sí, estas cifras todavía no digieren el potencial plan de estímulo de 1,9 billones de dólares presentado por la Administración del presidente electo, el demócrata, Joe Biden. A la espera de una actualización, la CBO estima que, para 2023, el déficit disminuirá al 4,9% a medida que los gastos relacionados con la pandemia disminuyen y la economía mejora</w:t>
      </w:r>
      <w:r w:rsidR="009E186A">
        <w:rPr>
          <w:rFonts w:ascii="Times New Roman" w:hAnsi="Times New Roman" w:cs="Times New Roman"/>
          <w:sz w:val="24"/>
          <w:szCs w:val="24"/>
        </w:rPr>
        <w:t>…</w:t>
      </w:r>
    </w:p>
    <w:p w:rsidR="00C45B46" w:rsidRPr="007A5B07" w:rsidRDefault="00C45B46" w:rsidP="00C45B4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A5B07">
        <w:rPr>
          <w:rFonts w:ascii="Times New Roman" w:hAnsi="Times New Roman" w:cs="Times New Roman"/>
          <w:sz w:val="24"/>
          <w:szCs w:val="24"/>
          <w:u w:val="single"/>
        </w:rPr>
        <w:t>Los países del euro emitirán 1,2 billones de deuda en otro año de fuerte gasto</w:t>
      </w:r>
      <w:r>
        <w:rPr>
          <w:rFonts w:ascii="Times New Roman" w:hAnsi="Times New Roman" w:cs="Times New Roman"/>
          <w:sz w:val="24"/>
          <w:szCs w:val="24"/>
        </w:rPr>
        <w:t xml:space="preserve"> (Cinco Días - </w:t>
      </w:r>
      <w:r w:rsidRPr="007A5B07">
        <w:rPr>
          <w:rFonts w:ascii="Times New Roman" w:hAnsi="Times New Roman" w:cs="Times New Roman"/>
          <w:b/>
          <w:sz w:val="24"/>
          <w:szCs w:val="24"/>
        </w:rPr>
        <w:t>20/1/21</w:t>
      </w:r>
      <w:r>
        <w:rPr>
          <w:rFonts w:ascii="Times New Roman" w:hAnsi="Times New Roman" w:cs="Times New Roman"/>
          <w:sz w:val="24"/>
          <w:szCs w:val="24"/>
        </w:rPr>
        <w:t>)</w:t>
      </w:r>
    </w:p>
    <w:p w:rsidR="00C45B46" w:rsidRPr="004D3C6C" w:rsidRDefault="00C45B46" w:rsidP="00C45B46">
      <w:pPr>
        <w:spacing w:line="240" w:lineRule="auto"/>
        <w:jc w:val="both"/>
        <w:rPr>
          <w:rFonts w:ascii="Times New Roman" w:hAnsi="Times New Roman" w:cs="Times New Roman"/>
          <w:sz w:val="24"/>
          <w:szCs w:val="24"/>
        </w:rPr>
      </w:pPr>
      <w:r w:rsidRPr="004D3C6C">
        <w:rPr>
          <w:rFonts w:ascii="Times New Roman" w:hAnsi="Times New Roman" w:cs="Times New Roman"/>
          <w:sz w:val="24"/>
          <w:szCs w:val="24"/>
        </w:rPr>
        <w:t>El déficit se reducirá pero el grado de emisión será similar a 2020. El mal inicio de año augura el refuerzo de las políticas expansivas</w:t>
      </w:r>
    </w:p>
    <w:p w:rsidR="00C45B46" w:rsidRPr="004D3C6C" w:rsidRDefault="00C45B46" w:rsidP="00C45B46">
      <w:pPr>
        <w:spacing w:line="240" w:lineRule="auto"/>
        <w:jc w:val="both"/>
        <w:rPr>
          <w:rFonts w:ascii="Times New Roman" w:hAnsi="Times New Roman" w:cs="Times New Roman"/>
          <w:sz w:val="24"/>
          <w:szCs w:val="24"/>
        </w:rPr>
      </w:pPr>
      <w:r w:rsidRPr="004D3C6C">
        <w:rPr>
          <w:rFonts w:ascii="Times New Roman" w:hAnsi="Times New Roman" w:cs="Times New Roman"/>
          <w:sz w:val="24"/>
          <w:szCs w:val="24"/>
        </w:rPr>
        <w:t>El fuerte endeudamiento fue la opción obligada en 2020 para los Gobiernos de la zona euro para hacer frente a la pandemia en 2020 y lo volverá a ser en 2021. A pesar de que este año se prevé crecimiento económico y de que los déficits públicos vayan a ser menores a los del año pasado, el volumen de emisión de deuda soberana en la zona euro de este ejercicio será muy similar al de 2020.</w:t>
      </w:r>
    </w:p>
    <w:p w:rsidR="00C45B46" w:rsidRPr="004D3C6C" w:rsidRDefault="00C45B46" w:rsidP="00C45B46">
      <w:pPr>
        <w:spacing w:line="240" w:lineRule="auto"/>
        <w:jc w:val="both"/>
        <w:rPr>
          <w:rFonts w:ascii="Times New Roman" w:hAnsi="Times New Roman" w:cs="Times New Roman"/>
          <w:sz w:val="24"/>
          <w:szCs w:val="24"/>
        </w:rPr>
      </w:pPr>
      <w:r w:rsidRPr="004D3C6C">
        <w:rPr>
          <w:rFonts w:ascii="Times New Roman" w:hAnsi="Times New Roman" w:cs="Times New Roman"/>
          <w:sz w:val="24"/>
          <w:szCs w:val="24"/>
        </w:rPr>
        <w:t>En Citi prevén un volumen de emisión bruta por 1,204 billones de euros, en línea con 2020 si bien la emisión neta de este año sería incluso superior dado el menor volumen de vencimientos previstos. En concreto, casi 660.000 millones de euros de nuevo endeudamiento, una cifra que en Société Générale rebajan a los 541.000 millones de euros, contando con el efecto de la financiación que obtendrán los Gobiernos del fondo europeo de recuperación</w:t>
      </w:r>
      <w:r w:rsidR="009E186A">
        <w:rPr>
          <w:rFonts w:ascii="Times New Roman" w:hAnsi="Times New Roman" w:cs="Times New Roman"/>
          <w:sz w:val="24"/>
          <w:szCs w:val="24"/>
        </w:rPr>
        <w:t>…</w:t>
      </w:r>
    </w:p>
    <w:p w:rsidR="00C45B46" w:rsidRPr="004E3E29" w:rsidRDefault="00C45B46" w:rsidP="00C45B46">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64017C">
        <w:rPr>
          <w:rFonts w:ascii="Times New Roman" w:hAnsi="Times New Roman" w:cs="Times New Roman"/>
          <w:sz w:val="24"/>
          <w:szCs w:val="24"/>
          <w:u w:val="single"/>
        </w:rPr>
        <w:t xml:space="preserve">Biden fía a un gasto sin precedentes para frenar el </w:t>
      </w:r>
      <w:r>
        <w:rPr>
          <w:rFonts w:ascii="Times New Roman" w:hAnsi="Times New Roman" w:cs="Times New Roman"/>
          <w:sz w:val="24"/>
          <w:szCs w:val="24"/>
          <w:u w:val="single"/>
        </w:rPr>
        <w:t>“</w:t>
      </w:r>
      <w:r w:rsidRPr="0064017C">
        <w:rPr>
          <w:rFonts w:ascii="Times New Roman" w:hAnsi="Times New Roman" w:cs="Times New Roman"/>
          <w:sz w:val="24"/>
          <w:szCs w:val="24"/>
          <w:u w:val="single"/>
        </w:rPr>
        <w:t>sorpasso</w:t>
      </w:r>
      <w:r>
        <w:rPr>
          <w:rFonts w:ascii="Times New Roman" w:hAnsi="Times New Roman" w:cs="Times New Roman"/>
          <w:sz w:val="24"/>
          <w:szCs w:val="24"/>
          <w:u w:val="single"/>
        </w:rPr>
        <w:t>”</w:t>
      </w:r>
      <w:r w:rsidRPr="0064017C">
        <w:rPr>
          <w:rFonts w:ascii="Times New Roman" w:hAnsi="Times New Roman" w:cs="Times New Roman"/>
          <w:sz w:val="24"/>
          <w:szCs w:val="24"/>
          <w:u w:val="single"/>
        </w:rPr>
        <w:t xml:space="preserve"> de China</w:t>
      </w:r>
      <w:r>
        <w:rPr>
          <w:rFonts w:ascii="Times New Roman" w:hAnsi="Times New Roman" w:cs="Times New Roman"/>
          <w:sz w:val="24"/>
          <w:szCs w:val="24"/>
        </w:rPr>
        <w:t xml:space="preserve"> (el Economista - </w:t>
      </w:r>
      <w:r w:rsidRPr="004E3E29">
        <w:rPr>
          <w:rFonts w:ascii="Times New Roman" w:hAnsi="Times New Roman" w:cs="Times New Roman"/>
          <w:b/>
          <w:sz w:val="24"/>
          <w:szCs w:val="24"/>
        </w:rPr>
        <w:t>19/1/21</w:t>
      </w:r>
      <w:r>
        <w:rPr>
          <w:rFonts w:ascii="Times New Roman" w:hAnsi="Times New Roman" w:cs="Times New Roman"/>
          <w:sz w:val="24"/>
          <w:szCs w:val="24"/>
        </w:rPr>
        <w:t>)</w:t>
      </w:r>
    </w:p>
    <w:p w:rsidR="00C45B46" w:rsidRPr="004D3C6C" w:rsidRDefault="00C45B46" w:rsidP="00C45B46">
      <w:pPr>
        <w:spacing w:line="240" w:lineRule="auto"/>
        <w:jc w:val="both"/>
        <w:rPr>
          <w:rFonts w:ascii="Times New Roman" w:hAnsi="Times New Roman" w:cs="Times New Roman"/>
          <w:sz w:val="24"/>
          <w:szCs w:val="24"/>
        </w:rPr>
      </w:pPr>
      <w:r w:rsidRPr="004D3C6C">
        <w:rPr>
          <w:rFonts w:ascii="Times New Roman" w:hAnsi="Times New Roman" w:cs="Times New Roman"/>
          <w:sz w:val="24"/>
          <w:szCs w:val="24"/>
        </w:rPr>
        <w:t>La pandemia “asestó un golpe mucho más grande a la economía estadounidense que a la china”, según reza el informe de Nomura a sus clientes. “El tiempo dirá, pero en nuestra opinión hay una alta probabilidad de que en 2026 China resurja como la mayor economía del mundo”, añaden.</w:t>
      </w:r>
    </w:p>
    <w:p w:rsidR="00C45B46" w:rsidRPr="004D3C6C" w:rsidRDefault="00C45B46" w:rsidP="00C45B46">
      <w:pPr>
        <w:spacing w:line="240" w:lineRule="auto"/>
        <w:jc w:val="both"/>
        <w:rPr>
          <w:rFonts w:ascii="Times New Roman" w:hAnsi="Times New Roman" w:cs="Times New Roman"/>
          <w:sz w:val="24"/>
          <w:szCs w:val="24"/>
        </w:rPr>
      </w:pPr>
      <w:r w:rsidRPr="004D3C6C">
        <w:rPr>
          <w:rFonts w:ascii="Times New Roman" w:hAnsi="Times New Roman" w:cs="Times New Roman"/>
          <w:sz w:val="24"/>
          <w:szCs w:val="24"/>
        </w:rPr>
        <w:t>Es por ello que Biden y su gabinete económico llegan dispuestos a instigar un gasto público sin precedentes, que no solo evite “una recesión más larga y dolorosa” como adelantó el martes Janet Yellen, nominada a secretaria del Tesoro, sino que frene el imparable avance del gigante asiático. La nueva Administración estadounidense aboga inmediatamente por una factura de gasto adicional por valor del 8,6% del PIB que se sumaría a los estímulos por más de 2 billones de dólares activados el pasado mes de marzo y la remesa de otros 900.000 millones de dólares adicionales autorizados a finales de diciembre.</w:t>
      </w:r>
    </w:p>
    <w:p w:rsidR="00C45B46" w:rsidRPr="004D3C6C" w:rsidRDefault="00C45B46" w:rsidP="00C45B46">
      <w:pPr>
        <w:spacing w:line="240" w:lineRule="auto"/>
        <w:jc w:val="both"/>
        <w:rPr>
          <w:rFonts w:ascii="Times New Roman" w:hAnsi="Times New Roman" w:cs="Times New Roman"/>
          <w:sz w:val="24"/>
          <w:szCs w:val="24"/>
        </w:rPr>
      </w:pPr>
      <w:r w:rsidRPr="004D3C6C">
        <w:rPr>
          <w:rFonts w:ascii="Times New Roman" w:hAnsi="Times New Roman" w:cs="Times New Roman"/>
          <w:sz w:val="24"/>
          <w:szCs w:val="24"/>
        </w:rPr>
        <w:t>Pero además del Plan de Rescate Americano desvelado la semana pasada, por valor de 1,9 billones de dólares, el demócrata presentará el próximo mes la segunda fase del mismo, orientado a la inversión en infraestructura y la transición energética que promete ascender hasta por los menos otros 2 billones de dólares</w:t>
      </w:r>
      <w:r w:rsidR="009E186A">
        <w:rPr>
          <w:rFonts w:ascii="Times New Roman" w:hAnsi="Times New Roman" w:cs="Times New Roman"/>
          <w:sz w:val="24"/>
          <w:szCs w:val="24"/>
        </w:rPr>
        <w:t>…</w:t>
      </w:r>
    </w:p>
    <w:p w:rsidR="00C45B46" w:rsidRPr="00B95B80" w:rsidRDefault="00C45B46" w:rsidP="00C45B4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95B80">
        <w:rPr>
          <w:rFonts w:ascii="Times New Roman" w:hAnsi="Times New Roman" w:cs="Times New Roman"/>
          <w:sz w:val="24"/>
          <w:szCs w:val="24"/>
          <w:u w:val="single"/>
        </w:rPr>
        <w:t>EEUU duplica en gasto a Europa para salvar su economía de la pandemia</w:t>
      </w:r>
      <w:r>
        <w:rPr>
          <w:rFonts w:ascii="Times New Roman" w:hAnsi="Times New Roman" w:cs="Times New Roman"/>
          <w:sz w:val="24"/>
          <w:szCs w:val="24"/>
        </w:rPr>
        <w:t xml:space="preserve"> (El Economista - </w:t>
      </w:r>
      <w:r w:rsidRPr="00B95B80">
        <w:rPr>
          <w:rFonts w:ascii="Times New Roman" w:hAnsi="Times New Roman" w:cs="Times New Roman"/>
          <w:b/>
          <w:sz w:val="24"/>
          <w:szCs w:val="24"/>
        </w:rPr>
        <w:t>14/3/21</w:t>
      </w:r>
      <w:r>
        <w:rPr>
          <w:rFonts w:ascii="Times New Roman" w:hAnsi="Times New Roman" w:cs="Times New Roman"/>
          <w:sz w:val="24"/>
          <w:szCs w:val="24"/>
        </w:rPr>
        <w:t>)</w:t>
      </w:r>
    </w:p>
    <w:p w:rsidR="00C45B46" w:rsidRPr="004D3C6C" w:rsidRDefault="00C45B46" w:rsidP="00C45B46">
      <w:pPr>
        <w:spacing w:line="240" w:lineRule="auto"/>
        <w:jc w:val="both"/>
        <w:rPr>
          <w:rFonts w:ascii="Times New Roman" w:hAnsi="Times New Roman" w:cs="Times New Roman"/>
          <w:sz w:val="24"/>
          <w:szCs w:val="24"/>
        </w:rPr>
      </w:pPr>
      <w:r w:rsidRPr="004D3C6C">
        <w:rPr>
          <w:rFonts w:ascii="Times New Roman" w:hAnsi="Times New Roman" w:cs="Times New Roman"/>
          <w:sz w:val="24"/>
          <w:szCs w:val="24"/>
        </w:rPr>
        <w:t>Cuando se cumple un año de la pandemia del Covid-19, el mismo virus ha generado respuestas sin precedentes a la par que dispares a ambos lados del Atlántico. Si bien es cierto que la idiosincrasia y el tejido productivo de la economía estadounidense y la europea difiere, a Washington no le ha temblado la mano a la hora de activar el mayor desembolso público desde la II Guerra Mundial, que asciende ya al 32% del PIB, según las últimas estimaciones, lo que supone duplicar la inyección fiscal europea, de dos billones de euros en este capítulo. En ambos casos, estadounidense y europeo, existen inyecciones monetarias y/o garantías adicionales al desembolso para apuntalar la demanda…</w:t>
      </w:r>
    </w:p>
    <w:p w:rsidR="00C45B46" w:rsidRPr="004D3C6C" w:rsidRDefault="00C45B46" w:rsidP="00C45B46">
      <w:pPr>
        <w:spacing w:line="240" w:lineRule="auto"/>
        <w:jc w:val="both"/>
        <w:rPr>
          <w:rFonts w:ascii="Times New Roman" w:hAnsi="Times New Roman" w:cs="Times New Roman"/>
          <w:sz w:val="24"/>
          <w:szCs w:val="24"/>
        </w:rPr>
      </w:pPr>
      <w:r w:rsidRPr="004D3C6C">
        <w:rPr>
          <w:rFonts w:ascii="Times New Roman" w:hAnsi="Times New Roman" w:cs="Times New Roman"/>
          <w:sz w:val="24"/>
          <w:szCs w:val="24"/>
        </w:rPr>
        <w:t>Del lado fiscal, el flotador supera ya los 5,6 billones de dólares (unos 4,5 billones de euros), alrededor del 32% del PIB si incluimos el Plan de Recuperación Americana que rubricó este jueves el presidente de EEUU, Joe Biden, según datos de Bank of America. Esta cifra es casi cuatro veces mayor a la aplicada en respuesta a la crisis financiera de 2008 y dobla la inyección actual de la UE. No obstante, las comparaciones concretas son complicadas dado que el estado de bienestar europeo ha servido como amortiguador del gasto…</w:t>
      </w:r>
    </w:p>
    <w:p w:rsidR="00C45B46" w:rsidRPr="004D3C6C" w:rsidRDefault="00C45B46" w:rsidP="00C45B46">
      <w:pPr>
        <w:spacing w:line="240" w:lineRule="auto"/>
        <w:jc w:val="both"/>
        <w:rPr>
          <w:rFonts w:ascii="Times New Roman" w:hAnsi="Times New Roman" w:cs="Times New Roman"/>
          <w:sz w:val="24"/>
          <w:szCs w:val="24"/>
        </w:rPr>
      </w:pPr>
      <w:r w:rsidRPr="004D3C6C">
        <w:rPr>
          <w:rFonts w:ascii="Times New Roman" w:hAnsi="Times New Roman" w:cs="Times New Roman"/>
          <w:sz w:val="24"/>
          <w:szCs w:val="24"/>
        </w:rPr>
        <w:t>Además del estímulo fiscal, la Reserva Federal también ha hecho su tarea. Después de rebajar los tipos de interés en 150 puntos porcentuales hasta llevar de nuevo el precio del dinero a un rango de entre el 0 y el 0,25% ha aumentado su capacidad de imprimir dinero llegando casi a duplicar su balance hasta más de 7,5 billones de dólares…</w:t>
      </w:r>
    </w:p>
    <w:p w:rsidR="00C45B46" w:rsidRPr="004D3C6C" w:rsidRDefault="00C45B46" w:rsidP="00C45B46">
      <w:pPr>
        <w:spacing w:line="240" w:lineRule="auto"/>
        <w:jc w:val="both"/>
        <w:rPr>
          <w:rFonts w:ascii="Times New Roman" w:hAnsi="Times New Roman" w:cs="Times New Roman"/>
          <w:sz w:val="24"/>
          <w:szCs w:val="24"/>
        </w:rPr>
      </w:pPr>
      <w:r w:rsidRPr="004D3C6C">
        <w:rPr>
          <w:rFonts w:ascii="Times New Roman" w:hAnsi="Times New Roman" w:cs="Times New Roman"/>
          <w:sz w:val="24"/>
          <w:szCs w:val="24"/>
        </w:rPr>
        <w:t>Europa se está quedando atrás en esta carrera por ser el primero en recuperar la velocidad de crucero económica y normalizar la vida social. Hasta ahora, los recursos fiscales aprobados por los europeos, tanto por los Estados miembros como por las instituciones comunitarias (excluyendo medida de liquidez nacionales), no llegan a la mitad de los tres paquetes aprobados por EEUU. Las compras extraordinarias de bonos del BCE frente a la pandemia también empequeñecen frente a la respuesta de la Fed…</w:t>
      </w:r>
    </w:p>
    <w:p w:rsidR="00C45B46" w:rsidRPr="004D3C6C" w:rsidRDefault="00C45B46" w:rsidP="00C45B46">
      <w:pPr>
        <w:spacing w:line="240" w:lineRule="auto"/>
        <w:jc w:val="both"/>
        <w:rPr>
          <w:rFonts w:ascii="Times New Roman" w:hAnsi="Times New Roman" w:cs="Times New Roman"/>
          <w:sz w:val="24"/>
          <w:szCs w:val="24"/>
        </w:rPr>
      </w:pPr>
      <w:r w:rsidRPr="004D3C6C">
        <w:rPr>
          <w:rFonts w:ascii="Times New Roman" w:hAnsi="Times New Roman" w:cs="Times New Roman"/>
          <w:sz w:val="24"/>
          <w:szCs w:val="24"/>
        </w:rPr>
        <w:lastRenderedPageBreak/>
        <w:t>El punto de inflexión llegó con el acuerdo de los líderes europeos el pasado julio, para crear el fondo de recuperación de la UE, que se financiará con la emisión sin precedentes de 800.000 millones de euros de deuda comunitaria. Como reconocen fuentes europeas, representa de facto la creación de los eurobonos, por la enorme cantidad de deuda comunitaria que inundará los mercados. Además, el fondo de recuperación, de momento activo hasta 2026, puede terminar por convertirse en la capacidad fiscal central permanente tanto tiempo ansiada, como ya piden desde el BCE y el FMI.</w:t>
      </w:r>
    </w:p>
    <w:p w:rsidR="00C45B46" w:rsidRPr="004D3C6C" w:rsidRDefault="00C45B46" w:rsidP="00C45B46">
      <w:pPr>
        <w:spacing w:line="240" w:lineRule="auto"/>
        <w:jc w:val="both"/>
        <w:rPr>
          <w:rFonts w:ascii="Times New Roman" w:hAnsi="Times New Roman" w:cs="Times New Roman"/>
          <w:sz w:val="24"/>
          <w:szCs w:val="24"/>
        </w:rPr>
      </w:pPr>
      <w:r w:rsidRPr="004D3C6C">
        <w:rPr>
          <w:rFonts w:ascii="Times New Roman" w:hAnsi="Times New Roman" w:cs="Times New Roman"/>
          <w:sz w:val="24"/>
          <w:szCs w:val="24"/>
        </w:rPr>
        <w:t>Los 800.000 millones son la punta de lanza de la respuesta europea. Sin embargo, su impacto no tendrá la misma fuerza que los paquetes estadounidense. Primero porque solo algo menos de la mitad (312.000 millones de euros, con precios de 2018) serán ayudas no reembolsables, mientras que la otra parte serán préstamos en condiciones ventajosas, que aumentarán la deuda nacional. No está claro que todos los países vayan a solicitar estos préstamos. Además, el estímulo se dosificará durante seis años…</w:t>
      </w:r>
    </w:p>
    <w:p w:rsidR="00C45B46" w:rsidRPr="004D3C6C" w:rsidRDefault="00C45B46" w:rsidP="00C45B46">
      <w:pPr>
        <w:spacing w:line="240" w:lineRule="auto"/>
        <w:jc w:val="both"/>
        <w:rPr>
          <w:rFonts w:ascii="Times New Roman" w:hAnsi="Times New Roman" w:cs="Times New Roman"/>
          <w:sz w:val="24"/>
          <w:szCs w:val="24"/>
        </w:rPr>
      </w:pPr>
      <w:r w:rsidRPr="004D3C6C">
        <w:rPr>
          <w:rFonts w:ascii="Times New Roman" w:hAnsi="Times New Roman" w:cs="Times New Roman"/>
          <w:sz w:val="24"/>
          <w:szCs w:val="24"/>
        </w:rPr>
        <w:t>Estas decisiones facilitaron el esfuerzo sin precedentes de las capitales. En total, los 27 gastaron el pasado año 575.000 millones de euros en estímulos presupuestarios. Además, aprobaron medidas de liquidez nacionales para sus empresas por algo más de tres billones de euros, incluyendo garantías.</w:t>
      </w:r>
    </w:p>
    <w:p w:rsidR="00C45B46" w:rsidRPr="004D3C6C" w:rsidRDefault="00C45B46" w:rsidP="00C45B46">
      <w:pPr>
        <w:spacing w:line="240" w:lineRule="auto"/>
        <w:jc w:val="both"/>
        <w:rPr>
          <w:rFonts w:ascii="Times New Roman" w:hAnsi="Times New Roman" w:cs="Times New Roman"/>
          <w:sz w:val="24"/>
          <w:szCs w:val="24"/>
        </w:rPr>
      </w:pPr>
      <w:r w:rsidRPr="004D3C6C">
        <w:rPr>
          <w:rFonts w:ascii="Times New Roman" w:hAnsi="Times New Roman" w:cs="Times New Roman"/>
          <w:sz w:val="24"/>
          <w:szCs w:val="24"/>
        </w:rPr>
        <w:t>Este estímulo fiscal se suma al empuje decidido del BCE para sacar a la economía europea de la peor recesión de su historia. La institución fue la primera en aprobar medidas excepcionales el pasado marzo con la compra de bonos frente a la pandemia. La cantidad inicial de 750.000 millones de euros fue ampliada en dos ocasiones hasta los 1,85 billones de euros…</w:t>
      </w:r>
    </w:p>
    <w:p w:rsidR="00C45B46" w:rsidRPr="00314D0A" w:rsidRDefault="00C45B46" w:rsidP="00C45B4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14D0A">
        <w:rPr>
          <w:rFonts w:ascii="Times New Roman" w:hAnsi="Times New Roman" w:cs="Times New Roman"/>
          <w:sz w:val="24"/>
          <w:szCs w:val="24"/>
          <w:u w:val="single"/>
        </w:rPr>
        <w:t>Los estímulos fiscales de</w:t>
      </w:r>
      <w:r>
        <w:rPr>
          <w:rFonts w:ascii="Times New Roman" w:hAnsi="Times New Roman" w:cs="Times New Roman"/>
          <w:sz w:val="24"/>
          <w:szCs w:val="24"/>
          <w:u w:val="single"/>
        </w:rPr>
        <w:t xml:space="preserve"> la UE palidecen ante los de EE</w:t>
      </w:r>
      <w:r w:rsidRPr="00314D0A">
        <w:rPr>
          <w:rFonts w:ascii="Times New Roman" w:hAnsi="Times New Roman" w:cs="Times New Roman"/>
          <w:sz w:val="24"/>
          <w:szCs w:val="24"/>
          <w:u w:val="single"/>
        </w:rPr>
        <w:t>UU y Reino Unido</w:t>
      </w:r>
      <w:r>
        <w:rPr>
          <w:rFonts w:ascii="Times New Roman" w:hAnsi="Times New Roman" w:cs="Times New Roman"/>
          <w:sz w:val="24"/>
          <w:szCs w:val="24"/>
        </w:rPr>
        <w:t xml:space="preserve"> (Cinco Días - </w:t>
      </w:r>
      <w:r>
        <w:rPr>
          <w:rFonts w:ascii="Times New Roman" w:hAnsi="Times New Roman" w:cs="Times New Roman"/>
          <w:b/>
          <w:sz w:val="24"/>
          <w:szCs w:val="24"/>
        </w:rPr>
        <w:t>22</w:t>
      </w:r>
      <w:r w:rsidRPr="00314D0A">
        <w:rPr>
          <w:rFonts w:ascii="Times New Roman" w:hAnsi="Times New Roman" w:cs="Times New Roman"/>
          <w:b/>
          <w:sz w:val="24"/>
          <w:szCs w:val="24"/>
        </w:rPr>
        <w:t>/4/21</w:t>
      </w:r>
      <w:r>
        <w:rPr>
          <w:rFonts w:ascii="Times New Roman" w:hAnsi="Times New Roman" w:cs="Times New Roman"/>
          <w:sz w:val="24"/>
          <w:szCs w:val="24"/>
        </w:rPr>
        <w:t>)</w:t>
      </w:r>
    </w:p>
    <w:p w:rsidR="00C45B46" w:rsidRPr="004D3C6C" w:rsidRDefault="00C45B46" w:rsidP="00C45B46">
      <w:pPr>
        <w:spacing w:line="240" w:lineRule="auto"/>
        <w:jc w:val="both"/>
        <w:rPr>
          <w:rFonts w:ascii="Times New Roman" w:hAnsi="Times New Roman" w:cs="Times New Roman"/>
          <w:sz w:val="24"/>
          <w:szCs w:val="24"/>
        </w:rPr>
      </w:pPr>
      <w:r w:rsidRPr="004D3C6C">
        <w:rPr>
          <w:rFonts w:ascii="Times New Roman" w:hAnsi="Times New Roman" w:cs="Times New Roman"/>
          <w:sz w:val="24"/>
          <w:szCs w:val="24"/>
        </w:rPr>
        <w:t>La Unión Europa ha reaccionado a la crisis del Covid-19 dando un giro copernicano a las políticas de austeridad con las que afrontó la Gran Recesión y aprobando un paquete de estímulos fiscales sin precedentes. La importancia de estos apoyos directos a la economía palidece, sin embargo, frente a las movilizadas por uniones más consolidadas en lo político, además de en lo fiscal y lo monetario, como es el caso de Reino Unido o, sobre todo, Estados Unidos…</w:t>
      </w:r>
    </w:p>
    <w:p w:rsidR="00C45B46" w:rsidRPr="004D3C6C" w:rsidRDefault="00C45B46" w:rsidP="00C45B46">
      <w:pPr>
        <w:spacing w:line="240" w:lineRule="auto"/>
        <w:jc w:val="both"/>
        <w:rPr>
          <w:rFonts w:ascii="Times New Roman" w:hAnsi="Times New Roman" w:cs="Times New Roman"/>
          <w:sz w:val="24"/>
          <w:szCs w:val="24"/>
        </w:rPr>
      </w:pPr>
      <w:r w:rsidRPr="004D3C6C">
        <w:rPr>
          <w:rFonts w:ascii="Times New Roman" w:hAnsi="Times New Roman" w:cs="Times New Roman"/>
          <w:sz w:val="24"/>
          <w:szCs w:val="24"/>
        </w:rPr>
        <w:t>Así, detalle el informe, España habría impulsado estímulos fiscales directos por el equivalente al 4,2% anual de su PIB, y alcanzará el 6,2% con las ayudas europeas. Alemania, el país comunitario más decidido, ha movilizado un 9,7%, o hasta un 10% con el apoyo comunitario. Por su parte, Reino Unido ha dado estímulos por el 12,5% de su PIB, en línea con el plan inicial de EEUU. “Esto quiere decir que, en conjunto, estos países sumando las dos” palancas (nacional y comunitaria) de estímulos “se quedan prácticamente en la mitad de lo que han hecho Reino Unido o EEUU”…</w:t>
      </w:r>
    </w:p>
    <w:p w:rsidR="00C45B46" w:rsidRDefault="00C45B46" w:rsidP="00C45B46">
      <w:pPr>
        <w:spacing w:line="240" w:lineRule="auto"/>
        <w:jc w:val="both"/>
        <w:rPr>
          <w:rFonts w:ascii="Times New Roman" w:hAnsi="Times New Roman" w:cs="Times New Roman"/>
          <w:sz w:val="24"/>
          <w:szCs w:val="24"/>
        </w:rPr>
      </w:pPr>
      <w:r w:rsidRPr="004D3C6C">
        <w:rPr>
          <w:rFonts w:ascii="Times New Roman" w:hAnsi="Times New Roman" w:cs="Times New Roman"/>
          <w:sz w:val="24"/>
          <w:szCs w:val="24"/>
        </w:rPr>
        <w:t>Y es más, si sumamos los planes fiscales recientemente impulsados por el nuevo presidente estadounidense, Joe Biden, la importancia de su política fiscal superaría “el 25% del PIB” frente al esfuerzo español que -incluso con la aportación comunitaria- supone una cuarta parte.</w:t>
      </w:r>
    </w:p>
    <w:p w:rsidR="004D3C6C" w:rsidRDefault="004D3C6C" w:rsidP="00C45B46">
      <w:pPr>
        <w:spacing w:line="240" w:lineRule="auto"/>
        <w:jc w:val="both"/>
        <w:rPr>
          <w:rFonts w:ascii="Times New Roman" w:hAnsi="Times New Roman" w:cs="Times New Roman"/>
          <w:sz w:val="24"/>
          <w:szCs w:val="24"/>
        </w:rPr>
      </w:pPr>
    </w:p>
    <w:p w:rsidR="004D3C6C" w:rsidRPr="004D3C6C" w:rsidRDefault="004D3C6C" w:rsidP="00C45B46">
      <w:pPr>
        <w:spacing w:line="240" w:lineRule="auto"/>
        <w:jc w:val="both"/>
        <w:rPr>
          <w:rFonts w:ascii="Times New Roman" w:hAnsi="Times New Roman" w:cs="Times New Roman"/>
          <w:sz w:val="24"/>
          <w:szCs w:val="24"/>
        </w:rPr>
      </w:pPr>
    </w:p>
    <w:p w:rsidR="00C45B46" w:rsidRPr="00395B83" w:rsidRDefault="00C45B46" w:rsidP="00C45B46">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395B83">
        <w:rPr>
          <w:rFonts w:ascii="Times New Roman" w:hAnsi="Times New Roman" w:cs="Times New Roman"/>
          <w:sz w:val="24"/>
          <w:szCs w:val="24"/>
          <w:u w:val="single"/>
        </w:rPr>
        <w:t>El cambio que imp</w:t>
      </w:r>
      <w:r>
        <w:rPr>
          <w:rFonts w:ascii="Times New Roman" w:hAnsi="Times New Roman" w:cs="Times New Roman"/>
          <w:sz w:val="24"/>
          <w:szCs w:val="24"/>
          <w:u w:val="single"/>
        </w:rPr>
        <w:t>ulsa Biden en la economía de EEUU supone “</w:t>
      </w:r>
      <w:r w:rsidRPr="00395B83">
        <w:rPr>
          <w:rFonts w:ascii="Times New Roman" w:hAnsi="Times New Roman" w:cs="Times New Roman"/>
          <w:sz w:val="24"/>
          <w:szCs w:val="24"/>
          <w:u w:val="single"/>
        </w:rPr>
        <w:t>una ruptura con el neoliberalismo</w:t>
      </w:r>
      <w:r>
        <w:rPr>
          <w:rFonts w:ascii="Times New Roman" w:hAnsi="Times New Roman" w:cs="Times New Roman"/>
          <w:sz w:val="24"/>
          <w:szCs w:val="24"/>
        </w:rPr>
        <w:t xml:space="preserve">” (BBCMundo - </w:t>
      </w:r>
      <w:r w:rsidRPr="00395B83">
        <w:rPr>
          <w:rFonts w:ascii="Times New Roman" w:hAnsi="Times New Roman" w:cs="Times New Roman"/>
          <w:b/>
          <w:sz w:val="24"/>
          <w:szCs w:val="24"/>
        </w:rPr>
        <w:t>29/4/21</w:t>
      </w:r>
      <w:r>
        <w:rPr>
          <w:rFonts w:ascii="Times New Roman" w:hAnsi="Times New Roman" w:cs="Times New Roman"/>
          <w:sz w:val="24"/>
          <w:szCs w:val="24"/>
        </w:rPr>
        <w:t>)</w:t>
      </w:r>
    </w:p>
    <w:p w:rsidR="00C45B46" w:rsidRPr="004D3C6C" w:rsidRDefault="00C45B46" w:rsidP="00C45B46">
      <w:pPr>
        <w:spacing w:line="240" w:lineRule="auto"/>
        <w:jc w:val="both"/>
        <w:rPr>
          <w:rFonts w:ascii="Times New Roman" w:hAnsi="Times New Roman" w:cs="Times New Roman"/>
          <w:sz w:val="24"/>
          <w:szCs w:val="24"/>
        </w:rPr>
      </w:pPr>
      <w:r w:rsidRPr="004D3C6C">
        <w:rPr>
          <w:rFonts w:ascii="Times New Roman" w:hAnsi="Times New Roman" w:cs="Times New Roman"/>
          <w:sz w:val="24"/>
          <w:szCs w:val="24"/>
        </w:rPr>
        <w:t>Biden detalló en su mensaje del miércoles frente a los legisladores un programa económico que suma US$</w:t>
      </w:r>
      <w:r w:rsidR="004D3C6C">
        <w:rPr>
          <w:rFonts w:ascii="Times New Roman" w:hAnsi="Times New Roman" w:cs="Times New Roman"/>
          <w:sz w:val="24"/>
          <w:szCs w:val="24"/>
        </w:rPr>
        <w:t xml:space="preserve"> </w:t>
      </w:r>
      <w:r w:rsidRPr="004D3C6C">
        <w:rPr>
          <w:rFonts w:ascii="Times New Roman" w:hAnsi="Times New Roman" w:cs="Times New Roman"/>
          <w:sz w:val="24"/>
          <w:szCs w:val="24"/>
        </w:rPr>
        <w:t>4 billones en ayudas sociales e inversiones públicas para generar trabajo, poniendo al Estado en el centro de los esfuerzos de reactivación…</w:t>
      </w:r>
    </w:p>
    <w:p w:rsidR="00C45B46" w:rsidRPr="00A61D8E" w:rsidRDefault="00C45B46" w:rsidP="00C45B46">
      <w:pPr>
        <w:spacing w:line="240" w:lineRule="auto"/>
        <w:jc w:val="both"/>
        <w:rPr>
          <w:rFonts w:ascii="Times New Roman" w:hAnsi="Times New Roman" w:cs="Times New Roman"/>
          <w:sz w:val="24"/>
          <w:szCs w:val="24"/>
        </w:rPr>
      </w:pPr>
      <w:r w:rsidRPr="004D3C6C">
        <w:rPr>
          <w:rFonts w:ascii="Times New Roman" w:hAnsi="Times New Roman" w:cs="Times New Roman"/>
          <w:sz w:val="24"/>
          <w:szCs w:val="24"/>
        </w:rPr>
        <w:t xml:space="preserve">La decidida actuación de las autoridades monetarias evitó un encarecimiento de la deuda de los países y ha servido de respaldo a las medidas excepcionales de los Gobiernos, pero, a cambio, se ha inyectado mucho dinero en el sistema. En EEUU, el dinero en circulación, medido a través del agregado monetario conocido como M3 (ver gráfico), se ha elevado en </w:t>
      </w:r>
      <w:r w:rsidRPr="00A61D8E">
        <w:rPr>
          <w:rFonts w:ascii="Times New Roman" w:hAnsi="Times New Roman" w:cs="Times New Roman"/>
          <w:sz w:val="24"/>
          <w:szCs w:val="24"/>
        </w:rPr>
        <w:t>un año y medio un 31,2%, hasta máximos históricos.</w:t>
      </w:r>
    </w:p>
    <w:p w:rsidR="00C45B46" w:rsidRPr="00A61D8E" w:rsidRDefault="00C45B46" w:rsidP="00C45B46">
      <w:pPr>
        <w:spacing w:line="240" w:lineRule="auto"/>
        <w:jc w:val="both"/>
        <w:rPr>
          <w:rFonts w:ascii="Times New Roman" w:hAnsi="Times New Roman" w:cs="Times New Roman"/>
          <w:sz w:val="24"/>
          <w:szCs w:val="24"/>
        </w:rPr>
      </w:pPr>
      <w:r w:rsidRPr="00A61D8E">
        <w:rPr>
          <w:rFonts w:ascii="Times New Roman" w:hAnsi="Times New Roman" w:cs="Times New Roman"/>
          <w:noProof/>
          <w:sz w:val="24"/>
          <w:szCs w:val="24"/>
          <w:lang w:eastAsia="es-ES"/>
        </w:rPr>
        <w:drawing>
          <wp:inline distT="0" distB="0" distL="0" distR="0" wp14:anchorId="04A4FA5A" wp14:editId="482513A1">
            <wp:extent cx="5727699" cy="2705100"/>
            <wp:effectExtent l="0" t="0" r="6985" b="0"/>
            <wp:docPr id="352" name="Imagen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9"/>
                    <a:stretch>
                      <a:fillRect/>
                    </a:stretch>
                  </pic:blipFill>
                  <pic:spPr>
                    <a:xfrm>
                      <a:off x="0" y="0"/>
                      <a:ext cx="5731510" cy="2706900"/>
                    </a:xfrm>
                    <a:prstGeom prst="rect">
                      <a:avLst/>
                    </a:prstGeom>
                  </pic:spPr>
                </pic:pic>
              </a:graphicData>
            </a:graphic>
          </wp:inline>
        </w:drawing>
      </w:r>
    </w:p>
    <w:p w:rsidR="00C45B46" w:rsidRPr="00A61D8E" w:rsidRDefault="00C45B46" w:rsidP="00C45B46">
      <w:pPr>
        <w:spacing w:line="240" w:lineRule="auto"/>
        <w:jc w:val="both"/>
        <w:rPr>
          <w:rFonts w:ascii="Times New Roman" w:hAnsi="Times New Roman" w:cs="Times New Roman"/>
          <w:sz w:val="24"/>
          <w:szCs w:val="24"/>
        </w:rPr>
      </w:pPr>
      <w:r w:rsidRPr="00A61D8E">
        <w:rPr>
          <w:rFonts w:ascii="Times New Roman" w:hAnsi="Times New Roman" w:cs="Times New Roman"/>
          <w:sz w:val="24"/>
          <w:szCs w:val="24"/>
        </w:rPr>
        <w:t>En Europa, este agregado monetario también está en máximos históricos tras crecer un 13,7% desde finales de 2019. Desde que hay registros, nunca la Reserva Federal ni el Banco Central Europeo habían sido tan generosos, y el miedo es que la inflación obligue a dar marcha atrás a su generosidad.</w:t>
      </w:r>
    </w:p>
    <w:p w:rsidR="00C45B46" w:rsidRPr="00A61D8E" w:rsidRDefault="00C45B46" w:rsidP="00C45B46">
      <w:pPr>
        <w:spacing w:line="240" w:lineRule="auto"/>
        <w:jc w:val="both"/>
        <w:rPr>
          <w:rFonts w:ascii="Times New Roman" w:hAnsi="Times New Roman" w:cs="Times New Roman"/>
          <w:sz w:val="24"/>
          <w:szCs w:val="24"/>
        </w:rPr>
      </w:pPr>
      <w:r w:rsidRPr="00A61D8E">
        <w:rPr>
          <w:rFonts w:ascii="Times New Roman" w:hAnsi="Times New Roman" w:cs="Times New Roman"/>
          <w:noProof/>
          <w:sz w:val="24"/>
          <w:szCs w:val="24"/>
          <w:lang w:eastAsia="es-ES"/>
        </w:rPr>
        <w:drawing>
          <wp:inline distT="0" distB="0" distL="0" distR="0" wp14:anchorId="60322CF1" wp14:editId="7FF2F988">
            <wp:extent cx="5733376" cy="2768600"/>
            <wp:effectExtent l="0" t="0" r="1270" b="0"/>
            <wp:docPr id="353" name="Imagen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0"/>
                    <a:stretch>
                      <a:fillRect/>
                    </a:stretch>
                  </pic:blipFill>
                  <pic:spPr>
                    <a:xfrm>
                      <a:off x="0" y="0"/>
                      <a:ext cx="5731510" cy="2767699"/>
                    </a:xfrm>
                    <a:prstGeom prst="rect">
                      <a:avLst/>
                    </a:prstGeom>
                  </pic:spPr>
                </pic:pic>
              </a:graphicData>
            </a:graphic>
          </wp:inline>
        </w:drawing>
      </w:r>
    </w:p>
    <w:p w:rsidR="00C45B46" w:rsidRPr="00A61D8E" w:rsidRDefault="00C45B46" w:rsidP="00C45B46">
      <w:pPr>
        <w:spacing w:line="240" w:lineRule="auto"/>
        <w:jc w:val="both"/>
        <w:rPr>
          <w:rFonts w:ascii="Times New Roman" w:hAnsi="Times New Roman" w:cs="Times New Roman"/>
          <w:sz w:val="24"/>
          <w:szCs w:val="24"/>
        </w:rPr>
      </w:pPr>
      <w:r w:rsidRPr="00A61D8E">
        <w:rPr>
          <w:rFonts w:ascii="Times New Roman" w:hAnsi="Times New Roman" w:cs="Times New Roman"/>
          <w:sz w:val="24"/>
          <w:szCs w:val="24"/>
        </w:rPr>
        <w:lastRenderedPageBreak/>
        <w:t>El consumo en Estados Unidos está bastante por encima del nivel previo a la crisis. Allí, el Gobierno ha recurrido como medida para luchar contra las dificultades económicas a entregar cheques directamente a los bolsillos de la gente. Ese es un dinero muy fácil de gastar. En Estados Unidos se puede pensar que el repunte de la inflación tiene que ver, en parte, con el aumento de la masa monetaria.</w:t>
      </w:r>
    </w:p>
    <w:p w:rsidR="00C45B46" w:rsidRPr="00A61D8E" w:rsidRDefault="00C45B46" w:rsidP="00C45B46">
      <w:pPr>
        <w:spacing w:line="240" w:lineRule="auto"/>
        <w:jc w:val="both"/>
        <w:rPr>
          <w:rFonts w:ascii="Times New Roman" w:hAnsi="Times New Roman" w:cs="Times New Roman"/>
          <w:sz w:val="24"/>
          <w:szCs w:val="24"/>
        </w:rPr>
      </w:pPr>
      <w:r w:rsidRPr="00A61D8E">
        <w:rPr>
          <w:rFonts w:ascii="Times New Roman" w:hAnsi="Times New Roman" w:cs="Times New Roman"/>
          <w:sz w:val="24"/>
          <w:szCs w:val="24"/>
        </w:rPr>
        <w:t>Precisamente, a modo de señal confirmando que la máxima autoridad monetaria estadounidense es consciente de la preocupación, el pasado 16 de junio la Reserva Federal anunció que en 2023 espera realizar dos subidas en los tipos de interés del dólar. Esta medida es la respuesta monetaria que se suele dar cuando la inflación da problemas.</w:t>
      </w:r>
    </w:p>
    <w:p w:rsidR="00C45B46" w:rsidRPr="00A61D8E" w:rsidRDefault="00C45B46" w:rsidP="00C45B46">
      <w:pPr>
        <w:spacing w:line="240" w:lineRule="auto"/>
        <w:jc w:val="both"/>
        <w:rPr>
          <w:rFonts w:ascii="Times New Roman" w:hAnsi="Times New Roman" w:cs="Times New Roman"/>
          <w:sz w:val="24"/>
          <w:szCs w:val="24"/>
        </w:rPr>
      </w:pPr>
      <w:r w:rsidRPr="00A61D8E">
        <w:rPr>
          <w:rFonts w:ascii="Times New Roman" w:hAnsi="Times New Roman" w:cs="Times New Roman"/>
          <w:sz w:val="24"/>
          <w:szCs w:val="24"/>
        </w:rPr>
        <w:t xml:space="preserve">Distinta es la situación en Europa. No solo la inflación y el crecimiento de la masa monetaria es menor, también lo es el margen de maniobra del Banco Central Europeo, ya que retirar los estímulos tendría nefastas consecuencias para países como Italia (donde el aumento del coste de la deuda afectaría a una capacidad de inversión que ya de por sí es baja), o España (donde una retirada elevaría el coste de la deuda, lo que significaría retraer recursos a otras partidas presupuestarias; la deuda española se sitúa por encima del 125%, el déficit ronda el 10% y el Estado dedica alrededor del 47% del Presupuesto a pagar pensiones y prestaciones de de­sempleo). </w:t>
      </w:r>
    </w:p>
    <w:p w:rsidR="00C45B46" w:rsidRPr="00A61D8E" w:rsidRDefault="00C45B46" w:rsidP="00C45B46">
      <w:pPr>
        <w:spacing w:line="240" w:lineRule="auto"/>
        <w:jc w:val="both"/>
        <w:rPr>
          <w:rFonts w:ascii="Times New Roman" w:hAnsi="Times New Roman" w:cs="Times New Roman"/>
          <w:sz w:val="24"/>
          <w:szCs w:val="24"/>
        </w:rPr>
      </w:pPr>
      <w:r w:rsidRPr="00A61D8E">
        <w:rPr>
          <w:rFonts w:ascii="Times New Roman" w:hAnsi="Times New Roman" w:cs="Times New Roman"/>
          <w:sz w:val="24"/>
          <w:szCs w:val="24"/>
        </w:rPr>
        <w:t>Un fantasma recorre Estados Unidos. También Europa. Se trata del fantasma de la inflación. Aliada del crecimiento económico en su justa medida, brutal enemiga cuando se desboca o se esconde en tasas negativas. Hoy, vuelve a materializarse tras el año pasado permanecer invisible. El parón a todos los niveles provocado por la pandemia causó que los índices que sirven de termómetro de los precios se hundieran en medio de la falta de demanda. Mientras tanto, la oferta trató de resistir una debacle de ingresos en algunos casos absoluta mediante procesos de hibernación. Al calor del progresivo y no exento de problemas proceso de vacunación y la consiguiente movilidad que ha facilitado, la demanda ha despertado. Y con ella ha venido el crecimiento económico y, también, la inflación.</w:t>
      </w:r>
    </w:p>
    <w:p w:rsidR="00C45B46" w:rsidRPr="00A61D8E" w:rsidRDefault="00C45B46" w:rsidP="00C45B46">
      <w:pPr>
        <w:spacing w:line="240" w:lineRule="auto"/>
        <w:jc w:val="both"/>
        <w:rPr>
          <w:rFonts w:ascii="Times New Roman" w:hAnsi="Times New Roman" w:cs="Times New Roman"/>
          <w:b/>
          <w:sz w:val="24"/>
          <w:szCs w:val="24"/>
          <w:u w:val="single"/>
        </w:rPr>
      </w:pPr>
      <w:r w:rsidRPr="00A61D8E">
        <w:rPr>
          <w:rFonts w:ascii="Times New Roman" w:hAnsi="Times New Roman" w:cs="Times New Roman"/>
          <w:sz w:val="24"/>
          <w:szCs w:val="24"/>
        </w:rPr>
        <w:t>Los niveles de deuda pública y privada (empresas sobre todo) se encuentran en máximos de las últimas décadas, mientras que la inflación empieza a asomar la cabeza, azuzada por unas políticas fiscales (siguen incrementando la deuda pública) y monetarias sin precedentes</w:t>
      </w:r>
      <w:r w:rsidRPr="00A61D8E">
        <w:rPr>
          <w:rFonts w:ascii="Times New Roman" w:hAnsi="Times New Roman" w:cs="Times New Roman"/>
          <w:b/>
          <w:sz w:val="24"/>
          <w:szCs w:val="24"/>
        </w:rPr>
        <w:t xml:space="preserve">. </w:t>
      </w:r>
    </w:p>
    <w:p w:rsidR="00C45B46" w:rsidRPr="00A61D8E" w:rsidRDefault="00C45B46" w:rsidP="00C45B46">
      <w:pPr>
        <w:spacing w:line="240" w:lineRule="auto"/>
        <w:jc w:val="both"/>
        <w:rPr>
          <w:rFonts w:ascii="Times New Roman" w:hAnsi="Times New Roman" w:cs="Times New Roman"/>
          <w:sz w:val="24"/>
          <w:szCs w:val="24"/>
        </w:rPr>
      </w:pPr>
      <w:r w:rsidRPr="00A61D8E">
        <w:rPr>
          <w:rFonts w:ascii="Times New Roman" w:hAnsi="Times New Roman" w:cs="Times New Roman"/>
          <w:b/>
          <w:sz w:val="24"/>
          <w:szCs w:val="24"/>
          <w:u w:val="single"/>
        </w:rPr>
        <w:t>“Se está preparando el escenario para la madre de las crisis de la deuda estanflacionaria en los próximos años”, asegura Nouriel Roubini en un artículo publicado en Project Syndicate</w:t>
      </w:r>
      <w:r w:rsidR="00A61D8E">
        <w:rPr>
          <w:rFonts w:ascii="Times New Roman" w:hAnsi="Times New Roman" w:cs="Times New Roman"/>
          <w:sz w:val="24"/>
          <w:szCs w:val="24"/>
          <w:u w:val="single"/>
        </w:rPr>
        <w:t>.</w:t>
      </w:r>
      <w:r w:rsidR="00A61D8E">
        <w:rPr>
          <w:rFonts w:ascii="Times New Roman" w:hAnsi="Times New Roman" w:cs="Times New Roman"/>
          <w:sz w:val="24"/>
          <w:szCs w:val="24"/>
        </w:rPr>
        <w:t xml:space="preserve"> </w:t>
      </w:r>
      <w:r w:rsidRPr="00A61D8E">
        <w:rPr>
          <w:rFonts w:ascii="Times New Roman" w:hAnsi="Times New Roman" w:cs="Times New Roman"/>
          <w:sz w:val="24"/>
          <w:szCs w:val="24"/>
        </w:rPr>
        <w:t xml:space="preserve">(El Economista - </w:t>
      </w:r>
      <w:r w:rsidRPr="00A61D8E">
        <w:rPr>
          <w:rFonts w:ascii="Times New Roman" w:hAnsi="Times New Roman" w:cs="Times New Roman"/>
          <w:b/>
          <w:sz w:val="24"/>
          <w:szCs w:val="24"/>
        </w:rPr>
        <w:t>3/7/21</w:t>
      </w:r>
      <w:r w:rsidRPr="00A61D8E">
        <w:rPr>
          <w:rFonts w:ascii="Times New Roman" w:hAnsi="Times New Roman" w:cs="Times New Roman"/>
          <w:sz w:val="24"/>
          <w:szCs w:val="24"/>
        </w:rPr>
        <w:t>)</w:t>
      </w:r>
    </w:p>
    <w:p w:rsidR="00C45B46" w:rsidRPr="00907B9F" w:rsidRDefault="00C45B46" w:rsidP="00C45B4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07B9F">
        <w:rPr>
          <w:rFonts w:ascii="Times New Roman" w:hAnsi="Times New Roman" w:cs="Times New Roman"/>
          <w:sz w:val="24"/>
          <w:szCs w:val="24"/>
          <w:u w:val="single"/>
        </w:rPr>
        <w:t>Las políticas económicas de Biden y Trump</w:t>
      </w:r>
      <w:r>
        <w:rPr>
          <w:rFonts w:ascii="Times New Roman" w:hAnsi="Times New Roman" w:cs="Times New Roman"/>
          <w:sz w:val="24"/>
          <w:szCs w:val="24"/>
        </w:rPr>
        <w:t xml:space="preserve"> (El Español - </w:t>
      </w:r>
      <w:r w:rsidRPr="00907B9F">
        <w:rPr>
          <w:rFonts w:ascii="Times New Roman" w:hAnsi="Times New Roman" w:cs="Times New Roman"/>
          <w:b/>
          <w:sz w:val="24"/>
          <w:szCs w:val="24"/>
        </w:rPr>
        <w:t>26/7/21</w:t>
      </w:r>
      <w:r>
        <w:rPr>
          <w:rFonts w:ascii="Times New Roman" w:hAnsi="Times New Roman" w:cs="Times New Roman"/>
          <w:sz w:val="24"/>
          <w:szCs w:val="24"/>
        </w:rPr>
        <w:t>)</w:t>
      </w:r>
    </w:p>
    <w:p w:rsidR="00C45B46" w:rsidRDefault="00C45B46" w:rsidP="00C45B46">
      <w:pPr>
        <w:spacing w:line="240" w:lineRule="auto"/>
        <w:jc w:val="both"/>
        <w:rPr>
          <w:rFonts w:ascii="Times New Roman" w:hAnsi="Times New Roman" w:cs="Times New Roman"/>
          <w:sz w:val="24"/>
          <w:szCs w:val="24"/>
        </w:rPr>
      </w:pPr>
      <w:r w:rsidRPr="00907B9F">
        <w:rPr>
          <w:rFonts w:ascii="Times New Roman" w:hAnsi="Times New Roman" w:cs="Times New Roman"/>
          <w:sz w:val="24"/>
          <w:szCs w:val="24"/>
        </w:rPr>
        <w:t>La llegada a la presidencia de EEUU de Joe Biden despertó grandes esperanzas de que las guerras comerciales iniciadas por Donald Trump desaparecieran. Craso error. Como suelen decir en los países de habl</w:t>
      </w:r>
      <w:r>
        <w:rPr>
          <w:rFonts w:ascii="Times New Roman" w:hAnsi="Times New Roman" w:cs="Times New Roman"/>
          <w:sz w:val="24"/>
          <w:szCs w:val="24"/>
        </w:rPr>
        <w:t>a inglesa, el nuevo presidente “</w:t>
      </w:r>
      <w:r w:rsidRPr="00907B9F">
        <w:rPr>
          <w:rFonts w:ascii="Times New Roman" w:hAnsi="Times New Roman" w:cs="Times New Roman"/>
          <w:sz w:val="24"/>
          <w:szCs w:val="24"/>
        </w:rPr>
        <w:t>h</w:t>
      </w:r>
      <w:r>
        <w:rPr>
          <w:rFonts w:ascii="Times New Roman" w:hAnsi="Times New Roman" w:cs="Times New Roman"/>
          <w:sz w:val="24"/>
          <w:szCs w:val="24"/>
        </w:rPr>
        <w:t>a tomado prestadas unas páginas”</w:t>
      </w:r>
      <w:r w:rsidRPr="00907B9F">
        <w:rPr>
          <w:rFonts w:ascii="Times New Roman" w:hAnsi="Times New Roman" w:cs="Times New Roman"/>
          <w:sz w:val="24"/>
          <w:szCs w:val="24"/>
        </w:rPr>
        <w:t xml:space="preserve"> del libro de estilo comercial del anterior. Lo curioso es que poca</w:t>
      </w:r>
      <w:r>
        <w:rPr>
          <w:rFonts w:ascii="Times New Roman" w:hAnsi="Times New Roman" w:cs="Times New Roman"/>
          <w:sz w:val="24"/>
          <w:szCs w:val="24"/>
        </w:rPr>
        <w:t xml:space="preserve"> gente manifiesta su decepción…</w:t>
      </w:r>
    </w:p>
    <w:p w:rsidR="00C45B46" w:rsidRPr="00A61D8E" w:rsidRDefault="00C45B46" w:rsidP="00C45B46">
      <w:pPr>
        <w:spacing w:line="240" w:lineRule="auto"/>
        <w:jc w:val="both"/>
        <w:rPr>
          <w:rFonts w:ascii="Times New Roman" w:hAnsi="Times New Roman" w:cs="Times New Roman"/>
          <w:sz w:val="24"/>
          <w:szCs w:val="24"/>
        </w:rPr>
      </w:pPr>
      <w:r w:rsidRPr="00A61D8E">
        <w:rPr>
          <w:rFonts w:ascii="Times New Roman" w:hAnsi="Times New Roman" w:cs="Times New Roman"/>
          <w:sz w:val="24"/>
          <w:szCs w:val="24"/>
        </w:rPr>
        <w:t xml:space="preserve">Por ahora, la mayor diferencia entre las políticas de Donald Trump y las de Joe Biden se detecta en el terreno puramente cuantitativo y en lo que este tiene de ideológico: frente a los planes de estímulo económico de Trump por valor de 3,9 billones (trillion) de dólares (tres de ellos en la primavera del año 2000 y 0,9 billones en diciembre pasado) se alzan los 1,9 billones de gasto de Biden aprobados en marzo de 2021 y los anunciados 2 billones para infraestructuras que, ahora, parecen haberse transformado en un plan plurianual de 3,5 </w:t>
      </w:r>
      <w:r w:rsidRPr="00A61D8E">
        <w:rPr>
          <w:rFonts w:ascii="Times New Roman" w:hAnsi="Times New Roman" w:cs="Times New Roman"/>
          <w:sz w:val="24"/>
          <w:szCs w:val="24"/>
        </w:rPr>
        <w:lastRenderedPageBreak/>
        <w:t>billones que los demócratas han aprobado dentro de su grupo parlamentario pero que, en lo que atañe al acuerdo con los republicanos no pasa, de momento, de los 1,2 billones.</w:t>
      </w:r>
    </w:p>
    <w:p w:rsidR="00C45B46" w:rsidRPr="00A61D8E" w:rsidRDefault="00C45B46" w:rsidP="00C45B46">
      <w:pPr>
        <w:spacing w:line="240" w:lineRule="auto"/>
        <w:jc w:val="both"/>
        <w:rPr>
          <w:rFonts w:ascii="Times New Roman" w:hAnsi="Times New Roman" w:cs="Times New Roman"/>
          <w:sz w:val="24"/>
          <w:szCs w:val="24"/>
        </w:rPr>
      </w:pPr>
      <w:r w:rsidRPr="00A61D8E">
        <w:rPr>
          <w:rFonts w:ascii="Times New Roman" w:hAnsi="Times New Roman" w:cs="Times New Roman"/>
          <w:sz w:val="24"/>
          <w:szCs w:val="24"/>
        </w:rPr>
        <w:t>O, dicho de otra manera: los EEUU han acumulado hasta ahora tres billones de dólares de déficit presupuestario en 2020 y otros tres billones de 2021. Más lo que vendrá…</w:t>
      </w:r>
    </w:p>
    <w:p w:rsidR="00C45B46" w:rsidRPr="009E186A" w:rsidRDefault="00C45B46" w:rsidP="00C45B46">
      <w:pPr>
        <w:pStyle w:val="selectionshareable"/>
        <w:shd w:val="clear" w:color="auto" w:fill="FFFFFF"/>
        <w:spacing w:after="300"/>
        <w:jc w:val="both"/>
        <w:textAlignment w:val="baseline"/>
        <w:rPr>
          <w:shd w:val="clear" w:color="auto" w:fill="FFFFFF"/>
        </w:rPr>
      </w:pPr>
      <w:r w:rsidRPr="009E186A">
        <w:rPr>
          <w:shd w:val="clear" w:color="auto" w:fill="FFFFFF"/>
        </w:rPr>
        <w:t xml:space="preserve">- </w:t>
      </w:r>
      <w:r w:rsidRPr="009E186A">
        <w:rPr>
          <w:u w:val="single"/>
          <w:shd w:val="clear" w:color="auto" w:fill="FFFFFF"/>
        </w:rPr>
        <w:t>Occidente asume el cóctel de inflación y deuda para una recuperación de posguerra</w:t>
      </w:r>
      <w:r w:rsidRPr="009E186A">
        <w:rPr>
          <w:shd w:val="clear" w:color="auto" w:fill="FFFFFF"/>
        </w:rPr>
        <w:t xml:space="preserve"> (El Confidencial - </w:t>
      </w:r>
      <w:r w:rsidRPr="009E186A">
        <w:rPr>
          <w:b/>
          <w:shd w:val="clear" w:color="auto" w:fill="FFFFFF"/>
        </w:rPr>
        <w:t>17/10/21</w:t>
      </w:r>
      <w:r w:rsidRPr="009E186A">
        <w:rPr>
          <w:shd w:val="clear" w:color="auto" w:fill="FFFFFF"/>
        </w:rPr>
        <w:t>)</w:t>
      </w:r>
    </w:p>
    <w:p w:rsidR="00C45B46" w:rsidRPr="009E186A" w:rsidRDefault="00C45B46" w:rsidP="00C45B46">
      <w:pPr>
        <w:pStyle w:val="selectionshareable"/>
        <w:shd w:val="clear" w:color="auto" w:fill="FFFFFF"/>
        <w:spacing w:after="300"/>
        <w:jc w:val="both"/>
        <w:textAlignment w:val="baseline"/>
        <w:rPr>
          <w:shd w:val="clear" w:color="auto" w:fill="FFFFFF"/>
        </w:rPr>
      </w:pPr>
      <w:r w:rsidRPr="009E186A">
        <w:rPr>
          <w:shd w:val="clear" w:color="auto" w:fill="FFFFFF"/>
        </w:rPr>
        <w:t>El mercado espera un ciclo de tipos de interés reales negativos durante varios años, ante el retorno de la inflación. Servirá para que Estados y empresas reduzcan su deuda</w:t>
      </w:r>
    </w:p>
    <w:p w:rsidR="00C45B46" w:rsidRPr="009E186A" w:rsidRDefault="00C45B46" w:rsidP="00C45B46">
      <w:pPr>
        <w:spacing w:line="240" w:lineRule="auto"/>
        <w:jc w:val="both"/>
        <w:rPr>
          <w:rFonts w:ascii="Times New Roman" w:hAnsi="Times New Roman" w:cs="Times New Roman"/>
          <w:sz w:val="24"/>
          <w:szCs w:val="24"/>
          <w:shd w:val="clear" w:color="auto" w:fill="FFFFFF"/>
        </w:rPr>
      </w:pPr>
      <w:r w:rsidRPr="009E186A">
        <w:rPr>
          <w:rFonts w:ascii="Times New Roman" w:hAnsi="Times New Roman" w:cs="Times New Roman"/>
          <w:sz w:val="24"/>
          <w:szCs w:val="24"/>
          <w:shd w:val="clear" w:color="auto" w:fill="FFFFFF"/>
        </w:rPr>
        <w:t>El balance del BCE supera los siete billones (millones de millones) y sigue aumentando, aunque la institución haya disminuido su ritmo de compras, mientras que en la Fed es de ocho billones, y comenzará este año a rebajar el ritmo de adquisiciones de activos. Pero en ambos casos el balance no disminuirá todavía, manteniendo a raya las primas de riesgo y permitiendo una reducción de la deuda sobre PIB con crecimiento nominal. La inflación aprieta a los bancos centrales, pero estos han sido tozudos en perseverar con sus estímulos y ganar flexibilidad en el mandato de control de precios para no verse obligados a retirar el dopaje a la economía.</w:t>
      </w:r>
    </w:p>
    <w:p w:rsidR="00A61D8E" w:rsidRDefault="00D32DB9" w:rsidP="00C45B46">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Helicópteros en el aire (colecta</w:t>
      </w:r>
      <w:r w:rsidR="00A1356D">
        <w:rPr>
          <w:rFonts w:ascii="Times New Roman" w:hAnsi="Times New Roman" w:cs="Times New Roman"/>
          <w:b/>
          <w:sz w:val="24"/>
          <w:szCs w:val="24"/>
          <w:shd w:val="clear" w:color="auto" w:fill="FFFFFF"/>
        </w:rPr>
        <w:t xml:space="preserve"> para</w:t>
      </w:r>
      <w:r>
        <w:rPr>
          <w:rFonts w:ascii="Times New Roman" w:hAnsi="Times New Roman" w:cs="Times New Roman"/>
          <w:b/>
          <w:sz w:val="24"/>
          <w:szCs w:val="24"/>
          <w:shd w:val="clear" w:color="auto" w:fill="FFFFFF"/>
        </w:rPr>
        <w:t xml:space="preserve"> Covid-19): </w:t>
      </w:r>
      <w:r w:rsidR="009E186A">
        <w:rPr>
          <w:rFonts w:ascii="Times New Roman" w:hAnsi="Times New Roman" w:cs="Times New Roman"/>
          <w:b/>
          <w:sz w:val="24"/>
          <w:szCs w:val="24"/>
          <w:shd w:val="clear" w:color="auto" w:fill="FFFFFF"/>
        </w:rPr>
        <w:t xml:space="preserve">y </w:t>
      </w:r>
      <w:r w:rsidR="00A61D8E">
        <w:rPr>
          <w:rFonts w:ascii="Times New Roman" w:hAnsi="Times New Roman" w:cs="Times New Roman"/>
          <w:b/>
          <w:sz w:val="24"/>
          <w:szCs w:val="24"/>
          <w:shd w:val="clear" w:color="auto" w:fill="FFFFFF"/>
        </w:rPr>
        <w:t>l</w:t>
      </w:r>
      <w:r w:rsidR="00A61D8E" w:rsidRPr="00A61D8E">
        <w:rPr>
          <w:rFonts w:ascii="Times New Roman" w:hAnsi="Times New Roman" w:cs="Times New Roman"/>
          <w:b/>
          <w:sz w:val="24"/>
          <w:szCs w:val="24"/>
          <w:shd w:val="clear" w:color="auto" w:fill="FFFFFF"/>
        </w:rPr>
        <w:t xml:space="preserve">a </w:t>
      </w:r>
      <w:r w:rsidR="00A61D8E">
        <w:rPr>
          <w:rFonts w:ascii="Times New Roman" w:hAnsi="Times New Roman" w:cs="Times New Roman"/>
          <w:b/>
          <w:sz w:val="24"/>
          <w:szCs w:val="24"/>
          <w:shd w:val="clear" w:color="auto" w:fill="FFFFFF"/>
        </w:rPr>
        <w:t>“</w:t>
      </w:r>
      <w:r w:rsidR="00A61D8E" w:rsidRPr="00A61D8E">
        <w:rPr>
          <w:rFonts w:ascii="Times New Roman" w:hAnsi="Times New Roman" w:cs="Times New Roman"/>
          <w:b/>
          <w:sz w:val="24"/>
          <w:szCs w:val="24"/>
          <w:shd w:val="clear" w:color="auto" w:fill="FFFFFF"/>
        </w:rPr>
        <w:t>ley de los grandes números</w:t>
      </w:r>
      <w:r w:rsidR="00A61D8E">
        <w:rPr>
          <w:rFonts w:ascii="Times New Roman" w:hAnsi="Times New Roman" w:cs="Times New Roman"/>
          <w:b/>
          <w:sz w:val="24"/>
          <w:szCs w:val="24"/>
          <w:shd w:val="clear" w:color="auto" w:fill="FFFFFF"/>
        </w:rPr>
        <w:t>”</w:t>
      </w:r>
      <w:r w:rsidR="00A61D8E" w:rsidRPr="00A61D8E">
        <w:rPr>
          <w:rFonts w:ascii="Times New Roman" w:hAnsi="Times New Roman" w:cs="Times New Roman"/>
          <w:b/>
          <w:sz w:val="24"/>
          <w:szCs w:val="24"/>
          <w:shd w:val="clear" w:color="auto" w:fill="FFFFFF"/>
        </w:rPr>
        <w:t>…</w:t>
      </w:r>
    </w:p>
    <w:p w:rsidR="004C7B0C" w:rsidRPr="00A61D8E" w:rsidRDefault="004C7B0C" w:rsidP="00C45B46">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Rastrando la “maldita” hemeroteca (enero 2020 a octubre 2021)</w:t>
      </w:r>
    </w:p>
    <w:p w:rsidR="00C45B46" w:rsidRDefault="00A61D8E" w:rsidP="00E743E7">
      <w:pPr>
        <w:spacing w:line="240" w:lineRule="auto"/>
        <w:jc w:val="both"/>
        <w:rPr>
          <w:rFonts w:ascii="Times New Roman" w:hAnsi="Times New Roman" w:cs="Times New Roman"/>
          <w:b/>
          <w:sz w:val="24"/>
          <w:szCs w:val="24"/>
        </w:rPr>
      </w:pPr>
      <w:r w:rsidRPr="00A61D8E">
        <w:rPr>
          <w:rFonts w:ascii="Times New Roman" w:hAnsi="Times New Roman" w:cs="Times New Roman"/>
          <w:sz w:val="24"/>
          <w:szCs w:val="24"/>
        </w:rPr>
        <w:t xml:space="preserve">UE: </w:t>
      </w:r>
      <w:r>
        <w:rPr>
          <w:rFonts w:ascii="Times New Roman" w:hAnsi="Times New Roman" w:cs="Times New Roman"/>
          <w:sz w:val="24"/>
          <w:szCs w:val="24"/>
        </w:rPr>
        <w:t xml:space="preserve">750.000 millones de euros - </w:t>
      </w:r>
      <w:r>
        <w:rPr>
          <w:rFonts w:ascii="Times New Roman" w:hAnsi="Times New Roman" w:cs="Times New Roman"/>
          <w:b/>
          <w:sz w:val="24"/>
          <w:szCs w:val="24"/>
        </w:rPr>
        <w:t>20</w:t>
      </w:r>
      <w:r w:rsidRPr="00671378">
        <w:rPr>
          <w:rFonts w:ascii="Times New Roman" w:hAnsi="Times New Roman" w:cs="Times New Roman"/>
          <w:b/>
          <w:sz w:val="24"/>
          <w:szCs w:val="24"/>
        </w:rPr>
        <w:t>/3/20</w:t>
      </w:r>
    </w:p>
    <w:p w:rsidR="00A61D8E" w:rsidRPr="00A61D8E" w:rsidRDefault="00A61D8E" w:rsidP="00E743E7">
      <w:pPr>
        <w:spacing w:line="240" w:lineRule="auto"/>
        <w:jc w:val="both"/>
        <w:rPr>
          <w:rFonts w:ascii="Times New Roman" w:hAnsi="Times New Roman" w:cs="Times New Roman"/>
          <w:sz w:val="24"/>
          <w:szCs w:val="24"/>
        </w:rPr>
      </w:pPr>
      <w:r w:rsidRPr="00A61D8E">
        <w:rPr>
          <w:rFonts w:ascii="Times New Roman" w:hAnsi="Times New Roman" w:cs="Times New Roman"/>
          <w:sz w:val="24"/>
          <w:szCs w:val="24"/>
        </w:rPr>
        <w:t>Gobiernos y bancos centrales de</w:t>
      </w:r>
      <w:r>
        <w:rPr>
          <w:rFonts w:ascii="Times New Roman" w:hAnsi="Times New Roman" w:cs="Times New Roman"/>
          <w:sz w:val="24"/>
          <w:szCs w:val="24"/>
        </w:rPr>
        <w:t xml:space="preserve"> las grandes economías: 6 billones de euros - </w:t>
      </w:r>
      <w:r w:rsidRPr="00A61D8E">
        <w:rPr>
          <w:rFonts w:ascii="Times New Roman" w:hAnsi="Times New Roman" w:cs="Times New Roman"/>
          <w:b/>
          <w:sz w:val="24"/>
          <w:szCs w:val="24"/>
        </w:rPr>
        <w:t>26/3/20</w:t>
      </w:r>
    </w:p>
    <w:p w:rsidR="00A61D8E" w:rsidRPr="00A61D8E" w:rsidRDefault="00A61D8E" w:rsidP="00E743E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BCE: 3 billones de euros -  </w:t>
      </w:r>
      <w:r w:rsidRPr="00A61D8E">
        <w:rPr>
          <w:rFonts w:ascii="Times New Roman" w:hAnsi="Times New Roman" w:cs="Times New Roman"/>
          <w:b/>
          <w:sz w:val="24"/>
          <w:szCs w:val="24"/>
        </w:rPr>
        <w:t>26/3/20</w:t>
      </w:r>
    </w:p>
    <w:p w:rsidR="00A61D8E" w:rsidRDefault="00D32DB9" w:rsidP="00E743E7">
      <w:pPr>
        <w:spacing w:line="240" w:lineRule="auto"/>
        <w:jc w:val="both"/>
        <w:rPr>
          <w:rFonts w:ascii="Times New Roman" w:hAnsi="Times New Roman" w:cs="Times New Roman"/>
          <w:b/>
          <w:sz w:val="24"/>
          <w:szCs w:val="24"/>
        </w:rPr>
      </w:pPr>
      <w:r>
        <w:rPr>
          <w:rFonts w:ascii="Times New Roman" w:hAnsi="Times New Roman" w:cs="Times New Roman"/>
          <w:sz w:val="24"/>
          <w:szCs w:val="24"/>
        </w:rPr>
        <w:t xml:space="preserve">FMI: 1 billón de dólares - </w:t>
      </w:r>
      <w:r w:rsidRPr="00D32DB9">
        <w:rPr>
          <w:rFonts w:ascii="Times New Roman" w:hAnsi="Times New Roman" w:cs="Times New Roman"/>
          <w:b/>
          <w:sz w:val="24"/>
          <w:szCs w:val="24"/>
        </w:rPr>
        <w:t>3/4/20</w:t>
      </w:r>
    </w:p>
    <w:p w:rsidR="00D32DB9" w:rsidRPr="00D32DB9" w:rsidRDefault="00D32DB9" w:rsidP="00E743E7">
      <w:pPr>
        <w:spacing w:line="240" w:lineRule="auto"/>
        <w:jc w:val="both"/>
        <w:rPr>
          <w:rFonts w:ascii="Times New Roman" w:hAnsi="Times New Roman" w:cs="Times New Roman"/>
          <w:b/>
          <w:sz w:val="24"/>
          <w:szCs w:val="24"/>
        </w:rPr>
      </w:pPr>
      <w:r w:rsidRPr="00D32DB9">
        <w:rPr>
          <w:rFonts w:ascii="Times New Roman" w:hAnsi="Times New Roman" w:cs="Times New Roman"/>
          <w:sz w:val="24"/>
          <w:szCs w:val="24"/>
        </w:rPr>
        <w:t>BCE</w:t>
      </w:r>
      <w:r>
        <w:rPr>
          <w:rFonts w:ascii="Times New Roman" w:hAnsi="Times New Roman" w:cs="Times New Roman"/>
          <w:b/>
          <w:sz w:val="24"/>
          <w:szCs w:val="24"/>
        </w:rPr>
        <w:t xml:space="preserve">: </w:t>
      </w:r>
      <w:r w:rsidRPr="00D32DB9">
        <w:rPr>
          <w:rFonts w:ascii="Times New Roman" w:hAnsi="Times New Roman" w:cs="Times New Roman"/>
          <w:sz w:val="24"/>
          <w:szCs w:val="24"/>
        </w:rPr>
        <w:t>dupli</w:t>
      </w:r>
      <w:r>
        <w:rPr>
          <w:rFonts w:ascii="Times New Roman" w:hAnsi="Times New Roman" w:cs="Times New Roman"/>
          <w:sz w:val="24"/>
          <w:szCs w:val="24"/>
        </w:rPr>
        <w:t xml:space="preserve">ca su balance a lo largo del año hasta los </w:t>
      </w:r>
      <w:r w:rsidRPr="00D32DB9">
        <w:rPr>
          <w:rFonts w:ascii="Times New Roman" w:hAnsi="Times New Roman" w:cs="Times New Roman"/>
          <w:sz w:val="24"/>
          <w:szCs w:val="24"/>
        </w:rPr>
        <w:t>8,77 billones de euros</w:t>
      </w:r>
      <w:r>
        <w:rPr>
          <w:rFonts w:ascii="Times New Roman" w:hAnsi="Times New Roman" w:cs="Times New Roman"/>
          <w:sz w:val="24"/>
          <w:szCs w:val="24"/>
        </w:rPr>
        <w:t xml:space="preserve"> - </w:t>
      </w:r>
      <w:r w:rsidRPr="00D32DB9">
        <w:rPr>
          <w:rFonts w:ascii="Times New Roman" w:hAnsi="Times New Roman" w:cs="Times New Roman"/>
          <w:b/>
          <w:sz w:val="24"/>
          <w:szCs w:val="24"/>
        </w:rPr>
        <w:t>7/4/20</w:t>
      </w:r>
    </w:p>
    <w:p w:rsidR="00D32DB9" w:rsidRPr="00D32DB9" w:rsidRDefault="00D32DB9" w:rsidP="00E743E7">
      <w:pPr>
        <w:spacing w:line="240" w:lineRule="auto"/>
        <w:jc w:val="both"/>
        <w:rPr>
          <w:rFonts w:ascii="Times New Roman" w:hAnsi="Times New Roman" w:cs="Times New Roman"/>
          <w:sz w:val="24"/>
          <w:szCs w:val="24"/>
        </w:rPr>
      </w:pPr>
      <w:r w:rsidRPr="00D32DB9">
        <w:rPr>
          <w:rFonts w:ascii="Times New Roman" w:hAnsi="Times New Roman" w:cs="Times New Roman"/>
          <w:sz w:val="24"/>
          <w:szCs w:val="24"/>
        </w:rPr>
        <w:t>FED</w:t>
      </w:r>
      <w:r>
        <w:rPr>
          <w:rFonts w:ascii="Times New Roman" w:hAnsi="Times New Roman" w:cs="Times New Roman"/>
          <w:b/>
          <w:sz w:val="24"/>
          <w:szCs w:val="24"/>
        </w:rPr>
        <w:t xml:space="preserve">: </w:t>
      </w:r>
      <w:r w:rsidRPr="00D32DB9">
        <w:rPr>
          <w:rFonts w:ascii="Times New Roman" w:hAnsi="Times New Roman" w:cs="Times New Roman"/>
          <w:sz w:val="24"/>
          <w:szCs w:val="24"/>
        </w:rPr>
        <w:t>dupli</w:t>
      </w:r>
      <w:r>
        <w:rPr>
          <w:rFonts w:ascii="Times New Roman" w:hAnsi="Times New Roman" w:cs="Times New Roman"/>
          <w:sz w:val="24"/>
          <w:szCs w:val="24"/>
        </w:rPr>
        <w:t>ca su balance a lo largo del año hasta los</w:t>
      </w:r>
      <w:r w:rsidRPr="00D32DB9">
        <w:rPr>
          <w:rFonts w:ascii="Times New Roman" w:hAnsi="Times New Roman" w:cs="Times New Roman"/>
          <w:sz w:val="24"/>
          <w:szCs w:val="24"/>
        </w:rPr>
        <w:t xml:space="preserve"> 8,2 billones de dólares</w:t>
      </w:r>
      <w:r>
        <w:rPr>
          <w:rFonts w:ascii="Times New Roman" w:hAnsi="Times New Roman" w:cs="Times New Roman"/>
          <w:sz w:val="24"/>
          <w:szCs w:val="24"/>
        </w:rPr>
        <w:t xml:space="preserve"> - </w:t>
      </w:r>
      <w:r w:rsidRPr="00D32DB9">
        <w:rPr>
          <w:rFonts w:ascii="Times New Roman" w:hAnsi="Times New Roman" w:cs="Times New Roman"/>
          <w:b/>
          <w:sz w:val="24"/>
          <w:szCs w:val="24"/>
        </w:rPr>
        <w:t>7/4/20</w:t>
      </w:r>
      <w:r>
        <w:rPr>
          <w:rFonts w:ascii="Times New Roman" w:hAnsi="Times New Roman" w:cs="Times New Roman"/>
          <w:sz w:val="24"/>
          <w:szCs w:val="24"/>
        </w:rPr>
        <w:t xml:space="preserve"> </w:t>
      </w:r>
    </w:p>
    <w:p w:rsidR="00D32DB9" w:rsidRDefault="00D32DB9" w:rsidP="00E743E7">
      <w:pPr>
        <w:spacing w:line="240" w:lineRule="auto"/>
        <w:jc w:val="both"/>
        <w:rPr>
          <w:rFonts w:ascii="Times New Roman" w:hAnsi="Times New Roman" w:cs="Times New Roman"/>
          <w:b/>
          <w:sz w:val="24"/>
          <w:szCs w:val="24"/>
        </w:rPr>
      </w:pPr>
      <w:r w:rsidRPr="00D32DB9">
        <w:rPr>
          <w:rFonts w:ascii="Times New Roman" w:hAnsi="Times New Roman" w:cs="Times New Roman"/>
          <w:sz w:val="24"/>
          <w:szCs w:val="24"/>
        </w:rPr>
        <w:t xml:space="preserve">FMI: </w:t>
      </w:r>
      <w:r>
        <w:rPr>
          <w:rFonts w:ascii="Times New Roman" w:hAnsi="Times New Roman" w:cs="Times New Roman"/>
          <w:sz w:val="24"/>
          <w:szCs w:val="24"/>
        </w:rPr>
        <w:t>e</w:t>
      </w:r>
      <w:r w:rsidRPr="00D32DB9">
        <w:rPr>
          <w:rFonts w:ascii="Times New Roman" w:hAnsi="Times New Roman" w:cs="Times New Roman"/>
          <w:sz w:val="24"/>
          <w:szCs w:val="24"/>
        </w:rPr>
        <w:t>l mundo ha movilizado ya ocho billones de dólares (7,4 billones de euros) en ayudas fiscales y cuantiosos estímulos monetarios para afrontar la crisis</w:t>
      </w:r>
      <w:r>
        <w:rPr>
          <w:rFonts w:ascii="Times New Roman" w:hAnsi="Times New Roman" w:cs="Times New Roman"/>
          <w:sz w:val="24"/>
          <w:szCs w:val="24"/>
        </w:rPr>
        <w:t xml:space="preserve"> - </w:t>
      </w:r>
      <w:r w:rsidRPr="00D32DB9">
        <w:rPr>
          <w:rFonts w:ascii="Times New Roman" w:hAnsi="Times New Roman" w:cs="Times New Roman"/>
          <w:b/>
          <w:sz w:val="24"/>
          <w:szCs w:val="24"/>
        </w:rPr>
        <w:t>9/4/20</w:t>
      </w:r>
    </w:p>
    <w:p w:rsidR="00D32DB9" w:rsidRDefault="00AB658C" w:rsidP="00E743E7">
      <w:pPr>
        <w:spacing w:line="240" w:lineRule="auto"/>
        <w:jc w:val="both"/>
        <w:rPr>
          <w:rFonts w:ascii="Times New Roman" w:hAnsi="Times New Roman" w:cs="Times New Roman"/>
          <w:sz w:val="24"/>
          <w:szCs w:val="24"/>
        </w:rPr>
      </w:pPr>
      <w:r w:rsidRPr="00AB658C">
        <w:rPr>
          <w:rFonts w:ascii="Times New Roman" w:hAnsi="Times New Roman" w:cs="Times New Roman"/>
          <w:sz w:val="24"/>
          <w:szCs w:val="24"/>
        </w:rPr>
        <w:t xml:space="preserve">En todo el mundo se estima ya que el rescate fiscal asciende ya a los 10 billones de dólares, según el semanario Barron´s y el Consejo de Relaciones Exteriores </w:t>
      </w:r>
      <w:r>
        <w:rPr>
          <w:rFonts w:ascii="Times New Roman" w:hAnsi="Times New Roman" w:cs="Times New Roman"/>
          <w:sz w:val="24"/>
          <w:szCs w:val="24"/>
        </w:rPr>
        <w:t xml:space="preserve">(CFR), por sus siglas en inglés - </w:t>
      </w:r>
      <w:r w:rsidRPr="001E4969">
        <w:rPr>
          <w:rFonts w:ascii="Times New Roman" w:hAnsi="Times New Roman" w:cs="Times New Roman"/>
          <w:b/>
          <w:sz w:val="24"/>
          <w:szCs w:val="24"/>
        </w:rPr>
        <w:t>6/5/20</w:t>
      </w:r>
    </w:p>
    <w:p w:rsidR="00AB658C" w:rsidRDefault="00AB658C" w:rsidP="00E743E7">
      <w:pPr>
        <w:spacing w:line="240" w:lineRule="auto"/>
        <w:jc w:val="both"/>
        <w:rPr>
          <w:rFonts w:ascii="Times New Roman" w:hAnsi="Times New Roman" w:cs="Times New Roman"/>
          <w:b/>
          <w:sz w:val="24"/>
          <w:szCs w:val="24"/>
        </w:rPr>
      </w:pPr>
      <w:r w:rsidRPr="00AB658C">
        <w:rPr>
          <w:rFonts w:ascii="Times New Roman" w:hAnsi="Times New Roman" w:cs="Times New Roman"/>
          <w:sz w:val="24"/>
          <w:szCs w:val="24"/>
        </w:rPr>
        <w:t>“Dado que la creación de deuda y el QE continuarán siendo más fuertes de lo normal hasta 2021, creemos que la creación total de dinero o liquidez podría superar los 15 billones de dólares a nivel mundial a med</w:t>
      </w:r>
      <w:r>
        <w:rPr>
          <w:rFonts w:ascii="Times New Roman" w:hAnsi="Times New Roman" w:cs="Times New Roman"/>
          <w:sz w:val="24"/>
          <w:szCs w:val="24"/>
        </w:rPr>
        <w:t xml:space="preserve">iados del próximo año”, asegura </w:t>
      </w:r>
      <w:r w:rsidRPr="00AB658C">
        <w:rPr>
          <w:rFonts w:ascii="Times New Roman" w:hAnsi="Times New Roman" w:cs="Times New Roman"/>
          <w:sz w:val="24"/>
          <w:szCs w:val="24"/>
        </w:rPr>
        <w:t>JPMorgan</w:t>
      </w:r>
      <w:r>
        <w:rPr>
          <w:rFonts w:ascii="Times New Roman" w:hAnsi="Times New Roman" w:cs="Times New Roman"/>
          <w:sz w:val="24"/>
          <w:szCs w:val="24"/>
        </w:rPr>
        <w:t xml:space="preserve"> - </w:t>
      </w:r>
      <w:r w:rsidRPr="00AB658C">
        <w:rPr>
          <w:rFonts w:ascii="Times New Roman" w:hAnsi="Times New Roman" w:cs="Times New Roman"/>
          <w:b/>
          <w:sz w:val="24"/>
          <w:szCs w:val="24"/>
        </w:rPr>
        <w:t>7/6/20</w:t>
      </w:r>
    </w:p>
    <w:p w:rsidR="00AB658C" w:rsidRDefault="00AB658C" w:rsidP="00E743E7">
      <w:pPr>
        <w:spacing w:line="240" w:lineRule="auto"/>
        <w:jc w:val="both"/>
        <w:rPr>
          <w:rFonts w:ascii="Times New Roman" w:hAnsi="Times New Roman" w:cs="Times New Roman"/>
          <w:b/>
          <w:sz w:val="24"/>
          <w:szCs w:val="24"/>
        </w:rPr>
      </w:pPr>
      <w:r>
        <w:rPr>
          <w:rFonts w:ascii="Times New Roman" w:hAnsi="Times New Roman" w:cs="Times New Roman"/>
          <w:sz w:val="24"/>
          <w:szCs w:val="24"/>
        </w:rPr>
        <w:t>“</w:t>
      </w:r>
      <w:r w:rsidRPr="00AB658C">
        <w:rPr>
          <w:rFonts w:ascii="Times New Roman" w:hAnsi="Times New Roman" w:cs="Times New Roman"/>
          <w:sz w:val="24"/>
          <w:szCs w:val="24"/>
        </w:rPr>
        <w:t>Por ahora, los balances de los bancos centrales han aumentado de media en un 10% del PIB durante los primeros tres meses de la crisis. Los escenarios razonables implican un aumento general de entre el 15 y el 23% d</w:t>
      </w:r>
      <w:r>
        <w:rPr>
          <w:rFonts w:ascii="Times New Roman" w:hAnsi="Times New Roman" w:cs="Times New Roman"/>
          <w:sz w:val="24"/>
          <w:szCs w:val="24"/>
        </w:rPr>
        <w:t>el PIB antes de finales de 2020”</w:t>
      </w:r>
      <w:r w:rsidRPr="00AB658C">
        <w:rPr>
          <w:rFonts w:ascii="Times New Roman" w:hAnsi="Times New Roman" w:cs="Times New Roman"/>
          <w:sz w:val="24"/>
          <w:szCs w:val="24"/>
        </w:rPr>
        <w:t xml:space="preserve">, </w:t>
      </w:r>
      <w:r w:rsidR="009E186A">
        <w:rPr>
          <w:rFonts w:ascii="Times New Roman" w:hAnsi="Times New Roman" w:cs="Times New Roman"/>
          <w:sz w:val="24"/>
          <w:szCs w:val="24"/>
        </w:rPr>
        <w:t>sentencian los expertos del BiS</w:t>
      </w:r>
      <w:r>
        <w:rPr>
          <w:rFonts w:ascii="Times New Roman" w:hAnsi="Times New Roman" w:cs="Times New Roman"/>
          <w:sz w:val="24"/>
          <w:szCs w:val="24"/>
        </w:rPr>
        <w:t xml:space="preserve"> - </w:t>
      </w:r>
      <w:r>
        <w:rPr>
          <w:rFonts w:ascii="Times New Roman" w:hAnsi="Times New Roman" w:cs="Times New Roman"/>
          <w:b/>
          <w:sz w:val="24"/>
          <w:szCs w:val="24"/>
        </w:rPr>
        <w:t>8</w:t>
      </w:r>
      <w:r w:rsidRPr="00AB658C">
        <w:rPr>
          <w:rFonts w:ascii="Times New Roman" w:hAnsi="Times New Roman" w:cs="Times New Roman"/>
          <w:b/>
          <w:sz w:val="24"/>
          <w:szCs w:val="24"/>
        </w:rPr>
        <w:t>/6/20</w:t>
      </w:r>
    </w:p>
    <w:p w:rsidR="00AB658C" w:rsidRDefault="00AB658C" w:rsidP="00E743E7">
      <w:pPr>
        <w:spacing w:line="240" w:lineRule="auto"/>
        <w:jc w:val="both"/>
        <w:rPr>
          <w:rFonts w:ascii="Times New Roman" w:hAnsi="Times New Roman" w:cs="Times New Roman"/>
          <w:b/>
          <w:sz w:val="24"/>
          <w:szCs w:val="24"/>
        </w:rPr>
      </w:pPr>
      <w:r w:rsidRPr="00AB658C">
        <w:rPr>
          <w:rFonts w:ascii="Times New Roman" w:hAnsi="Times New Roman" w:cs="Times New Roman"/>
          <w:sz w:val="24"/>
          <w:szCs w:val="24"/>
        </w:rPr>
        <w:lastRenderedPageBreak/>
        <w:t>La prestigiosa consultora McKinsey estima que, a día de hoy, los gobiernos afectados acumularán un déficit de entre 25 y 30 billones de dólares hasta 2023, equivalente al 30% del PIB global, una cifra inédita en tiempos de paz. Este desequilibrio es fruto, por un lado, del fuerte aumento que registrará el gasto público como consecuencia de los estímulos fiscales puestos en marcha para tratar de combatir la crisis económica y, por otro, de la intensa reducción de los ingresos de</w:t>
      </w:r>
      <w:r w:rsidR="009E186A">
        <w:rPr>
          <w:rFonts w:ascii="Times New Roman" w:hAnsi="Times New Roman" w:cs="Times New Roman"/>
          <w:sz w:val="24"/>
          <w:szCs w:val="24"/>
        </w:rPr>
        <w:t>bido, igualmente, a la recesión</w:t>
      </w:r>
      <w:r>
        <w:rPr>
          <w:rFonts w:ascii="Times New Roman" w:hAnsi="Times New Roman" w:cs="Times New Roman"/>
          <w:sz w:val="24"/>
          <w:szCs w:val="24"/>
        </w:rPr>
        <w:t xml:space="preserve"> - </w:t>
      </w:r>
      <w:r w:rsidRPr="00AB658C">
        <w:rPr>
          <w:rFonts w:ascii="Times New Roman" w:hAnsi="Times New Roman" w:cs="Times New Roman"/>
          <w:b/>
          <w:sz w:val="24"/>
          <w:szCs w:val="24"/>
        </w:rPr>
        <w:t>21/6/20</w:t>
      </w:r>
    </w:p>
    <w:p w:rsidR="00AB658C" w:rsidRDefault="00AB658C" w:rsidP="00E743E7">
      <w:pPr>
        <w:spacing w:line="240" w:lineRule="auto"/>
        <w:jc w:val="both"/>
        <w:rPr>
          <w:rFonts w:ascii="Times New Roman" w:hAnsi="Times New Roman" w:cs="Times New Roman"/>
          <w:b/>
          <w:sz w:val="24"/>
          <w:szCs w:val="24"/>
        </w:rPr>
      </w:pPr>
      <w:r w:rsidRPr="00AB658C">
        <w:rPr>
          <w:rFonts w:ascii="Times New Roman" w:hAnsi="Times New Roman" w:cs="Times New Roman"/>
          <w:sz w:val="24"/>
          <w:szCs w:val="24"/>
        </w:rPr>
        <w:t>Desde el pasado mes de marzo, momento en el que la pandemia comenzó su expansión por Europa y EEUU, el balance de los tres grandes bancos centrales del planeta (el BCE, la Reserva Federal y el Banco de Japón) ha aumentado de manera conjunta en más de cuatro billones de euros, pasando de los 9,04 billones que tenían a cierre de febrero a los 13,35 billones actuales. El incremento de los balances</w:t>
      </w:r>
      <w:r w:rsidR="009E186A">
        <w:rPr>
          <w:rFonts w:ascii="Times New Roman" w:hAnsi="Times New Roman" w:cs="Times New Roman"/>
          <w:sz w:val="24"/>
          <w:szCs w:val="24"/>
        </w:rPr>
        <w:t xml:space="preserve"> ha seguido</w:t>
      </w:r>
      <w:r w:rsidRPr="00AB658C">
        <w:rPr>
          <w:rFonts w:ascii="Times New Roman" w:hAnsi="Times New Roman" w:cs="Times New Roman"/>
          <w:sz w:val="24"/>
          <w:szCs w:val="24"/>
        </w:rPr>
        <w:t xml:space="preserve"> una corriente progresiva desde 2008, pero la llegada de la crisis derivada del coronavirus ha provocado un incremento exponencial hasta niveles histó</w:t>
      </w:r>
      <w:r w:rsidR="009E186A">
        <w:rPr>
          <w:rFonts w:ascii="Times New Roman" w:hAnsi="Times New Roman" w:cs="Times New Roman"/>
          <w:sz w:val="24"/>
          <w:szCs w:val="24"/>
        </w:rPr>
        <w:t>ricos</w:t>
      </w:r>
      <w:r>
        <w:rPr>
          <w:rFonts w:ascii="Times New Roman" w:hAnsi="Times New Roman" w:cs="Times New Roman"/>
          <w:sz w:val="24"/>
          <w:szCs w:val="24"/>
        </w:rPr>
        <w:t xml:space="preserve"> - </w:t>
      </w:r>
      <w:r w:rsidRPr="00AB658C">
        <w:rPr>
          <w:rFonts w:ascii="Times New Roman" w:hAnsi="Times New Roman" w:cs="Times New Roman"/>
          <w:b/>
          <w:sz w:val="24"/>
          <w:szCs w:val="24"/>
        </w:rPr>
        <w:t>2/7/20</w:t>
      </w:r>
    </w:p>
    <w:p w:rsidR="00AB658C" w:rsidRDefault="00674A74" w:rsidP="00E743E7">
      <w:pPr>
        <w:spacing w:line="240" w:lineRule="auto"/>
        <w:jc w:val="both"/>
        <w:rPr>
          <w:rFonts w:ascii="Times New Roman" w:hAnsi="Times New Roman" w:cs="Times New Roman"/>
          <w:b/>
          <w:sz w:val="24"/>
          <w:szCs w:val="24"/>
        </w:rPr>
      </w:pPr>
      <w:r>
        <w:rPr>
          <w:rFonts w:ascii="Times New Roman" w:hAnsi="Times New Roman" w:cs="Times New Roman"/>
          <w:sz w:val="24"/>
          <w:szCs w:val="24"/>
        </w:rPr>
        <w:t xml:space="preserve">BCE: </w:t>
      </w:r>
      <w:r w:rsidRPr="00674A74">
        <w:rPr>
          <w:rFonts w:ascii="Times New Roman" w:hAnsi="Times New Roman" w:cs="Times New Roman"/>
          <w:sz w:val="24"/>
          <w:szCs w:val="24"/>
        </w:rPr>
        <w:t>ha elevado su balance un 31,9% (más de un billón), hasta los 6,2 billones de euros, el 52,8% del PIB de la zona euro.</w:t>
      </w:r>
      <w:r>
        <w:rPr>
          <w:rFonts w:ascii="Times New Roman" w:hAnsi="Times New Roman" w:cs="Times New Roman"/>
          <w:sz w:val="24"/>
          <w:szCs w:val="24"/>
        </w:rPr>
        <w:t xml:space="preserve"> </w:t>
      </w:r>
      <w:r w:rsidRPr="00674A74">
        <w:rPr>
          <w:rFonts w:ascii="Times New Roman" w:hAnsi="Times New Roman" w:cs="Times New Roman"/>
          <w:sz w:val="24"/>
          <w:szCs w:val="24"/>
        </w:rPr>
        <w:t xml:space="preserve">Como complemento a todo esto, el BCE puso en marcha el programa de compras de deuda. El plan, que en un principio estaba valorado en 750.00 millones de euros, fue ampliado en 600.000 millones, hasta los 1,36 billones. Con todo ello el balance del organismo podría concluir 2020 en los 9 billones desde los </w:t>
      </w:r>
      <w:r w:rsidR="009E186A">
        <w:rPr>
          <w:rFonts w:ascii="Times New Roman" w:hAnsi="Times New Roman" w:cs="Times New Roman"/>
          <w:sz w:val="24"/>
          <w:szCs w:val="24"/>
        </w:rPr>
        <w:t>4,69 con los que comenzó el año</w:t>
      </w:r>
      <w:r>
        <w:rPr>
          <w:rFonts w:ascii="Times New Roman" w:hAnsi="Times New Roman" w:cs="Times New Roman"/>
          <w:sz w:val="24"/>
          <w:szCs w:val="24"/>
        </w:rPr>
        <w:t xml:space="preserve"> - </w:t>
      </w:r>
      <w:r w:rsidRPr="00674A74">
        <w:rPr>
          <w:rFonts w:ascii="Times New Roman" w:hAnsi="Times New Roman" w:cs="Times New Roman"/>
          <w:b/>
          <w:sz w:val="24"/>
          <w:szCs w:val="24"/>
        </w:rPr>
        <w:t>2/7/20</w:t>
      </w:r>
    </w:p>
    <w:p w:rsidR="00674A74" w:rsidRDefault="00674A74" w:rsidP="00E743E7">
      <w:pPr>
        <w:spacing w:line="240" w:lineRule="auto"/>
        <w:jc w:val="both"/>
        <w:rPr>
          <w:rFonts w:ascii="Times New Roman" w:hAnsi="Times New Roman" w:cs="Times New Roman"/>
          <w:b/>
          <w:sz w:val="24"/>
          <w:szCs w:val="24"/>
        </w:rPr>
      </w:pPr>
      <w:r>
        <w:rPr>
          <w:rFonts w:ascii="Times New Roman" w:hAnsi="Times New Roman" w:cs="Times New Roman"/>
          <w:sz w:val="24"/>
          <w:szCs w:val="24"/>
        </w:rPr>
        <w:t>FED: l</w:t>
      </w:r>
      <w:r w:rsidRPr="00674A74">
        <w:rPr>
          <w:rFonts w:ascii="Times New Roman" w:hAnsi="Times New Roman" w:cs="Times New Roman"/>
          <w:sz w:val="24"/>
          <w:szCs w:val="24"/>
        </w:rPr>
        <w:t>a i</w:t>
      </w:r>
      <w:r>
        <w:rPr>
          <w:rFonts w:ascii="Times New Roman" w:hAnsi="Times New Roman" w:cs="Times New Roman"/>
          <w:sz w:val="24"/>
          <w:szCs w:val="24"/>
        </w:rPr>
        <w:t xml:space="preserve">nstitución </w:t>
      </w:r>
      <w:r w:rsidRPr="00674A74">
        <w:rPr>
          <w:rFonts w:ascii="Times New Roman" w:hAnsi="Times New Roman" w:cs="Times New Roman"/>
          <w:sz w:val="24"/>
          <w:szCs w:val="24"/>
        </w:rPr>
        <w:t>comenzó la compra de bonos corporativos</w:t>
      </w:r>
      <w:r>
        <w:rPr>
          <w:rFonts w:ascii="Times New Roman" w:hAnsi="Times New Roman" w:cs="Times New Roman"/>
          <w:sz w:val="24"/>
          <w:szCs w:val="24"/>
        </w:rPr>
        <w:t xml:space="preserve"> y</w:t>
      </w:r>
      <w:r w:rsidRPr="00674A74">
        <w:rPr>
          <w:rFonts w:ascii="Times New Roman" w:hAnsi="Times New Roman" w:cs="Times New Roman"/>
          <w:sz w:val="24"/>
          <w:szCs w:val="24"/>
        </w:rPr>
        <w:t xml:space="preserve"> anunció a comienzos de abril medidas por valor de 2,3 billones de dólares (2,1 billones de euros). En este programa, además de los ETF, se incluye la compra de 750.000 millones en bonos del Tesoro y 600.000 millones en préstamos a pequeñas y medianas empresas concedidos o refinanciados por los bancos comerciales.</w:t>
      </w:r>
      <w:r>
        <w:rPr>
          <w:rFonts w:ascii="Times New Roman" w:hAnsi="Times New Roman" w:cs="Times New Roman"/>
          <w:sz w:val="24"/>
          <w:szCs w:val="24"/>
        </w:rPr>
        <w:t xml:space="preserve"> E</w:t>
      </w:r>
      <w:r w:rsidRPr="00674A74">
        <w:rPr>
          <w:rFonts w:ascii="Times New Roman" w:hAnsi="Times New Roman" w:cs="Times New Roman"/>
          <w:sz w:val="24"/>
          <w:szCs w:val="24"/>
        </w:rPr>
        <w:t xml:space="preserve">sto ha sido suficiente para que en cuestión de tres meses el balance haya pasado de los 3,8 billones de euros que registraba a comienzos de marzo a los 6,3 billones, cifra que </w:t>
      </w:r>
      <w:r>
        <w:rPr>
          <w:rFonts w:ascii="Times New Roman" w:hAnsi="Times New Roman" w:cs="Times New Roman"/>
          <w:sz w:val="24"/>
          <w:szCs w:val="24"/>
        </w:rPr>
        <w:t>equivale al 32,6% del PIB de EE</w:t>
      </w:r>
      <w:r w:rsidRPr="00674A74">
        <w:rPr>
          <w:rFonts w:ascii="Times New Roman" w:hAnsi="Times New Roman" w:cs="Times New Roman"/>
          <w:sz w:val="24"/>
          <w:szCs w:val="24"/>
        </w:rPr>
        <w:t>UU. Atendiendo a las declaraciones efectuadas por el secretario del Tesoro, Steven Mnuchin, la institución podría finalizar el año con un balance cercano a los ocho billones de euros, cifra no registrada hast</w:t>
      </w:r>
      <w:r w:rsidR="009E186A">
        <w:rPr>
          <w:rFonts w:ascii="Times New Roman" w:hAnsi="Times New Roman" w:cs="Times New Roman"/>
          <w:sz w:val="24"/>
          <w:szCs w:val="24"/>
        </w:rPr>
        <w:t>a la fecha</w:t>
      </w:r>
      <w:r>
        <w:rPr>
          <w:rFonts w:ascii="Times New Roman" w:hAnsi="Times New Roman" w:cs="Times New Roman"/>
          <w:sz w:val="24"/>
          <w:szCs w:val="24"/>
        </w:rPr>
        <w:t xml:space="preserve"> - </w:t>
      </w:r>
      <w:r w:rsidRPr="00674A74">
        <w:rPr>
          <w:rFonts w:ascii="Times New Roman" w:hAnsi="Times New Roman" w:cs="Times New Roman"/>
          <w:b/>
          <w:sz w:val="24"/>
          <w:szCs w:val="24"/>
        </w:rPr>
        <w:t>2/7/20</w:t>
      </w:r>
    </w:p>
    <w:p w:rsidR="00674A74" w:rsidRDefault="00674A74" w:rsidP="00E743E7">
      <w:pPr>
        <w:spacing w:line="240" w:lineRule="auto"/>
        <w:rPr>
          <w:rFonts w:ascii="Times New Roman" w:hAnsi="Times New Roman" w:cs="Times New Roman"/>
          <w:b/>
          <w:sz w:val="24"/>
          <w:szCs w:val="24"/>
        </w:rPr>
      </w:pPr>
      <w:r w:rsidRPr="00674A74">
        <w:rPr>
          <w:rFonts w:ascii="Times New Roman" w:hAnsi="Times New Roman" w:cs="Times New Roman"/>
          <w:sz w:val="24"/>
          <w:szCs w:val="24"/>
        </w:rPr>
        <w:t>BCE: Las medidas del Banco Central Europeo (BCE) para frenar el impacto del coronavirus en la economía han tenido un impacto más allá de limitar la subida de las primas de riesgo y evitar una nueva crisis de deuda. Los paquetes de compras y otras estrategias han provocado que el balance del organismo engorde semana a semana y supere ya los 6,2 billones de euros</w:t>
      </w:r>
      <w:r w:rsidR="009E186A">
        <w:rPr>
          <w:rFonts w:ascii="Times New Roman" w:hAnsi="Times New Roman" w:cs="Times New Roman"/>
          <w:sz w:val="24"/>
          <w:szCs w:val="24"/>
        </w:rPr>
        <w:t xml:space="preserve"> por primera vez en la historia</w:t>
      </w:r>
      <w:r>
        <w:rPr>
          <w:rFonts w:ascii="Times New Roman" w:hAnsi="Times New Roman" w:cs="Times New Roman"/>
          <w:sz w:val="24"/>
          <w:szCs w:val="24"/>
        </w:rPr>
        <w:t xml:space="preserve"> - </w:t>
      </w:r>
      <w:r w:rsidRPr="00674A74">
        <w:rPr>
          <w:rFonts w:ascii="Times New Roman" w:hAnsi="Times New Roman" w:cs="Times New Roman"/>
          <w:b/>
          <w:sz w:val="24"/>
          <w:szCs w:val="24"/>
        </w:rPr>
        <w:t>14/7/20</w:t>
      </w:r>
    </w:p>
    <w:p w:rsidR="00674A74" w:rsidRDefault="00674A74" w:rsidP="00E743E7">
      <w:pPr>
        <w:spacing w:line="240" w:lineRule="auto"/>
        <w:jc w:val="both"/>
        <w:rPr>
          <w:rFonts w:ascii="Times New Roman" w:hAnsi="Times New Roman" w:cs="Times New Roman"/>
          <w:b/>
          <w:sz w:val="24"/>
          <w:szCs w:val="24"/>
        </w:rPr>
      </w:pPr>
      <w:r>
        <w:rPr>
          <w:rFonts w:ascii="Times New Roman" w:hAnsi="Times New Roman" w:cs="Times New Roman"/>
          <w:sz w:val="24"/>
          <w:szCs w:val="24"/>
        </w:rPr>
        <w:t xml:space="preserve">FED: </w:t>
      </w:r>
      <w:r w:rsidRPr="00674A74">
        <w:rPr>
          <w:rFonts w:ascii="Times New Roman" w:hAnsi="Times New Roman" w:cs="Times New Roman"/>
          <w:sz w:val="24"/>
          <w:szCs w:val="24"/>
        </w:rPr>
        <w:t>A medida que el balance de la Reserva Federal continúa creciendo exponencialmente, rozando actualmente los 7 billones de dólares, el banco central de Estados Unidos también se postula ya como el mayor tenedor úni</w:t>
      </w:r>
      <w:r>
        <w:rPr>
          <w:rFonts w:ascii="Times New Roman" w:hAnsi="Times New Roman" w:cs="Times New Roman"/>
          <w:sz w:val="24"/>
          <w:szCs w:val="24"/>
        </w:rPr>
        <w:t xml:space="preserve">co de bonos del Tesoro patrios. </w:t>
      </w:r>
      <w:r w:rsidRPr="00674A74">
        <w:rPr>
          <w:rFonts w:ascii="Times New Roman" w:hAnsi="Times New Roman" w:cs="Times New Roman"/>
          <w:sz w:val="24"/>
          <w:szCs w:val="24"/>
        </w:rPr>
        <w:t>Con un total de 4,25 billones de dólares registrados la semana pasada, Jerome Powell y sus chicos superan ya el total de deuda pública estadounidense en</w:t>
      </w:r>
      <w:r w:rsidR="009E186A">
        <w:rPr>
          <w:rFonts w:ascii="Times New Roman" w:hAnsi="Times New Roman" w:cs="Times New Roman"/>
          <w:sz w:val="24"/>
          <w:szCs w:val="24"/>
        </w:rPr>
        <w:t xml:space="preserve"> manos de gobiernos extranjeros</w:t>
      </w:r>
      <w:r>
        <w:rPr>
          <w:rFonts w:ascii="Times New Roman" w:hAnsi="Times New Roman" w:cs="Times New Roman"/>
          <w:sz w:val="24"/>
          <w:szCs w:val="24"/>
        </w:rPr>
        <w:t xml:space="preserve"> </w:t>
      </w:r>
      <w:r w:rsidR="008E1165">
        <w:rPr>
          <w:rFonts w:ascii="Times New Roman" w:hAnsi="Times New Roman" w:cs="Times New Roman"/>
          <w:sz w:val="24"/>
          <w:szCs w:val="24"/>
        </w:rPr>
        <w:t xml:space="preserve">- </w:t>
      </w:r>
      <w:r w:rsidR="008E1165" w:rsidRPr="008E1165">
        <w:rPr>
          <w:rFonts w:ascii="Times New Roman" w:hAnsi="Times New Roman" w:cs="Times New Roman"/>
          <w:b/>
          <w:sz w:val="24"/>
          <w:szCs w:val="24"/>
        </w:rPr>
        <w:t>21/7/20</w:t>
      </w:r>
    </w:p>
    <w:p w:rsidR="008E1165" w:rsidRPr="008E1165" w:rsidRDefault="008E1165" w:rsidP="00E743E7">
      <w:pPr>
        <w:spacing w:line="240" w:lineRule="auto"/>
        <w:jc w:val="both"/>
        <w:rPr>
          <w:rFonts w:ascii="Times New Roman" w:hAnsi="Times New Roman" w:cs="Times New Roman"/>
          <w:sz w:val="24"/>
          <w:szCs w:val="24"/>
        </w:rPr>
      </w:pPr>
      <w:r w:rsidRPr="008E1165">
        <w:rPr>
          <w:rFonts w:ascii="Times New Roman" w:hAnsi="Times New Roman" w:cs="Times New Roman"/>
          <w:sz w:val="24"/>
          <w:szCs w:val="24"/>
        </w:rPr>
        <w:t xml:space="preserve">El Consejo y la Comisión Europea, con todo, ponen en valor las cifras movilizadas. En conjunto, sumando el presupuesto plurianual (1,074 billones), el fondo de reconstrucción (750.000 millones) y la primera respuesta comunitaria que movilizó dinero del MEDE, el Sure y el Banco Europeo de Inversiones (540.000 millones en total), la respuesta europea asciende a los 2.364 billones de euros, el 17% del PIB de </w:t>
      </w:r>
      <w:r w:rsidR="009E186A">
        <w:rPr>
          <w:rFonts w:ascii="Times New Roman" w:hAnsi="Times New Roman" w:cs="Times New Roman"/>
          <w:sz w:val="24"/>
          <w:szCs w:val="24"/>
        </w:rPr>
        <w:t>la UE</w:t>
      </w:r>
      <w:r>
        <w:rPr>
          <w:rFonts w:ascii="Times New Roman" w:hAnsi="Times New Roman" w:cs="Times New Roman"/>
          <w:sz w:val="24"/>
          <w:szCs w:val="24"/>
        </w:rPr>
        <w:t xml:space="preserve"> - </w:t>
      </w:r>
      <w:r w:rsidRPr="008E1165">
        <w:rPr>
          <w:rFonts w:ascii="Times New Roman" w:hAnsi="Times New Roman" w:cs="Times New Roman"/>
          <w:b/>
          <w:sz w:val="24"/>
          <w:szCs w:val="24"/>
        </w:rPr>
        <w:t>22/7/20</w:t>
      </w:r>
    </w:p>
    <w:p w:rsidR="008E1165" w:rsidRDefault="008E1165" w:rsidP="00E743E7">
      <w:pPr>
        <w:spacing w:line="240" w:lineRule="auto"/>
        <w:jc w:val="both"/>
        <w:rPr>
          <w:rFonts w:ascii="Times New Roman" w:hAnsi="Times New Roman" w:cs="Times New Roman"/>
          <w:b/>
          <w:sz w:val="24"/>
          <w:szCs w:val="24"/>
        </w:rPr>
      </w:pPr>
      <w:r w:rsidRPr="008E1165">
        <w:rPr>
          <w:rFonts w:ascii="Times New Roman" w:hAnsi="Times New Roman" w:cs="Times New Roman"/>
          <w:sz w:val="24"/>
          <w:szCs w:val="24"/>
        </w:rPr>
        <w:t xml:space="preserve">La respuesta de gobiernos y empresas ante la recesión desatada por la pandemia covid-19 ha sido fundamental para amortiguar el golpe económico. Sin embargo, esta acción global tiene </w:t>
      </w:r>
      <w:r w:rsidRPr="008E1165">
        <w:rPr>
          <w:rFonts w:ascii="Times New Roman" w:hAnsi="Times New Roman" w:cs="Times New Roman"/>
          <w:sz w:val="24"/>
          <w:szCs w:val="24"/>
        </w:rPr>
        <w:lastRenderedPageBreak/>
        <w:t>también consecuencias negativas: la deuda total mundial está a punto de alcanzar un máximo histórico de 277 billones de dólares (233 billones de euros), el 365% del PIB. La combinación no da lugar a dudas, un aumento del gasto junto a una caída de ingreso</w:t>
      </w:r>
      <w:r w:rsidR="009E186A">
        <w:rPr>
          <w:rFonts w:ascii="Times New Roman" w:hAnsi="Times New Roman" w:cs="Times New Roman"/>
          <w:sz w:val="24"/>
          <w:szCs w:val="24"/>
        </w:rPr>
        <w:t>s se traduce en mucha más deuda</w:t>
      </w:r>
      <w:r>
        <w:rPr>
          <w:rFonts w:ascii="Times New Roman" w:hAnsi="Times New Roman" w:cs="Times New Roman"/>
          <w:sz w:val="24"/>
          <w:szCs w:val="24"/>
        </w:rPr>
        <w:t xml:space="preserve"> - </w:t>
      </w:r>
      <w:r w:rsidRPr="00162486">
        <w:rPr>
          <w:rFonts w:ascii="Times New Roman" w:hAnsi="Times New Roman" w:cs="Times New Roman"/>
          <w:b/>
          <w:sz w:val="24"/>
          <w:szCs w:val="24"/>
        </w:rPr>
        <w:t>19/11/20</w:t>
      </w:r>
    </w:p>
    <w:p w:rsidR="008E1165" w:rsidRDefault="008E1165" w:rsidP="00E743E7">
      <w:pPr>
        <w:spacing w:line="240" w:lineRule="auto"/>
        <w:jc w:val="both"/>
        <w:rPr>
          <w:rFonts w:ascii="Times New Roman" w:hAnsi="Times New Roman" w:cs="Times New Roman"/>
          <w:b/>
          <w:sz w:val="24"/>
          <w:szCs w:val="24"/>
        </w:rPr>
      </w:pPr>
      <w:r>
        <w:rPr>
          <w:rFonts w:ascii="Times New Roman" w:hAnsi="Times New Roman" w:cs="Times New Roman"/>
          <w:sz w:val="24"/>
          <w:szCs w:val="24"/>
        </w:rPr>
        <w:t>E</w:t>
      </w:r>
      <w:r w:rsidRPr="008E1165">
        <w:rPr>
          <w:rFonts w:ascii="Times New Roman" w:hAnsi="Times New Roman" w:cs="Times New Roman"/>
          <w:sz w:val="24"/>
          <w:szCs w:val="24"/>
        </w:rPr>
        <w:t>l IIF concluye que el ritmo de acumulación de deuda mundial en estos momentos es muy elevado, con un incremento de 52 billones de dólares. “Como resultado, existe una incertidumbre significativa sobre cómo la economía global puede desapalancarse (reducir estos niveles de deuda) en el futuro sin implicaciones adversas significativas para la actividad económica. La próxima década podría traer una respuesta fiscal reflacionaria, algo totalmente opuesto a la austeridad que se aplicó en la década de 2010. Si la montaña de deuda global continúa creciendo al ritmo promedio de los últimos 15 años, nuestras estimaciones iniciales sugieren que la deuda global podría superar los 360 billones de dólares para 2030, más 85 billones más que los niveles actuales”</w:t>
      </w:r>
      <w:r>
        <w:rPr>
          <w:rFonts w:ascii="Times New Roman" w:hAnsi="Times New Roman" w:cs="Times New Roman"/>
          <w:sz w:val="24"/>
          <w:szCs w:val="24"/>
        </w:rPr>
        <w:t>, señala</w:t>
      </w:r>
      <w:r w:rsidR="009E186A">
        <w:rPr>
          <w:rFonts w:ascii="Times New Roman" w:hAnsi="Times New Roman" w:cs="Times New Roman"/>
          <w:sz w:val="24"/>
          <w:szCs w:val="24"/>
        </w:rPr>
        <w:t xml:space="preserve"> el informe</w:t>
      </w:r>
      <w:r>
        <w:rPr>
          <w:rFonts w:ascii="Times New Roman" w:hAnsi="Times New Roman" w:cs="Times New Roman"/>
          <w:sz w:val="24"/>
          <w:szCs w:val="24"/>
        </w:rPr>
        <w:t xml:space="preserve"> - </w:t>
      </w:r>
      <w:r w:rsidRPr="00162486">
        <w:rPr>
          <w:rFonts w:ascii="Times New Roman" w:hAnsi="Times New Roman" w:cs="Times New Roman"/>
          <w:b/>
          <w:sz w:val="24"/>
          <w:szCs w:val="24"/>
        </w:rPr>
        <w:t>19/11/20</w:t>
      </w:r>
    </w:p>
    <w:p w:rsidR="008E1165" w:rsidRDefault="008E1165" w:rsidP="00E743E7">
      <w:pPr>
        <w:spacing w:line="240" w:lineRule="auto"/>
        <w:jc w:val="both"/>
        <w:rPr>
          <w:rFonts w:ascii="Times New Roman" w:hAnsi="Times New Roman" w:cs="Times New Roman"/>
          <w:b/>
          <w:sz w:val="24"/>
          <w:szCs w:val="24"/>
        </w:rPr>
      </w:pPr>
      <w:r w:rsidRPr="008E1165">
        <w:rPr>
          <w:rFonts w:ascii="Times New Roman" w:hAnsi="Times New Roman" w:cs="Times New Roman"/>
          <w:sz w:val="24"/>
          <w:szCs w:val="24"/>
        </w:rPr>
        <w:t xml:space="preserve">El presidente electo de Estados Unidos, Joe Biden, ha anunciado este jueves un paquete de ayuda económica valorado en 1,9 billones de dólares (1,5 billones de euros) para hacer frente a la crisis económica provocada </w:t>
      </w:r>
      <w:r w:rsidR="009E186A">
        <w:rPr>
          <w:rFonts w:ascii="Times New Roman" w:hAnsi="Times New Roman" w:cs="Times New Roman"/>
          <w:sz w:val="24"/>
          <w:szCs w:val="24"/>
        </w:rPr>
        <w:t>por la pandemia del coronavirus</w:t>
      </w:r>
      <w:r>
        <w:rPr>
          <w:rFonts w:ascii="Times New Roman" w:hAnsi="Times New Roman" w:cs="Times New Roman"/>
          <w:sz w:val="24"/>
          <w:szCs w:val="24"/>
        </w:rPr>
        <w:t xml:space="preserve"> - </w:t>
      </w:r>
      <w:r w:rsidRPr="008E1165">
        <w:rPr>
          <w:rFonts w:ascii="Times New Roman" w:hAnsi="Times New Roman" w:cs="Times New Roman"/>
          <w:b/>
          <w:sz w:val="24"/>
          <w:szCs w:val="24"/>
        </w:rPr>
        <w:t>15/1/21</w:t>
      </w:r>
    </w:p>
    <w:p w:rsidR="008E1165" w:rsidRDefault="00E743E7" w:rsidP="00E743E7">
      <w:pPr>
        <w:spacing w:line="240" w:lineRule="auto"/>
        <w:jc w:val="both"/>
        <w:rPr>
          <w:rFonts w:ascii="Times New Roman" w:hAnsi="Times New Roman" w:cs="Times New Roman"/>
          <w:b/>
          <w:sz w:val="24"/>
          <w:szCs w:val="24"/>
        </w:rPr>
      </w:pPr>
      <w:r w:rsidRPr="00E743E7">
        <w:rPr>
          <w:rFonts w:ascii="Times New Roman" w:hAnsi="Times New Roman" w:cs="Times New Roman"/>
          <w:sz w:val="24"/>
          <w:szCs w:val="24"/>
        </w:rPr>
        <w:t>El balance del BCE supera los siete billones (millones de millones) y sigue aumentando, aunque la institución haya disminuido su ritmo de compras, mientras que en la Fed es de ocho billones, y comenzará este año a rebajar el ritmo de adquisicion</w:t>
      </w:r>
      <w:r w:rsidR="009E186A">
        <w:rPr>
          <w:rFonts w:ascii="Times New Roman" w:hAnsi="Times New Roman" w:cs="Times New Roman"/>
          <w:sz w:val="24"/>
          <w:szCs w:val="24"/>
        </w:rPr>
        <w:t>es de activos</w:t>
      </w:r>
      <w:r>
        <w:rPr>
          <w:rFonts w:ascii="Times New Roman" w:hAnsi="Times New Roman" w:cs="Times New Roman"/>
          <w:sz w:val="24"/>
          <w:szCs w:val="24"/>
        </w:rPr>
        <w:t xml:space="preserve"> - </w:t>
      </w:r>
      <w:r w:rsidRPr="00E743E7">
        <w:rPr>
          <w:rFonts w:ascii="Times New Roman" w:hAnsi="Times New Roman" w:cs="Times New Roman"/>
          <w:b/>
          <w:sz w:val="24"/>
          <w:szCs w:val="24"/>
        </w:rPr>
        <w:t>17/10/21</w:t>
      </w:r>
    </w:p>
    <w:p w:rsidR="004C7B0C" w:rsidRPr="004C7B0C" w:rsidRDefault="004C7B0C" w:rsidP="004C7B0C">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Según la opinión de “los que saben”: </w:t>
      </w:r>
      <w:r>
        <w:rPr>
          <w:rFonts w:ascii="Times New Roman" w:hAnsi="Times New Roman" w:cs="Times New Roman"/>
          <w:b/>
          <w:sz w:val="24"/>
          <w:szCs w:val="24"/>
          <w:shd w:val="clear" w:color="auto" w:fill="FFFFFF"/>
        </w:rPr>
        <w:t>entre l</w:t>
      </w:r>
      <w:r w:rsidRPr="004C7B0C">
        <w:rPr>
          <w:rFonts w:ascii="Times New Roman" w:hAnsi="Times New Roman" w:cs="Times New Roman"/>
          <w:b/>
          <w:sz w:val="24"/>
          <w:szCs w:val="24"/>
          <w:shd w:val="clear" w:color="auto" w:fill="FFFFFF"/>
        </w:rPr>
        <w:t xml:space="preserve">a “tormenta perfecta” y el “cielo protector” </w:t>
      </w:r>
    </w:p>
    <w:p w:rsidR="004C7B0C" w:rsidRPr="007528EB" w:rsidRDefault="004C7B0C" w:rsidP="004C7B0C">
      <w:pPr>
        <w:spacing w:line="240" w:lineRule="auto"/>
        <w:jc w:val="both"/>
        <w:rPr>
          <w:rFonts w:ascii="Times New Roman" w:hAnsi="Times New Roman" w:cs="Times New Roman"/>
          <w:sz w:val="24"/>
          <w:szCs w:val="24"/>
        </w:rPr>
      </w:pPr>
      <w:r w:rsidRPr="007528EB">
        <w:rPr>
          <w:rFonts w:ascii="Times New Roman" w:hAnsi="Times New Roman" w:cs="Times New Roman"/>
          <w:sz w:val="24"/>
          <w:szCs w:val="24"/>
        </w:rPr>
        <w:t>Los gobiernos de todas las economías importantes deben garantizar una compensación ilimitada de la pérdida de ingresos y salarios a empresas y trabajadores que hayan sido afectados por cuarentenas y cierres; si no es el 100%, puede ser entre 80 y 90%.</w:t>
      </w:r>
    </w:p>
    <w:p w:rsidR="004C7B0C" w:rsidRPr="009E70AC" w:rsidRDefault="004C7B0C" w:rsidP="004C7B0C">
      <w:pPr>
        <w:spacing w:line="240" w:lineRule="auto"/>
        <w:jc w:val="both"/>
        <w:rPr>
          <w:rFonts w:ascii="Times New Roman" w:hAnsi="Times New Roman" w:cs="Times New Roman"/>
          <w:sz w:val="24"/>
          <w:szCs w:val="24"/>
        </w:rPr>
      </w:pPr>
      <w:r w:rsidRPr="007528EB">
        <w:rPr>
          <w:rFonts w:ascii="Times New Roman" w:hAnsi="Times New Roman" w:cs="Times New Roman"/>
          <w:sz w:val="24"/>
          <w:szCs w:val="24"/>
        </w:rPr>
        <w:t>La forma ideal de entregar la compensación sería a través de subsidios y transferencias fiscales, pero tratándose de empresas más grandes, otra opción puede ser darles préstamos a largo plazo con tasa cero o garantía pública de sus deudas. (</w:t>
      </w:r>
      <w:r w:rsidRPr="009603BB">
        <w:rPr>
          <w:rFonts w:ascii="Times New Roman" w:hAnsi="Times New Roman" w:cs="Times New Roman"/>
          <w:sz w:val="24"/>
          <w:szCs w:val="24"/>
        </w:rPr>
        <w:t xml:space="preserve">Anatole Kaletsky - </w:t>
      </w:r>
      <w:r w:rsidRPr="007528EB">
        <w:rPr>
          <w:rFonts w:ascii="Times New Roman" w:hAnsi="Times New Roman" w:cs="Times New Roman"/>
          <w:sz w:val="24"/>
          <w:szCs w:val="24"/>
        </w:rPr>
        <w:t xml:space="preserve">Project Syndicate - </w:t>
      </w:r>
      <w:r w:rsidRPr="007528EB">
        <w:rPr>
          <w:rFonts w:ascii="Times New Roman" w:hAnsi="Times New Roman" w:cs="Times New Roman"/>
          <w:b/>
          <w:sz w:val="24"/>
          <w:szCs w:val="24"/>
        </w:rPr>
        <w:t>19/3/20</w:t>
      </w:r>
      <w:r w:rsidRPr="007528EB">
        <w:rPr>
          <w:rFonts w:ascii="Times New Roman" w:hAnsi="Times New Roman" w:cs="Times New Roman"/>
          <w:sz w:val="24"/>
          <w:szCs w:val="24"/>
        </w:rPr>
        <w:t>)</w:t>
      </w:r>
    </w:p>
    <w:p w:rsidR="004C7B0C" w:rsidRPr="007528EB" w:rsidRDefault="004C7B0C" w:rsidP="004C7B0C">
      <w:pPr>
        <w:spacing w:line="240" w:lineRule="auto"/>
        <w:jc w:val="both"/>
        <w:rPr>
          <w:rFonts w:ascii="Times New Roman" w:hAnsi="Times New Roman" w:cs="Times New Roman"/>
          <w:sz w:val="24"/>
          <w:szCs w:val="24"/>
          <w:shd w:val="clear" w:color="auto" w:fill="FFFFFF"/>
        </w:rPr>
      </w:pPr>
      <w:r w:rsidRPr="007528EB">
        <w:rPr>
          <w:rFonts w:ascii="Times New Roman" w:hAnsi="Times New Roman" w:cs="Times New Roman"/>
          <w:sz w:val="24"/>
          <w:szCs w:val="24"/>
          <w:shd w:val="clear" w:color="auto" w:fill="FFFFFF"/>
        </w:rPr>
        <w:t xml:space="preserve">Los principales bancos centrales (del G-10) han aumentado su balance, inyectando liquidez, en más de 20 billones de dólares en esta crisis. Adicionalmente, las medidas de política fiscal de los gobiernos ya suman más de nueve billones de dólares. Esto supone mucho más que ningún Plan Marshall y la mayor inyección ante una crisis jamás vista, si lo comparamos con el PIB y masa monetaria global. (Daniel Lacalle - El Español - </w:t>
      </w:r>
      <w:r w:rsidRPr="007528EB">
        <w:rPr>
          <w:rFonts w:ascii="Times New Roman" w:hAnsi="Times New Roman" w:cs="Times New Roman"/>
          <w:b/>
          <w:sz w:val="24"/>
          <w:szCs w:val="24"/>
          <w:shd w:val="clear" w:color="auto" w:fill="FFFFFF"/>
        </w:rPr>
        <w:t>27/5/20</w:t>
      </w:r>
      <w:r w:rsidRPr="007528EB">
        <w:rPr>
          <w:rFonts w:ascii="Times New Roman" w:hAnsi="Times New Roman" w:cs="Times New Roman"/>
          <w:sz w:val="24"/>
          <w:szCs w:val="24"/>
          <w:shd w:val="clear" w:color="auto" w:fill="FFFFFF"/>
        </w:rPr>
        <w:t>)</w:t>
      </w:r>
    </w:p>
    <w:p w:rsidR="004C7B0C" w:rsidRPr="007528EB" w:rsidRDefault="004C7B0C" w:rsidP="004C7B0C">
      <w:pPr>
        <w:spacing w:line="240" w:lineRule="auto"/>
        <w:jc w:val="both"/>
        <w:rPr>
          <w:rFonts w:ascii="Times New Roman" w:hAnsi="Times New Roman" w:cs="Times New Roman"/>
          <w:sz w:val="24"/>
          <w:szCs w:val="24"/>
          <w:shd w:val="clear" w:color="auto" w:fill="FFFFFF"/>
        </w:rPr>
      </w:pPr>
      <w:r>
        <w:rPr>
          <w:rFonts w:ascii="Times New Roman" w:eastAsia="Times New Roman" w:hAnsi="Times New Roman" w:cs="Times New Roman"/>
          <w:sz w:val="24"/>
          <w:szCs w:val="24"/>
          <w:shd w:val="clear" w:color="auto" w:fill="FFFFFF"/>
        </w:rPr>
        <w:t>E</w:t>
      </w:r>
      <w:r w:rsidRPr="007528EB">
        <w:rPr>
          <w:rFonts w:ascii="Times New Roman" w:hAnsi="Times New Roman" w:cs="Times New Roman"/>
          <w:sz w:val="24"/>
          <w:szCs w:val="24"/>
          <w:shd w:val="clear" w:color="auto" w:fill="FFFFFF"/>
        </w:rPr>
        <w:t>l Banco Central Europeo (BCE) ha aumentado su balance desde los 4,6 billones de euros hasta los 6,3 billones en apenas unos meses. Lo ha hecho mediante dos grandes vías: primero, otorgando préstamos a largo plazo a la banca dirigidos a refinanciar empresas, y segundo, comprando bonos de deuda pública y corporativa de hasta 30 años de plazo.</w:t>
      </w:r>
    </w:p>
    <w:p w:rsidR="004C7B0C" w:rsidRPr="007528EB" w:rsidRDefault="004C7B0C" w:rsidP="004C7B0C">
      <w:pPr>
        <w:spacing w:line="240" w:lineRule="auto"/>
        <w:jc w:val="both"/>
        <w:rPr>
          <w:rFonts w:ascii="Times New Roman" w:hAnsi="Times New Roman" w:cs="Times New Roman"/>
          <w:sz w:val="24"/>
          <w:szCs w:val="24"/>
          <w:shd w:val="clear" w:color="auto" w:fill="FFFFFF"/>
        </w:rPr>
      </w:pPr>
      <w:r w:rsidRPr="007528EB">
        <w:rPr>
          <w:rFonts w:ascii="Times New Roman" w:hAnsi="Times New Roman" w:cs="Times New Roman"/>
          <w:sz w:val="24"/>
          <w:szCs w:val="24"/>
          <w:shd w:val="clear" w:color="auto" w:fill="FFFFFF"/>
        </w:rPr>
        <w:t xml:space="preserve">La expansión del balance de la Reserva Federal estadounidense ha sido todavía más espectacular: ha aumentado desde los 4,1 billones de dólares a los 7,1 billones, mediante la incorporación de ingentes cantidades de deuda pública a largo plazo, bonos hipotecarios y préstamos directos a estados, municipios y empresas, algunos de ellos de alto riesgo. En general, todos los grandes bancos centrales han procedido de manera similar. (Ignacio Moncada - El Español - </w:t>
      </w:r>
      <w:r w:rsidRPr="007528EB">
        <w:rPr>
          <w:rFonts w:ascii="Times New Roman" w:hAnsi="Times New Roman" w:cs="Times New Roman"/>
          <w:b/>
          <w:sz w:val="24"/>
          <w:szCs w:val="24"/>
          <w:shd w:val="clear" w:color="auto" w:fill="FFFFFF"/>
        </w:rPr>
        <w:t>22/8/20</w:t>
      </w:r>
      <w:r w:rsidRPr="007528EB">
        <w:rPr>
          <w:rFonts w:ascii="Times New Roman" w:hAnsi="Times New Roman" w:cs="Times New Roman"/>
          <w:sz w:val="24"/>
          <w:szCs w:val="24"/>
          <w:shd w:val="clear" w:color="auto" w:fill="FFFFFF"/>
        </w:rPr>
        <w:t>)</w:t>
      </w:r>
    </w:p>
    <w:p w:rsidR="004C7B0C" w:rsidRPr="007528EB" w:rsidRDefault="004C7B0C" w:rsidP="004C7B0C">
      <w:pPr>
        <w:spacing w:line="240" w:lineRule="auto"/>
        <w:jc w:val="both"/>
        <w:rPr>
          <w:rFonts w:ascii="Times New Roman" w:hAnsi="Times New Roman" w:cs="Times New Roman"/>
          <w:sz w:val="24"/>
          <w:szCs w:val="24"/>
        </w:rPr>
      </w:pPr>
      <w:r w:rsidRPr="007528EB">
        <w:rPr>
          <w:rFonts w:ascii="Times New Roman" w:hAnsi="Times New Roman" w:cs="Times New Roman"/>
          <w:sz w:val="24"/>
          <w:szCs w:val="24"/>
        </w:rPr>
        <w:lastRenderedPageBreak/>
        <w:t>En la semana del 6 de enero de 2020, la Fed tenía un activo consolidado equivalente a 4,15 billones de dólares (el 19,3% del PIB de Estados Unidos en 2019). En la semana del 17 de agosto, su balance había crecido a 7,01 billones (32,7% del PIB de 2019). Pero este crecimiento (equivalente al 13,4% del PIB del año pasado en sólo siete meses) palidece en comparación con la evolución del balance del Banco Central Europeo durante el mismo período. Entre el 3 de enero y el 14 de agosto, el activo consolidado total del Eurosistema aumentó de unos 4,7 billones de euros (5,6 billones de dólares), el 39,2% del PIB de la eurozona en 2019, a 6,4 billones de euros, el 53,7% del PIB de 2019. De modo que durante el mismo período, el balance del Eurosistema creció más rápido que el de la Fed (un incremento equivalente al 14,5% del PIB del año anterior). (</w:t>
      </w:r>
      <w:r w:rsidRPr="009603BB">
        <w:rPr>
          <w:rFonts w:ascii="Times New Roman" w:hAnsi="Times New Roman" w:cs="Times New Roman"/>
          <w:sz w:val="24"/>
          <w:szCs w:val="24"/>
        </w:rPr>
        <w:t xml:space="preserve">Willem H. Buiter - </w:t>
      </w:r>
      <w:r w:rsidRPr="007528EB">
        <w:rPr>
          <w:rFonts w:ascii="Times New Roman" w:hAnsi="Times New Roman" w:cs="Times New Roman"/>
          <w:sz w:val="24"/>
          <w:szCs w:val="24"/>
        </w:rPr>
        <w:t xml:space="preserve">Project Syndicate - </w:t>
      </w:r>
      <w:r w:rsidRPr="007528EB">
        <w:rPr>
          <w:rFonts w:ascii="Times New Roman" w:hAnsi="Times New Roman" w:cs="Times New Roman"/>
          <w:b/>
          <w:sz w:val="24"/>
          <w:szCs w:val="24"/>
        </w:rPr>
        <w:t>31/8/20</w:t>
      </w:r>
      <w:r>
        <w:rPr>
          <w:rFonts w:ascii="Times New Roman" w:hAnsi="Times New Roman" w:cs="Times New Roman"/>
          <w:sz w:val="24"/>
          <w:szCs w:val="24"/>
        </w:rPr>
        <w:t>)</w:t>
      </w:r>
    </w:p>
    <w:p w:rsidR="004C7B0C" w:rsidRPr="007528EB" w:rsidRDefault="004C7B0C" w:rsidP="004C7B0C">
      <w:pPr>
        <w:spacing w:line="240" w:lineRule="auto"/>
        <w:jc w:val="both"/>
        <w:rPr>
          <w:rFonts w:ascii="Times New Roman" w:hAnsi="Times New Roman" w:cs="Times New Roman"/>
          <w:sz w:val="24"/>
          <w:szCs w:val="24"/>
        </w:rPr>
      </w:pPr>
      <w:r w:rsidRPr="007528EB">
        <w:rPr>
          <w:rFonts w:ascii="Times New Roman" w:hAnsi="Times New Roman" w:cs="Times New Roman"/>
          <w:sz w:val="24"/>
          <w:szCs w:val="24"/>
        </w:rPr>
        <w:t>Para facilitar la recuperación de las economías europeas afectadas por la pandemia, en julio la Unión Europea acordó emitir 750.000 millones de euros (876.000 millones de dólares) de deuda para financiar 390.000 millones de euros en subvenciones y 360.000 millones de euros en préstamos a los estados miembros del bloque. El programa, llamado Next Generation EU, ha sido calificado con razón como un gran avance: nunca antes la UE se endeudó para financiar gastos, mucho menos transferencias a los estados miembros. (</w:t>
      </w:r>
      <w:r w:rsidRPr="009603BB">
        <w:rPr>
          <w:rFonts w:ascii="Times New Roman" w:hAnsi="Times New Roman" w:cs="Times New Roman"/>
          <w:sz w:val="24"/>
          <w:szCs w:val="24"/>
        </w:rPr>
        <w:t xml:space="preserve">Jean Pisani-Ferry - </w:t>
      </w:r>
      <w:r w:rsidRPr="007528EB">
        <w:rPr>
          <w:rFonts w:ascii="Times New Roman" w:hAnsi="Times New Roman" w:cs="Times New Roman"/>
          <w:sz w:val="24"/>
          <w:szCs w:val="24"/>
        </w:rPr>
        <w:t xml:space="preserve">Project Syndicate - </w:t>
      </w:r>
      <w:r w:rsidRPr="007528EB">
        <w:rPr>
          <w:rFonts w:ascii="Times New Roman" w:hAnsi="Times New Roman" w:cs="Times New Roman"/>
          <w:b/>
          <w:sz w:val="24"/>
          <w:szCs w:val="24"/>
        </w:rPr>
        <w:t>25/9/20</w:t>
      </w:r>
      <w:r w:rsidRPr="007528EB">
        <w:rPr>
          <w:rFonts w:ascii="Times New Roman" w:hAnsi="Times New Roman" w:cs="Times New Roman"/>
          <w:sz w:val="24"/>
          <w:szCs w:val="24"/>
        </w:rPr>
        <w:t>)</w:t>
      </w:r>
    </w:p>
    <w:p w:rsidR="004C7B0C" w:rsidRPr="007528EB" w:rsidRDefault="004C7B0C" w:rsidP="004C7B0C">
      <w:pPr>
        <w:spacing w:line="240" w:lineRule="auto"/>
        <w:jc w:val="both"/>
        <w:rPr>
          <w:rFonts w:ascii="Times New Roman" w:hAnsi="Times New Roman" w:cs="Times New Roman"/>
          <w:sz w:val="24"/>
          <w:szCs w:val="24"/>
        </w:rPr>
      </w:pPr>
      <w:r w:rsidRPr="007528EB">
        <w:rPr>
          <w:rFonts w:ascii="Times New Roman" w:hAnsi="Times New Roman" w:cs="Times New Roman"/>
          <w:sz w:val="24"/>
          <w:szCs w:val="24"/>
        </w:rPr>
        <w:t>El plan Biden llevaría la respuesta fiscal pandémica de Estados Unidos a 5,2 billones de dólares, aproximadamente un cuarto del PIB anual de Estados Unidos. En comparación, la principal respuesta de política fiscal a la crisis financiera global, la Ley de Recuperación y Reinversión de Estados Unidos de 2009, alcanzó unos 800.000 millones de dólares. (</w:t>
      </w:r>
      <w:r w:rsidRPr="009603BB">
        <w:rPr>
          <w:rFonts w:ascii="Times New Roman" w:hAnsi="Times New Roman" w:cs="Times New Roman"/>
          <w:sz w:val="24"/>
          <w:szCs w:val="24"/>
        </w:rPr>
        <w:t xml:space="preserve">Willem H. Buiter - </w:t>
      </w:r>
      <w:r w:rsidRPr="007528EB">
        <w:rPr>
          <w:rFonts w:ascii="Times New Roman" w:hAnsi="Times New Roman" w:cs="Times New Roman"/>
          <w:sz w:val="24"/>
          <w:szCs w:val="24"/>
        </w:rPr>
        <w:t xml:space="preserve">Project Syndicate - </w:t>
      </w:r>
      <w:r w:rsidRPr="007528EB">
        <w:rPr>
          <w:rFonts w:ascii="Times New Roman" w:hAnsi="Times New Roman" w:cs="Times New Roman"/>
          <w:b/>
          <w:sz w:val="24"/>
          <w:szCs w:val="24"/>
        </w:rPr>
        <w:t>26/1/21</w:t>
      </w:r>
      <w:r w:rsidRPr="007528EB">
        <w:rPr>
          <w:rFonts w:ascii="Times New Roman" w:hAnsi="Times New Roman" w:cs="Times New Roman"/>
          <w:sz w:val="24"/>
          <w:szCs w:val="24"/>
        </w:rPr>
        <w:t>)</w:t>
      </w:r>
    </w:p>
    <w:p w:rsidR="004C7B0C" w:rsidRPr="009E70AC" w:rsidRDefault="004C7B0C" w:rsidP="004C7B0C">
      <w:pPr>
        <w:spacing w:line="240" w:lineRule="auto"/>
        <w:jc w:val="both"/>
        <w:rPr>
          <w:rFonts w:ascii="Times New Roman" w:hAnsi="Times New Roman" w:cs="Times New Roman"/>
          <w:sz w:val="24"/>
          <w:szCs w:val="24"/>
        </w:rPr>
      </w:pPr>
      <w:r w:rsidRPr="007528EB">
        <w:rPr>
          <w:rFonts w:ascii="Times New Roman" w:hAnsi="Times New Roman" w:cs="Times New Roman"/>
          <w:sz w:val="24"/>
          <w:szCs w:val="24"/>
        </w:rPr>
        <w:t>En diciembre de 2020, los activos combinados de la Reserva Federal de Estados Unidos, del Banco Central Europeo, del Banco de Japón y del Banco Popular de China estaban en una cifra sorprendente de 28,6 billones de dólares. El BCE representaba 8,5 billones de dólares de ese total y la Fed, 7,3 billones de dólares, mientras que el Banco de Japón y el Banco Popular de China tenían activos totales por 6,8 billones de dólares y 5,9 billones de dólares, respectivamente.</w:t>
      </w:r>
    </w:p>
    <w:p w:rsidR="004C7B0C" w:rsidRPr="007528EB" w:rsidRDefault="004C7B0C" w:rsidP="004C7B0C">
      <w:pPr>
        <w:spacing w:line="240" w:lineRule="auto"/>
        <w:jc w:val="both"/>
        <w:rPr>
          <w:rFonts w:ascii="Times New Roman" w:hAnsi="Times New Roman" w:cs="Times New Roman"/>
          <w:sz w:val="24"/>
          <w:szCs w:val="24"/>
        </w:rPr>
      </w:pPr>
      <w:r w:rsidRPr="007528EB">
        <w:rPr>
          <w:rFonts w:ascii="Times New Roman" w:hAnsi="Times New Roman" w:cs="Times New Roman"/>
          <w:sz w:val="24"/>
          <w:szCs w:val="24"/>
        </w:rPr>
        <w:t>El Grupo de los Treinta estima que el respaldo fiscal directo para empresas, empleados y desempleados durante la crisis del COVID-19 hoy excede los 12 billones de dólares a nivel global. (</w:t>
      </w:r>
      <w:r w:rsidRPr="009603BB">
        <w:rPr>
          <w:rFonts w:ascii="Times New Roman" w:hAnsi="Times New Roman" w:cs="Times New Roman"/>
          <w:sz w:val="24"/>
          <w:szCs w:val="24"/>
        </w:rPr>
        <w:t xml:space="preserve">William R. Rhodes - </w:t>
      </w:r>
      <w:r w:rsidRPr="007528EB">
        <w:rPr>
          <w:rFonts w:ascii="Times New Roman" w:hAnsi="Times New Roman" w:cs="Times New Roman"/>
          <w:sz w:val="24"/>
          <w:szCs w:val="24"/>
        </w:rPr>
        <w:t xml:space="preserve">Project Syndicate - </w:t>
      </w:r>
      <w:r w:rsidRPr="007528EB">
        <w:rPr>
          <w:rFonts w:ascii="Times New Roman" w:hAnsi="Times New Roman" w:cs="Times New Roman"/>
          <w:b/>
          <w:sz w:val="24"/>
          <w:szCs w:val="24"/>
        </w:rPr>
        <w:t>3/3/21</w:t>
      </w:r>
      <w:r w:rsidRPr="007528EB">
        <w:rPr>
          <w:rFonts w:ascii="Times New Roman" w:hAnsi="Times New Roman" w:cs="Times New Roman"/>
          <w:sz w:val="24"/>
          <w:szCs w:val="24"/>
        </w:rPr>
        <w:t>)</w:t>
      </w:r>
    </w:p>
    <w:p w:rsidR="004C7B0C" w:rsidRPr="007528EB" w:rsidRDefault="004C7B0C" w:rsidP="004C7B0C">
      <w:pPr>
        <w:spacing w:line="240" w:lineRule="auto"/>
        <w:jc w:val="both"/>
        <w:rPr>
          <w:rFonts w:ascii="Times New Roman" w:hAnsi="Times New Roman" w:cs="Times New Roman"/>
          <w:sz w:val="24"/>
          <w:szCs w:val="24"/>
        </w:rPr>
      </w:pPr>
      <w:r w:rsidRPr="007528EB">
        <w:rPr>
          <w:rFonts w:ascii="Times New Roman" w:hAnsi="Times New Roman" w:cs="Times New Roman"/>
          <w:sz w:val="24"/>
          <w:szCs w:val="24"/>
        </w:rPr>
        <w:t>En Europa, los formuladores de políticas intervinieron a gran escala y el Banco Central Europeo amplió su hoja de balance desde su ya elevado nivel previo a la crisis de 4,7 millones de millones de euros (5,7 millones de millones de dólares) a más de 7 millones de millones de euros, es decir a un nivel que aproximadamente equivale a dos tercios del PIB de la eurozona. Al mismo tiempo, los gobiernos intervinieron para apoyar los ingresos, principalmente a través de esquemas de trabajo de corto plazo ampliados, que preservaban el empleo incluso a la par de que la cantidad horas de trabajo de las personas se desplomaba. (</w:t>
      </w:r>
      <w:r w:rsidRPr="009603BB">
        <w:rPr>
          <w:rFonts w:ascii="Times New Roman" w:hAnsi="Times New Roman" w:cs="Times New Roman"/>
          <w:sz w:val="24"/>
          <w:szCs w:val="24"/>
        </w:rPr>
        <w:t xml:space="preserve">Daniel Gros - </w:t>
      </w:r>
      <w:r w:rsidRPr="007528EB">
        <w:rPr>
          <w:rFonts w:ascii="Times New Roman" w:hAnsi="Times New Roman" w:cs="Times New Roman"/>
          <w:sz w:val="24"/>
          <w:szCs w:val="24"/>
        </w:rPr>
        <w:t xml:space="preserve">Proyect Syndicate - </w:t>
      </w:r>
      <w:r w:rsidRPr="007528EB">
        <w:rPr>
          <w:rFonts w:ascii="Times New Roman" w:hAnsi="Times New Roman" w:cs="Times New Roman"/>
          <w:b/>
          <w:sz w:val="24"/>
          <w:szCs w:val="24"/>
        </w:rPr>
        <w:t>5/3/21</w:t>
      </w:r>
      <w:r w:rsidRPr="007528EB">
        <w:rPr>
          <w:rFonts w:ascii="Times New Roman" w:hAnsi="Times New Roman" w:cs="Times New Roman"/>
          <w:sz w:val="24"/>
          <w:szCs w:val="24"/>
        </w:rPr>
        <w:t>)</w:t>
      </w:r>
    </w:p>
    <w:p w:rsidR="004C7B0C" w:rsidRPr="007528EB" w:rsidRDefault="004C7B0C" w:rsidP="004C7B0C">
      <w:pPr>
        <w:spacing w:line="240" w:lineRule="auto"/>
        <w:jc w:val="both"/>
        <w:rPr>
          <w:rFonts w:ascii="Times New Roman" w:hAnsi="Times New Roman" w:cs="Times New Roman"/>
          <w:sz w:val="24"/>
          <w:szCs w:val="24"/>
        </w:rPr>
      </w:pPr>
      <w:r w:rsidRPr="007528EB">
        <w:rPr>
          <w:rFonts w:ascii="Times New Roman" w:hAnsi="Times New Roman" w:cs="Times New Roman"/>
          <w:sz w:val="24"/>
          <w:szCs w:val="24"/>
        </w:rPr>
        <w:t xml:space="preserve">Desde el inicio de la crisis financiera de 2008 hasta enero de este año, las compras netas de activos del BCE y de los bancos centrales nacionales que forman el Eurosistema han ascendido a 3,8 billones de euros. De esta cantidad, la mayor parte, valorada en más de 3 billones de euros, comprende valores emitidos por organismos estatales y cuasi gubernamentales. (Hans-Werner Sinn - Project Syndicate - </w:t>
      </w:r>
      <w:r w:rsidRPr="007528EB">
        <w:rPr>
          <w:rFonts w:ascii="Times New Roman" w:hAnsi="Times New Roman" w:cs="Times New Roman"/>
          <w:b/>
          <w:sz w:val="24"/>
          <w:szCs w:val="24"/>
        </w:rPr>
        <w:t>23/3/21</w:t>
      </w:r>
      <w:r w:rsidRPr="007528EB">
        <w:rPr>
          <w:rFonts w:ascii="Times New Roman" w:hAnsi="Times New Roman" w:cs="Times New Roman"/>
          <w:sz w:val="24"/>
          <w:szCs w:val="24"/>
        </w:rPr>
        <w:t>)</w:t>
      </w:r>
    </w:p>
    <w:p w:rsidR="004C7B0C" w:rsidRPr="007528EB" w:rsidRDefault="004C7B0C" w:rsidP="004C7B0C">
      <w:pPr>
        <w:spacing w:line="240" w:lineRule="auto"/>
        <w:jc w:val="both"/>
        <w:rPr>
          <w:rFonts w:ascii="Times New Roman" w:hAnsi="Times New Roman" w:cs="Times New Roman"/>
          <w:sz w:val="24"/>
          <w:szCs w:val="24"/>
        </w:rPr>
      </w:pPr>
      <w:r w:rsidRPr="007528EB">
        <w:rPr>
          <w:rFonts w:ascii="Times New Roman" w:hAnsi="Times New Roman" w:cs="Times New Roman"/>
          <w:sz w:val="24"/>
          <w:szCs w:val="24"/>
        </w:rPr>
        <w:lastRenderedPageBreak/>
        <w:t xml:space="preserve">Desde enero de 2021, la administración Biden ha gastado o ha prometido gastar $1,9 billones para alivio inmediato del COVID-19, $ 2,7 billones para apoyo a la inversión y las empresas, y $ 1,8 billones para bienestar y educación. Todo esto representa $6,4 billones, o cerca del 30% del PIB estadounidense. Los $ 1,9 billones ya destinados a gastos por el coronavirus se irán reduciendo, dejando $ 4,5 billones (o cerca del 20% del PIB) que gastar a lo largo de la próxima década. </w:t>
      </w:r>
    </w:p>
    <w:p w:rsidR="004C7B0C" w:rsidRPr="00E743E7" w:rsidRDefault="004C7B0C" w:rsidP="00E743E7">
      <w:pPr>
        <w:spacing w:line="240" w:lineRule="auto"/>
        <w:jc w:val="both"/>
        <w:rPr>
          <w:rFonts w:ascii="Times New Roman" w:hAnsi="Times New Roman" w:cs="Times New Roman"/>
          <w:sz w:val="24"/>
          <w:szCs w:val="24"/>
        </w:rPr>
      </w:pPr>
      <w:r w:rsidRPr="007528EB">
        <w:rPr>
          <w:rFonts w:ascii="Times New Roman" w:hAnsi="Times New Roman" w:cs="Times New Roman"/>
          <w:sz w:val="24"/>
          <w:szCs w:val="24"/>
        </w:rPr>
        <w:t xml:space="preserve">Este gasto se financiará en gran parte con compras de bonos de la Reserva Federal estadounidense, y después con alzas de impuestos. Pero, ¿será esto la mayor movilización de inversión pública de EEUU, o más bien un despilfarro inflacionario? (Robert Skidelsky -Project Syndicate - </w:t>
      </w:r>
      <w:r w:rsidRPr="007528EB">
        <w:rPr>
          <w:rFonts w:ascii="Times New Roman" w:hAnsi="Times New Roman" w:cs="Times New Roman"/>
          <w:b/>
          <w:sz w:val="24"/>
          <w:szCs w:val="24"/>
        </w:rPr>
        <w:t>17/6/21</w:t>
      </w:r>
      <w:r w:rsidR="00222DCB">
        <w:rPr>
          <w:rFonts w:ascii="Times New Roman" w:hAnsi="Times New Roman" w:cs="Times New Roman"/>
          <w:sz w:val="24"/>
          <w:szCs w:val="24"/>
        </w:rPr>
        <w:t>)</w:t>
      </w:r>
    </w:p>
    <w:p w:rsidR="008E1165" w:rsidRPr="00A1356D" w:rsidRDefault="00A1356D" w:rsidP="00674A74">
      <w:pPr>
        <w:jc w:val="both"/>
        <w:rPr>
          <w:rFonts w:ascii="Times New Roman" w:hAnsi="Times New Roman" w:cs="Times New Roman"/>
          <w:b/>
          <w:sz w:val="24"/>
          <w:szCs w:val="24"/>
        </w:rPr>
      </w:pPr>
      <w:r w:rsidRPr="00A1356D">
        <w:rPr>
          <w:rFonts w:ascii="Times New Roman" w:hAnsi="Times New Roman" w:cs="Times New Roman"/>
          <w:b/>
          <w:sz w:val="24"/>
          <w:szCs w:val="24"/>
        </w:rPr>
        <w:t>Aplicando la “ley de los grandes números” (con los datos disponibles al 17/10/21)</w:t>
      </w:r>
    </w:p>
    <w:p w:rsidR="00626263" w:rsidRPr="00571FBF" w:rsidRDefault="00A1356D" w:rsidP="00C45B46">
      <w:pPr>
        <w:spacing w:line="240" w:lineRule="auto"/>
        <w:jc w:val="both"/>
        <w:rPr>
          <w:rFonts w:ascii="Times New Roman" w:hAnsi="Times New Roman" w:cs="Times New Roman"/>
          <w:b/>
          <w:sz w:val="24"/>
          <w:szCs w:val="24"/>
        </w:rPr>
      </w:pPr>
      <w:r w:rsidRPr="00571FBF">
        <w:rPr>
          <w:rFonts w:ascii="Times New Roman" w:hAnsi="Times New Roman" w:cs="Times New Roman"/>
          <w:b/>
          <w:sz w:val="24"/>
          <w:szCs w:val="24"/>
        </w:rPr>
        <w:t>En la crisis</w:t>
      </w:r>
      <w:r w:rsidR="004D0246" w:rsidRPr="00571FBF">
        <w:rPr>
          <w:rFonts w:ascii="Times New Roman" w:hAnsi="Times New Roman" w:cs="Times New Roman"/>
          <w:b/>
          <w:sz w:val="24"/>
          <w:szCs w:val="24"/>
        </w:rPr>
        <w:t xml:space="preserve"> financiera</w:t>
      </w:r>
      <w:r w:rsidRPr="00571FBF">
        <w:rPr>
          <w:rFonts w:ascii="Times New Roman" w:hAnsi="Times New Roman" w:cs="Times New Roman"/>
          <w:b/>
          <w:sz w:val="24"/>
          <w:szCs w:val="24"/>
        </w:rPr>
        <w:t xml:space="preserve"> del año 2008, el gobierno de los EEUU y la FED emplearon 12,8 billones de dólares</w:t>
      </w:r>
      <w:r w:rsidR="00626263" w:rsidRPr="00571FBF">
        <w:rPr>
          <w:rFonts w:ascii="Times New Roman" w:hAnsi="Times New Roman" w:cs="Times New Roman"/>
          <w:b/>
          <w:sz w:val="24"/>
          <w:szCs w:val="24"/>
        </w:rPr>
        <w:t>, para rescatar a la banca,</w:t>
      </w:r>
      <w:r w:rsidR="009E186A" w:rsidRPr="00571FBF">
        <w:rPr>
          <w:rFonts w:ascii="Times New Roman" w:hAnsi="Times New Roman" w:cs="Times New Roman"/>
          <w:b/>
          <w:sz w:val="24"/>
          <w:szCs w:val="24"/>
        </w:rPr>
        <w:t xml:space="preserve"> estimulaciones,</w:t>
      </w:r>
      <w:r w:rsidR="00626263" w:rsidRPr="00571FBF">
        <w:rPr>
          <w:rFonts w:ascii="Times New Roman" w:hAnsi="Times New Roman" w:cs="Times New Roman"/>
          <w:b/>
          <w:sz w:val="24"/>
          <w:szCs w:val="24"/>
        </w:rPr>
        <w:t xml:space="preserve"> ayudas y subvenciones.</w:t>
      </w:r>
    </w:p>
    <w:p w:rsidR="00626263" w:rsidRPr="00571FBF" w:rsidRDefault="00626263" w:rsidP="00626263">
      <w:pPr>
        <w:spacing w:line="240" w:lineRule="auto"/>
        <w:jc w:val="both"/>
        <w:rPr>
          <w:rFonts w:ascii="Times New Roman" w:hAnsi="Times New Roman" w:cs="Times New Roman"/>
          <w:b/>
          <w:sz w:val="24"/>
          <w:szCs w:val="24"/>
        </w:rPr>
      </w:pPr>
      <w:r w:rsidRPr="00571FBF">
        <w:rPr>
          <w:rFonts w:ascii="Times New Roman" w:hAnsi="Times New Roman" w:cs="Times New Roman"/>
          <w:b/>
          <w:sz w:val="24"/>
          <w:szCs w:val="24"/>
        </w:rPr>
        <w:t>En la crisis</w:t>
      </w:r>
      <w:r w:rsidR="004D0246" w:rsidRPr="00571FBF">
        <w:rPr>
          <w:rFonts w:ascii="Times New Roman" w:hAnsi="Times New Roman" w:cs="Times New Roman"/>
          <w:b/>
          <w:sz w:val="24"/>
          <w:szCs w:val="24"/>
        </w:rPr>
        <w:t xml:space="preserve"> financiera</w:t>
      </w:r>
      <w:r w:rsidRPr="00571FBF">
        <w:rPr>
          <w:rFonts w:ascii="Times New Roman" w:hAnsi="Times New Roman" w:cs="Times New Roman"/>
          <w:b/>
          <w:sz w:val="24"/>
          <w:szCs w:val="24"/>
        </w:rPr>
        <w:t xml:space="preserve"> del año 2008, la UE y el BCE emplearon 4,7 billones de euros, pa</w:t>
      </w:r>
      <w:r w:rsidR="009E186A" w:rsidRPr="00571FBF">
        <w:rPr>
          <w:rFonts w:ascii="Times New Roman" w:hAnsi="Times New Roman" w:cs="Times New Roman"/>
          <w:b/>
          <w:sz w:val="24"/>
          <w:szCs w:val="24"/>
        </w:rPr>
        <w:t>ra rescatar a la banca, estimulaciones, ayudas, y</w:t>
      </w:r>
      <w:r w:rsidRPr="00571FBF">
        <w:rPr>
          <w:rFonts w:ascii="Times New Roman" w:hAnsi="Times New Roman" w:cs="Times New Roman"/>
          <w:b/>
          <w:sz w:val="24"/>
          <w:szCs w:val="24"/>
        </w:rPr>
        <w:t xml:space="preserve"> subvenciones.</w:t>
      </w:r>
    </w:p>
    <w:p w:rsidR="00626263" w:rsidRPr="00571FBF" w:rsidRDefault="00626263" w:rsidP="00626263">
      <w:pPr>
        <w:spacing w:line="240" w:lineRule="auto"/>
        <w:jc w:val="both"/>
        <w:rPr>
          <w:rFonts w:ascii="Times New Roman" w:hAnsi="Times New Roman" w:cs="Times New Roman"/>
          <w:b/>
          <w:color w:val="FF0000"/>
          <w:sz w:val="24"/>
          <w:szCs w:val="24"/>
        </w:rPr>
      </w:pPr>
      <w:r w:rsidRPr="00571FBF">
        <w:rPr>
          <w:rFonts w:ascii="Times New Roman" w:hAnsi="Times New Roman" w:cs="Times New Roman"/>
          <w:b/>
          <w:sz w:val="24"/>
          <w:szCs w:val="24"/>
        </w:rPr>
        <w:t>En la crisis</w:t>
      </w:r>
      <w:r w:rsidR="004D0246" w:rsidRPr="00571FBF">
        <w:rPr>
          <w:rFonts w:ascii="Times New Roman" w:hAnsi="Times New Roman" w:cs="Times New Roman"/>
          <w:b/>
          <w:sz w:val="24"/>
          <w:szCs w:val="24"/>
        </w:rPr>
        <w:t xml:space="preserve"> sanitaria</w:t>
      </w:r>
      <w:r w:rsidRPr="00571FBF">
        <w:rPr>
          <w:rFonts w:ascii="Times New Roman" w:hAnsi="Times New Roman" w:cs="Times New Roman"/>
          <w:b/>
          <w:sz w:val="24"/>
          <w:szCs w:val="24"/>
        </w:rPr>
        <w:t xml:space="preserve"> del año 2020 (hasta mediados de octubre 2021), el gobierno de los EEUU y la FED, llevan empleados</w:t>
      </w:r>
      <w:r w:rsidR="00222DCB" w:rsidRPr="00571FBF">
        <w:rPr>
          <w:rFonts w:ascii="Times New Roman" w:hAnsi="Times New Roman" w:cs="Times New Roman"/>
          <w:b/>
          <w:sz w:val="24"/>
          <w:szCs w:val="24"/>
        </w:rPr>
        <w:t xml:space="preserve"> o compromet</w:t>
      </w:r>
      <w:r w:rsidR="00B35B58" w:rsidRPr="00571FBF">
        <w:rPr>
          <w:rFonts w:ascii="Times New Roman" w:hAnsi="Times New Roman" w:cs="Times New Roman"/>
          <w:b/>
          <w:sz w:val="24"/>
          <w:szCs w:val="24"/>
        </w:rPr>
        <w:t>idos: 6,4 + 4,1 = 10,</w:t>
      </w:r>
      <w:r w:rsidR="00222DCB" w:rsidRPr="00571FBF">
        <w:rPr>
          <w:rFonts w:ascii="Times New Roman" w:hAnsi="Times New Roman" w:cs="Times New Roman"/>
          <w:b/>
          <w:sz w:val="24"/>
          <w:szCs w:val="24"/>
        </w:rPr>
        <w:t>5 billones de dólares.</w:t>
      </w:r>
      <w:r w:rsidR="00D155EC" w:rsidRPr="00571FBF">
        <w:rPr>
          <w:rFonts w:ascii="Times New Roman" w:hAnsi="Times New Roman" w:cs="Times New Roman"/>
          <w:b/>
          <w:sz w:val="24"/>
          <w:szCs w:val="24"/>
        </w:rPr>
        <w:t xml:space="preserve"> </w:t>
      </w:r>
    </w:p>
    <w:p w:rsidR="00222DCB" w:rsidRPr="00571FBF" w:rsidRDefault="00626263" w:rsidP="00D155EC">
      <w:pPr>
        <w:spacing w:line="240" w:lineRule="auto"/>
        <w:jc w:val="both"/>
        <w:rPr>
          <w:rFonts w:ascii="Times New Roman" w:hAnsi="Times New Roman" w:cs="Times New Roman"/>
          <w:b/>
          <w:sz w:val="24"/>
          <w:szCs w:val="24"/>
        </w:rPr>
      </w:pPr>
      <w:r w:rsidRPr="00571FBF">
        <w:rPr>
          <w:rFonts w:ascii="Times New Roman" w:hAnsi="Times New Roman" w:cs="Times New Roman"/>
          <w:b/>
          <w:sz w:val="24"/>
          <w:szCs w:val="24"/>
        </w:rPr>
        <w:t>En la crisis</w:t>
      </w:r>
      <w:r w:rsidR="004D0246" w:rsidRPr="00571FBF">
        <w:rPr>
          <w:rFonts w:ascii="Times New Roman" w:hAnsi="Times New Roman" w:cs="Times New Roman"/>
          <w:b/>
          <w:sz w:val="24"/>
          <w:szCs w:val="24"/>
        </w:rPr>
        <w:t xml:space="preserve"> sanitaria</w:t>
      </w:r>
      <w:r w:rsidRPr="00571FBF">
        <w:rPr>
          <w:rFonts w:ascii="Times New Roman" w:hAnsi="Times New Roman" w:cs="Times New Roman"/>
          <w:b/>
          <w:sz w:val="24"/>
          <w:szCs w:val="24"/>
        </w:rPr>
        <w:t xml:space="preserve"> del año 2020 (hasta mediados de octubr</w:t>
      </w:r>
      <w:r w:rsidR="009E186A" w:rsidRPr="00571FBF">
        <w:rPr>
          <w:rFonts w:ascii="Times New Roman" w:hAnsi="Times New Roman" w:cs="Times New Roman"/>
          <w:b/>
          <w:sz w:val="24"/>
          <w:szCs w:val="24"/>
        </w:rPr>
        <w:t>e 2021), la UE y el BCE</w:t>
      </w:r>
      <w:r w:rsidR="00222DCB" w:rsidRPr="00571FBF">
        <w:rPr>
          <w:rFonts w:ascii="Times New Roman" w:hAnsi="Times New Roman" w:cs="Times New Roman"/>
          <w:b/>
          <w:sz w:val="24"/>
          <w:szCs w:val="24"/>
        </w:rPr>
        <w:t>, llevan empleados o comprometidos: 1,824 + 4,38 = 6,20 billones de euro</w:t>
      </w:r>
      <w:r w:rsidR="00931091">
        <w:rPr>
          <w:rFonts w:ascii="Times New Roman" w:hAnsi="Times New Roman" w:cs="Times New Roman"/>
          <w:b/>
          <w:sz w:val="24"/>
          <w:szCs w:val="24"/>
        </w:rPr>
        <w:t>s</w:t>
      </w:r>
      <w:r w:rsidR="00222DCB" w:rsidRPr="00571FBF">
        <w:rPr>
          <w:rFonts w:ascii="Times New Roman" w:hAnsi="Times New Roman" w:cs="Times New Roman"/>
          <w:b/>
          <w:sz w:val="24"/>
          <w:szCs w:val="24"/>
        </w:rPr>
        <w:t>.</w:t>
      </w:r>
    </w:p>
    <w:p w:rsidR="00B35B58" w:rsidRPr="00571FBF" w:rsidRDefault="00B35B58" w:rsidP="00D155EC">
      <w:pPr>
        <w:spacing w:line="240" w:lineRule="auto"/>
        <w:jc w:val="both"/>
        <w:rPr>
          <w:rFonts w:ascii="Times New Roman" w:hAnsi="Times New Roman" w:cs="Times New Roman"/>
          <w:b/>
          <w:sz w:val="24"/>
          <w:szCs w:val="24"/>
        </w:rPr>
      </w:pPr>
      <w:r w:rsidRPr="00571FBF">
        <w:rPr>
          <w:rFonts w:ascii="Times New Roman" w:hAnsi="Times New Roman" w:cs="Times New Roman"/>
          <w:b/>
          <w:sz w:val="24"/>
          <w:szCs w:val="24"/>
        </w:rPr>
        <w:t>En la crisis sanitaria del año 2020 (hasta mediados de octubre 2021), los gobiernos y bancos centrales del G-10, llevan empleados: 9 + 20 = 29 billones de dólares</w:t>
      </w:r>
      <w:r w:rsidR="00277995" w:rsidRPr="00571FBF">
        <w:rPr>
          <w:rFonts w:ascii="Times New Roman" w:hAnsi="Times New Roman" w:cs="Times New Roman"/>
          <w:b/>
          <w:sz w:val="24"/>
          <w:szCs w:val="24"/>
        </w:rPr>
        <w:t>.</w:t>
      </w:r>
    </w:p>
    <w:p w:rsidR="00D155EC" w:rsidRDefault="00D155EC" w:rsidP="00D155EC">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y lo que queda por venir (que Dios</w:t>
      </w:r>
      <w:r w:rsidR="00931091">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 xml:space="preserve"> nos pille confesados)</w:t>
      </w:r>
    </w:p>
    <w:p w:rsidR="005B7ABA" w:rsidRPr="005B7ABA" w:rsidRDefault="005B7ABA" w:rsidP="00D155EC">
      <w:pPr>
        <w:spacing w:line="240" w:lineRule="auto"/>
        <w:jc w:val="both"/>
        <w:rPr>
          <w:rFonts w:ascii="Times New Roman" w:hAnsi="Times New Roman" w:cs="Times New Roman"/>
          <w:color w:val="FF0000"/>
          <w:sz w:val="24"/>
          <w:szCs w:val="24"/>
        </w:rPr>
      </w:pPr>
      <w:r>
        <w:rPr>
          <w:rFonts w:ascii="Times New Roman" w:hAnsi="Times New Roman" w:cs="Times New Roman"/>
          <w:b/>
          <w:sz w:val="24"/>
          <w:szCs w:val="24"/>
          <w:shd w:val="clear" w:color="auto" w:fill="FFFFFF"/>
        </w:rPr>
        <w:t xml:space="preserve">Nota: </w:t>
      </w:r>
      <w:r>
        <w:rPr>
          <w:rFonts w:ascii="Times New Roman" w:hAnsi="Times New Roman" w:cs="Times New Roman"/>
          <w:sz w:val="24"/>
          <w:szCs w:val="24"/>
          <w:shd w:val="clear" w:color="auto" w:fill="FFFFFF"/>
        </w:rPr>
        <w:t xml:space="preserve">Última información disponible (Cinco Días - </w:t>
      </w:r>
      <w:r w:rsidRPr="005B7ABA">
        <w:rPr>
          <w:rFonts w:ascii="Times New Roman" w:hAnsi="Times New Roman" w:cs="Times New Roman"/>
          <w:b/>
          <w:sz w:val="24"/>
          <w:szCs w:val="24"/>
          <w:shd w:val="clear" w:color="auto" w:fill="FFFFFF"/>
        </w:rPr>
        <w:t>7/11/21</w:t>
      </w:r>
      <w:r>
        <w:rPr>
          <w:rFonts w:ascii="Times New Roman" w:hAnsi="Times New Roman" w:cs="Times New Roman"/>
          <w:sz w:val="24"/>
          <w:szCs w:val="24"/>
          <w:shd w:val="clear" w:color="auto" w:fill="FFFFFF"/>
        </w:rPr>
        <w:t xml:space="preserve">), Fed+BoE+BCE+BJ, han inyectado al sistema a través de la compra de activos casi 12 billones de dólares. Desde 2008 han absorbido 23 billones en activos, buena parte de ellos, </w:t>
      </w:r>
      <w:r w:rsidR="003945B5">
        <w:rPr>
          <w:rFonts w:ascii="Times New Roman" w:hAnsi="Times New Roman" w:cs="Times New Roman"/>
          <w:sz w:val="24"/>
          <w:szCs w:val="24"/>
          <w:shd w:val="clear" w:color="auto" w:fill="FFFFFF"/>
        </w:rPr>
        <w:t>deuda</w:t>
      </w:r>
      <w:r>
        <w:rPr>
          <w:rFonts w:ascii="Times New Roman" w:hAnsi="Times New Roman" w:cs="Times New Roman"/>
          <w:sz w:val="24"/>
          <w:szCs w:val="24"/>
          <w:shd w:val="clear" w:color="auto" w:fill="FFFFFF"/>
        </w:rPr>
        <w:t xml:space="preserve"> pública.</w:t>
      </w:r>
    </w:p>
    <w:p w:rsidR="004D74E7" w:rsidRPr="00571FBF" w:rsidRDefault="004D74E7" w:rsidP="004D74E7">
      <w:pPr>
        <w:spacing w:line="240" w:lineRule="auto"/>
        <w:jc w:val="both"/>
        <w:rPr>
          <w:rFonts w:ascii="Times New Roman" w:hAnsi="Times New Roman" w:cs="Times New Roman"/>
          <w:b/>
          <w:sz w:val="24"/>
          <w:szCs w:val="24"/>
        </w:rPr>
      </w:pPr>
      <w:r w:rsidRPr="00571FBF">
        <w:rPr>
          <w:rFonts w:ascii="Times New Roman" w:hAnsi="Times New Roman" w:cs="Times New Roman"/>
          <w:b/>
          <w:sz w:val="24"/>
          <w:szCs w:val="24"/>
        </w:rPr>
        <w:t>Negocios, traiciones, y disparates, como sistema económico de la posmodernidad</w:t>
      </w:r>
    </w:p>
    <w:p w:rsidR="004D74E7" w:rsidRPr="00571FBF" w:rsidRDefault="004D74E7" w:rsidP="004D74E7">
      <w:pPr>
        <w:spacing w:line="240" w:lineRule="auto"/>
        <w:jc w:val="both"/>
        <w:rPr>
          <w:rFonts w:ascii="Times New Roman" w:hAnsi="Times New Roman" w:cs="Times New Roman"/>
          <w:sz w:val="24"/>
          <w:szCs w:val="24"/>
        </w:rPr>
      </w:pPr>
      <w:r w:rsidRPr="00571FBF">
        <w:rPr>
          <w:rFonts w:ascii="Times New Roman" w:hAnsi="Times New Roman" w:cs="Times New Roman"/>
          <w:sz w:val="24"/>
          <w:szCs w:val="24"/>
        </w:rPr>
        <w:t xml:space="preserve">A </w:t>
      </w:r>
      <w:r w:rsidRPr="00571FBF">
        <w:rPr>
          <w:rFonts w:ascii="Times New Roman" w:hAnsi="Times New Roman" w:cs="Times New Roman"/>
          <w:b/>
          <w:sz w:val="24"/>
          <w:szCs w:val="24"/>
          <w:u w:val="single"/>
        </w:rPr>
        <w:t>la crisis financiera de 2008</w:t>
      </w:r>
      <w:r w:rsidRPr="00571FBF">
        <w:rPr>
          <w:rFonts w:ascii="Times New Roman" w:hAnsi="Times New Roman" w:cs="Times New Roman"/>
          <w:sz w:val="24"/>
          <w:szCs w:val="24"/>
        </w:rPr>
        <w:t xml:space="preserve"> se llegó a causa de un sector privado apalancado: los trucos para seguir generando ingresos de la nada, a través de instrumentos (como los CDS y CDO) tejidos con fórmulas brillantes de genios matemáticos, habían generado tantos problemas que amenazaban con arrojar la economía al abismo. En síntesis, estas fórmulas consistían en que se realizaban inversiones, se apostaba por productos financieros o se pagaban dividendos con dinero prestado, y esta jugada a menudo se repetía varias veces, de modo que cuando alguien dejaba de pagar, como ocurrió con los propietarios de viviendas hipotecadas, el edificio podía venirse abajo. El sector público intervino para evitar una crisis total y lo hizo introduciendo enormes cantidades de dinero a través de los bancos centrales, con las que se estabilizó a los grandes bancos, y con ellos al sistema financiero. Pero también se generó mucha deuda estatal, y como el compromiso consistía en que, tras el paréntesis, todo regresaría a la ortodoxia, los ciudadanos tuvieron que hacer sacrificios añadidos para devolver lo que se prestó.</w:t>
      </w:r>
    </w:p>
    <w:p w:rsidR="004D74E7" w:rsidRPr="00571FBF" w:rsidRDefault="004D74E7" w:rsidP="004D74E7">
      <w:pPr>
        <w:spacing w:line="240" w:lineRule="auto"/>
        <w:jc w:val="both"/>
        <w:rPr>
          <w:rFonts w:ascii="Times New Roman" w:hAnsi="Times New Roman" w:cs="Times New Roman"/>
          <w:sz w:val="24"/>
          <w:szCs w:val="24"/>
        </w:rPr>
      </w:pPr>
      <w:r w:rsidRPr="00571FBF">
        <w:rPr>
          <w:rFonts w:ascii="Times New Roman" w:hAnsi="Times New Roman" w:cs="Times New Roman"/>
          <w:sz w:val="24"/>
          <w:szCs w:val="24"/>
        </w:rPr>
        <w:t xml:space="preserve">Esta salida fue una huida hacia delante. Ese dinero no podía generar crecimiento en la economía real, ya que la presión para reducir los déficits de los gobiernos, así como la </w:t>
      </w:r>
      <w:r w:rsidRPr="00571FBF">
        <w:rPr>
          <w:rFonts w:ascii="Times New Roman" w:hAnsi="Times New Roman" w:cs="Times New Roman"/>
          <w:sz w:val="24"/>
          <w:szCs w:val="24"/>
        </w:rPr>
        <w:lastRenderedPageBreak/>
        <w:t>tendencia a recortar costes y a aumentar los beneficios en las grandes empresas, debilitaron los ingresos y las opciones de las clases medias y trabajadoras occidentales. La esperanza residía en que todo ese capital asentaría la economía, beneficiaría a las clases con más recursos y de ahí fluiría al resto de la sociedad. Una esperanza irreal que, además, produjo efectos nocivos.</w:t>
      </w:r>
    </w:p>
    <w:p w:rsidR="004D74E7" w:rsidRPr="00571FBF" w:rsidRDefault="004D74E7" w:rsidP="004D74E7">
      <w:pPr>
        <w:spacing w:line="240" w:lineRule="auto"/>
        <w:jc w:val="both"/>
        <w:rPr>
          <w:rFonts w:ascii="Times New Roman" w:hAnsi="Times New Roman" w:cs="Times New Roman"/>
          <w:sz w:val="24"/>
          <w:szCs w:val="24"/>
        </w:rPr>
      </w:pPr>
      <w:r w:rsidRPr="00571FBF">
        <w:rPr>
          <w:rFonts w:ascii="Times New Roman" w:hAnsi="Times New Roman" w:cs="Times New Roman"/>
          <w:sz w:val="24"/>
          <w:szCs w:val="24"/>
        </w:rPr>
        <w:t>El 11 por ciento más rico de la población mundial posee más del 80% de la riqueza, según afirma Credit Suisse, y mucha riqueza en pocas manos significa que hay mucho dinero excedente: lo que se puede comprar tiene un límite. Este “exceso de ahorro de los ricos”, sin embargo, no está guardado en una caja, sino que vuelve a los mercados con el objetivo de producir rendimiento.</w:t>
      </w:r>
    </w:p>
    <w:p w:rsidR="004D74E7" w:rsidRPr="00571FBF" w:rsidRDefault="004D74E7" w:rsidP="004D74E7">
      <w:pPr>
        <w:spacing w:line="240" w:lineRule="auto"/>
        <w:jc w:val="both"/>
        <w:rPr>
          <w:rFonts w:ascii="Times New Roman" w:hAnsi="Times New Roman" w:cs="Times New Roman"/>
          <w:sz w:val="24"/>
          <w:szCs w:val="24"/>
        </w:rPr>
      </w:pPr>
      <w:r w:rsidRPr="00571FBF">
        <w:rPr>
          <w:rFonts w:ascii="Times New Roman" w:hAnsi="Times New Roman" w:cs="Times New Roman"/>
          <w:sz w:val="24"/>
          <w:szCs w:val="24"/>
        </w:rPr>
        <w:t>El problema de fondo es que todo ese enorme capital que circula por las esferas virtuales, raramente aterriza en la economía productiva, la de la gente común. Se destina al sector financiero, a la deuda, a los fondos de inversión, al “private equity”, que circulan por una vía muy distinta. Es una economía muy real en tanto produce beneficios y rentabilidad, pero no genera efectos positivos en el conjunto de la sociedad; peor aún, la debilita.</w:t>
      </w:r>
    </w:p>
    <w:p w:rsidR="004D74E7" w:rsidRPr="00571FBF" w:rsidRDefault="004D74E7" w:rsidP="004D74E7">
      <w:pPr>
        <w:spacing w:line="240" w:lineRule="auto"/>
        <w:jc w:val="both"/>
        <w:rPr>
          <w:rFonts w:ascii="Times New Roman" w:hAnsi="Times New Roman" w:cs="Times New Roman"/>
          <w:sz w:val="24"/>
          <w:szCs w:val="24"/>
        </w:rPr>
      </w:pPr>
      <w:r w:rsidRPr="00571FBF">
        <w:rPr>
          <w:rFonts w:ascii="Times New Roman" w:hAnsi="Times New Roman" w:cs="Times New Roman"/>
          <w:sz w:val="24"/>
          <w:szCs w:val="24"/>
        </w:rPr>
        <w:t>Lo que ocurrió con la crisis de 2008 fue que esas grandes cantidades de dinero que se introdujeron en el mercado alimentaron ese circuito, y además de sanar las cuentas de los grandes bancos y solucionar los problemas esperados de rentabilidad, inflaron la burbuja de ese sector paralelo. El mercado de las acciones y de los bonos, pero también de las fusiones y adquisiciones, del apalancam</w:t>
      </w:r>
      <w:r w:rsidR="00324F4A">
        <w:rPr>
          <w:rFonts w:ascii="Times New Roman" w:hAnsi="Times New Roman" w:cs="Times New Roman"/>
          <w:sz w:val="24"/>
          <w:szCs w:val="24"/>
        </w:rPr>
        <w:t>iento o de las operaciones del “private equity”</w:t>
      </w:r>
      <w:r w:rsidRPr="00571FBF">
        <w:rPr>
          <w:rFonts w:ascii="Times New Roman" w:hAnsi="Times New Roman" w:cs="Times New Roman"/>
          <w:sz w:val="24"/>
          <w:szCs w:val="24"/>
        </w:rPr>
        <w:t xml:space="preserve"> se </w:t>
      </w:r>
      <w:r w:rsidR="00324F4A" w:rsidRPr="00571FBF">
        <w:rPr>
          <w:rFonts w:ascii="Times New Roman" w:hAnsi="Times New Roman" w:cs="Times New Roman"/>
          <w:sz w:val="24"/>
          <w:szCs w:val="24"/>
        </w:rPr>
        <w:t>ha</w:t>
      </w:r>
      <w:r w:rsidRPr="00571FBF">
        <w:rPr>
          <w:rFonts w:ascii="Times New Roman" w:hAnsi="Times New Roman" w:cs="Times New Roman"/>
          <w:sz w:val="24"/>
          <w:szCs w:val="24"/>
        </w:rPr>
        <w:t xml:space="preserve"> sostenido en esa burbuja; mientras, las clases medias y las trabajadoras occidentales, y con ellas la economía productiva, perdían peso y opciones. Han sido años de gran bonanza (para unos pocos privilegiados - Wall Street), pero el ciudadano de a pie no se ha enterado (y lo vivió como una gran depresión - Main Street).</w:t>
      </w:r>
    </w:p>
    <w:p w:rsidR="004D74E7" w:rsidRPr="00571FBF" w:rsidRDefault="004D74E7" w:rsidP="004D74E7">
      <w:pPr>
        <w:spacing w:line="240" w:lineRule="auto"/>
        <w:jc w:val="both"/>
        <w:rPr>
          <w:rFonts w:ascii="Times New Roman" w:hAnsi="Times New Roman" w:cs="Times New Roman"/>
          <w:sz w:val="24"/>
          <w:szCs w:val="24"/>
        </w:rPr>
      </w:pPr>
      <w:r w:rsidRPr="00571FBF">
        <w:rPr>
          <w:rFonts w:ascii="Times New Roman" w:hAnsi="Times New Roman" w:cs="Times New Roman"/>
          <w:b/>
          <w:sz w:val="24"/>
          <w:szCs w:val="24"/>
          <w:u w:val="single"/>
        </w:rPr>
        <w:t>Así se ha llegado a 2020, el año de la pandemia</w:t>
      </w:r>
      <w:r w:rsidRPr="00571FBF">
        <w:rPr>
          <w:rFonts w:ascii="Times New Roman" w:hAnsi="Times New Roman" w:cs="Times New Roman"/>
          <w:sz w:val="24"/>
          <w:szCs w:val="24"/>
        </w:rPr>
        <w:t>. La crisis era una situación esperada que, como tantas otras cosas, el coronavirus aceleró. Todos estos años de dinero ficticio operando en una esfera virtual tenían que encontrarse con lo real en algún momento.</w:t>
      </w:r>
    </w:p>
    <w:p w:rsidR="004D74E7" w:rsidRPr="00571FBF" w:rsidRDefault="004D74E7" w:rsidP="004D74E7">
      <w:pPr>
        <w:spacing w:line="240" w:lineRule="auto"/>
        <w:jc w:val="both"/>
        <w:rPr>
          <w:rFonts w:ascii="Times New Roman" w:hAnsi="Times New Roman" w:cs="Times New Roman"/>
          <w:sz w:val="24"/>
          <w:szCs w:val="24"/>
        </w:rPr>
      </w:pPr>
      <w:r w:rsidRPr="00571FBF">
        <w:rPr>
          <w:rFonts w:ascii="Times New Roman" w:hAnsi="Times New Roman" w:cs="Times New Roman"/>
          <w:sz w:val="24"/>
          <w:szCs w:val="24"/>
        </w:rPr>
        <w:t>Esta vez no han sido los bancos, sino las compañías demasiado estratégicas para caer, esas grandes firmas demasiado endeudadas, las que han provocado la necesidad de que se inserten grandes cantidades de dinero en la economía. Mohamed El-Erian, afirma que el apoyo masivo que ha brindado la Reserva Federal a “compañías zombis” improductivas supone un gran riesgo, ya que también se pueden crear “mercados zombis”, cuya distorsión hará que el capital no se use adecuadamente. Es probable que la advertencia de El-Erian llegue tarde, porque eso es lo que se ha estado ocurriendo desde 2008.</w:t>
      </w:r>
    </w:p>
    <w:p w:rsidR="004D74E7" w:rsidRPr="00571FBF" w:rsidRDefault="004D74E7" w:rsidP="004D74E7">
      <w:pPr>
        <w:spacing w:line="240" w:lineRule="auto"/>
        <w:jc w:val="both"/>
        <w:rPr>
          <w:rFonts w:ascii="Times New Roman" w:hAnsi="Times New Roman" w:cs="Times New Roman"/>
          <w:sz w:val="24"/>
          <w:szCs w:val="24"/>
        </w:rPr>
      </w:pPr>
      <w:r w:rsidRPr="00571FBF">
        <w:rPr>
          <w:rFonts w:ascii="Times New Roman" w:hAnsi="Times New Roman" w:cs="Times New Roman"/>
          <w:sz w:val="24"/>
          <w:szCs w:val="24"/>
        </w:rPr>
        <w:t>En esta situación, y cuando la respuesta a la crisis de 2020 consiste en hacer lo mismo que en la precedente, pero ampliando el músculo de la ayuda, los riesgos tienden a aumentar. El-Erian señala, y es una posición ampliamente aceptada, que el apalancamiento actual a través del rescate institucional a las grandes empresas (y al sector financiero que se beneficia de ellas) es aconsejable y necesario, siempre y cuando después se produzca crecimiento económico. La resolución de los problemas de liquidez es precisa, a condición de que no lleve a la insolvencia.</w:t>
      </w:r>
    </w:p>
    <w:p w:rsidR="004D74E7" w:rsidRPr="00571FBF" w:rsidRDefault="004D74E7" w:rsidP="004D74E7">
      <w:pPr>
        <w:spacing w:line="240" w:lineRule="auto"/>
        <w:jc w:val="both"/>
        <w:rPr>
          <w:rFonts w:ascii="Times New Roman" w:hAnsi="Times New Roman" w:cs="Times New Roman"/>
          <w:sz w:val="24"/>
          <w:szCs w:val="24"/>
        </w:rPr>
      </w:pPr>
      <w:r w:rsidRPr="00571FBF">
        <w:rPr>
          <w:rFonts w:ascii="Times New Roman" w:hAnsi="Times New Roman" w:cs="Times New Roman"/>
          <w:sz w:val="24"/>
          <w:szCs w:val="24"/>
        </w:rPr>
        <w:t xml:space="preserve">Si la economía vuelve a funcionar, todo irá bien. Pero si no es así y no se produce crecimiento en la economía real, la de los empleos y el consumo, nos encontraremos con un sobreendeudamiento masivo que llevará a la falta de pago y a las reestructuraciones de deuda. En este orden, se imponen medidas en varias direcciones, según El-Erian: los gobiernos </w:t>
      </w:r>
      <w:r w:rsidRPr="00571FBF">
        <w:rPr>
          <w:rFonts w:ascii="Times New Roman" w:hAnsi="Times New Roman" w:cs="Times New Roman"/>
          <w:sz w:val="24"/>
          <w:szCs w:val="24"/>
        </w:rPr>
        <w:lastRenderedPageBreak/>
        <w:t>deben garantizar una base más sólida para el crecimiento que no solo beneficie a los sectores con más recursos, los inversores deben ser más cuidadosos y reducir su exposición al riesgo y las empresas deben resistir la tentación de utilizar la deuda para la ingeniería financiera, las recompras de acciones y los bonus para sus directivos.</w:t>
      </w:r>
    </w:p>
    <w:p w:rsidR="004D74E7" w:rsidRPr="00571FBF" w:rsidRDefault="004D74E7" w:rsidP="004D74E7">
      <w:pPr>
        <w:spacing w:line="240" w:lineRule="auto"/>
        <w:jc w:val="both"/>
        <w:rPr>
          <w:rFonts w:ascii="Times New Roman" w:hAnsi="Times New Roman" w:cs="Times New Roman"/>
          <w:sz w:val="24"/>
          <w:szCs w:val="24"/>
        </w:rPr>
      </w:pPr>
      <w:r w:rsidRPr="00571FBF">
        <w:rPr>
          <w:rFonts w:ascii="Times New Roman" w:hAnsi="Times New Roman" w:cs="Times New Roman"/>
          <w:sz w:val="24"/>
          <w:szCs w:val="24"/>
        </w:rPr>
        <w:t>Todo correcto, salvo que estas llamadas a la prudencia son operativamente muy débiles. El problema de fondo es que existen dos esferas altamente desconectadas, dos caminos diferentes de entender la economía y dos formas de obtener rentabilidad, y en ese escenario las apelaciones a la cordura suponen quedar en manos de la buena voluntad. La cuestión de fondo es estructural: el único modo para que eso se produzca sería generar cambios de calado que permitieran que la economía productiva y la financiera volvieran a conectarse de un modo que beneficiase a la primera. Solo por ese camino, el de que las clases medias y trabajadoras occidentales volvieran a tener recursos, se generaría crecimiento.</w:t>
      </w:r>
    </w:p>
    <w:p w:rsidR="004D74E7" w:rsidRPr="00571FBF" w:rsidRDefault="004D74E7" w:rsidP="004D74E7">
      <w:pPr>
        <w:spacing w:line="240" w:lineRule="auto"/>
        <w:jc w:val="both"/>
        <w:rPr>
          <w:rFonts w:ascii="Times New Roman" w:hAnsi="Times New Roman" w:cs="Times New Roman"/>
          <w:sz w:val="24"/>
          <w:szCs w:val="24"/>
        </w:rPr>
      </w:pPr>
      <w:r w:rsidRPr="00571FBF">
        <w:rPr>
          <w:rFonts w:ascii="Times New Roman" w:hAnsi="Times New Roman" w:cs="Times New Roman"/>
          <w:sz w:val="24"/>
          <w:szCs w:val="24"/>
        </w:rPr>
        <w:t>Escoger esa vía supone cruzar una línea bastante peligrosa, porque significaría que los sectores que más están ganando tendrían que renunciar a parte de sus beneficios. Y esto no es tan sencillo. Un ejemplo significativo lo tenemos en el desacople con China. Separarse de la producción barata implicaría, entre otros efectos, dañar las cuentas de resultados de las grandes firmas que fabrican allí, y muy pocas empresas están dispuestas a cambiar el guion (y sus accionistas menos todavía). El desacople que se sugiere es diferente, y tiene que ver con minar el recorrido ascendente de la potencia asiática, en especial en la competencia que realiza en sectores de alto valor añadido y en su poder militar, o en bienes estratégicos, no en la fabricación barata.</w:t>
      </w:r>
    </w:p>
    <w:p w:rsidR="004D74E7" w:rsidRPr="00571FBF" w:rsidRDefault="004D74E7" w:rsidP="004D74E7">
      <w:pPr>
        <w:spacing w:line="240" w:lineRule="auto"/>
        <w:jc w:val="both"/>
        <w:rPr>
          <w:rFonts w:ascii="Times New Roman" w:hAnsi="Times New Roman" w:cs="Times New Roman"/>
          <w:sz w:val="24"/>
          <w:szCs w:val="24"/>
        </w:rPr>
      </w:pPr>
      <w:r w:rsidRPr="00571FBF">
        <w:rPr>
          <w:rFonts w:ascii="Times New Roman" w:hAnsi="Times New Roman" w:cs="Times New Roman"/>
          <w:sz w:val="24"/>
          <w:szCs w:val="24"/>
        </w:rPr>
        <w:t>La economía real juega un papel similar para la financiera, es parte de su fuente de beneficios, es la base a partir de la cual genera rentabilidad. Como ocurre con China, al ámbito financiero le interesa que funcione, pero no en exceso, porque eso dañaría el nivel de beneficios. Aumentar el nivel de vida de las clases trabajadoras y medias occidentales</w:t>
      </w:r>
      <w:r w:rsidR="00DF1F1F" w:rsidRPr="00571FBF">
        <w:rPr>
          <w:rFonts w:ascii="Times New Roman" w:hAnsi="Times New Roman" w:cs="Times New Roman"/>
          <w:sz w:val="24"/>
          <w:szCs w:val="24"/>
        </w:rPr>
        <w:t>,</w:t>
      </w:r>
      <w:r w:rsidRPr="00571FBF">
        <w:rPr>
          <w:rFonts w:ascii="Times New Roman" w:hAnsi="Times New Roman" w:cs="Times New Roman"/>
          <w:sz w:val="24"/>
          <w:szCs w:val="24"/>
        </w:rPr>
        <w:t xml:space="preserve"> potenciaría el consumo e impulsaría el crecimiento, pero lo haría a costa de restar dividendos, y es un sacrificio que todavía no se quiere realizar. La salida de esta crisis lo demuestra: los recursos han llegado rápidamente y en grandes cantidades a los sectores más potentes de la economía, y mucho más lentamente y en menor cantidad a los pequeños negocios y a los trabajadores. Se han aportado cantidades paliativas a la economía real, justo lo necesario para que no se asfixie, pero insuficientes para recuperarla y potenciarla.</w:t>
      </w:r>
    </w:p>
    <w:p w:rsidR="004D74E7" w:rsidRPr="00571FBF" w:rsidRDefault="004D74E7" w:rsidP="004D74E7">
      <w:pPr>
        <w:spacing w:line="240" w:lineRule="auto"/>
        <w:jc w:val="both"/>
        <w:rPr>
          <w:rFonts w:ascii="Times New Roman" w:hAnsi="Times New Roman" w:cs="Times New Roman"/>
          <w:sz w:val="24"/>
          <w:szCs w:val="24"/>
        </w:rPr>
      </w:pPr>
      <w:r w:rsidRPr="00571FBF">
        <w:rPr>
          <w:rFonts w:ascii="Times New Roman" w:hAnsi="Times New Roman" w:cs="Times New Roman"/>
          <w:sz w:val="24"/>
          <w:szCs w:val="24"/>
        </w:rPr>
        <w:t>Sin embargo, esta es la única solución significativa a esta crisis, un aumento de los recursos, el nivel de vida y las posibilidades de las clases perdedoras en los últimos tiempos. Este giro hacia la economía real, hacia “Main Street” y hacia la recuperación de las clases trabajadoras, subrayaría que se cuenta con sentido del momento histórico, demostraría responsabilidad en la clase política y comprensión de la importancia de la cohesión social, la que fue la base del capitalismo de la posguerra. De momento, nada de esto está presente, por lo que viviremos un tiempo en el que habrá recuperación y el próximo año, si no hay rebrote de la pandemia, la gente común volverá a sufrir en sus carnes la crisis. Y aumentarán las tensiones, las opciones antisistémicas, el descontento social, la inestabilidad. Y así seguiremos. No hemos aprendido nada de 2008. Ni de la Historia.</w:t>
      </w:r>
    </w:p>
    <w:p w:rsidR="004D74E7" w:rsidRDefault="004D74E7" w:rsidP="004D74E7">
      <w:pPr>
        <w:spacing w:line="240" w:lineRule="auto"/>
        <w:jc w:val="both"/>
        <w:rPr>
          <w:rFonts w:ascii="Times New Roman" w:hAnsi="Times New Roman" w:cs="Times New Roman"/>
          <w:b/>
          <w:sz w:val="24"/>
          <w:szCs w:val="24"/>
        </w:rPr>
      </w:pPr>
      <w:r w:rsidRPr="00571FBF">
        <w:rPr>
          <w:rFonts w:ascii="Times New Roman" w:hAnsi="Times New Roman" w:cs="Times New Roman"/>
          <w:b/>
          <w:sz w:val="24"/>
          <w:szCs w:val="24"/>
        </w:rPr>
        <w:t>Podrán seguir “dibujando” el futuro, pero ya no podrán “borrar” el pasado… para el cual habrá que buscar las razones y los responsables del declive: mal liderazgo, prioridades equivocadas</w:t>
      </w:r>
      <w:r w:rsidR="00200719">
        <w:rPr>
          <w:rFonts w:ascii="Times New Roman" w:hAnsi="Times New Roman" w:cs="Times New Roman"/>
          <w:b/>
          <w:sz w:val="24"/>
          <w:szCs w:val="24"/>
        </w:rPr>
        <w:t>,</w:t>
      </w:r>
      <w:r w:rsidRPr="00571FBF">
        <w:rPr>
          <w:rFonts w:ascii="Times New Roman" w:hAnsi="Times New Roman" w:cs="Times New Roman"/>
          <w:b/>
          <w:sz w:val="24"/>
          <w:szCs w:val="24"/>
        </w:rPr>
        <w:t xml:space="preserve"> y decisiones políticas ineptas.</w:t>
      </w:r>
    </w:p>
    <w:p w:rsidR="005B7ABA" w:rsidRPr="00571FBF" w:rsidRDefault="005B7ABA" w:rsidP="004D74E7">
      <w:pPr>
        <w:spacing w:line="240" w:lineRule="auto"/>
        <w:jc w:val="both"/>
        <w:rPr>
          <w:rFonts w:ascii="Times New Roman" w:hAnsi="Times New Roman" w:cs="Times New Roman"/>
          <w:b/>
          <w:sz w:val="24"/>
          <w:szCs w:val="24"/>
        </w:rPr>
      </w:pPr>
    </w:p>
    <w:p w:rsidR="00277995" w:rsidRPr="0029160C" w:rsidRDefault="00277995" w:rsidP="004D74E7">
      <w:pPr>
        <w:spacing w:line="240" w:lineRule="auto"/>
        <w:jc w:val="both"/>
        <w:rPr>
          <w:rFonts w:ascii="Times New Roman" w:hAnsi="Times New Roman" w:cs="Times New Roman"/>
          <w:color w:val="FF0000"/>
          <w:sz w:val="24"/>
          <w:szCs w:val="24"/>
        </w:rPr>
      </w:pPr>
      <w:r>
        <w:rPr>
          <w:noProof/>
          <w:lang w:eastAsia="es-ES"/>
        </w:rPr>
        <w:lastRenderedPageBreak/>
        <w:drawing>
          <wp:inline distT="0" distB="0" distL="0" distR="0" wp14:anchorId="691B2564" wp14:editId="517650C2">
            <wp:extent cx="5733604" cy="6654800"/>
            <wp:effectExtent l="0" t="0" r="635" b="0"/>
            <wp:docPr id="354" name="Imagen 354" descr="OC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CDE"/>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5731510" cy="6652369"/>
                    </a:xfrm>
                    <a:prstGeom prst="rect">
                      <a:avLst/>
                    </a:prstGeom>
                    <a:noFill/>
                    <a:ln>
                      <a:noFill/>
                    </a:ln>
                  </pic:spPr>
                </pic:pic>
              </a:graphicData>
            </a:graphic>
          </wp:inline>
        </w:drawing>
      </w:r>
    </w:p>
    <w:p w:rsidR="00DF1F1F" w:rsidRPr="00200719" w:rsidRDefault="004D74E7" w:rsidP="00DF1F1F">
      <w:pPr>
        <w:spacing w:line="240" w:lineRule="auto"/>
        <w:jc w:val="both"/>
        <w:rPr>
          <w:rFonts w:ascii="Times New Roman" w:hAnsi="Times New Roman" w:cs="Times New Roman"/>
          <w:sz w:val="24"/>
          <w:szCs w:val="24"/>
        </w:rPr>
      </w:pPr>
      <w:r w:rsidRPr="00200719">
        <w:rPr>
          <w:rFonts w:ascii="Times New Roman" w:hAnsi="Times New Roman" w:cs="Times New Roman"/>
          <w:sz w:val="24"/>
          <w:szCs w:val="24"/>
        </w:rPr>
        <w:t>Aunque los “curanderos académicos” se encarguen de decir (con pago revertido, off course) que han sido</w:t>
      </w:r>
      <w:r w:rsidR="00DF1F1F" w:rsidRPr="00200719">
        <w:rPr>
          <w:rFonts w:ascii="Times New Roman" w:hAnsi="Times New Roman" w:cs="Times New Roman"/>
          <w:sz w:val="24"/>
          <w:szCs w:val="24"/>
        </w:rPr>
        <w:t xml:space="preserve"> las</w:t>
      </w:r>
      <w:r w:rsidRPr="00200719">
        <w:rPr>
          <w:rFonts w:ascii="Times New Roman" w:hAnsi="Times New Roman" w:cs="Times New Roman"/>
          <w:sz w:val="24"/>
          <w:szCs w:val="24"/>
        </w:rPr>
        <w:t xml:space="preserve"> “externalidades negativas”, o</w:t>
      </w:r>
      <w:r w:rsidR="00DF1F1F" w:rsidRPr="00200719">
        <w:rPr>
          <w:rFonts w:ascii="Times New Roman" w:hAnsi="Times New Roman" w:cs="Times New Roman"/>
          <w:sz w:val="24"/>
          <w:szCs w:val="24"/>
        </w:rPr>
        <w:t xml:space="preserve"> los</w:t>
      </w:r>
      <w:r w:rsidRPr="00200719">
        <w:rPr>
          <w:rFonts w:ascii="Times New Roman" w:hAnsi="Times New Roman" w:cs="Times New Roman"/>
          <w:sz w:val="24"/>
          <w:szCs w:val="24"/>
        </w:rPr>
        <w:t xml:space="preserve"> “dañ</w:t>
      </w:r>
      <w:r w:rsidR="00DF1F1F" w:rsidRPr="00200719">
        <w:rPr>
          <w:rFonts w:ascii="Times New Roman" w:hAnsi="Times New Roman" w:cs="Times New Roman"/>
          <w:sz w:val="24"/>
          <w:szCs w:val="24"/>
        </w:rPr>
        <w:t>os colaterales” no deseados, de la crisis del Covid-19, sin entrar a debatir el</w:t>
      </w:r>
      <w:r w:rsidRPr="00200719">
        <w:rPr>
          <w:rFonts w:ascii="Times New Roman" w:hAnsi="Times New Roman" w:cs="Times New Roman"/>
          <w:sz w:val="24"/>
          <w:szCs w:val="24"/>
        </w:rPr>
        <w:t xml:space="preserve"> modelo económico de globalización, librecambio, financierización, desregulación, privatización…</w:t>
      </w:r>
      <w:r w:rsidR="00DF1F1F" w:rsidRPr="00200719">
        <w:rPr>
          <w:rFonts w:ascii="Times New Roman" w:hAnsi="Times New Roman" w:cs="Times New Roman"/>
          <w:sz w:val="24"/>
          <w:szCs w:val="24"/>
        </w:rPr>
        <w:t xml:space="preserve"> los daños que ha ocasionado la globalización en el tejido económico (productivo) y social (laboral), de los países avanzados (ahora, en vías de subdesarrollo), son más profundos y extensos que los perjuicios de la depresión de 1929, y las dos guerras mundiales. La crisis financiera de 2008 y sanitaria de 2020 quedarán en el recuerdo de varias generaciones. Y eso no lo podrán manipular con “algoritmos”, disimular con el “big data”, u ocultar en la “nube”. </w:t>
      </w:r>
    </w:p>
    <w:p w:rsidR="004D74E7" w:rsidRPr="00200719" w:rsidRDefault="004D74E7" w:rsidP="004D74E7">
      <w:pPr>
        <w:spacing w:line="240" w:lineRule="auto"/>
        <w:jc w:val="both"/>
        <w:rPr>
          <w:rFonts w:ascii="Times New Roman" w:hAnsi="Times New Roman" w:cs="Times New Roman"/>
          <w:sz w:val="24"/>
          <w:szCs w:val="24"/>
        </w:rPr>
      </w:pPr>
      <w:r w:rsidRPr="00200719">
        <w:rPr>
          <w:rFonts w:ascii="Times New Roman" w:hAnsi="Times New Roman" w:cs="Times New Roman"/>
          <w:sz w:val="24"/>
          <w:szCs w:val="24"/>
        </w:rPr>
        <w:t>La hipocresía y el cinismo de los “borradores de cabeza” no tiene límite, pero les va a resultar difícil (muy difícil) continuar negando la evidencia, arreando la manada, empujando la soga.</w:t>
      </w:r>
    </w:p>
    <w:p w:rsidR="004D74E7" w:rsidRPr="00200719" w:rsidRDefault="004D74E7" w:rsidP="004D74E7">
      <w:pPr>
        <w:spacing w:line="240" w:lineRule="auto"/>
        <w:jc w:val="both"/>
        <w:rPr>
          <w:rFonts w:ascii="Times New Roman" w:hAnsi="Times New Roman" w:cs="Times New Roman"/>
          <w:sz w:val="24"/>
          <w:szCs w:val="24"/>
        </w:rPr>
      </w:pPr>
      <w:r w:rsidRPr="00200719">
        <w:rPr>
          <w:rFonts w:ascii="Times New Roman" w:hAnsi="Times New Roman" w:cs="Times New Roman"/>
          <w:sz w:val="24"/>
          <w:szCs w:val="24"/>
        </w:rPr>
        <w:lastRenderedPageBreak/>
        <w:t>Ya que han fracasado en el credo smithsoniano (de falsos liberales, pasaron a tenebrosos liberticidas, en una fórmula de capitalismo autoritario), deberían intentarlo con uno hipocrático (en estas épocas de pandemia, al me</w:t>
      </w:r>
      <w:r w:rsidR="00DF1F1F" w:rsidRPr="00200719">
        <w:rPr>
          <w:rFonts w:ascii="Times New Roman" w:hAnsi="Times New Roman" w:cs="Times New Roman"/>
          <w:sz w:val="24"/>
          <w:szCs w:val="24"/>
        </w:rPr>
        <w:t>nos): “primero, no hacer daño”.</w:t>
      </w:r>
    </w:p>
    <w:p w:rsidR="004D74E7" w:rsidRPr="004D7D6D" w:rsidRDefault="004D74E7" w:rsidP="004D74E7">
      <w:pPr>
        <w:pStyle w:val="Estndar"/>
        <w:jc w:val="both"/>
        <w:rPr>
          <w:b/>
          <w:color w:val="auto"/>
          <w:lang w:val="es-ES"/>
        </w:rPr>
      </w:pPr>
      <w:r w:rsidRPr="004D7D6D">
        <w:rPr>
          <w:b/>
          <w:color w:val="auto"/>
          <w:lang w:val="es-ES"/>
        </w:rPr>
        <w:t>Informe de auditoría s</w:t>
      </w:r>
      <w:r w:rsidR="00A217C2">
        <w:rPr>
          <w:b/>
          <w:color w:val="auto"/>
          <w:lang w:val="es-ES"/>
        </w:rPr>
        <w:t>obre las crisis auto infligidas</w:t>
      </w:r>
    </w:p>
    <w:p w:rsidR="004D74E7" w:rsidRPr="004D7D6D" w:rsidRDefault="004D74E7" w:rsidP="004D74E7">
      <w:pPr>
        <w:pStyle w:val="Estndar"/>
        <w:jc w:val="both"/>
        <w:rPr>
          <w:color w:val="auto"/>
          <w:lang w:val="es-ES"/>
        </w:rPr>
      </w:pPr>
    </w:p>
    <w:p w:rsidR="004D74E7" w:rsidRPr="004D7D6D" w:rsidRDefault="004D74E7" w:rsidP="004D74E7">
      <w:pPr>
        <w:pStyle w:val="Estndar"/>
        <w:jc w:val="both"/>
        <w:rPr>
          <w:color w:val="FF0000"/>
          <w:lang w:val="es-ES"/>
        </w:rPr>
      </w:pPr>
      <w:r w:rsidRPr="004D7D6D">
        <w:rPr>
          <w:color w:val="FF0000"/>
          <w:lang w:val="es-ES"/>
        </w:rPr>
        <w:t>2009 (contracción del 2,9%)</w:t>
      </w:r>
    </w:p>
    <w:p w:rsidR="004D74E7" w:rsidRPr="004D7D6D" w:rsidRDefault="004D74E7" w:rsidP="004D74E7">
      <w:pPr>
        <w:pStyle w:val="Estndar"/>
        <w:jc w:val="both"/>
        <w:rPr>
          <w:color w:val="auto"/>
          <w:lang w:val="es-ES"/>
        </w:rPr>
      </w:pPr>
    </w:p>
    <w:p w:rsidR="004D74E7" w:rsidRPr="004D7D6D" w:rsidRDefault="004D74E7" w:rsidP="004D74E7">
      <w:pPr>
        <w:pStyle w:val="Estndar"/>
        <w:jc w:val="both"/>
        <w:rPr>
          <w:color w:val="auto"/>
          <w:lang w:val="es-ES"/>
        </w:rPr>
      </w:pPr>
      <w:r w:rsidRPr="004D7D6D">
        <w:rPr>
          <w:color w:val="auto"/>
          <w:lang w:val="es-ES"/>
        </w:rPr>
        <w:t>La recesión de 2009 surgió del colapso del mercado inmobiliario de Estados Unidos debido a la crisis financiera de 2007-2008 y la crisis de las hipotecas de alto riesgo.</w:t>
      </w:r>
    </w:p>
    <w:p w:rsidR="004D74E7" w:rsidRPr="004D7D6D" w:rsidRDefault="004D74E7" w:rsidP="004D74E7">
      <w:pPr>
        <w:pStyle w:val="Estndar"/>
        <w:jc w:val="both"/>
        <w:rPr>
          <w:color w:val="auto"/>
          <w:lang w:val="es-ES"/>
        </w:rPr>
      </w:pPr>
    </w:p>
    <w:p w:rsidR="004D74E7" w:rsidRPr="004D7D6D" w:rsidRDefault="004D74E7" w:rsidP="004D74E7">
      <w:pPr>
        <w:pStyle w:val="Estndar"/>
        <w:jc w:val="both"/>
        <w:rPr>
          <w:color w:val="auto"/>
          <w:lang w:val="es-ES"/>
        </w:rPr>
      </w:pPr>
      <w:r w:rsidRPr="004D7D6D">
        <w:rPr>
          <w:color w:val="auto"/>
          <w:lang w:val="es-ES"/>
        </w:rPr>
        <w:t>Como resultado, varias empresas y bancos tuvieron que ser rescatados por los gobiernos centrales de todo el mundo.</w:t>
      </w:r>
    </w:p>
    <w:p w:rsidR="004D74E7" w:rsidRPr="004D7D6D" w:rsidRDefault="004D74E7" w:rsidP="004D74E7">
      <w:pPr>
        <w:pStyle w:val="Estndar"/>
        <w:jc w:val="both"/>
        <w:rPr>
          <w:color w:val="auto"/>
          <w:lang w:val="es-ES"/>
        </w:rPr>
      </w:pPr>
    </w:p>
    <w:p w:rsidR="004D74E7" w:rsidRPr="004D7D6D" w:rsidRDefault="004D74E7" w:rsidP="004D74E7">
      <w:pPr>
        <w:pStyle w:val="Estndar"/>
        <w:jc w:val="both"/>
        <w:rPr>
          <w:color w:val="auto"/>
          <w:lang w:val="es-ES"/>
        </w:rPr>
      </w:pPr>
      <w:r w:rsidRPr="004D7D6D">
        <w:rPr>
          <w:color w:val="auto"/>
          <w:lang w:val="es-ES"/>
        </w:rPr>
        <w:t>Según el FMI (Fondo</w:t>
      </w:r>
      <w:r w:rsidR="009E141C">
        <w:rPr>
          <w:color w:val="auto"/>
          <w:lang w:val="es-ES"/>
        </w:rPr>
        <w:t xml:space="preserve"> Monetario Internacional), fue “</w:t>
      </w:r>
      <w:r w:rsidRPr="004D7D6D">
        <w:rPr>
          <w:color w:val="auto"/>
          <w:lang w:val="es-ES"/>
        </w:rPr>
        <w:t>el colapso económico y financiero más grave desde la Gran</w:t>
      </w:r>
      <w:r w:rsidR="009E141C">
        <w:rPr>
          <w:color w:val="auto"/>
          <w:lang w:val="es-ES"/>
        </w:rPr>
        <w:t xml:space="preserve"> Depresión de la década de 1930”</w:t>
      </w:r>
      <w:r w:rsidRPr="004D7D6D">
        <w:rPr>
          <w:color w:val="auto"/>
          <w:lang w:val="es-ES"/>
        </w:rPr>
        <w:t>.</w:t>
      </w:r>
    </w:p>
    <w:p w:rsidR="004D74E7" w:rsidRPr="004D7D6D" w:rsidRDefault="004D74E7" w:rsidP="004D74E7">
      <w:pPr>
        <w:pStyle w:val="Estndar"/>
        <w:jc w:val="both"/>
        <w:rPr>
          <w:color w:val="auto"/>
          <w:lang w:val="es-ES"/>
        </w:rPr>
      </w:pPr>
    </w:p>
    <w:p w:rsidR="004D74E7" w:rsidRPr="004D7D6D" w:rsidRDefault="004D74E7" w:rsidP="004D74E7">
      <w:pPr>
        <w:pStyle w:val="Estndar"/>
        <w:jc w:val="both"/>
        <w:rPr>
          <w:color w:val="auto"/>
          <w:lang w:val="es-ES"/>
        </w:rPr>
      </w:pPr>
      <w:r w:rsidRPr="004D7D6D">
        <w:rPr>
          <w:color w:val="auto"/>
          <w:lang w:val="es-ES"/>
        </w:rPr>
        <w:t>Sin embargo, esta contracción no se sintió igualmente en todo el mundo. Si bien, por un lado, la mayoría de las economías desarrolladas entraban en recesión, los países emergentes sufrían un impacto proporcionalmente mucho menor.</w:t>
      </w:r>
    </w:p>
    <w:p w:rsidR="004D74E7" w:rsidRPr="004D7D6D" w:rsidRDefault="004D74E7" w:rsidP="004D74E7">
      <w:pPr>
        <w:pStyle w:val="Estndar"/>
        <w:jc w:val="both"/>
        <w:rPr>
          <w:color w:val="auto"/>
          <w:lang w:val="es-ES"/>
        </w:rPr>
      </w:pPr>
    </w:p>
    <w:p w:rsidR="004D74E7" w:rsidRPr="004D7D6D" w:rsidRDefault="004D74E7" w:rsidP="004D74E7">
      <w:pPr>
        <w:pStyle w:val="Estndar"/>
        <w:jc w:val="both"/>
        <w:rPr>
          <w:color w:val="auto"/>
          <w:lang w:val="es-ES"/>
        </w:rPr>
      </w:pPr>
      <w:r w:rsidRPr="004D7D6D">
        <w:rPr>
          <w:color w:val="auto"/>
          <w:lang w:val="es-ES"/>
        </w:rPr>
        <w:t>A modo de comparación, en 2009, el PIB estadounidense cayó un 2,5% mientras que el brasileño, un 0,1%. Al año siguiente, Brasil registró un rotundo crecimiento del 7,5%.</w:t>
      </w:r>
    </w:p>
    <w:p w:rsidR="004D74E7" w:rsidRPr="004D7D6D" w:rsidRDefault="004D74E7" w:rsidP="004D74E7">
      <w:pPr>
        <w:pStyle w:val="Estndar"/>
        <w:jc w:val="both"/>
        <w:rPr>
          <w:color w:val="auto"/>
          <w:lang w:val="es-ES"/>
        </w:rPr>
      </w:pPr>
    </w:p>
    <w:p w:rsidR="004D74E7" w:rsidRDefault="004D74E7" w:rsidP="004D74E7">
      <w:pPr>
        <w:pStyle w:val="Estndar"/>
        <w:jc w:val="both"/>
        <w:rPr>
          <w:color w:val="FF0000"/>
          <w:lang w:val="es-ES"/>
        </w:rPr>
      </w:pPr>
      <w:r w:rsidRPr="004D7D6D">
        <w:rPr>
          <w:color w:val="FF0000"/>
          <w:lang w:val="es-ES"/>
        </w:rPr>
        <w:t>2020 (contracción estimada del 6,2%)</w:t>
      </w:r>
    </w:p>
    <w:p w:rsidR="004D74E7" w:rsidRDefault="004D74E7" w:rsidP="004D74E7">
      <w:pPr>
        <w:pStyle w:val="Estndar"/>
        <w:jc w:val="both"/>
        <w:rPr>
          <w:color w:val="FF0000"/>
          <w:lang w:val="es-ES"/>
        </w:rPr>
      </w:pPr>
    </w:p>
    <w:p w:rsidR="004D74E7" w:rsidRPr="004D7D6D" w:rsidRDefault="004D74E7" w:rsidP="004D74E7">
      <w:pPr>
        <w:pStyle w:val="Estndar"/>
        <w:jc w:val="both"/>
        <w:rPr>
          <w:color w:val="auto"/>
          <w:lang w:val="es-ES"/>
        </w:rPr>
      </w:pPr>
      <w:r w:rsidRPr="004D7D6D">
        <w:rPr>
          <w:color w:val="auto"/>
          <w:lang w:val="es-ES"/>
        </w:rPr>
        <w:t>El nuevo virus, que se originó en China, obligó a la mayoría de los países a implementar medidas firmes para restringir el movimiento de personas.</w:t>
      </w:r>
    </w:p>
    <w:p w:rsidR="004D74E7" w:rsidRPr="004D7D6D" w:rsidRDefault="004D74E7" w:rsidP="004D74E7">
      <w:pPr>
        <w:pStyle w:val="Estndar"/>
        <w:jc w:val="both"/>
        <w:rPr>
          <w:color w:val="auto"/>
          <w:lang w:val="es-ES"/>
        </w:rPr>
      </w:pPr>
    </w:p>
    <w:p w:rsidR="004D74E7" w:rsidRPr="004D7D6D" w:rsidRDefault="004D74E7" w:rsidP="004D74E7">
      <w:pPr>
        <w:pStyle w:val="Estndar"/>
        <w:jc w:val="both"/>
        <w:rPr>
          <w:color w:val="auto"/>
          <w:lang w:val="es-ES"/>
        </w:rPr>
      </w:pPr>
      <w:r w:rsidRPr="004D7D6D">
        <w:rPr>
          <w:color w:val="auto"/>
          <w:lang w:val="es-ES"/>
        </w:rPr>
        <w:t>Con las poblaciones limitadas por el temor de la saturación de los sistemas de salud, los intercambios económicos se vieron gravemente obstaculizados.</w:t>
      </w:r>
    </w:p>
    <w:p w:rsidR="004D74E7" w:rsidRPr="004D7D6D" w:rsidRDefault="004D74E7" w:rsidP="004D74E7">
      <w:pPr>
        <w:pStyle w:val="Estndar"/>
        <w:jc w:val="both"/>
        <w:rPr>
          <w:color w:val="auto"/>
          <w:lang w:val="es-ES"/>
        </w:rPr>
      </w:pPr>
    </w:p>
    <w:p w:rsidR="004D74E7" w:rsidRPr="004D7D6D" w:rsidRDefault="004D74E7" w:rsidP="004D74E7">
      <w:pPr>
        <w:pStyle w:val="Estndar"/>
        <w:jc w:val="both"/>
        <w:rPr>
          <w:color w:val="auto"/>
          <w:lang w:val="es-ES"/>
        </w:rPr>
      </w:pPr>
      <w:r w:rsidRPr="004D7D6D">
        <w:rPr>
          <w:color w:val="auto"/>
          <w:lang w:val="es-ES"/>
        </w:rPr>
        <w:t xml:space="preserve">El Banco Mundial espera que el PIB global per cápita se reduzca un 6,2% este año, más del doble que el registrado en la crisis financiera de 2008. </w:t>
      </w:r>
    </w:p>
    <w:p w:rsidR="004D74E7" w:rsidRPr="004D7D6D" w:rsidRDefault="004D74E7" w:rsidP="004D74E7">
      <w:pPr>
        <w:pStyle w:val="Estndar"/>
        <w:jc w:val="both"/>
        <w:rPr>
          <w:color w:val="auto"/>
          <w:lang w:val="es-ES"/>
        </w:rPr>
      </w:pPr>
    </w:p>
    <w:p w:rsidR="004D74E7" w:rsidRDefault="004D74E7" w:rsidP="004D74E7">
      <w:pPr>
        <w:pStyle w:val="Estndar"/>
        <w:jc w:val="both"/>
        <w:rPr>
          <w:color w:val="auto"/>
          <w:lang w:val="es-ES"/>
        </w:rPr>
      </w:pPr>
      <w:r>
        <w:rPr>
          <w:color w:val="auto"/>
          <w:lang w:val="es-ES"/>
        </w:rPr>
        <w:t>“</w:t>
      </w:r>
      <w:r w:rsidRPr="004D7D6D">
        <w:rPr>
          <w:color w:val="auto"/>
          <w:lang w:val="es-ES"/>
        </w:rPr>
        <w:t xml:space="preserve">Los pronósticos actuales sugieren que la recesión mundial de coronavirus será la más profunda desde la Segunda Guerra Mundial, con la mayor parte de las economías experimentando disminuciones </w:t>
      </w:r>
      <w:r>
        <w:rPr>
          <w:color w:val="auto"/>
          <w:lang w:val="es-ES"/>
        </w:rPr>
        <w:t>en el PIB per cápita desde 1870”</w:t>
      </w:r>
      <w:r w:rsidRPr="004D7D6D">
        <w:rPr>
          <w:color w:val="auto"/>
          <w:lang w:val="es-ES"/>
        </w:rPr>
        <w:t>, dijeron los economistas Ayhan Kose y Naotaka Sugawara en el blog del Banco Mundial.</w:t>
      </w:r>
      <w:r>
        <w:rPr>
          <w:color w:val="auto"/>
          <w:lang w:val="es-ES"/>
        </w:rPr>
        <w:t xml:space="preserve"> </w:t>
      </w:r>
    </w:p>
    <w:p w:rsidR="004D74E7" w:rsidRDefault="004D74E7" w:rsidP="004D74E7">
      <w:pPr>
        <w:pStyle w:val="Estndar"/>
        <w:jc w:val="both"/>
        <w:rPr>
          <w:color w:val="auto"/>
          <w:lang w:val="es-ES"/>
        </w:rPr>
      </w:pPr>
    </w:p>
    <w:p w:rsidR="004D74E7" w:rsidRPr="004D7D6D" w:rsidRDefault="004D74E7" w:rsidP="004D74E7">
      <w:pPr>
        <w:pStyle w:val="Estndar"/>
        <w:jc w:val="both"/>
        <w:rPr>
          <w:color w:val="auto"/>
          <w:lang w:val="es-ES"/>
        </w:rPr>
      </w:pPr>
      <w:r w:rsidRPr="004D7D6D">
        <w:rPr>
          <w:color w:val="auto"/>
          <w:lang w:val="es-ES"/>
        </w:rPr>
        <w:t xml:space="preserve">Según ellos, </w:t>
      </w:r>
      <w:r>
        <w:rPr>
          <w:color w:val="auto"/>
          <w:lang w:val="es-ES"/>
        </w:rPr>
        <w:t>“l</w:t>
      </w:r>
      <w:r w:rsidRPr="004D7D6D">
        <w:rPr>
          <w:color w:val="auto"/>
          <w:lang w:val="es-ES"/>
        </w:rPr>
        <w:t>a proporción será más de un 90% mayor que la del apogeo de la Gran D</w:t>
      </w:r>
      <w:r>
        <w:rPr>
          <w:color w:val="auto"/>
          <w:lang w:val="es-ES"/>
        </w:rPr>
        <w:t>epresión de 1930-32”</w:t>
      </w:r>
      <w:r w:rsidRPr="004D7D6D">
        <w:rPr>
          <w:color w:val="auto"/>
          <w:lang w:val="es-ES"/>
        </w:rPr>
        <w:t>.</w:t>
      </w:r>
    </w:p>
    <w:p w:rsidR="004D74E7" w:rsidRDefault="004D74E7" w:rsidP="004D74E7">
      <w:pPr>
        <w:pStyle w:val="Estndar"/>
        <w:jc w:val="both"/>
        <w:rPr>
          <w:color w:val="auto"/>
          <w:lang w:val="es-ES"/>
        </w:rPr>
      </w:pPr>
    </w:p>
    <w:p w:rsidR="004D74E7" w:rsidRPr="004D7D6D" w:rsidRDefault="004D74E7" w:rsidP="004D74E7">
      <w:pPr>
        <w:pStyle w:val="Estndar"/>
        <w:jc w:val="both"/>
        <w:rPr>
          <w:color w:val="auto"/>
          <w:lang w:val="es-ES"/>
        </w:rPr>
      </w:pPr>
      <w:r>
        <w:rPr>
          <w:color w:val="auto"/>
          <w:lang w:val="es-ES"/>
        </w:rPr>
        <w:t>“</w:t>
      </w:r>
      <w:r w:rsidRPr="004D7D6D">
        <w:rPr>
          <w:color w:val="auto"/>
          <w:lang w:val="es-ES"/>
        </w:rPr>
        <w:t xml:space="preserve">Se espera que la producción de los mercados emergentes y las economías en desarrollo (EMDE) se contraiga en 2020 por </w:t>
      </w:r>
      <w:r>
        <w:rPr>
          <w:color w:val="auto"/>
          <w:lang w:val="es-ES"/>
        </w:rPr>
        <w:t>primera vez en al menos 60 años”</w:t>
      </w:r>
      <w:r w:rsidRPr="004D7D6D">
        <w:rPr>
          <w:color w:val="auto"/>
          <w:lang w:val="es-ES"/>
        </w:rPr>
        <w:t>, añadieron.</w:t>
      </w:r>
    </w:p>
    <w:p w:rsidR="004D74E7" w:rsidRPr="004D7D6D" w:rsidRDefault="004D74E7" w:rsidP="004D74E7">
      <w:pPr>
        <w:pStyle w:val="Estndar"/>
        <w:jc w:val="both"/>
        <w:rPr>
          <w:color w:val="auto"/>
          <w:lang w:val="es-ES"/>
        </w:rPr>
      </w:pPr>
    </w:p>
    <w:p w:rsidR="004D74E7" w:rsidRDefault="004D74E7" w:rsidP="004D74E7">
      <w:pPr>
        <w:pStyle w:val="Estndar"/>
        <w:jc w:val="both"/>
        <w:rPr>
          <w:color w:val="auto"/>
          <w:lang w:val="es-ES"/>
        </w:rPr>
      </w:pPr>
      <w:r>
        <w:rPr>
          <w:color w:val="auto"/>
          <w:lang w:val="es-ES"/>
        </w:rPr>
        <w:t>“</w:t>
      </w:r>
      <w:r w:rsidR="009E141C">
        <w:rPr>
          <w:color w:val="auto"/>
          <w:lang w:val="es-ES"/>
        </w:rPr>
        <w:t>La recesión global del C</w:t>
      </w:r>
      <w:r w:rsidRPr="004D7D6D">
        <w:rPr>
          <w:color w:val="auto"/>
          <w:lang w:val="es-ES"/>
        </w:rPr>
        <w:t>ovid-19 es única en muchos sentidos. También se asocia con un debilitamiento sin precedentes en varios indicadores de actividad global, como los servicios y la demanda de petróleo, así como la disminución del ingreso per cápita en todas l</w:t>
      </w:r>
      <w:r>
        <w:rPr>
          <w:color w:val="auto"/>
          <w:lang w:val="es-ES"/>
        </w:rPr>
        <w:t>as regiones del mundo emergente”</w:t>
      </w:r>
      <w:r w:rsidRPr="004D7D6D">
        <w:rPr>
          <w:color w:val="auto"/>
          <w:lang w:val="es-ES"/>
        </w:rPr>
        <w:t>, concluyen.</w:t>
      </w:r>
    </w:p>
    <w:p w:rsidR="004D74E7" w:rsidRPr="0027064D" w:rsidRDefault="004D74E7" w:rsidP="004D74E7">
      <w:pPr>
        <w:pStyle w:val="Estndar"/>
        <w:jc w:val="both"/>
        <w:rPr>
          <w:color w:val="FF0000"/>
          <w:lang w:val="es-ES"/>
        </w:rPr>
      </w:pPr>
      <w:r w:rsidRPr="0027064D">
        <w:rPr>
          <w:color w:val="FF0000"/>
          <w:lang w:val="es-ES"/>
        </w:rPr>
        <w:lastRenderedPageBreak/>
        <w:t>Las 14 recesiones de los últimos 150 años (y por qué la del coronavirus sería la cuarta peor)</w:t>
      </w:r>
    </w:p>
    <w:p w:rsidR="004D74E7" w:rsidRDefault="004D74E7" w:rsidP="004D74E7">
      <w:pPr>
        <w:pStyle w:val="Estndar"/>
        <w:jc w:val="both"/>
        <w:rPr>
          <w:color w:val="auto"/>
          <w:lang w:val="es-ES"/>
        </w:rPr>
      </w:pPr>
    </w:p>
    <w:p w:rsidR="004D74E7" w:rsidRDefault="004D74E7" w:rsidP="004D74E7">
      <w:pPr>
        <w:pStyle w:val="Estndar"/>
        <w:jc w:val="both"/>
        <w:rPr>
          <w:color w:val="auto"/>
          <w:lang w:val="es-ES"/>
        </w:rPr>
      </w:pPr>
      <w:r w:rsidRPr="0027064D">
        <w:rPr>
          <w:color w:val="auto"/>
          <w:lang w:val="es-ES"/>
        </w:rPr>
        <w:t xml:space="preserve">En los últimos 150 años, el mundo ha sufrido 14 recesiones, y se espera que la causada por el nuevo coronavirus sea la cuarta peor, </w:t>
      </w:r>
      <w:r w:rsidR="009E141C">
        <w:rPr>
          <w:color w:val="auto"/>
          <w:lang w:val="es-ES"/>
        </w:rPr>
        <w:t xml:space="preserve">según predice el Banco Mundial. </w:t>
      </w:r>
      <w:r w:rsidRPr="0027064D">
        <w:rPr>
          <w:color w:val="auto"/>
          <w:lang w:val="es-ES"/>
        </w:rPr>
        <w:t>Para el organismo, la turbulencia económica resul</w:t>
      </w:r>
      <w:r w:rsidR="009E141C">
        <w:rPr>
          <w:color w:val="auto"/>
          <w:lang w:val="es-ES"/>
        </w:rPr>
        <w:t>tante de la pandemia de C</w:t>
      </w:r>
      <w:r w:rsidRPr="0027064D">
        <w:rPr>
          <w:color w:val="auto"/>
          <w:lang w:val="es-ES"/>
        </w:rPr>
        <w:t>ovid-19 solo sería superada por las crisis que ocurrieron al comienzo de la Primera Guerra Mundial, en 1914, en la Gran Depresión, en 1930-32, y después de la desmovilización de las tropas tras la Segunda Guerra Mundial, en 1945-46.</w:t>
      </w:r>
    </w:p>
    <w:p w:rsidR="009E141C" w:rsidRDefault="009E141C" w:rsidP="004D74E7">
      <w:pPr>
        <w:pStyle w:val="Estndar"/>
        <w:jc w:val="both"/>
        <w:rPr>
          <w:color w:val="auto"/>
          <w:lang w:val="es-ES"/>
        </w:rPr>
      </w:pPr>
    </w:p>
    <w:p w:rsidR="009E141C" w:rsidRPr="009E141C" w:rsidRDefault="009E141C" w:rsidP="009E141C">
      <w:pPr>
        <w:pStyle w:val="Estndar"/>
        <w:jc w:val="both"/>
        <w:rPr>
          <w:b/>
          <w:color w:val="auto"/>
          <w:lang w:val="es-ES"/>
        </w:rPr>
      </w:pPr>
      <w:r w:rsidRPr="009E141C">
        <w:rPr>
          <w:b/>
          <w:color w:val="auto"/>
          <w:lang w:val="es-ES"/>
        </w:rPr>
        <w:t>1876 (contracción del 2,1%)</w:t>
      </w:r>
    </w:p>
    <w:p w:rsidR="009E141C" w:rsidRPr="009E141C" w:rsidRDefault="009E141C" w:rsidP="009E141C">
      <w:pPr>
        <w:pStyle w:val="Estndar"/>
        <w:jc w:val="both"/>
        <w:rPr>
          <w:b/>
          <w:color w:val="auto"/>
          <w:lang w:val="es-ES"/>
        </w:rPr>
      </w:pPr>
    </w:p>
    <w:p w:rsidR="009E141C" w:rsidRPr="009E141C" w:rsidRDefault="009E141C" w:rsidP="009E141C">
      <w:pPr>
        <w:pStyle w:val="Estndar"/>
        <w:jc w:val="both"/>
        <w:rPr>
          <w:b/>
          <w:color w:val="auto"/>
          <w:lang w:val="es-ES"/>
        </w:rPr>
      </w:pPr>
      <w:r w:rsidRPr="009E141C">
        <w:rPr>
          <w:b/>
          <w:color w:val="auto"/>
          <w:lang w:val="es-ES"/>
        </w:rPr>
        <w:t>1885 (contracción del 0,02%)</w:t>
      </w:r>
    </w:p>
    <w:p w:rsidR="009E141C" w:rsidRPr="009E141C" w:rsidRDefault="009E141C" w:rsidP="009E141C">
      <w:pPr>
        <w:pStyle w:val="Estndar"/>
        <w:jc w:val="both"/>
        <w:rPr>
          <w:b/>
          <w:color w:val="auto"/>
          <w:lang w:val="es-ES"/>
        </w:rPr>
      </w:pPr>
    </w:p>
    <w:p w:rsidR="009E141C" w:rsidRPr="009E141C" w:rsidRDefault="009E141C" w:rsidP="009E141C">
      <w:pPr>
        <w:pStyle w:val="Estndar"/>
        <w:jc w:val="both"/>
        <w:rPr>
          <w:b/>
          <w:color w:val="auto"/>
          <w:lang w:val="es-ES"/>
        </w:rPr>
      </w:pPr>
      <w:r w:rsidRPr="009E141C">
        <w:rPr>
          <w:b/>
          <w:color w:val="auto"/>
          <w:lang w:val="es-ES"/>
        </w:rPr>
        <w:t>1893 (contracción del 0,8%)</w:t>
      </w:r>
    </w:p>
    <w:p w:rsidR="009E141C" w:rsidRPr="009E141C" w:rsidRDefault="009E141C" w:rsidP="009E141C">
      <w:pPr>
        <w:pStyle w:val="Estndar"/>
        <w:jc w:val="both"/>
        <w:rPr>
          <w:b/>
          <w:color w:val="auto"/>
          <w:lang w:val="es-ES"/>
        </w:rPr>
      </w:pPr>
    </w:p>
    <w:p w:rsidR="009E141C" w:rsidRPr="009E141C" w:rsidRDefault="009E141C" w:rsidP="009E141C">
      <w:pPr>
        <w:pStyle w:val="Estndar"/>
        <w:jc w:val="both"/>
        <w:rPr>
          <w:b/>
          <w:color w:val="auto"/>
          <w:lang w:val="es-ES"/>
        </w:rPr>
      </w:pPr>
      <w:r w:rsidRPr="009E141C">
        <w:rPr>
          <w:b/>
          <w:color w:val="auto"/>
          <w:lang w:val="es-ES"/>
        </w:rPr>
        <w:t>1908 (contracción del 3%)</w:t>
      </w:r>
    </w:p>
    <w:p w:rsidR="009E141C" w:rsidRPr="009E141C" w:rsidRDefault="009E141C" w:rsidP="009E141C">
      <w:pPr>
        <w:pStyle w:val="Estndar"/>
        <w:jc w:val="both"/>
        <w:rPr>
          <w:b/>
          <w:color w:val="auto"/>
          <w:lang w:val="es-ES"/>
        </w:rPr>
      </w:pPr>
    </w:p>
    <w:p w:rsidR="009E141C" w:rsidRPr="009E141C" w:rsidRDefault="009E141C" w:rsidP="009E141C">
      <w:pPr>
        <w:pStyle w:val="Estndar"/>
        <w:jc w:val="both"/>
        <w:rPr>
          <w:b/>
          <w:color w:val="auto"/>
          <w:lang w:val="es-ES"/>
        </w:rPr>
      </w:pPr>
      <w:r w:rsidRPr="009E141C">
        <w:rPr>
          <w:b/>
          <w:color w:val="auto"/>
          <w:lang w:val="es-ES"/>
        </w:rPr>
        <w:t>1914 (contracción del 6,7%)</w:t>
      </w:r>
    </w:p>
    <w:p w:rsidR="009E141C" w:rsidRPr="009E141C" w:rsidRDefault="009E141C" w:rsidP="009E141C">
      <w:pPr>
        <w:pStyle w:val="Estndar"/>
        <w:jc w:val="both"/>
        <w:rPr>
          <w:b/>
          <w:color w:val="auto"/>
          <w:lang w:val="es-ES"/>
        </w:rPr>
      </w:pPr>
    </w:p>
    <w:p w:rsidR="009E141C" w:rsidRPr="009E141C" w:rsidRDefault="009E141C" w:rsidP="009E141C">
      <w:pPr>
        <w:pStyle w:val="Estndar"/>
        <w:jc w:val="both"/>
        <w:rPr>
          <w:b/>
          <w:color w:val="auto"/>
          <w:lang w:val="es-ES"/>
        </w:rPr>
      </w:pPr>
      <w:r w:rsidRPr="009E141C">
        <w:rPr>
          <w:b/>
          <w:color w:val="auto"/>
          <w:lang w:val="es-ES"/>
        </w:rPr>
        <w:t>1917-1921 (contracción del 4,4%)</w:t>
      </w:r>
    </w:p>
    <w:p w:rsidR="009E141C" w:rsidRPr="009E141C" w:rsidRDefault="009E141C" w:rsidP="009E141C">
      <w:pPr>
        <w:pStyle w:val="Estndar"/>
        <w:jc w:val="both"/>
        <w:rPr>
          <w:b/>
          <w:color w:val="auto"/>
          <w:lang w:val="es-ES"/>
        </w:rPr>
      </w:pPr>
    </w:p>
    <w:p w:rsidR="009E141C" w:rsidRPr="009E141C" w:rsidRDefault="009E141C" w:rsidP="009E141C">
      <w:pPr>
        <w:pStyle w:val="Estndar"/>
        <w:jc w:val="both"/>
        <w:rPr>
          <w:b/>
          <w:color w:val="auto"/>
          <w:lang w:val="es-ES"/>
        </w:rPr>
      </w:pPr>
      <w:r w:rsidRPr="009E141C">
        <w:rPr>
          <w:b/>
          <w:color w:val="auto"/>
          <w:lang w:val="es-ES"/>
        </w:rPr>
        <w:t>1930-1932 (contracción del 17,6%)</w:t>
      </w:r>
    </w:p>
    <w:p w:rsidR="009E141C" w:rsidRPr="009E141C" w:rsidRDefault="009E141C" w:rsidP="009E141C">
      <w:pPr>
        <w:pStyle w:val="Estndar"/>
        <w:jc w:val="both"/>
        <w:rPr>
          <w:b/>
          <w:color w:val="auto"/>
          <w:lang w:val="es-ES"/>
        </w:rPr>
      </w:pPr>
    </w:p>
    <w:p w:rsidR="009E141C" w:rsidRPr="009E141C" w:rsidRDefault="009E141C" w:rsidP="009E141C">
      <w:pPr>
        <w:pStyle w:val="Estndar"/>
        <w:jc w:val="both"/>
        <w:rPr>
          <w:b/>
          <w:color w:val="auto"/>
          <w:lang w:val="es-ES"/>
        </w:rPr>
      </w:pPr>
      <w:r w:rsidRPr="009E141C">
        <w:rPr>
          <w:b/>
          <w:color w:val="auto"/>
          <w:lang w:val="es-ES"/>
        </w:rPr>
        <w:t>1938 (contracción del 0,5%)</w:t>
      </w:r>
    </w:p>
    <w:p w:rsidR="009E141C" w:rsidRPr="009E141C" w:rsidRDefault="009E141C" w:rsidP="009E141C">
      <w:pPr>
        <w:pStyle w:val="Estndar"/>
        <w:jc w:val="both"/>
        <w:rPr>
          <w:b/>
          <w:color w:val="auto"/>
          <w:lang w:val="es-ES"/>
        </w:rPr>
      </w:pPr>
    </w:p>
    <w:p w:rsidR="009E141C" w:rsidRPr="009E141C" w:rsidRDefault="009E141C" w:rsidP="009E141C">
      <w:pPr>
        <w:pStyle w:val="Estndar"/>
        <w:jc w:val="both"/>
        <w:rPr>
          <w:b/>
          <w:color w:val="auto"/>
          <w:lang w:val="es-ES"/>
        </w:rPr>
      </w:pPr>
      <w:r w:rsidRPr="009E141C">
        <w:rPr>
          <w:b/>
          <w:color w:val="auto"/>
          <w:lang w:val="es-ES"/>
        </w:rPr>
        <w:t>1945-1946 (contracción del 15,4%)</w:t>
      </w:r>
    </w:p>
    <w:p w:rsidR="009E141C" w:rsidRPr="009E141C" w:rsidRDefault="009E141C" w:rsidP="009E141C">
      <w:pPr>
        <w:pStyle w:val="Estndar"/>
        <w:jc w:val="both"/>
        <w:rPr>
          <w:b/>
          <w:color w:val="auto"/>
          <w:lang w:val="es-ES"/>
        </w:rPr>
      </w:pPr>
    </w:p>
    <w:p w:rsidR="009E141C" w:rsidRPr="009E141C" w:rsidRDefault="009E141C" w:rsidP="009E141C">
      <w:pPr>
        <w:pStyle w:val="Estndar"/>
        <w:jc w:val="both"/>
        <w:rPr>
          <w:b/>
          <w:color w:val="auto"/>
          <w:lang w:val="es-ES"/>
        </w:rPr>
      </w:pPr>
      <w:r w:rsidRPr="009E141C">
        <w:rPr>
          <w:b/>
          <w:color w:val="auto"/>
          <w:lang w:val="es-ES"/>
        </w:rPr>
        <w:t>1975 (contracción del 0,8%)</w:t>
      </w:r>
    </w:p>
    <w:p w:rsidR="009E141C" w:rsidRPr="009E141C" w:rsidRDefault="009E141C" w:rsidP="009E141C">
      <w:pPr>
        <w:pStyle w:val="Estndar"/>
        <w:jc w:val="both"/>
        <w:rPr>
          <w:b/>
          <w:color w:val="auto"/>
          <w:lang w:val="es-ES"/>
        </w:rPr>
      </w:pPr>
    </w:p>
    <w:p w:rsidR="009E141C" w:rsidRPr="009E141C" w:rsidRDefault="009E141C" w:rsidP="009E141C">
      <w:pPr>
        <w:pStyle w:val="Estndar"/>
        <w:jc w:val="both"/>
        <w:rPr>
          <w:b/>
          <w:color w:val="auto"/>
          <w:lang w:val="es-ES"/>
        </w:rPr>
      </w:pPr>
      <w:r w:rsidRPr="009E141C">
        <w:rPr>
          <w:b/>
          <w:color w:val="auto"/>
          <w:lang w:val="es-ES"/>
        </w:rPr>
        <w:t>1982 (contracción del 1,3%)</w:t>
      </w:r>
    </w:p>
    <w:p w:rsidR="009E141C" w:rsidRPr="009E141C" w:rsidRDefault="009E141C" w:rsidP="009E141C">
      <w:pPr>
        <w:pStyle w:val="Estndar"/>
        <w:jc w:val="both"/>
        <w:rPr>
          <w:b/>
          <w:color w:val="auto"/>
          <w:lang w:val="es-ES"/>
        </w:rPr>
      </w:pPr>
    </w:p>
    <w:p w:rsidR="009E141C" w:rsidRPr="009E141C" w:rsidRDefault="009E141C" w:rsidP="009E141C">
      <w:pPr>
        <w:pStyle w:val="Estndar"/>
        <w:jc w:val="both"/>
        <w:rPr>
          <w:b/>
          <w:color w:val="auto"/>
          <w:lang w:val="es-ES"/>
        </w:rPr>
      </w:pPr>
      <w:r w:rsidRPr="009E141C">
        <w:rPr>
          <w:b/>
          <w:color w:val="auto"/>
          <w:lang w:val="es-ES"/>
        </w:rPr>
        <w:t>1991 (contracción del 0,3%)</w:t>
      </w:r>
    </w:p>
    <w:p w:rsidR="009E141C" w:rsidRPr="009E141C" w:rsidRDefault="009E141C" w:rsidP="009E141C">
      <w:pPr>
        <w:pStyle w:val="Estndar"/>
        <w:jc w:val="both"/>
        <w:rPr>
          <w:b/>
          <w:color w:val="auto"/>
          <w:lang w:val="es-ES"/>
        </w:rPr>
      </w:pPr>
    </w:p>
    <w:p w:rsidR="009E141C" w:rsidRPr="009E141C" w:rsidRDefault="009E141C" w:rsidP="009E141C">
      <w:pPr>
        <w:pStyle w:val="Estndar"/>
        <w:jc w:val="both"/>
        <w:rPr>
          <w:b/>
          <w:color w:val="auto"/>
          <w:lang w:val="es-ES"/>
        </w:rPr>
      </w:pPr>
      <w:r w:rsidRPr="009E141C">
        <w:rPr>
          <w:b/>
          <w:color w:val="auto"/>
          <w:lang w:val="es-ES"/>
        </w:rPr>
        <w:t>2009 (contracción del 2,9%)</w:t>
      </w:r>
    </w:p>
    <w:p w:rsidR="009E141C" w:rsidRPr="009E141C" w:rsidRDefault="009E141C" w:rsidP="009E141C">
      <w:pPr>
        <w:pStyle w:val="Estndar"/>
        <w:jc w:val="both"/>
        <w:rPr>
          <w:b/>
          <w:color w:val="auto"/>
          <w:lang w:val="es-ES"/>
        </w:rPr>
      </w:pPr>
    </w:p>
    <w:p w:rsidR="009E141C" w:rsidRPr="009E141C" w:rsidRDefault="009E141C" w:rsidP="009E141C">
      <w:pPr>
        <w:pStyle w:val="Estndar"/>
        <w:jc w:val="both"/>
        <w:rPr>
          <w:b/>
          <w:color w:val="auto"/>
          <w:lang w:val="es-ES"/>
        </w:rPr>
      </w:pPr>
      <w:r w:rsidRPr="009E141C">
        <w:rPr>
          <w:b/>
          <w:color w:val="auto"/>
          <w:lang w:val="es-ES"/>
        </w:rPr>
        <w:t>2020 (contracción estimada del 6,2%)</w:t>
      </w:r>
    </w:p>
    <w:p w:rsidR="009E141C" w:rsidRPr="009E141C" w:rsidRDefault="009E141C" w:rsidP="009E141C">
      <w:pPr>
        <w:pStyle w:val="Estndar"/>
        <w:jc w:val="both"/>
        <w:rPr>
          <w:color w:val="auto"/>
          <w:lang w:val="es-ES"/>
        </w:rPr>
      </w:pPr>
    </w:p>
    <w:p w:rsidR="009E141C" w:rsidRPr="009E141C" w:rsidRDefault="009E141C" w:rsidP="009E141C">
      <w:pPr>
        <w:pStyle w:val="Estndar"/>
        <w:jc w:val="both"/>
        <w:rPr>
          <w:b/>
          <w:color w:val="auto"/>
          <w:lang w:val="es-ES"/>
        </w:rPr>
      </w:pPr>
      <w:r w:rsidRPr="009E141C">
        <w:rPr>
          <w:b/>
          <w:color w:val="auto"/>
          <w:lang w:val="es-ES"/>
        </w:rPr>
        <w:t xml:space="preserve">Si exceptuamos las contracciones originadas por las guerras mundiales (I y II), y la depresión 1930-1932 (cuyo período de registro es más amplio), las dos depresiones causadas por la globalización (financiera en 2008 -made in USA-, y sanitaria en 2020 -made in China-) son las más profundas y de alcance más amplio. </w:t>
      </w:r>
    </w:p>
    <w:p w:rsidR="009E141C" w:rsidRPr="009E141C" w:rsidRDefault="009E141C" w:rsidP="009E141C">
      <w:pPr>
        <w:pStyle w:val="Estndar"/>
        <w:jc w:val="both"/>
        <w:rPr>
          <w:b/>
          <w:color w:val="auto"/>
          <w:lang w:val="es-ES"/>
        </w:rPr>
      </w:pPr>
    </w:p>
    <w:p w:rsidR="009E141C" w:rsidRDefault="009E141C" w:rsidP="009E141C">
      <w:pPr>
        <w:pStyle w:val="Estndar"/>
        <w:jc w:val="both"/>
        <w:rPr>
          <w:color w:val="auto"/>
          <w:lang w:val="es-ES"/>
        </w:rPr>
      </w:pPr>
      <w:r w:rsidRPr="009E141C">
        <w:rPr>
          <w:color w:val="auto"/>
          <w:lang w:val="es-ES"/>
        </w:rPr>
        <w:t>Por más que se escamoten las cifras, se manoseen los datos, se oculten los daños, se retuerza la información, engañando, estafando... (y lo sigan haciendo), las evidencias resultan innegables. Ya no podrán seguir ocultando la realidad (aunque lo intenten).</w:t>
      </w:r>
    </w:p>
    <w:p w:rsidR="009E141C" w:rsidRPr="009E141C" w:rsidRDefault="009E141C" w:rsidP="009E141C">
      <w:pPr>
        <w:pStyle w:val="Estndar"/>
        <w:jc w:val="both"/>
        <w:rPr>
          <w:color w:val="auto"/>
          <w:lang w:val="es-ES"/>
        </w:rPr>
      </w:pPr>
    </w:p>
    <w:p w:rsidR="009E141C" w:rsidRDefault="009E141C" w:rsidP="009E141C">
      <w:pPr>
        <w:pStyle w:val="Estndar"/>
        <w:jc w:val="both"/>
        <w:rPr>
          <w:color w:val="auto"/>
          <w:lang w:val="es-ES"/>
        </w:rPr>
      </w:pPr>
      <w:r w:rsidRPr="009E141C">
        <w:rPr>
          <w:color w:val="auto"/>
          <w:lang w:val="es-ES"/>
        </w:rPr>
        <w:t xml:space="preserve">Aunque la fiel tropilla de embusteros por lo empresario, lo académico, o lo gubernamental, en un tedioso desfile de personajillos absurdos, técnicos incapaces, amenazantes dogmáticos, siga marcando el paso, tratando de hacer vistoso el desfile, esta vez no podrán pasar página. La puta crisis, y el período de desolación consiguiente, se los llevará por delante…Este vez, </w:t>
      </w:r>
      <w:r w:rsidRPr="009E141C">
        <w:rPr>
          <w:color w:val="auto"/>
          <w:lang w:val="es-ES"/>
        </w:rPr>
        <w:lastRenderedPageBreak/>
        <w:t xml:space="preserve">no habrá “rescate” oficial. Esta vez, no podrán “socializar las pérdidas”. Esta vez no podrán “arrear a la manada”. Esta vez, no podrán “borrar las cabezas”. Esta vez no podrán continuar “empujando la soga”. </w:t>
      </w:r>
    </w:p>
    <w:p w:rsidR="009E141C" w:rsidRDefault="009E141C" w:rsidP="009E141C">
      <w:pPr>
        <w:pStyle w:val="Estndar"/>
        <w:jc w:val="both"/>
        <w:rPr>
          <w:color w:val="auto"/>
          <w:lang w:val="es-ES"/>
        </w:rPr>
      </w:pPr>
    </w:p>
    <w:p w:rsidR="009E141C" w:rsidRDefault="009E141C" w:rsidP="009E141C">
      <w:pPr>
        <w:pStyle w:val="Estndar"/>
        <w:jc w:val="both"/>
        <w:rPr>
          <w:color w:val="auto"/>
          <w:lang w:val="es-ES"/>
        </w:rPr>
      </w:pPr>
      <w:r>
        <w:rPr>
          <w:color w:val="auto"/>
          <w:lang w:val="es-ES"/>
        </w:rPr>
        <w:t>La tormenta perfecta: crisis de oferta + expansión monetaria = inflación desbocada</w:t>
      </w:r>
    </w:p>
    <w:p w:rsidR="009E141C" w:rsidRDefault="009E141C" w:rsidP="009E141C">
      <w:pPr>
        <w:pStyle w:val="Estndar"/>
        <w:jc w:val="both"/>
        <w:rPr>
          <w:color w:val="auto"/>
          <w:lang w:val="es-ES"/>
        </w:rPr>
      </w:pPr>
    </w:p>
    <w:p w:rsidR="009E141C" w:rsidRDefault="009E141C" w:rsidP="009E141C">
      <w:pPr>
        <w:pStyle w:val="Estndar"/>
        <w:jc w:val="both"/>
        <w:rPr>
          <w:color w:val="auto"/>
          <w:lang w:val="es-ES"/>
        </w:rPr>
      </w:pPr>
      <w:r>
        <w:rPr>
          <w:color w:val="auto"/>
          <w:lang w:val="es-ES"/>
        </w:rPr>
        <w:t xml:space="preserve">En mis palabras podrán encontrar (observar) cierto </w:t>
      </w:r>
      <w:r w:rsidR="00324F4A">
        <w:rPr>
          <w:color w:val="auto"/>
          <w:lang w:val="es-ES"/>
        </w:rPr>
        <w:t>escepticismo</w:t>
      </w:r>
      <w:r>
        <w:rPr>
          <w:color w:val="auto"/>
          <w:lang w:val="es-ES"/>
        </w:rPr>
        <w:t xml:space="preserve">, incluso intelectualismo, y hasta individualismo, pero no encontrarán (eso espero), autocomplacencia, cinismo, frivolidad, o </w:t>
      </w:r>
      <w:r w:rsidR="00324F4A">
        <w:rPr>
          <w:color w:val="auto"/>
          <w:lang w:val="es-ES"/>
        </w:rPr>
        <w:t>insinceridad</w:t>
      </w:r>
      <w:r>
        <w:rPr>
          <w:color w:val="auto"/>
          <w:lang w:val="es-ES"/>
        </w:rPr>
        <w:t>.</w:t>
      </w:r>
    </w:p>
    <w:p w:rsidR="009E141C" w:rsidRDefault="009E141C" w:rsidP="009E141C">
      <w:pPr>
        <w:pStyle w:val="Estndar"/>
        <w:jc w:val="both"/>
        <w:rPr>
          <w:color w:val="auto"/>
          <w:lang w:val="es-ES"/>
        </w:rPr>
      </w:pPr>
    </w:p>
    <w:p w:rsidR="00706725" w:rsidRDefault="009E141C" w:rsidP="009E141C">
      <w:pPr>
        <w:pStyle w:val="Estndar"/>
        <w:jc w:val="both"/>
        <w:rPr>
          <w:color w:val="auto"/>
          <w:lang w:val="es-ES"/>
        </w:rPr>
      </w:pPr>
      <w:r>
        <w:rPr>
          <w:color w:val="auto"/>
          <w:lang w:val="es-ES"/>
        </w:rPr>
        <w:t>Entonces, lo único que puedo hacer</w:t>
      </w:r>
      <w:r w:rsidR="00706725">
        <w:rPr>
          <w:color w:val="auto"/>
          <w:lang w:val="es-ES"/>
        </w:rPr>
        <w:t>,</w:t>
      </w:r>
      <w:r>
        <w:rPr>
          <w:color w:val="auto"/>
          <w:lang w:val="es-ES"/>
        </w:rPr>
        <w:t xml:space="preserve"> es “denunciar” las trágicas equivocaciones</w:t>
      </w:r>
      <w:r w:rsidR="00706725">
        <w:rPr>
          <w:color w:val="auto"/>
          <w:lang w:val="es-ES"/>
        </w:rPr>
        <w:t>, “lamentar” las trágicas equivocaciones… lo único que puedo hacer, es “explicar” esas equivocaciones, y “trabajar” para que sean reparadas.</w:t>
      </w:r>
    </w:p>
    <w:p w:rsidR="00706725" w:rsidRDefault="00706725" w:rsidP="009E141C">
      <w:pPr>
        <w:pStyle w:val="Estndar"/>
        <w:jc w:val="both"/>
        <w:rPr>
          <w:color w:val="auto"/>
          <w:lang w:val="es-ES"/>
        </w:rPr>
      </w:pPr>
    </w:p>
    <w:p w:rsidR="00706725" w:rsidRDefault="00706725" w:rsidP="009E141C">
      <w:pPr>
        <w:pStyle w:val="Estndar"/>
        <w:jc w:val="both"/>
        <w:rPr>
          <w:color w:val="auto"/>
          <w:lang w:val="es-ES"/>
        </w:rPr>
      </w:pPr>
      <w:r>
        <w:rPr>
          <w:color w:val="auto"/>
          <w:lang w:val="es-ES"/>
        </w:rPr>
        <w:t>A los “grandes bonetes”, “vacas sagradas”, “</w:t>
      </w:r>
      <w:r w:rsidR="00200719">
        <w:rPr>
          <w:color w:val="auto"/>
          <w:lang w:val="es-ES"/>
        </w:rPr>
        <w:t xml:space="preserve">académicos” de la Ivy League, </w:t>
      </w:r>
      <w:r>
        <w:rPr>
          <w:color w:val="auto"/>
          <w:lang w:val="es-ES"/>
        </w:rPr>
        <w:t>gurús mediáticos,</w:t>
      </w:r>
      <w:r w:rsidR="00200719">
        <w:rPr>
          <w:color w:val="auto"/>
          <w:lang w:val="es-ES"/>
        </w:rPr>
        <w:t xml:space="preserve"> y analistas de postín,</w:t>
      </w:r>
      <w:r>
        <w:rPr>
          <w:color w:val="auto"/>
          <w:lang w:val="es-ES"/>
        </w:rPr>
        <w:t xml:space="preserve"> que restan importancia al riesgo inflacionario</w:t>
      </w:r>
      <w:r w:rsidR="00955908">
        <w:rPr>
          <w:color w:val="auto"/>
          <w:lang w:val="es-ES"/>
        </w:rPr>
        <w:t xml:space="preserve"> causado por el excesivo relajamiento cuantitativo (QE)</w:t>
      </w:r>
      <w:r>
        <w:rPr>
          <w:color w:val="auto"/>
          <w:lang w:val="es-ES"/>
        </w:rPr>
        <w:t xml:space="preserve">, solo quiero decirles, </w:t>
      </w:r>
      <w:r w:rsidR="00200719">
        <w:rPr>
          <w:color w:val="auto"/>
          <w:lang w:val="es-ES"/>
        </w:rPr>
        <w:t>“</w:t>
      </w:r>
      <w:r>
        <w:rPr>
          <w:color w:val="auto"/>
          <w:lang w:val="es-ES"/>
        </w:rPr>
        <w:t>respetuosamente</w:t>
      </w:r>
      <w:r w:rsidR="00200719">
        <w:rPr>
          <w:color w:val="auto"/>
          <w:lang w:val="es-ES"/>
        </w:rPr>
        <w:t>”… qué</w:t>
      </w:r>
      <w:r>
        <w:rPr>
          <w:color w:val="auto"/>
          <w:lang w:val="es-ES"/>
        </w:rPr>
        <w:t xml:space="preserve"> distantes estamos en nuestras</w:t>
      </w:r>
      <w:r w:rsidR="00200719">
        <w:rPr>
          <w:color w:val="auto"/>
          <w:lang w:val="es-ES"/>
        </w:rPr>
        <w:t xml:space="preserve"> apreciaciones y qué</w:t>
      </w:r>
      <w:r w:rsidR="006971ED">
        <w:rPr>
          <w:color w:val="auto"/>
          <w:lang w:val="es-ES"/>
        </w:rPr>
        <w:t xml:space="preserve"> próximos estamos del acantilado expansivo</w:t>
      </w:r>
      <w:r w:rsidR="00955908">
        <w:rPr>
          <w:color w:val="auto"/>
          <w:lang w:val="es-ES"/>
        </w:rPr>
        <w:t>.</w:t>
      </w:r>
    </w:p>
    <w:p w:rsidR="00955908" w:rsidRDefault="00955908" w:rsidP="009E141C">
      <w:pPr>
        <w:pStyle w:val="Estndar"/>
        <w:jc w:val="both"/>
        <w:rPr>
          <w:color w:val="auto"/>
          <w:lang w:val="es-ES"/>
        </w:rPr>
      </w:pPr>
    </w:p>
    <w:p w:rsidR="00955908" w:rsidRDefault="00955908" w:rsidP="009E141C">
      <w:pPr>
        <w:pStyle w:val="Estndar"/>
        <w:jc w:val="both"/>
        <w:rPr>
          <w:color w:val="auto"/>
          <w:lang w:val="es-ES"/>
        </w:rPr>
      </w:pPr>
      <w:r>
        <w:rPr>
          <w:color w:val="auto"/>
          <w:lang w:val="es-ES"/>
        </w:rPr>
        <w:t>La inflación es un impuesto en la sombra que empobrece a fa</w:t>
      </w:r>
      <w:r w:rsidR="00200719">
        <w:rPr>
          <w:color w:val="auto"/>
          <w:lang w:val="es-ES"/>
        </w:rPr>
        <w:t xml:space="preserve">milias y empresas. Dónde no llegan </w:t>
      </w:r>
      <w:r>
        <w:rPr>
          <w:color w:val="auto"/>
          <w:lang w:val="es-ES"/>
        </w:rPr>
        <w:t>las ecuaciones matemáticas</w:t>
      </w:r>
      <w:r w:rsidR="006971ED">
        <w:rPr>
          <w:color w:val="auto"/>
          <w:lang w:val="es-ES"/>
        </w:rPr>
        <w:t>, y no sirven</w:t>
      </w:r>
      <w:r w:rsidR="00200719">
        <w:rPr>
          <w:color w:val="auto"/>
          <w:lang w:val="es-ES"/>
        </w:rPr>
        <w:t xml:space="preserve"> los juegos académicos. La cruda (dura, puta)</w:t>
      </w:r>
      <w:r w:rsidR="00657FEF">
        <w:rPr>
          <w:color w:val="auto"/>
          <w:lang w:val="es-ES"/>
        </w:rPr>
        <w:t xml:space="preserve"> </w:t>
      </w:r>
      <w:r>
        <w:rPr>
          <w:color w:val="auto"/>
          <w:lang w:val="es-ES"/>
        </w:rPr>
        <w:t>realidad</w:t>
      </w:r>
      <w:r w:rsidR="00657FEF">
        <w:rPr>
          <w:color w:val="auto"/>
          <w:lang w:val="es-ES"/>
        </w:rPr>
        <w:t xml:space="preserve"> marca los riesgos económicos, las angustias personales y las frustraciones sociales.</w:t>
      </w:r>
    </w:p>
    <w:p w:rsidR="00955908" w:rsidRDefault="00955908" w:rsidP="009E141C">
      <w:pPr>
        <w:pStyle w:val="Estndar"/>
        <w:jc w:val="both"/>
        <w:rPr>
          <w:color w:val="auto"/>
          <w:lang w:val="es-ES"/>
        </w:rPr>
      </w:pPr>
    </w:p>
    <w:p w:rsidR="00955908" w:rsidRDefault="00955908" w:rsidP="009E141C">
      <w:pPr>
        <w:pStyle w:val="Estndar"/>
        <w:jc w:val="both"/>
        <w:rPr>
          <w:color w:val="auto"/>
          <w:lang w:val="es-ES"/>
        </w:rPr>
      </w:pPr>
      <w:r>
        <w:rPr>
          <w:color w:val="auto"/>
          <w:lang w:val="es-ES"/>
        </w:rPr>
        <w:t xml:space="preserve">El mayor peligro de la inflación está en la “indexación” de la economía (espiral de precios y </w:t>
      </w:r>
      <w:r w:rsidR="00324F4A">
        <w:rPr>
          <w:color w:val="auto"/>
          <w:lang w:val="es-ES"/>
        </w:rPr>
        <w:t>salarios</w:t>
      </w:r>
      <w:r>
        <w:rPr>
          <w:color w:val="auto"/>
          <w:lang w:val="es-ES"/>
        </w:rPr>
        <w:t>), en la cual llevan la de perder los asalariados, los pensionistas y todos los empresarios (en general pequeños y medianos) que no pueden trasladar a</w:t>
      </w:r>
      <w:r w:rsidR="00BD2B3C">
        <w:rPr>
          <w:color w:val="auto"/>
          <w:lang w:val="es-ES"/>
        </w:rPr>
        <w:t xml:space="preserve"> precios los aumentos de costos (vender a costo de reposición).</w:t>
      </w:r>
    </w:p>
    <w:p w:rsidR="00BD2B3C" w:rsidRDefault="00BD2B3C" w:rsidP="009E141C">
      <w:pPr>
        <w:pStyle w:val="Estndar"/>
        <w:jc w:val="both"/>
        <w:rPr>
          <w:color w:val="auto"/>
          <w:lang w:val="es-ES"/>
        </w:rPr>
      </w:pPr>
    </w:p>
    <w:p w:rsidR="00BD2B3C" w:rsidRDefault="00BD2B3C" w:rsidP="009E141C">
      <w:pPr>
        <w:pStyle w:val="Estndar"/>
        <w:jc w:val="both"/>
        <w:rPr>
          <w:color w:val="auto"/>
          <w:lang w:val="es-ES"/>
        </w:rPr>
      </w:pPr>
      <w:r>
        <w:rPr>
          <w:color w:val="auto"/>
          <w:lang w:val="es-ES"/>
        </w:rPr>
        <w:t>Los mayores “ganadores” del incremento de la in</w:t>
      </w:r>
      <w:r w:rsidR="00657FEF">
        <w:rPr>
          <w:color w:val="auto"/>
          <w:lang w:val="es-ES"/>
        </w:rPr>
        <w:t>flación serán los que tienen deudas (no ajustables</w:t>
      </w:r>
      <w:r w:rsidR="00324F4A">
        <w:rPr>
          <w:color w:val="auto"/>
          <w:lang w:val="es-ES"/>
        </w:rPr>
        <w:t>), los gobiernos que ven “lic</w:t>
      </w:r>
      <w:r>
        <w:rPr>
          <w:color w:val="auto"/>
          <w:lang w:val="es-ES"/>
        </w:rPr>
        <w:t>uada” su deuda (pública), o las g</w:t>
      </w:r>
      <w:r w:rsidR="00657FEF">
        <w:rPr>
          <w:color w:val="auto"/>
          <w:lang w:val="es-ES"/>
        </w:rPr>
        <w:t xml:space="preserve">randes empresas que ven reducido su pasivo (deuda a proveedores y crédito bancario), </w:t>
      </w:r>
      <w:r>
        <w:rPr>
          <w:color w:val="auto"/>
          <w:lang w:val="es-ES"/>
        </w:rPr>
        <w:t>mientras que</w:t>
      </w:r>
      <w:r w:rsidR="00324F4A">
        <w:rPr>
          <w:color w:val="auto"/>
          <w:lang w:val="es-ES"/>
        </w:rPr>
        <w:t xml:space="preserve"> pueden ajust</w:t>
      </w:r>
      <w:r w:rsidR="00657FEF">
        <w:rPr>
          <w:color w:val="auto"/>
          <w:lang w:val="es-ES"/>
        </w:rPr>
        <w:t xml:space="preserve">ar sus </w:t>
      </w:r>
      <w:r>
        <w:rPr>
          <w:color w:val="auto"/>
          <w:lang w:val="es-ES"/>
        </w:rPr>
        <w:t>pr</w:t>
      </w:r>
      <w:r w:rsidR="00657FEF">
        <w:rPr>
          <w:color w:val="auto"/>
          <w:lang w:val="es-ES"/>
        </w:rPr>
        <w:t>oductos de precio (ganancia por inflación)</w:t>
      </w:r>
      <w:r>
        <w:rPr>
          <w:color w:val="auto"/>
          <w:lang w:val="es-ES"/>
        </w:rPr>
        <w:t>.</w:t>
      </w:r>
    </w:p>
    <w:p w:rsidR="00BD2B3C" w:rsidRDefault="00BD2B3C" w:rsidP="009E141C">
      <w:pPr>
        <w:pStyle w:val="Estndar"/>
        <w:jc w:val="both"/>
        <w:rPr>
          <w:color w:val="auto"/>
          <w:lang w:val="es-ES"/>
        </w:rPr>
      </w:pPr>
    </w:p>
    <w:p w:rsidR="00BD2B3C" w:rsidRDefault="00BD2B3C" w:rsidP="009E141C">
      <w:pPr>
        <w:pStyle w:val="Estndar"/>
        <w:jc w:val="both"/>
        <w:rPr>
          <w:color w:val="auto"/>
          <w:lang w:val="es-ES"/>
        </w:rPr>
      </w:pPr>
      <w:r>
        <w:rPr>
          <w:color w:val="auto"/>
          <w:lang w:val="es-ES"/>
        </w:rPr>
        <w:t>Los mayores “perdedores” del incremento de l</w:t>
      </w:r>
      <w:r w:rsidR="00657FEF">
        <w:rPr>
          <w:color w:val="auto"/>
          <w:lang w:val="es-ES"/>
        </w:rPr>
        <w:t>a inflación serán los asalariado</w:t>
      </w:r>
      <w:r>
        <w:rPr>
          <w:color w:val="auto"/>
          <w:lang w:val="es-ES"/>
        </w:rPr>
        <w:t xml:space="preserve">s, los ahorristas, los pensionistas, los acreedores (que no tiene el crédito indexado) y los consumidores. </w:t>
      </w:r>
    </w:p>
    <w:p w:rsidR="00BD2B3C" w:rsidRDefault="00BD2B3C" w:rsidP="009E141C">
      <w:pPr>
        <w:pStyle w:val="Estndar"/>
        <w:jc w:val="both"/>
        <w:rPr>
          <w:color w:val="auto"/>
          <w:lang w:val="es-ES"/>
        </w:rPr>
      </w:pPr>
    </w:p>
    <w:p w:rsidR="005D6F23" w:rsidRDefault="00BD2B3C" w:rsidP="009E141C">
      <w:pPr>
        <w:pStyle w:val="Estndar"/>
        <w:jc w:val="both"/>
        <w:rPr>
          <w:color w:val="auto"/>
          <w:lang w:val="es-ES"/>
        </w:rPr>
      </w:pPr>
      <w:r>
        <w:rPr>
          <w:color w:val="auto"/>
          <w:lang w:val="es-ES"/>
        </w:rPr>
        <w:t>Cuando existe una mayor cantidad de dinero para comprar</w:t>
      </w:r>
      <w:r w:rsidR="005D6F23">
        <w:rPr>
          <w:color w:val="auto"/>
          <w:lang w:val="es-ES"/>
        </w:rPr>
        <w:t>,</w:t>
      </w:r>
      <w:r>
        <w:rPr>
          <w:color w:val="auto"/>
          <w:lang w:val="es-ES"/>
        </w:rPr>
        <w:t xml:space="preserve"> y una menor oferta de productos para vender, indefectiblemente (se pongan</w:t>
      </w:r>
      <w:r w:rsidR="00657FEF">
        <w:rPr>
          <w:color w:val="auto"/>
          <w:lang w:val="es-ES"/>
        </w:rPr>
        <w:t>,</w:t>
      </w:r>
      <w:r>
        <w:rPr>
          <w:color w:val="auto"/>
          <w:lang w:val="es-ES"/>
        </w:rPr>
        <w:t xml:space="preserve"> como se pongan</w:t>
      </w:r>
      <w:r w:rsidR="00657FEF">
        <w:rPr>
          <w:color w:val="auto"/>
          <w:lang w:val="es-ES"/>
        </w:rPr>
        <w:t>,</w:t>
      </w:r>
      <w:r>
        <w:rPr>
          <w:color w:val="auto"/>
          <w:lang w:val="es-ES"/>
        </w:rPr>
        <w:t xml:space="preserve"> los </w:t>
      </w:r>
      <w:r w:rsidR="005D6F23">
        <w:rPr>
          <w:color w:val="auto"/>
          <w:lang w:val="es-ES"/>
        </w:rPr>
        <w:t>académicos, gurús y analistas), hay una posibilidad cierta (y demostrable) de incremento de precios (inflación).</w:t>
      </w:r>
    </w:p>
    <w:p w:rsidR="005D6F23" w:rsidRDefault="005D6F23" w:rsidP="009E141C">
      <w:pPr>
        <w:pStyle w:val="Estndar"/>
        <w:jc w:val="both"/>
        <w:rPr>
          <w:color w:val="auto"/>
          <w:lang w:val="es-ES"/>
        </w:rPr>
      </w:pPr>
    </w:p>
    <w:p w:rsidR="00BD2B3C" w:rsidRPr="009E141C" w:rsidRDefault="005D6F23" w:rsidP="009E141C">
      <w:pPr>
        <w:pStyle w:val="Estndar"/>
        <w:jc w:val="both"/>
        <w:rPr>
          <w:color w:val="auto"/>
          <w:lang w:val="es-ES"/>
        </w:rPr>
      </w:pPr>
      <w:r>
        <w:rPr>
          <w:color w:val="auto"/>
          <w:lang w:val="es-ES"/>
        </w:rPr>
        <w:t xml:space="preserve">Ello provoca una menor capacidad de consumo, ahorro, o inversión, de todos aquellos que no pueden trasladar el aumento de costos </w:t>
      </w:r>
      <w:r w:rsidR="00657FEF">
        <w:rPr>
          <w:color w:val="auto"/>
          <w:lang w:val="es-ES"/>
        </w:rPr>
        <w:t xml:space="preserve">a sus ingresos (trabajadores, </w:t>
      </w:r>
      <w:r>
        <w:rPr>
          <w:color w:val="auto"/>
          <w:lang w:val="es-ES"/>
        </w:rPr>
        <w:t xml:space="preserve">pequeños o medianos empresarios, pensionistas, </w:t>
      </w:r>
      <w:r w:rsidR="00657FEF">
        <w:rPr>
          <w:color w:val="auto"/>
          <w:lang w:val="es-ES"/>
        </w:rPr>
        <w:t xml:space="preserve">y </w:t>
      </w:r>
      <w:r>
        <w:rPr>
          <w:color w:val="auto"/>
          <w:lang w:val="es-ES"/>
        </w:rPr>
        <w:t>ahorristas</w:t>
      </w:r>
      <w:r w:rsidR="00657FEF">
        <w:rPr>
          <w:color w:val="auto"/>
          <w:lang w:val="es-ES"/>
        </w:rPr>
        <w:t xml:space="preserve"> en general</w:t>
      </w:r>
      <w:r>
        <w:rPr>
          <w:color w:val="auto"/>
          <w:lang w:val="es-ES"/>
        </w:rPr>
        <w:t>).</w:t>
      </w:r>
      <w:r w:rsidR="00BD2B3C">
        <w:rPr>
          <w:color w:val="auto"/>
          <w:lang w:val="es-ES"/>
        </w:rPr>
        <w:t xml:space="preserve"> </w:t>
      </w:r>
    </w:p>
    <w:p w:rsidR="009E141C" w:rsidRPr="009E141C" w:rsidRDefault="009E141C" w:rsidP="009E141C">
      <w:pPr>
        <w:pStyle w:val="Estndar"/>
        <w:jc w:val="both"/>
        <w:rPr>
          <w:color w:val="auto"/>
          <w:lang w:val="es-ES"/>
        </w:rPr>
      </w:pPr>
    </w:p>
    <w:p w:rsidR="005D6F23" w:rsidRPr="00657FEF" w:rsidRDefault="005D6F23" w:rsidP="005D6F23">
      <w:pPr>
        <w:pStyle w:val="Estndar"/>
        <w:jc w:val="both"/>
        <w:rPr>
          <w:b/>
          <w:color w:val="auto"/>
          <w:lang w:val="es-ES"/>
        </w:rPr>
      </w:pPr>
      <w:r w:rsidRPr="00657FEF">
        <w:rPr>
          <w:b/>
          <w:color w:val="auto"/>
          <w:lang w:val="es-ES"/>
        </w:rPr>
        <w:t xml:space="preserve">Entonces ¿cuándo es mala la inflación? Pues cuando es muy alta, es decir muy por encima de los objetivos de los bancos centrales, porque entonces se ponen nerviosos, suben los tipos de interés y hacen daño a diestro y siniestro, renta variable incluida. Pero, sobre todo, la inflación es mala cuando supera al crecimiento económico de forma persistente. También lo es cuando coinciden estancamiento e inflación, la llamada estanflación, que es lo que ocurrió en los años 70 y primeros 80. </w:t>
      </w:r>
    </w:p>
    <w:p w:rsidR="00136353" w:rsidRPr="002F54F2" w:rsidRDefault="00136353" w:rsidP="00136353">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Pr="002F54F2">
        <w:rPr>
          <w:rFonts w:ascii="Times New Roman" w:hAnsi="Times New Roman" w:cs="Times New Roman"/>
          <w:b/>
          <w:sz w:val="24"/>
          <w:szCs w:val="24"/>
        </w:rPr>
        <w:t>Las “plañideras” de los bancos centrales (of</w:t>
      </w:r>
      <w:r w:rsidR="00C20BD9">
        <w:rPr>
          <w:rFonts w:ascii="Times New Roman" w:hAnsi="Times New Roman" w:cs="Times New Roman"/>
          <w:b/>
          <w:sz w:val="24"/>
          <w:szCs w:val="24"/>
        </w:rPr>
        <w:t>recen sus lágrimas a cambio de -nuestro-</w:t>
      </w:r>
      <w:r w:rsidRPr="002F54F2">
        <w:rPr>
          <w:rFonts w:ascii="Times New Roman" w:hAnsi="Times New Roman" w:cs="Times New Roman"/>
          <w:b/>
          <w:sz w:val="24"/>
          <w:szCs w:val="24"/>
        </w:rPr>
        <w:t xml:space="preserve"> dinero, acudiendo al </w:t>
      </w:r>
      <w:r>
        <w:rPr>
          <w:rFonts w:ascii="Times New Roman" w:hAnsi="Times New Roman" w:cs="Times New Roman"/>
          <w:b/>
          <w:sz w:val="24"/>
          <w:szCs w:val="24"/>
        </w:rPr>
        <w:t xml:space="preserve">funeral de una economía, que no </w:t>
      </w:r>
      <w:r w:rsidRPr="002F54F2">
        <w:rPr>
          <w:rFonts w:ascii="Times New Roman" w:hAnsi="Times New Roman" w:cs="Times New Roman"/>
          <w:b/>
          <w:sz w:val="24"/>
          <w:szCs w:val="24"/>
        </w:rPr>
        <w:t>conocen, ni padecen)</w:t>
      </w:r>
    </w:p>
    <w:p w:rsidR="00136353" w:rsidRPr="00EE2B47" w:rsidRDefault="00136353" w:rsidP="00136353">
      <w:pPr>
        <w:spacing w:line="240" w:lineRule="auto"/>
        <w:jc w:val="both"/>
        <w:rPr>
          <w:rFonts w:ascii="Times New Roman" w:hAnsi="Times New Roman" w:cs="Times New Roman"/>
          <w:sz w:val="24"/>
          <w:szCs w:val="24"/>
        </w:rPr>
      </w:pPr>
      <w:r>
        <w:rPr>
          <w:noProof/>
          <w:lang w:eastAsia="es-ES"/>
        </w:rPr>
        <w:drawing>
          <wp:inline distT="0" distB="0" distL="0" distR="0" wp14:anchorId="7C1D08BF" wp14:editId="00E57A68">
            <wp:extent cx="5731933" cy="3911600"/>
            <wp:effectExtent l="0" t="0" r="2540" b="0"/>
            <wp:docPr id="347" name="Imagen 347" descr="Foto: Fotografía de Cristina García Rodero (vía Espacios para el Arte/Flick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Fotografía de Cristina García Rodero (vía Espacios para el Arte/Flickr)"/>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5731510" cy="3911312"/>
                    </a:xfrm>
                    <a:prstGeom prst="rect">
                      <a:avLst/>
                    </a:prstGeom>
                    <a:noFill/>
                    <a:ln>
                      <a:noFill/>
                    </a:ln>
                  </pic:spPr>
                </pic:pic>
              </a:graphicData>
            </a:graphic>
          </wp:inline>
        </w:drawing>
      </w:r>
    </w:p>
    <w:p w:rsidR="00136353" w:rsidRPr="00657FEF" w:rsidRDefault="00136353" w:rsidP="00136353">
      <w:pPr>
        <w:spacing w:line="240" w:lineRule="auto"/>
        <w:jc w:val="both"/>
        <w:rPr>
          <w:rFonts w:ascii="Times New Roman" w:hAnsi="Times New Roman" w:cs="Times New Roman"/>
          <w:sz w:val="24"/>
          <w:szCs w:val="24"/>
        </w:rPr>
      </w:pPr>
      <w:r w:rsidRPr="00657FEF">
        <w:rPr>
          <w:rFonts w:ascii="Times New Roman" w:hAnsi="Times New Roman" w:cs="Times New Roman"/>
          <w:sz w:val="24"/>
          <w:szCs w:val="24"/>
        </w:rPr>
        <w:t>Los responsables de la formulación de políticas no deberían haber sido tomados por sorpresa por el aumento de los precios y la escasez de bienes y mano de obra. Prácticamente toda la agenda pospandémica se basa en políticas que avivan la demanda y desalientan el trabajo, lo que hace que las limitaciones del lado de la oferta sean completamente predecibles.</w:t>
      </w:r>
    </w:p>
    <w:p w:rsidR="00136353" w:rsidRPr="00657FEF" w:rsidRDefault="00136353" w:rsidP="00136353">
      <w:pPr>
        <w:spacing w:line="240" w:lineRule="auto"/>
        <w:jc w:val="both"/>
        <w:rPr>
          <w:rFonts w:ascii="Times New Roman" w:hAnsi="Times New Roman" w:cs="Times New Roman"/>
          <w:sz w:val="24"/>
          <w:szCs w:val="24"/>
        </w:rPr>
      </w:pPr>
      <w:r w:rsidRPr="00657FEF">
        <w:rPr>
          <w:rFonts w:ascii="Times New Roman" w:hAnsi="Times New Roman" w:cs="Times New Roman"/>
          <w:sz w:val="24"/>
          <w:szCs w:val="24"/>
        </w:rPr>
        <w:t>Aumento de la inflación, aumento de los precios de la energía, cuellos de botella en la producción: la ortodoxia económica acaba de chocar contra una pared de la realidad llamada “oferta”.</w:t>
      </w:r>
    </w:p>
    <w:p w:rsidR="00136353" w:rsidRPr="00657FEF" w:rsidRDefault="00136353" w:rsidP="00136353">
      <w:pPr>
        <w:spacing w:line="240" w:lineRule="auto"/>
        <w:jc w:val="both"/>
        <w:rPr>
          <w:rFonts w:ascii="Times New Roman" w:hAnsi="Times New Roman" w:cs="Times New Roman"/>
          <w:sz w:val="24"/>
          <w:szCs w:val="24"/>
        </w:rPr>
      </w:pPr>
      <w:r w:rsidRPr="00657FEF">
        <w:rPr>
          <w:rFonts w:ascii="Times New Roman" w:hAnsi="Times New Roman" w:cs="Times New Roman"/>
          <w:sz w:val="24"/>
          <w:szCs w:val="24"/>
        </w:rPr>
        <w:t>La demanda también importa, por supuesto. Si la gente quisiera comprar la mitad de lo que compra, los cuellos de botella y la escasez de hoy no se producirían. Pero la Reserva Federal y el Banco Central Europeo han impreso billones de dólares y euros nuevos, y han repartido fondos ¿“all over the world”?. La inflación no debería haber sido muy difícil de prever; y, sin embargo, ha tomado a la Fed y al BCE “aparentemente” por sorpresa.</w:t>
      </w:r>
    </w:p>
    <w:p w:rsidR="00136353" w:rsidRDefault="00136353" w:rsidP="00136353">
      <w:pPr>
        <w:spacing w:line="240" w:lineRule="auto"/>
        <w:jc w:val="both"/>
        <w:rPr>
          <w:rFonts w:ascii="Times New Roman" w:hAnsi="Times New Roman" w:cs="Times New Roman"/>
          <w:color w:val="FF0000"/>
          <w:sz w:val="24"/>
          <w:szCs w:val="24"/>
          <w:u w:val="single"/>
        </w:rPr>
      </w:pPr>
      <w:r w:rsidRPr="00657FEF">
        <w:rPr>
          <w:rFonts w:ascii="Times New Roman" w:hAnsi="Times New Roman" w:cs="Times New Roman"/>
          <w:sz w:val="24"/>
          <w:szCs w:val="24"/>
        </w:rPr>
        <w:t xml:space="preserve">“La excusa de la Fed y el BCE es que los shocks de oferta son síntomas transitorios de demanda reprimida. Pero el trabajo de los bancos centrales es, o al menos debería ser, calibrar cuánta oferta puede ofrecer la economía y luego ajustar la demanda a ese nivel y nada más. Ser sorprendido por un problema de suministro es como si el ejército se sorprendiera por una invasión”… </w:t>
      </w:r>
      <w:r w:rsidRPr="00EE2B47">
        <w:rPr>
          <w:rFonts w:ascii="Times New Roman" w:hAnsi="Times New Roman" w:cs="Times New Roman"/>
          <w:sz w:val="24"/>
          <w:szCs w:val="24"/>
        </w:rPr>
        <w:t>(</w:t>
      </w:r>
      <w:r>
        <w:rPr>
          <w:rFonts w:ascii="Times New Roman" w:hAnsi="Times New Roman" w:cs="Times New Roman"/>
          <w:sz w:val="24"/>
          <w:szCs w:val="24"/>
        </w:rPr>
        <w:t xml:space="preserve">John H. Cochrane, </w:t>
      </w:r>
      <w:r w:rsidRPr="009210E5">
        <w:rPr>
          <w:rFonts w:ascii="Times New Roman" w:hAnsi="Times New Roman" w:cs="Times New Roman"/>
          <w:sz w:val="24"/>
          <w:szCs w:val="24"/>
        </w:rPr>
        <w:t>investigador pri</w:t>
      </w:r>
      <w:r>
        <w:rPr>
          <w:rFonts w:ascii="Times New Roman" w:hAnsi="Times New Roman" w:cs="Times New Roman"/>
          <w:sz w:val="24"/>
          <w:szCs w:val="24"/>
        </w:rPr>
        <w:t xml:space="preserve">ncipal de la Hoover Institution - Project Syndicate - </w:t>
      </w:r>
      <w:r w:rsidRPr="00EE2B47">
        <w:rPr>
          <w:rFonts w:ascii="Times New Roman" w:hAnsi="Times New Roman" w:cs="Times New Roman"/>
          <w:b/>
          <w:sz w:val="24"/>
          <w:szCs w:val="24"/>
        </w:rPr>
        <w:t>22/10/21</w:t>
      </w:r>
      <w:r>
        <w:rPr>
          <w:rFonts w:ascii="Times New Roman" w:hAnsi="Times New Roman" w:cs="Times New Roman"/>
          <w:sz w:val="24"/>
          <w:szCs w:val="24"/>
        </w:rPr>
        <w:t>)</w:t>
      </w:r>
      <w:r>
        <w:rPr>
          <w:rFonts w:ascii="Times New Roman" w:hAnsi="Times New Roman" w:cs="Times New Roman"/>
          <w:color w:val="FF0000"/>
          <w:sz w:val="24"/>
          <w:szCs w:val="24"/>
          <w:u w:val="single"/>
        </w:rPr>
        <w:t xml:space="preserve"> </w:t>
      </w:r>
    </w:p>
    <w:p w:rsidR="00136353" w:rsidRPr="00B56BBA" w:rsidRDefault="00136353" w:rsidP="00136353">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rPr>
        <w:t>¿A dónde va</w:t>
      </w:r>
      <w:r w:rsidRPr="00EE2B47">
        <w:rPr>
          <w:rFonts w:ascii="Times New Roman" w:hAnsi="Times New Roman" w:cs="Times New Roman"/>
          <w:sz w:val="24"/>
          <w:szCs w:val="24"/>
        </w:rPr>
        <w:t xml:space="preserve"> el dinero?</w:t>
      </w:r>
      <w:r>
        <w:rPr>
          <w:rFonts w:ascii="Times New Roman" w:hAnsi="Times New Roman" w:cs="Times New Roman"/>
          <w:sz w:val="24"/>
          <w:szCs w:val="24"/>
        </w:rPr>
        <w:t xml:space="preserve"> </w:t>
      </w:r>
      <w:r w:rsidRPr="00B56BBA">
        <w:rPr>
          <w:rFonts w:ascii="Times New Roman" w:hAnsi="Times New Roman" w:cs="Times New Roman"/>
          <w:sz w:val="24"/>
          <w:szCs w:val="24"/>
          <w:lang w:val="en-US"/>
        </w:rPr>
        <w:t>(All Over the World, esquina Wall Street)</w:t>
      </w:r>
    </w:p>
    <w:p w:rsidR="00136353" w:rsidRPr="006B2EF1" w:rsidRDefault="00136353" w:rsidP="00136353">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B2EF1">
        <w:rPr>
          <w:rFonts w:ascii="Times New Roman" w:hAnsi="Times New Roman" w:cs="Times New Roman"/>
          <w:sz w:val="24"/>
          <w:szCs w:val="24"/>
        </w:rPr>
        <w:t xml:space="preserve">La renta variable mundial ha registrado entradas por valor de más de un billón de dólares durante las últimas 51 semanas, según los datos recopilados por Goldman Sachs. Esta es la </w:t>
      </w:r>
      <w:r w:rsidRPr="006B2EF1">
        <w:rPr>
          <w:rFonts w:ascii="Times New Roman" w:hAnsi="Times New Roman" w:cs="Times New Roman"/>
          <w:sz w:val="24"/>
          <w:szCs w:val="24"/>
        </w:rPr>
        <w:lastRenderedPageBreak/>
        <w:t>mayor dinámica en la estructura del mercado del año. Para contextualizar, el anterior mejor registro fue de 250.000 millones de dólares, es decir, el ejercicio en curso es 4 veces mayor. A lo largo de la semana pasada hubo una demanda diaria en acciones globales de 18.</w:t>
      </w:r>
      <w:r>
        <w:rPr>
          <w:rFonts w:ascii="Times New Roman" w:hAnsi="Times New Roman" w:cs="Times New Roman"/>
          <w:sz w:val="24"/>
          <w:szCs w:val="24"/>
        </w:rPr>
        <w:t xml:space="preserve">000 millones de dólares al día”... (El Economista - </w:t>
      </w:r>
      <w:r w:rsidRPr="006B2EF1">
        <w:rPr>
          <w:rFonts w:ascii="Times New Roman" w:hAnsi="Times New Roman" w:cs="Times New Roman"/>
          <w:b/>
          <w:sz w:val="24"/>
          <w:szCs w:val="24"/>
        </w:rPr>
        <w:t>27/10/21</w:t>
      </w:r>
      <w:r>
        <w:rPr>
          <w:rFonts w:ascii="Times New Roman" w:hAnsi="Times New Roman" w:cs="Times New Roman"/>
          <w:sz w:val="24"/>
          <w:szCs w:val="24"/>
        </w:rPr>
        <w:t>)</w:t>
      </w:r>
    </w:p>
    <w:p w:rsidR="00136353" w:rsidRDefault="00136353" w:rsidP="00136353">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B2EF1">
        <w:rPr>
          <w:rFonts w:ascii="Times New Roman" w:hAnsi="Times New Roman" w:cs="Times New Roman"/>
          <w:sz w:val="24"/>
          <w:szCs w:val="24"/>
        </w:rPr>
        <w:t>La locomotora del flujo de dinero hacia la renta variable sigue creciendo para cerrar el año y se acelerará agresivamente en noviembre. Veremos masivas entradas mensuales en noviembre y la demanda corporativa (recompras) aumentará después de que el 47% del S&amp;P 500 dé a conocer s</w:t>
      </w:r>
      <w:r>
        <w:rPr>
          <w:rFonts w:ascii="Times New Roman" w:hAnsi="Times New Roman" w:cs="Times New Roman"/>
          <w:sz w:val="24"/>
          <w:szCs w:val="24"/>
        </w:rPr>
        <w:t>us cuentas en la próxima semana”</w:t>
      </w:r>
      <w:r w:rsidRPr="006B2EF1">
        <w:rPr>
          <w:rFonts w:ascii="Times New Roman" w:hAnsi="Times New Roman" w:cs="Times New Roman"/>
          <w:sz w:val="24"/>
          <w:szCs w:val="24"/>
        </w:rPr>
        <w:t>, avisa Scott Rubner, estratega de la división d</w:t>
      </w:r>
      <w:r>
        <w:rPr>
          <w:rFonts w:ascii="Times New Roman" w:hAnsi="Times New Roman" w:cs="Times New Roman"/>
          <w:sz w:val="24"/>
          <w:szCs w:val="24"/>
        </w:rPr>
        <w:t>e Mercados Globales de Goldman.</w:t>
      </w:r>
    </w:p>
    <w:p w:rsidR="00136353" w:rsidRPr="006B2EF1" w:rsidRDefault="00136353" w:rsidP="00136353">
      <w:pPr>
        <w:spacing w:line="240" w:lineRule="auto"/>
        <w:jc w:val="both"/>
        <w:rPr>
          <w:rFonts w:ascii="Times New Roman" w:hAnsi="Times New Roman" w:cs="Times New Roman"/>
          <w:sz w:val="24"/>
          <w:szCs w:val="24"/>
        </w:rPr>
      </w:pPr>
      <w:r w:rsidRPr="006B2EF1">
        <w:rPr>
          <w:rFonts w:ascii="Times New Roman" w:hAnsi="Times New Roman" w:cs="Times New Roman"/>
          <w:sz w:val="24"/>
          <w:szCs w:val="24"/>
        </w:rPr>
        <w:t>Según sus cálculos, a medida que gran parte de los componentes del S&amp;P 500 presenten sus cuentas se espera que las empresas estadounidenses compren 3.800 millones</w:t>
      </w:r>
      <w:r>
        <w:rPr>
          <w:rFonts w:ascii="Times New Roman" w:hAnsi="Times New Roman" w:cs="Times New Roman"/>
          <w:sz w:val="24"/>
          <w:szCs w:val="24"/>
        </w:rPr>
        <w:t xml:space="preserve"> de dólares de acciones al día.</w:t>
      </w:r>
    </w:p>
    <w:p w:rsidR="00136353" w:rsidRPr="006B2EF1" w:rsidRDefault="00136353" w:rsidP="00136353">
      <w:pPr>
        <w:spacing w:line="240" w:lineRule="auto"/>
        <w:jc w:val="both"/>
        <w:rPr>
          <w:rFonts w:ascii="Times New Roman" w:hAnsi="Times New Roman" w:cs="Times New Roman"/>
          <w:sz w:val="24"/>
          <w:szCs w:val="24"/>
        </w:rPr>
      </w:pPr>
      <w:r>
        <w:rPr>
          <w:rFonts w:ascii="Times New Roman" w:hAnsi="Times New Roman" w:cs="Times New Roman"/>
          <w:sz w:val="24"/>
          <w:szCs w:val="24"/>
        </w:rPr>
        <w:t>En la tercera semana de octubre (2021)</w:t>
      </w:r>
      <w:r w:rsidRPr="006B2EF1">
        <w:rPr>
          <w:rFonts w:ascii="Times New Roman" w:hAnsi="Times New Roman" w:cs="Times New Roman"/>
          <w:sz w:val="24"/>
          <w:szCs w:val="24"/>
        </w:rPr>
        <w:t>, este indicador registró su 55º máximo histórico de 2021 tras 7 subidas consecutivas y su nivel más alto desde el 2 de septiembre. El índice ha registrado un nuevo máximo histórico en todos los meses de lo que va de año y eso solo ha ocurrido una vez más (en 2014) desde 1928. Echando la vista atrás, se han registrado 15 episodios desde entonces en los que el S&amp;P 500 ha subido m</w:t>
      </w:r>
      <w:r>
        <w:rPr>
          <w:rFonts w:ascii="Times New Roman" w:hAnsi="Times New Roman" w:cs="Times New Roman"/>
          <w:sz w:val="24"/>
          <w:szCs w:val="24"/>
        </w:rPr>
        <w:t>ás del 20% o más hasta octubre.</w:t>
      </w:r>
    </w:p>
    <w:p w:rsidR="00136353" w:rsidRDefault="00136353" w:rsidP="00136353">
      <w:pPr>
        <w:spacing w:line="240" w:lineRule="auto"/>
        <w:jc w:val="both"/>
        <w:rPr>
          <w:rFonts w:ascii="Times New Roman" w:hAnsi="Times New Roman" w:cs="Times New Roman"/>
          <w:sz w:val="24"/>
          <w:szCs w:val="24"/>
        </w:rPr>
      </w:pPr>
      <w:r w:rsidRPr="006B2EF1">
        <w:rPr>
          <w:rFonts w:ascii="Times New Roman" w:hAnsi="Times New Roman" w:cs="Times New Roman"/>
          <w:sz w:val="24"/>
          <w:szCs w:val="24"/>
        </w:rPr>
        <w:t>La rentabilidad media para el resto del año (los dos últimos meses) es del 5,92%, con una tasa de acierto del 80%.</w:t>
      </w:r>
    </w:p>
    <w:p w:rsidR="00136353" w:rsidRDefault="00136353" w:rsidP="00136353">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“sigue la fiesta” en la bolsa, y nadie “retira la ponchera”, l</w:t>
      </w:r>
      <w:r w:rsidRPr="00E3173D">
        <w:rPr>
          <w:rFonts w:ascii="Times New Roman" w:hAnsi="Times New Roman" w:cs="Times New Roman"/>
          <w:sz w:val="24"/>
          <w:szCs w:val="24"/>
        </w:rPr>
        <w:t>a idea dominante en los b</w:t>
      </w:r>
      <w:r>
        <w:rPr>
          <w:rFonts w:ascii="Times New Roman" w:hAnsi="Times New Roman" w:cs="Times New Roman"/>
          <w:sz w:val="24"/>
          <w:szCs w:val="24"/>
        </w:rPr>
        <w:t>ancos centrales hasta el momento (octubre 2021)</w:t>
      </w:r>
      <w:r w:rsidRPr="00E3173D">
        <w:rPr>
          <w:rFonts w:ascii="Times New Roman" w:hAnsi="Times New Roman" w:cs="Times New Roman"/>
          <w:sz w:val="24"/>
          <w:szCs w:val="24"/>
        </w:rPr>
        <w:t xml:space="preserve"> es que la combinación de estrangulamientos productivos asociados con la pandemia y el intenso aumento de los precios energéticos, junto con el carácter fuertemente expansivo de las políticas monetarias y fiscales, está impulsando temporalmente la inflación. Según esta visión, la gradual desaparición de los cuellos de botella y de las alzas de precios de la energía y demás materias primas terminará reorientando el ritmo de crecimiento de los precios hacia las expectativas de inflación a largo plazo consistentes con los objetivos de inflación de los bancos centrales.</w:t>
      </w:r>
    </w:p>
    <w:p w:rsidR="00136353" w:rsidRDefault="00136353" w:rsidP="00136353">
      <w:pPr>
        <w:spacing w:line="240" w:lineRule="auto"/>
        <w:jc w:val="both"/>
        <w:rPr>
          <w:rFonts w:ascii="Times New Roman" w:hAnsi="Times New Roman" w:cs="Times New Roman"/>
          <w:sz w:val="24"/>
          <w:szCs w:val="24"/>
        </w:rPr>
      </w:pPr>
      <w:r>
        <w:rPr>
          <w:rFonts w:ascii="Times New Roman" w:hAnsi="Times New Roman" w:cs="Times New Roman"/>
          <w:sz w:val="24"/>
          <w:szCs w:val="24"/>
        </w:rPr>
        <w:t>En mi humilde opinión, la visión de las autoridades monetarias,</w:t>
      </w:r>
      <w:r w:rsidRPr="00E3173D">
        <w:rPr>
          <w:rFonts w:ascii="Times New Roman" w:hAnsi="Times New Roman" w:cs="Times New Roman"/>
          <w:sz w:val="24"/>
          <w:szCs w:val="24"/>
        </w:rPr>
        <w:t xml:space="preserve"> es excesivamente optimista.</w:t>
      </w:r>
      <w:r>
        <w:rPr>
          <w:rFonts w:ascii="Times New Roman" w:hAnsi="Times New Roman" w:cs="Times New Roman"/>
          <w:sz w:val="24"/>
          <w:szCs w:val="24"/>
        </w:rPr>
        <w:t xml:space="preserve"> De todos modos, queda por saber cuál será el horizonte temporal, y cuándo el índice de</w:t>
      </w:r>
      <w:r w:rsidRPr="00E3173D">
        <w:rPr>
          <w:rFonts w:ascii="Times New Roman" w:hAnsi="Times New Roman" w:cs="Times New Roman"/>
          <w:sz w:val="24"/>
          <w:szCs w:val="24"/>
        </w:rPr>
        <w:t xml:space="preserve"> infla</w:t>
      </w:r>
      <w:r>
        <w:rPr>
          <w:rFonts w:ascii="Times New Roman" w:hAnsi="Times New Roman" w:cs="Times New Roman"/>
          <w:sz w:val="24"/>
          <w:szCs w:val="24"/>
        </w:rPr>
        <w:t>ción se considerará permanente, para que</w:t>
      </w:r>
      <w:r w:rsidRPr="00E3173D">
        <w:rPr>
          <w:rFonts w:ascii="Times New Roman" w:hAnsi="Times New Roman" w:cs="Times New Roman"/>
          <w:sz w:val="24"/>
          <w:szCs w:val="24"/>
        </w:rPr>
        <w:t xml:space="preserve"> las</w:t>
      </w:r>
      <w:r>
        <w:rPr>
          <w:rFonts w:ascii="Times New Roman" w:hAnsi="Times New Roman" w:cs="Times New Roman"/>
          <w:sz w:val="24"/>
          <w:szCs w:val="24"/>
        </w:rPr>
        <w:t xml:space="preserve"> autoridades monetarias actúen</w:t>
      </w:r>
      <w:r w:rsidRPr="00E3173D">
        <w:rPr>
          <w:rFonts w:ascii="Times New Roman" w:hAnsi="Times New Roman" w:cs="Times New Roman"/>
          <w:sz w:val="24"/>
          <w:szCs w:val="24"/>
        </w:rPr>
        <w:t xml:space="preserve"> en consecuencia</w:t>
      </w:r>
      <w:r>
        <w:rPr>
          <w:rFonts w:ascii="Times New Roman" w:hAnsi="Times New Roman" w:cs="Times New Roman"/>
          <w:sz w:val="24"/>
          <w:szCs w:val="24"/>
        </w:rPr>
        <w:t>.</w:t>
      </w:r>
    </w:p>
    <w:p w:rsidR="00136353" w:rsidRDefault="00136353" w:rsidP="00136353">
      <w:pPr>
        <w:spacing w:line="240" w:lineRule="auto"/>
        <w:jc w:val="both"/>
        <w:rPr>
          <w:rFonts w:ascii="Times New Roman" w:hAnsi="Times New Roman" w:cs="Times New Roman"/>
          <w:sz w:val="24"/>
          <w:szCs w:val="24"/>
        </w:rPr>
      </w:pPr>
      <w:r w:rsidRPr="00F6429F">
        <w:rPr>
          <w:rFonts w:ascii="Times New Roman" w:hAnsi="Times New Roman" w:cs="Times New Roman"/>
          <w:sz w:val="24"/>
          <w:szCs w:val="24"/>
        </w:rPr>
        <w:t>¿Durante cuánto tiempo tienen que registrarse cifras elevadas de inflación para que dichas cifras no se consideren pasajeras? Por otro lado, se ha de considerar la cuestión del valor o rango de valores de la inflación cuya persistencia provocaría un cambio significativo de la política monetaria. No es lo mismo, por ejemplo, que el ritmo de inflación se estabilice alrededor de un punto por encima de los objetivos de los bancos centrales a que lo haga dos o más puntos por encima. Esto es, una inflación permanente en el entorno del 3% es menos preocupante que otra alrededor de</w:t>
      </w:r>
      <w:r w:rsidR="006971ED">
        <w:rPr>
          <w:rFonts w:ascii="Times New Roman" w:hAnsi="Times New Roman" w:cs="Times New Roman"/>
          <w:sz w:val="24"/>
          <w:szCs w:val="24"/>
        </w:rPr>
        <w:t>l 5%. Y más allá…</w:t>
      </w:r>
      <w:r>
        <w:rPr>
          <w:rFonts w:ascii="Times New Roman" w:hAnsi="Times New Roman" w:cs="Times New Roman"/>
          <w:sz w:val="24"/>
          <w:szCs w:val="24"/>
        </w:rPr>
        <w:t xml:space="preserve"> la inundación (como dice el tango).</w:t>
      </w:r>
    </w:p>
    <w:p w:rsidR="00136353" w:rsidRPr="00657FEF" w:rsidRDefault="00136353" w:rsidP="00136353">
      <w:pPr>
        <w:spacing w:line="240" w:lineRule="auto"/>
        <w:jc w:val="both"/>
        <w:rPr>
          <w:rFonts w:ascii="Times New Roman" w:hAnsi="Times New Roman" w:cs="Times New Roman"/>
          <w:b/>
          <w:sz w:val="24"/>
          <w:szCs w:val="24"/>
        </w:rPr>
      </w:pPr>
      <w:r w:rsidRPr="00657FEF">
        <w:rPr>
          <w:rFonts w:ascii="Times New Roman" w:hAnsi="Times New Roman" w:cs="Times New Roman"/>
          <w:b/>
          <w:sz w:val="24"/>
          <w:szCs w:val="24"/>
        </w:rPr>
        <w:t>La cuestión interesante a dirimir no es si la inflación es pasajera o permanente sino cuán</w:t>
      </w:r>
      <w:r w:rsidR="00657FEF">
        <w:rPr>
          <w:rFonts w:ascii="Times New Roman" w:hAnsi="Times New Roman" w:cs="Times New Roman"/>
          <w:b/>
          <w:sz w:val="24"/>
          <w:szCs w:val="24"/>
        </w:rPr>
        <w:t>do y, sobre todo, cuánto tendrán que subir</w:t>
      </w:r>
      <w:r w:rsidRPr="00657FEF">
        <w:rPr>
          <w:rFonts w:ascii="Times New Roman" w:hAnsi="Times New Roman" w:cs="Times New Roman"/>
          <w:b/>
          <w:sz w:val="24"/>
          <w:szCs w:val="24"/>
        </w:rPr>
        <w:t xml:space="preserve"> los tipos de interés para reconducir la inflación hasta niveles cercanos a los objetivos de los bancos centrales.</w:t>
      </w:r>
    </w:p>
    <w:p w:rsidR="00136353" w:rsidRDefault="00136353" w:rsidP="00136353">
      <w:pPr>
        <w:spacing w:line="240" w:lineRule="auto"/>
        <w:jc w:val="both"/>
        <w:rPr>
          <w:rFonts w:ascii="Times New Roman" w:hAnsi="Times New Roman" w:cs="Times New Roman"/>
          <w:sz w:val="24"/>
          <w:szCs w:val="24"/>
        </w:rPr>
      </w:pPr>
      <w:r w:rsidRPr="00A97F72">
        <w:rPr>
          <w:rFonts w:ascii="Times New Roman" w:hAnsi="Times New Roman" w:cs="Times New Roman"/>
          <w:b/>
          <w:sz w:val="24"/>
          <w:szCs w:val="24"/>
        </w:rPr>
        <w:t xml:space="preserve">¿Serán capaces de </w:t>
      </w:r>
      <w:r>
        <w:rPr>
          <w:rFonts w:ascii="Times New Roman" w:hAnsi="Times New Roman" w:cs="Times New Roman"/>
          <w:b/>
          <w:sz w:val="24"/>
          <w:szCs w:val="24"/>
        </w:rPr>
        <w:t>“</w:t>
      </w:r>
      <w:r w:rsidRPr="00A97F72">
        <w:rPr>
          <w:rFonts w:ascii="Times New Roman" w:hAnsi="Times New Roman" w:cs="Times New Roman"/>
          <w:b/>
          <w:sz w:val="24"/>
          <w:szCs w:val="24"/>
        </w:rPr>
        <w:t>retirar la ponchera</w:t>
      </w:r>
      <w:r>
        <w:rPr>
          <w:rFonts w:ascii="Times New Roman" w:hAnsi="Times New Roman" w:cs="Times New Roman"/>
          <w:b/>
          <w:sz w:val="24"/>
          <w:szCs w:val="24"/>
        </w:rPr>
        <w:t>”</w:t>
      </w:r>
      <w:r w:rsidRPr="00A97F72">
        <w:rPr>
          <w:rFonts w:ascii="Times New Roman" w:hAnsi="Times New Roman" w:cs="Times New Roman"/>
          <w:b/>
          <w:sz w:val="24"/>
          <w:szCs w:val="24"/>
        </w:rPr>
        <w:t xml:space="preserve"> en la </w:t>
      </w:r>
      <w:r>
        <w:rPr>
          <w:rFonts w:ascii="Times New Roman" w:hAnsi="Times New Roman" w:cs="Times New Roman"/>
          <w:b/>
          <w:sz w:val="24"/>
          <w:szCs w:val="24"/>
        </w:rPr>
        <w:t>“</w:t>
      </w:r>
      <w:r w:rsidRPr="00A97F72">
        <w:rPr>
          <w:rFonts w:ascii="Times New Roman" w:hAnsi="Times New Roman" w:cs="Times New Roman"/>
          <w:b/>
          <w:sz w:val="24"/>
          <w:szCs w:val="24"/>
        </w:rPr>
        <w:t>fiesta de bolsa</w:t>
      </w:r>
      <w:r>
        <w:rPr>
          <w:rFonts w:ascii="Times New Roman" w:hAnsi="Times New Roman" w:cs="Times New Roman"/>
          <w:b/>
          <w:sz w:val="24"/>
          <w:szCs w:val="24"/>
        </w:rPr>
        <w:t>”</w:t>
      </w:r>
      <w:r w:rsidRPr="00A97F72">
        <w:rPr>
          <w:rFonts w:ascii="Times New Roman" w:hAnsi="Times New Roman" w:cs="Times New Roman"/>
          <w:b/>
          <w:sz w:val="24"/>
          <w:szCs w:val="24"/>
        </w:rPr>
        <w:t xml:space="preserve">? No lo hicieron en 1987, tampoco en  2008… </w:t>
      </w:r>
      <w:r>
        <w:rPr>
          <w:rFonts w:ascii="Times New Roman" w:hAnsi="Times New Roman" w:cs="Times New Roman"/>
          <w:b/>
          <w:sz w:val="24"/>
          <w:szCs w:val="24"/>
        </w:rPr>
        <w:t>¿</w:t>
      </w:r>
      <w:r w:rsidRPr="00A97F72">
        <w:rPr>
          <w:rFonts w:ascii="Times New Roman" w:hAnsi="Times New Roman" w:cs="Times New Roman"/>
          <w:b/>
          <w:sz w:val="24"/>
          <w:szCs w:val="24"/>
        </w:rPr>
        <w:t>lo harán en 2022?</w:t>
      </w:r>
      <w:r>
        <w:rPr>
          <w:rFonts w:ascii="Times New Roman" w:hAnsi="Times New Roman" w:cs="Times New Roman"/>
          <w:b/>
          <w:sz w:val="24"/>
          <w:szCs w:val="24"/>
        </w:rPr>
        <w:t xml:space="preserve"> Mirando por el “espejo retrovisor”, lo dudo.</w:t>
      </w:r>
      <w:r w:rsidRPr="00A97F72">
        <w:rPr>
          <w:rFonts w:ascii="Times New Roman" w:hAnsi="Times New Roman" w:cs="Times New Roman"/>
          <w:sz w:val="24"/>
          <w:szCs w:val="24"/>
        </w:rPr>
        <w:t xml:space="preserve"> </w:t>
      </w:r>
    </w:p>
    <w:p w:rsidR="00532609" w:rsidRPr="00532609" w:rsidRDefault="00532609" w:rsidP="00532609">
      <w:pPr>
        <w:spacing w:line="240" w:lineRule="auto"/>
        <w:jc w:val="both"/>
        <w:rPr>
          <w:rFonts w:ascii="Times New Roman" w:hAnsi="Times New Roman" w:cs="Times New Roman"/>
          <w:b/>
          <w:sz w:val="24"/>
          <w:szCs w:val="24"/>
        </w:rPr>
      </w:pPr>
      <w:r w:rsidRPr="00532609">
        <w:rPr>
          <w:rFonts w:ascii="Times New Roman" w:hAnsi="Times New Roman" w:cs="Times New Roman"/>
          <w:b/>
          <w:sz w:val="24"/>
          <w:szCs w:val="24"/>
        </w:rPr>
        <w:lastRenderedPageBreak/>
        <w:t>- ¿Temporal o transitoria?</w:t>
      </w:r>
      <w:r>
        <w:rPr>
          <w:rFonts w:ascii="Times New Roman" w:hAnsi="Times New Roman" w:cs="Times New Roman"/>
          <w:b/>
          <w:sz w:val="24"/>
          <w:szCs w:val="24"/>
        </w:rPr>
        <w:t xml:space="preserve"> (“sensación térmica”</w:t>
      </w:r>
      <w:r w:rsidR="00C36836">
        <w:rPr>
          <w:rFonts w:ascii="Times New Roman" w:hAnsi="Times New Roman" w:cs="Times New Roman"/>
          <w:b/>
          <w:sz w:val="24"/>
          <w:szCs w:val="24"/>
        </w:rPr>
        <w:t>,</w:t>
      </w:r>
      <w:r>
        <w:rPr>
          <w:rFonts w:ascii="Times New Roman" w:hAnsi="Times New Roman" w:cs="Times New Roman"/>
          <w:b/>
          <w:sz w:val="24"/>
          <w:szCs w:val="24"/>
        </w:rPr>
        <w:t xml:space="preserve"> a finales del mes de octubre de 2021) </w:t>
      </w:r>
    </w:p>
    <w:p w:rsidR="00532609" w:rsidRDefault="00532609" w:rsidP="00532609">
      <w:pPr>
        <w:spacing w:line="240" w:lineRule="auto"/>
        <w:jc w:val="both"/>
        <w:rPr>
          <w:rFonts w:ascii="Times New Roman" w:hAnsi="Times New Roman" w:cs="Times New Roman"/>
          <w:sz w:val="24"/>
          <w:szCs w:val="24"/>
        </w:rPr>
      </w:pPr>
      <w:r w:rsidRPr="00532609">
        <w:rPr>
          <w:rFonts w:ascii="Times New Roman" w:hAnsi="Times New Roman" w:cs="Times New Roman"/>
          <w:sz w:val="24"/>
          <w:szCs w:val="24"/>
        </w:rPr>
        <w:t>La economía mundial está sufriendo una tormenta sin precedentes. El encarecimiento histórico de la energía, la escasez de suministros y materias primas, la falta de transportistas, los atascos navieros en los puertos... La lista de contratiempos que están apareciendo en el mercado es infinita, y sus consecuencias se prevén demoledoras.</w:t>
      </w:r>
    </w:p>
    <w:p w:rsidR="00532609" w:rsidRPr="00532609" w:rsidRDefault="00532609" w:rsidP="00532609">
      <w:pPr>
        <w:spacing w:line="240" w:lineRule="auto"/>
        <w:jc w:val="both"/>
        <w:rPr>
          <w:rFonts w:ascii="Times New Roman" w:hAnsi="Times New Roman" w:cs="Times New Roman"/>
          <w:sz w:val="24"/>
          <w:szCs w:val="24"/>
          <w:shd w:val="clear" w:color="auto" w:fill="FFFFFF"/>
        </w:rPr>
      </w:pPr>
      <w:r w:rsidRPr="00532609">
        <w:rPr>
          <w:rFonts w:ascii="Times New Roman" w:hAnsi="Times New Roman" w:cs="Times New Roman"/>
          <w:sz w:val="24"/>
          <w:szCs w:val="24"/>
          <w:shd w:val="clear" w:color="auto" w:fill="FFFFFF"/>
        </w:rPr>
        <w:t>El principal efecto de todas estas circunstancias es que los costes de producción de las empresas se están elevando considerablemente, lo que está generando un aumento generalizado de los precios y, en algunos países la mayor presión inflacionista en décadas. Así, en un momento en el que las economías ni siquiera han logrado reponerse de la debacle desatada por la pandemia del coronavirus, otra bomba económica ha estallado a nivel global amenazando con rematar las cuentas de resultados de las empresas y a los desafortunados bolsillos de los consumidores.</w:t>
      </w:r>
    </w:p>
    <w:p w:rsidR="00532609" w:rsidRPr="00532609" w:rsidRDefault="00532609" w:rsidP="00532609">
      <w:pPr>
        <w:spacing w:line="240" w:lineRule="auto"/>
        <w:jc w:val="both"/>
        <w:rPr>
          <w:rFonts w:ascii="Times New Roman" w:hAnsi="Times New Roman" w:cs="Times New Roman"/>
          <w:sz w:val="24"/>
          <w:szCs w:val="24"/>
          <w:shd w:val="clear" w:color="auto" w:fill="FFFFFF"/>
        </w:rPr>
      </w:pPr>
      <w:r w:rsidRPr="00532609">
        <w:rPr>
          <w:rFonts w:ascii="Times New Roman" w:hAnsi="Times New Roman" w:cs="Times New Roman"/>
          <w:sz w:val="24"/>
          <w:szCs w:val="24"/>
          <w:shd w:val="clear" w:color="auto" w:fill="FFFFFF"/>
        </w:rPr>
        <w:t>En circunstancias similares (ceteris paribus) no podía ser de otra forma. Ni en EEUU, ni en Alemania, Reino Unido, Francia, Italia, España, ni en el resto del mundo. Una inyección a la economía global de más de 12 billones de dólares (trillion, en la denominación anglosajona) solo podía dar lugar a un aumento de la inflación. Por ahora, les ha tocado</w:t>
      </w:r>
      <w:r>
        <w:rPr>
          <w:rFonts w:ascii="Times New Roman" w:hAnsi="Times New Roman" w:cs="Times New Roman"/>
          <w:sz w:val="24"/>
          <w:szCs w:val="24"/>
          <w:shd w:val="clear" w:color="auto" w:fill="FFFFFF"/>
        </w:rPr>
        <w:t xml:space="preserve"> en el reparto,</w:t>
      </w:r>
      <w:r w:rsidRPr="00532609">
        <w:rPr>
          <w:rFonts w:ascii="Times New Roman" w:hAnsi="Times New Roman" w:cs="Times New Roman"/>
          <w:sz w:val="24"/>
          <w:szCs w:val="24"/>
          <w:shd w:val="clear" w:color="auto" w:fill="FFFFFF"/>
        </w:rPr>
        <w:t xml:space="preserve"> entre el 4% y el 5% (y subiendo). Lo más probable es que les toque bastante más, aunque sea de manera “transitoria” (sic)</w:t>
      </w:r>
    </w:p>
    <w:p w:rsidR="00532609" w:rsidRPr="00532609" w:rsidRDefault="00532609" w:rsidP="00532609">
      <w:pPr>
        <w:shd w:val="clear" w:color="auto" w:fill="FFFFFF"/>
        <w:spacing w:before="100" w:beforeAutospacing="1" w:after="100" w:afterAutospacing="1" w:line="240" w:lineRule="auto"/>
        <w:jc w:val="both"/>
        <w:rPr>
          <w:rFonts w:ascii="Times New Roman" w:hAnsi="Times New Roman" w:cs="Times New Roman"/>
          <w:sz w:val="24"/>
          <w:szCs w:val="24"/>
        </w:rPr>
      </w:pPr>
      <w:r w:rsidRPr="00532609">
        <w:rPr>
          <w:rFonts w:ascii="Times New Roman" w:hAnsi="Times New Roman" w:cs="Times New Roman"/>
          <w:sz w:val="24"/>
          <w:szCs w:val="24"/>
        </w:rPr>
        <w:t>El coste de la vida encadena ya ocho meses encareciéndose por los altos precios de la electricidad y los combustibles, el repunte del consumo y los problemas en la cadena  global de suministro, azotada por una tormenta perfecta de colapso en los puertos, falta de contenedores, escasez de trabajadores, carencia de chips y un aumento inasumible de los pedidos por el desembalse del ahorro acumulado por los hogares durante la pandemia en un entorno de estímulos públicos y recuperación económica.</w:t>
      </w:r>
    </w:p>
    <w:p w:rsidR="00532609" w:rsidRPr="00532609" w:rsidRDefault="00532609" w:rsidP="00532609">
      <w:pPr>
        <w:spacing w:line="240" w:lineRule="auto"/>
        <w:jc w:val="both"/>
        <w:rPr>
          <w:rFonts w:ascii="Times New Roman" w:hAnsi="Times New Roman" w:cs="Times New Roman"/>
          <w:sz w:val="24"/>
          <w:szCs w:val="24"/>
          <w:shd w:val="clear" w:color="auto" w:fill="FFFFFF"/>
        </w:rPr>
      </w:pPr>
      <w:r w:rsidRPr="00532609">
        <w:rPr>
          <w:rFonts w:ascii="Times New Roman" w:hAnsi="Times New Roman" w:cs="Times New Roman"/>
          <w:sz w:val="24"/>
          <w:szCs w:val="24"/>
          <w:shd w:val="clear" w:color="auto" w:fill="FFFFFF"/>
        </w:rPr>
        <w:t>El avance de la inflación en todo el mundo está obligando en los últimos meses a pasar cada vez más páginas del calendario para encontrar precedentes. En España los precios subieron en octubre (2021) un 5,5% respecto al año pasado, una cota que no se veía desde septiembre de 1992, hace 29 años.</w:t>
      </w:r>
      <w:r>
        <w:rPr>
          <w:rFonts w:ascii="Times New Roman" w:hAnsi="Times New Roman" w:cs="Times New Roman"/>
          <w:sz w:val="24"/>
          <w:szCs w:val="24"/>
          <w:shd w:val="clear" w:color="auto" w:fill="FFFFFF"/>
        </w:rPr>
        <w:t xml:space="preserve"> </w:t>
      </w:r>
      <w:r w:rsidRPr="00532609">
        <w:rPr>
          <w:rFonts w:ascii="Times New Roman" w:hAnsi="Times New Roman" w:cs="Times New Roman"/>
          <w:sz w:val="24"/>
          <w:szCs w:val="24"/>
          <w:shd w:val="clear" w:color="auto" w:fill="FFFFFF"/>
        </w:rPr>
        <w:t>En Alemania, que también ha publicado sus datos, está en el 4,6%, niveles cercanos a los tiempos de la reunificación.</w:t>
      </w:r>
    </w:p>
    <w:p w:rsidR="00532609" w:rsidRPr="00532609" w:rsidRDefault="00532609" w:rsidP="00532609">
      <w:pPr>
        <w:shd w:val="clear" w:color="auto" w:fill="FFFFFF"/>
        <w:spacing w:before="100" w:beforeAutospacing="1" w:after="100" w:afterAutospacing="1" w:line="240" w:lineRule="auto"/>
        <w:jc w:val="both"/>
        <w:rPr>
          <w:rFonts w:ascii="Times New Roman" w:hAnsi="Times New Roman" w:cs="Times New Roman"/>
          <w:sz w:val="24"/>
          <w:szCs w:val="24"/>
          <w:shd w:val="clear" w:color="auto" w:fill="FFFFFF"/>
        </w:rPr>
      </w:pPr>
      <w:r w:rsidRPr="00532609">
        <w:rPr>
          <w:rFonts w:ascii="Times New Roman" w:hAnsi="Times New Roman" w:cs="Times New Roman"/>
          <w:sz w:val="24"/>
          <w:szCs w:val="24"/>
          <w:shd w:val="clear" w:color="auto" w:fill="FFFFFF"/>
        </w:rPr>
        <w:t>A la espera de conocer los índices de sus países vecinos, la inflación española se está moviendo desde abril en umbrales más elevados que la zona euro. En julio tocó el 2,9% frente al 2,2% de media de los Diecinueve, en agosto el diferencial se redujo (3,3% España frente al 3% del resto), y en septiembre volvió a acelerarse (4% en España, 3,4% en la eurozona). España ya supera los números de septiembre de EEUU (5,4%), donde los estímulos han sido más potentes, incluyendo la entrega directa de cheques a decenas de millones de consumidores.</w:t>
      </w:r>
    </w:p>
    <w:p w:rsidR="00532609" w:rsidRPr="00532609" w:rsidRDefault="00532609" w:rsidP="00532609">
      <w:pPr>
        <w:shd w:val="clear" w:color="auto" w:fill="FFFFFF"/>
        <w:spacing w:before="100" w:beforeAutospacing="1" w:after="100" w:afterAutospacing="1" w:line="240" w:lineRule="auto"/>
        <w:jc w:val="both"/>
        <w:rPr>
          <w:rFonts w:ascii="Times New Roman" w:hAnsi="Times New Roman" w:cs="Times New Roman"/>
          <w:sz w:val="24"/>
          <w:szCs w:val="24"/>
        </w:rPr>
      </w:pPr>
      <w:r w:rsidRPr="00532609">
        <w:rPr>
          <w:rFonts w:ascii="Times New Roman" w:hAnsi="Times New Roman" w:cs="Times New Roman"/>
          <w:sz w:val="24"/>
          <w:szCs w:val="24"/>
        </w:rPr>
        <w:t>Uno de los grandes debates económicos del momento a escala planetaria, que se resume en la pregunta ¿hasta cuándo durará la alta inflación? La respuesta enfrenta dos formas de pensar: la primera, encabezada por el Banco Central Europeo y la Reserva Federal estadounidense, asegura que se trata de un fenómeno transitorio que responde básicamente a que los niveles de precios se miran en el espejo del año pandémico, cuando el consumo se desplomó por las restricciones. “Toda comparación con 2020 es distorsionada”, llegó a decir este verano el vicepresidente del BCE, Luis de Guindos.</w:t>
      </w:r>
    </w:p>
    <w:p w:rsidR="00532609" w:rsidRPr="00532609" w:rsidRDefault="00532609" w:rsidP="00532609">
      <w:pPr>
        <w:shd w:val="clear" w:color="auto" w:fill="FFFFFF"/>
        <w:spacing w:before="100" w:beforeAutospacing="1" w:after="100" w:afterAutospacing="1" w:line="240" w:lineRule="auto"/>
        <w:jc w:val="both"/>
        <w:rPr>
          <w:rFonts w:ascii="Times New Roman" w:hAnsi="Times New Roman" w:cs="Times New Roman"/>
          <w:sz w:val="24"/>
          <w:szCs w:val="24"/>
        </w:rPr>
      </w:pPr>
      <w:r w:rsidRPr="00532609">
        <w:rPr>
          <w:rFonts w:ascii="Times New Roman" w:hAnsi="Times New Roman" w:cs="Times New Roman"/>
          <w:sz w:val="24"/>
          <w:szCs w:val="24"/>
        </w:rPr>
        <w:lastRenderedPageBreak/>
        <w:t xml:space="preserve">La secretaria del Tesoro de EEUU, </w:t>
      </w:r>
      <w:r w:rsidR="00C36836">
        <w:rPr>
          <w:rFonts w:ascii="Times New Roman" w:hAnsi="Times New Roman" w:cs="Times New Roman"/>
          <w:sz w:val="24"/>
          <w:szCs w:val="24"/>
        </w:rPr>
        <w:t xml:space="preserve">Janet Yellen, afirmó </w:t>
      </w:r>
      <w:r w:rsidRPr="00532609">
        <w:rPr>
          <w:rFonts w:ascii="Times New Roman" w:hAnsi="Times New Roman" w:cs="Times New Roman"/>
          <w:sz w:val="24"/>
          <w:szCs w:val="24"/>
        </w:rPr>
        <w:t>que espera que la moderación de precios se produzca en la segunda mitad de 2022. Y </w:t>
      </w:r>
      <w:hyperlink r:id="rId387" w:tgtFrame="_blank" w:history="1">
        <w:r w:rsidRPr="00532609">
          <w:rPr>
            <w:rStyle w:val="Hipervnculo"/>
            <w:rFonts w:ascii="Times New Roman" w:hAnsi="Times New Roman" w:cs="Times New Roman"/>
            <w:color w:val="auto"/>
            <w:sz w:val="24"/>
            <w:szCs w:val="24"/>
            <w:u w:val="none"/>
          </w:rPr>
          <w:t>los economistas del BCE opinan que la inflación irá disipándose próximamente</w:t>
        </w:r>
      </w:hyperlink>
      <w:r w:rsidRPr="00532609">
        <w:rPr>
          <w:rFonts w:ascii="Times New Roman" w:hAnsi="Times New Roman" w:cs="Times New Roman"/>
          <w:sz w:val="24"/>
          <w:szCs w:val="24"/>
        </w:rPr>
        <w:t>, pese a que ha sobrepasado sus estimaciones iniciales y la han revisado al alza, situándola en el 2,2% en 2021; en el 1,7% en 2022, y en el 1,5% en 2023.</w:t>
      </w:r>
    </w:p>
    <w:p w:rsidR="00532609" w:rsidRPr="00532609" w:rsidRDefault="00532609" w:rsidP="00532609">
      <w:pPr>
        <w:shd w:val="clear" w:color="auto" w:fill="FFFFFF"/>
        <w:spacing w:before="100" w:beforeAutospacing="1" w:after="100" w:afterAutospacing="1" w:line="240" w:lineRule="auto"/>
        <w:jc w:val="both"/>
        <w:rPr>
          <w:rFonts w:ascii="Times New Roman" w:hAnsi="Times New Roman" w:cs="Times New Roman"/>
          <w:sz w:val="24"/>
          <w:szCs w:val="24"/>
        </w:rPr>
      </w:pPr>
      <w:r w:rsidRPr="00532609">
        <w:rPr>
          <w:rFonts w:ascii="Times New Roman" w:hAnsi="Times New Roman" w:cs="Times New Roman"/>
          <w:sz w:val="24"/>
          <w:szCs w:val="24"/>
        </w:rPr>
        <w:t>Enfrente, los llamados “</w:t>
      </w:r>
      <w:r w:rsidRPr="00532609">
        <w:rPr>
          <w:rFonts w:ascii="Times New Roman" w:hAnsi="Times New Roman" w:cs="Times New Roman"/>
          <w:iCs/>
          <w:sz w:val="24"/>
          <w:szCs w:val="24"/>
        </w:rPr>
        <w:t>halcones”</w:t>
      </w:r>
      <w:r w:rsidRPr="00532609">
        <w:rPr>
          <w:rFonts w:ascii="Times New Roman" w:hAnsi="Times New Roman" w:cs="Times New Roman"/>
          <w:sz w:val="24"/>
          <w:szCs w:val="24"/>
        </w:rPr>
        <w:t> advierten de los peligros de una espiral inflacionista si las alzas de precios se trasladan a los salarios y a otros productos, generando un círculo vicioso que se retroalimenta. Entre los más ortodoxos hay también instituciones como el Banco de Canadá, que está acelerando su retirada de estímulos tras advertir este miércoles de que la inflación podría no desvanecerse tan rápidamente. “Las principales fuerzas que empujan al alza los precios (precios de la energía más altos y cuellos de botella de suministros provocados por la pandemia) ahora parecen ser más fuertes y más persistentes de lo esperado”, afirma en su comunicado.</w:t>
      </w:r>
    </w:p>
    <w:p w:rsidR="00532609" w:rsidRPr="00532609" w:rsidRDefault="00532609" w:rsidP="00532609">
      <w:pPr>
        <w:shd w:val="clear" w:color="auto" w:fill="FFFFFF"/>
        <w:spacing w:before="100" w:beforeAutospacing="1" w:after="100" w:afterAutospacing="1" w:line="240" w:lineRule="auto"/>
        <w:jc w:val="both"/>
        <w:rPr>
          <w:rFonts w:ascii="Times New Roman" w:hAnsi="Times New Roman" w:cs="Times New Roman"/>
          <w:sz w:val="24"/>
          <w:szCs w:val="24"/>
        </w:rPr>
      </w:pPr>
      <w:r w:rsidRPr="00532609">
        <w:rPr>
          <w:rFonts w:ascii="Times New Roman" w:hAnsi="Times New Roman" w:cs="Times New Roman"/>
          <w:sz w:val="24"/>
          <w:szCs w:val="24"/>
        </w:rPr>
        <w:t>Para la FED y el BCE resulta difícil dar marcha atrás en la política monetaria ultraexpansiva, teniendo en cuenta los elevados niveles de deuda acumulados y la persistencia de ciertos riesgos sobre la recuperación económica. Por ello se aferran a la idea (¿ilusión, voluntarismo, pensamiento mágico, utopía?</w:t>
      </w:r>
      <w:r w:rsidR="00C36836">
        <w:rPr>
          <w:rFonts w:ascii="Times New Roman" w:hAnsi="Times New Roman" w:cs="Times New Roman"/>
          <w:sz w:val="24"/>
          <w:szCs w:val="24"/>
        </w:rPr>
        <w:t>)</w:t>
      </w:r>
      <w:r w:rsidRPr="00532609">
        <w:rPr>
          <w:rFonts w:ascii="Times New Roman" w:hAnsi="Times New Roman" w:cs="Times New Roman"/>
          <w:sz w:val="24"/>
          <w:szCs w:val="24"/>
        </w:rPr>
        <w:t xml:space="preserve"> que el incremento de la inflac</w:t>
      </w:r>
      <w:r>
        <w:rPr>
          <w:rFonts w:ascii="Times New Roman" w:hAnsi="Times New Roman" w:cs="Times New Roman"/>
          <w:sz w:val="24"/>
          <w:szCs w:val="24"/>
        </w:rPr>
        <w:t>ión es</w:t>
      </w:r>
      <w:r w:rsidRPr="00532609">
        <w:rPr>
          <w:rFonts w:ascii="Times New Roman" w:hAnsi="Times New Roman" w:cs="Times New Roman"/>
          <w:sz w:val="24"/>
          <w:szCs w:val="24"/>
        </w:rPr>
        <w:t xml:space="preserve"> solo un fenómeno coyuntural. No quieren ni </w:t>
      </w:r>
      <w:r w:rsidR="00324F4A" w:rsidRPr="00532609">
        <w:rPr>
          <w:rFonts w:ascii="Times New Roman" w:hAnsi="Times New Roman" w:cs="Times New Roman"/>
          <w:sz w:val="24"/>
          <w:szCs w:val="24"/>
        </w:rPr>
        <w:t>oír</w:t>
      </w:r>
      <w:r w:rsidRPr="00532609">
        <w:rPr>
          <w:rFonts w:ascii="Times New Roman" w:hAnsi="Times New Roman" w:cs="Times New Roman"/>
          <w:sz w:val="24"/>
          <w:szCs w:val="24"/>
        </w:rPr>
        <w:t xml:space="preserve"> hablar del círculo pernicioso de precios y salarios. No quieren ni </w:t>
      </w:r>
      <w:r w:rsidR="00324F4A" w:rsidRPr="00532609">
        <w:rPr>
          <w:rFonts w:ascii="Times New Roman" w:hAnsi="Times New Roman" w:cs="Times New Roman"/>
          <w:sz w:val="24"/>
          <w:szCs w:val="24"/>
        </w:rPr>
        <w:t>oír</w:t>
      </w:r>
      <w:r w:rsidRPr="00532609">
        <w:rPr>
          <w:rFonts w:ascii="Times New Roman" w:hAnsi="Times New Roman" w:cs="Times New Roman"/>
          <w:sz w:val="24"/>
          <w:szCs w:val="24"/>
        </w:rPr>
        <w:t xml:space="preserve"> hablar que la inflación desafía el despegue económico. No qui</w:t>
      </w:r>
      <w:r w:rsidR="00C36836">
        <w:rPr>
          <w:rFonts w:ascii="Times New Roman" w:hAnsi="Times New Roman" w:cs="Times New Roman"/>
          <w:sz w:val="24"/>
          <w:szCs w:val="24"/>
        </w:rPr>
        <w:t xml:space="preserve">eren ver, ni </w:t>
      </w:r>
      <w:r w:rsidR="00324F4A">
        <w:rPr>
          <w:rFonts w:ascii="Times New Roman" w:hAnsi="Times New Roman" w:cs="Times New Roman"/>
          <w:sz w:val="24"/>
          <w:szCs w:val="24"/>
        </w:rPr>
        <w:t>oír</w:t>
      </w:r>
      <w:r w:rsidR="00C36836">
        <w:rPr>
          <w:rFonts w:ascii="Times New Roman" w:hAnsi="Times New Roman" w:cs="Times New Roman"/>
          <w:sz w:val="24"/>
          <w:szCs w:val="24"/>
        </w:rPr>
        <w:t>, ni hablar, que la economía (real) ya está en el</w:t>
      </w:r>
      <w:r w:rsidRPr="00532609">
        <w:rPr>
          <w:rFonts w:ascii="Times New Roman" w:hAnsi="Times New Roman" w:cs="Times New Roman"/>
          <w:sz w:val="24"/>
          <w:szCs w:val="24"/>
        </w:rPr>
        <w:t xml:space="preserve"> “corredor de la muerte”, por metástasis inflacionaria.</w:t>
      </w:r>
    </w:p>
    <w:p w:rsidR="00532609" w:rsidRPr="00532609" w:rsidRDefault="00532609" w:rsidP="00532609">
      <w:pPr>
        <w:shd w:val="clear" w:color="auto" w:fill="FFFFFF"/>
        <w:spacing w:before="100" w:beforeAutospacing="1" w:after="100" w:afterAutospacing="1" w:line="240" w:lineRule="auto"/>
        <w:jc w:val="both"/>
        <w:rPr>
          <w:rFonts w:ascii="Times New Roman" w:hAnsi="Times New Roman" w:cs="Times New Roman"/>
          <w:sz w:val="24"/>
          <w:szCs w:val="24"/>
        </w:rPr>
      </w:pPr>
      <w:r w:rsidRPr="00532609">
        <w:rPr>
          <w:rFonts w:ascii="Times New Roman" w:hAnsi="Times New Roman" w:cs="Times New Roman"/>
          <w:sz w:val="24"/>
          <w:szCs w:val="24"/>
        </w:rPr>
        <w:t>La inflación debe preocupar. La inflación es un cáncer para la economía. La inflación daña los salarios y los ahorros. La inflación desata una guerra sin armas (espiral precios-salarios), donde</w:t>
      </w:r>
      <w:r w:rsidR="00C36836">
        <w:rPr>
          <w:rFonts w:ascii="Times New Roman" w:hAnsi="Times New Roman" w:cs="Times New Roman"/>
          <w:sz w:val="24"/>
          <w:szCs w:val="24"/>
        </w:rPr>
        <w:t xml:space="preserve"> siempre</w:t>
      </w:r>
      <w:r w:rsidRPr="00532609">
        <w:rPr>
          <w:rFonts w:ascii="Times New Roman" w:hAnsi="Times New Roman" w:cs="Times New Roman"/>
          <w:sz w:val="24"/>
          <w:szCs w:val="24"/>
        </w:rPr>
        <w:t xml:space="preserve"> pierden</w:t>
      </w:r>
      <w:r w:rsidR="00C36836">
        <w:rPr>
          <w:rFonts w:ascii="Times New Roman" w:hAnsi="Times New Roman" w:cs="Times New Roman"/>
          <w:sz w:val="24"/>
          <w:szCs w:val="24"/>
        </w:rPr>
        <w:t xml:space="preserve"> los más débiles</w:t>
      </w:r>
      <w:r w:rsidRPr="00532609">
        <w:rPr>
          <w:rFonts w:ascii="Times New Roman" w:hAnsi="Times New Roman" w:cs="Times New Roman"/>
          <w:sz w:val="24"/>
          <w:szCs w:val="24"/>
        </w:rPr>
        <w:t xml:space="preserve"> (como en todas la</w:t>
      </w:r>
      <w:r w:rsidR="00C36836">
        <w:rPr>
          <w:rFonts w:ascii="Times New Roman" w:hAnsi="Times New Roman" w:cs="Times New Roman"/>
          <w:sz w:val="24"/>
          <w:szCs w:val="24"/>
        </w:rPr>
        <w:t>s guerras)</w:t>
      </w:r>
      <w:r w:rsidRPr="00532609">
        <w:rPr>
          <w:rFonts w:ascii="Times New Roman" w:hAnsi="Times New Roman" w:cs="Times New Roman"/>
          <w:sz w:val="24"/>
          <w:szCs w:val="24"/>
        </w:rPr>
        <w:t xml:space="preserve">. Una vez que comienza el desajuste en los precios, resulta muy difícil de corregir en el corto plazo.  </w:t>
      </w:r>
    </w:p>
    <w:p w:rsidR="00532609" w:rsidRPr="00532609" w:rsidRDefault="00532609" w:rsidP="00532609">
      <w:pPr>
        <w:shd w:val="clear" w:color="auto" w:fill="FFFFFF"/>
        <w:spacing w:before="100" w:beforeAutospacing="1" w:after="100" w:afterAutospacing="1" w:line="240" w:lineRule="auto"/>
        <w:jc w:val="both"/>
        <w:rPr>
          <w:rFonts w:ascii="Times New Roman" w:hAnsi="Times New Roman" w:cs="Times New Roman"/>
          <w:sz w:val="24"/>
          <w:szCs w:val="24"/>
        </w:rPr>
      </w:pPr>
      <w:r w:rsidRPr="00532609">
        <w:rPr>
          <w:rFonts w:ascii="Times New Roman" w:hAnsi="Times New Roman" w:cs="Times New Roman"/>
          <w:sz w:val="24"/>
          <w:szCs w:val="24"/>
        </w:rPr>
        <w:t>Lo que la FED y el BCE, consideran un “techo” de la inflación (co</w:t>
      </w:r>
      <w:r w:rsidR="00324F4A">
        <w:rPr>
          <w:rFonts w:ascii="Times New Roman" w:hAnsi="Times New Roman" w:cs="Times New Roman"/>
          <w:sz w:val="24"/>
          <w:szCs w:val="24"/>
        </w:rPr>
        <w:t>yuntural), como argentino escal</w:t>
      </w:r>
      <w:r w:rsidRPr="00532609">
        <w:rPr>
          <w:rFonts w:ascii="Times New Roman" w:hAnsi="Times New Roman" w:cs="Times New Roman"/>
          <w:sz w:val="24"/>
          <w:szCs w:val="24"/>
        </w:rPr>
        <w:t>dado, me animo a decir, que puede consolidarse como un “piso” de la inflación (estructural), de incierta evolución, y prejudiciales consecuencias. Aunque “perjudique” a los gobiernos “manirrotos”, y “moleste” a los “alquimistas” de Wall Street y Silicon Valley, se necesita una urgente y marcada reducción del estímulo monetario para frenar el alza de los precios, así como un alza de la tasa de interé</w:t>
      </w:r>
      <w:r w:rsidR="00324F4A">
        <w:rPr>
          <w:rFonts w:ascii="Times New Roman" w:hAnsi="Times New Roman" w:cs="Times New Roman"/>
          <w:sz w:val="24"/>
          <w:szCs w:val="24"/>
        </w:rPr>
        <w:t>s</w:t>
      </w:r>
      <w:r w:rsidRPr="00532609">
        <w:rPr>
          <w:rFonts w:ascii="Times New Roman" w:hAnsi="Times New Roman" w:cs="Times New Roman"/>
          <w:sz w:val="24"/>
          <w:szCs w:val="24"/>
        </w:rPr>
        <w:t xml:space="preserve">, que restablezca la propensión al ahorro. Cuanto más rápido se </w:t>
      </w:r>
      <w:r w:rsidR="00324F4A" w:rsidRPr="00532609">
        <w:rPr>
          <w:rFonts w:ascii="Times New Roman" w:hAnsi="Times New Roman" w:cs="Times New Roman"/>
          <w:sz w:val="24"/>
          <w:szCs w:val="24"/>
        </w:rPr>
        <w:t>actúe</w:t>
      </w:r>
      <w:r w:rsidRPr="00532609">
        <w:rPr>
          <w:rFonts w:ascii="Times New Roman" w:hAnsi="Times New Roman" w:cs="Times New Roman"/>
          <w:sz w:val="24"/>
          <w:szCs w:val="24"/>
        </w:rPr>
        <w:t>, menos radical tendrá que ser la cirugía.</w:t>
      </w:r>
    </w:p>
    <w:p w:rsidR="00532609" w:rsidRPr="00532609" w:rsidRDefault="00532609" w:rsidP="00532609">
      <w:pPr>
        <w:shd w:val="clear" w:color="auto" w:fill="FFFFFF"/>
        <w:spacing w:before="100" w:beforeAutospacing="1" w:after="100" w:afterAutospacing="1" w:line="240" w:lineRule="auto"/>
        <w:jc w:val="both"/>
        <w:rPr>
          <w:rFonts w:ascii="Times New Roman" w:hAnsi="Times New Roman" w:cs="Times New Roman"/>
          <w:sz w:val="24"/>
          <w:szCs w:val="24"/>
        </w:rPr>
      </w:pPr>
      <w:r w:rsidRPr="00532609">
        <w:rPr>
          <w:rFonts w:ascii="Times New Roman" w:hAnsi="Times New Roman" w:cs="Times New Roman"/>
          <w:sz w:val="24"/>
          <w:szCs w:val="24"/>
        </w:rPr>
        <w:t xml:space="preserve">El metaverso (universo virtual) de los bancos centrales (QE plus), sobre la creación de moneda </w:t>
      </w:r>
      <w:r w:rsidR="00324F4A" w:rsidRPr="00532609">
        <w:rPr>
          <w:rFonts w:ascii="Times New Roman" w:hAnsi="Times New Roman" w:cs="Times New Roman"/>
          <w:sz w:val="24"/>
          <w:szCs w:val="24"/>
        </w:rPr>
        <w:t>artificial</w:t>
      </w:r>
      <w:r w:rsidRPr="00532609">
        <w:rPr>
          <w:rFonts w:ascii="Times New Roman" w:hAnsi="Times New Roman" w:cs="Times New Roman"/>
          <w:sz w:val="24"/>
          <w:szCs w:val="24"/>
        </w:rPr>
        <w:t>, que sirva para la evolución de una economía irreal (de oci</w:t>
      </w:r>
      <w:r>
        <w:rPr>
          <w:rFonts w:ascii="Times New Roman" w:hAnsi="Times New Roman" w:cs="Times New Roman"/>
          <w:sz w:val="24"/>
          <w:szCs w:val="24"/>
        </w:rPr>
        <w:t>o, entretenimiento, espionaje y control</w:t>
      </w:r>
      <w:r w:rsidRPr="00532609">
        <w:rPr>
          <w:rFonts w:ascii="Times New Roman" w:hAnsi="Times New Roman" w:cs="Times New Roman"/>
          <w:sz w:val="24"/>
          <w:szCs w:val="24"/>
        </w:rPr>
        <w:t xml:space="preserve"> social), está agotado. El intento de promover una vida como la que llevaríamos normalmente, pero en un mundo virtual, es falaz y peligrosa.</w:t>
      </w:r>
      <w:r w:rsidR="003958F0">
        <w:rPr>
          <w:rFonts w:ascii="Times New Roman" w:hAnsi="Times New Roman" w:cs="Times New Roman"/>
          <w:sz w:val="24"/>
          <w:szCs w:val="24"/>
        </w:rPr>
        <w:t xml:space="preserve"> </w:t>
      </w:r>
      <w:r w:rsidRPr="00532609">
        <w:rPr>
          <w:rFonts w:ascii="Times New Roman" w:hAnsi="Times New Roman" w:cs="Times New Roman"/>
          <w:sz w:val="24"/>
          <w:szCs w:val="24"/>
        </w:rPr>
        <w:t xml:space="preserve">Los avatares digitales utilizados en el multiverso monetario, han sido favorables para la especulación financiera, pero desfavorables para la económica productiva; han </w:t>
      </w:r>
      <w:r w:rsidR="00324F4A" w:rsidRPr="00532609">
        <w:rPr>
          <w:rFonts w:ascii="Times New Roman" w:hAnsi="Times New Roman" w:cs="Times New Roman"/>
          <w:sz w:val="24"/>
          <w:szCs w:val="24"/>
        </w:rPr>
        <w:t>conseguido</w:t>
      </w:r>
      <w:r w:rsidRPr="00532609">
        <w:rPr>
          <w:rFonts w:ascii="Times New Roman" w:hAnsi="Times New Roman" w:cs="Times New Roman"/>
          <w:sz w:val="24"/>
          <w:szCs w:val="24"/>
        </w:rPr>
        <w:t xml:space="preserve"> una alta aprobación por parte de los “ganadores” de la expansión cuantitativa (QE), pero han provocado una enorme frustración y decepción por parte de los “perdedores” del QE. </w:t>
      </w:r>
    </w:p>
    <w:p w:rsidR="00532609" w:rsidRPr="00532609" w:rsidRDefault="00532609" w:rsidP="00532609">
      <w:pPr>
        <w:shd w:val="clear" w:color="auto" w:fill="FFFFFF"/>
        <w:spacing w:before="100" w:beforeAutospacing="1" w:after="100" w:afterAutospacing="1" w:line="240" w:lineRule="auto"/>
        <w:jc w:val="both"/>
        <w:rPr>
          <w:rFonts w:ascii="Times New Roman" w:hAnsi="Times New Roman" w:cs="Times New Roman"/>
          <w:sz w:val="24"/>
          <w:szCs w:val="24"/>
        </w:rPr>
      </w:pPr>
      <w:r w:rsidRPr="00532609">
        <w:rPr>
          <w:rFonts w:ascii="Times New Roman" w:hAnsi="Times New Roman" w:cs="Times New Roman"/>
          <w:sz w:val="24"/>
          <w:szCs w:val="24"/>
        </w:rPr>
        <w:t>Cuanto antes asuman su fracaso los arrogantes funambulistas de Wall Street y Silicon Valley, y los fatuos burócratas de los organismos monetarios, menos daño harán a la economía real y a los contribuyentes. Tal vez, algún día, comprendan la frase: sobre todo no hagas daño. (Octubre 2021) El momento de actuar es ahora. Mañana puede que sea demasiado tarde. Cuando este Paper se publique (Enero 2022), ustedes podrán dar o quitar razón a lo dicho.</w:t>
      </w:r>
    </w:p>
    <w:p w:rsidR="0022268B" w:rsidRDefault="00713EE5" w:rsidP="005D6F23">
      <w:pPr>
        <w:pStyle w:val="Estndar"/>
        <w:jc w:val="both"/>
        <w:rPr>
          <w:b/>
          <w:shd w:val="clear" w:color="auto" w:fill="FFFFFF"/>
        </w:rPr>
      </w:pPr>
      <w:r w:rsidRPr="00713EE5">
        <w:rPr>
          <w:b/>
          <w:shd w:val="clear" w:color="auto" w:fill="FFFFFF"/>
        </w:rPr>
        <w:lastRenderedPageBreak/>
        <w:t xml:space="preserve">- </w:t>
      </w:r>
      <w:r w:rsidR="0022268B" w:rsidRPr="00713EE5">
        <w:rPr>
          <w:b/>
          <w:shd w:val="clear" w:color="auto" w:fill="FFFFFF"/>
        </w:rPr>
        <w:t>Del baúl de los recuerdos (algunas frases célebres de los</w:t>
      </w:r>
      <w:r w:rsidRPr="00713EE5">
        <w:rPr>
          <w:b/>
          <w:shd w:val="clear" w:color="auto" w:fill="FFFFFF"/>
        </w:rPr>
        <w:t xml:space="preserve"> “vigilantes” del dinero)</w:t>
      </w:r>
    </w:p>
    <w:p w:rsidR="00136353" w:rsidRPr="005D6F23" w:rsidRDefault="00136353" w:rsidP="005D6F23">
      <w:pPr>
        <w:pStyle w:val="Estndar"/>
        <w:jc w:val="both"/>
        <w:rPr>
          <w:color w:val="auto"/>
          <w:lang w:val="es-ES"/>
        </w:rPr>
      </w:pPr>
    </w:p>
    <w:p w:rsidR="0022268B" w:rsidRPr="00713EE5" w:rsidRDefault="0022268B" w:rsidP="00FA4DA9">
      <w:pPr>
        <w:spacing w:line="240" w:lineRule="auto"/>
        <w:jc w:val="both"/>
        <w:rPr>
          <w:rFonts w:ascii="Times New Roman" w:hAnsi="Times New Roman" w:cs="Times New Roman"/>
          <w:b/>
          <w:sz w:val="24"/>
          <w:szCs w:val="24"/>
        </w:rPr>
      </w:pPr>
      <w:r w:rsidRPr="00713EE5">
        <w:rPr>
          <w:rFonts w:ascii="Times New Roman" w:hAnsi="Times New Roman" w:cs="Times New Roman"/>
          <w:sz w:val="24"/>
          <w:szCs w:val="24"/>
        </w:rPr>
        <w:t xml:space="preserve">De un Ensayo anterior: </w:t>
      </w:r>
      <w:r w:rsidRPr="00713EE5">
        <w:rPr>
          <w:rFonts w:ascii="Times New Roman" w:hAnsi="Times New Roman" w:cs="Times New Roman"/>
          <w:b/>
          <w:sz w:val="24"/>
          <w:szCs w:val="24"/>
        </w:rPr>
        <w:t>“Al “Maestro” con cariño  (50 variables y ningún rigor) Hagiografía -no autorizada- de Alan Greenspan”</w:t>
      </w:r>
      <w:r w:rsidRPr="00713EE5">
        <w:rPr>
          <w:rFonts w:ascii="Times New Roman" w:hAnsi="Times New Roman" w:cs="Times New Roman"/>
          <w:sz w:val="24"/>
          <w:szCs w:val="24"/>
        </w:rPr>
        <w:t xml:space="preserve">, publicado en </w:t>
      </w:r>
      <w:r w:rsidRPr="00713EE5">
        <w:rPr>
          <w:rFonts w:ascii="Times New Roman" w:hAnsi="Times New Roman" w:cs="Times New Roman"/>
          <w:b/>
          <w:sz w:val="24"/>
          <w:szCs w:val="24"/>
        </w:rPr>
        <w:t>Mayo de 2005</w:t>
      </w:r>
    </w:p>
    <w:p w:rsidR="0022268B" w:rsidRPr="00713EE5" w:rsidRDefault="0022268B" w:rsidP="00FA4DA9">
      <w:pPr>
        <w:spacing w:line="240" w:lineRule="auto"/>
        <w:jc w:val="both"/>
        <w:rPr>
          <w:rFonts w:ascii="Times New Roman" w:hAnsi="Times New Roman" w:cs="Times New Roman"/>
          <w:sz w:val="24"/>
          <w:szCs w:val="24"/>
        </w:rPr>
      </w:pPr>
    </w:p>
    <w:p w:rsidR="0022268B" w:rsidRPr="00713EE5" w:rsidRDefault="00713EE5" w:rsidP="00FA4DA9">
      <w:pPr>
        <w:spacing w:line="240" w:lineRule="auto"/>
        <w:jc w:val="both"/>
        <w:rPr>
          <w:rFonts w:ascii="Times New Roman" w:hAnsi="Times New Roman" w:cs="Times New Roman"/>
          <w:color w:val="FF0000"/>
          <w:sz w:val="24"/>
          <w:szCs w:val="24"/>
        </w:rPr>
      </w:pPr>
      <w:r w:rsidRPr="00713EE5">
        <w:rPr>
          <w:rFonts w:ascii="Times New Roman" w:hAnsi="Times New Roman" w:cs="Times New Roman"/>
          <w:color w:val="FF0000"/>
          <w:sz w:val="24"/>
          <w:szCs w:val="24"/>
        </w:rPr>
        <w:t xml:space="preserve">              </w:t>
      </w:r>
      <w:r w:rsidR="0022268B" w:rsidRPr="00713EE5">
        <w:rPr>
          <w:rFonts w:ascii="Times New Roman" w:hAnsi="Times New Roman" w:cs="Times New Roman"/>
          <w:noProof/>
          <w:sz w:val="24"/>
          <w:szCs w:val="24"/>
          <w:lang w:eastAsia="es-ES"/>
        </w:rPr>
        <w:drawing>
          <wp:inline distT="0" distB="0" distL="0" distR="0" wp14:anchorId="34580396" wp14:editId="2F8E6962">
            <wp:extent cx="4400550" cy="4737100"/>
            <wp:effectExtent l="0" t="0" r="0" b="6350"/>
            <wp:docPr id="35" name="Imagen 35" descr="envioGREENSPAN pre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nvioGREENSPAN preso"/>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4403478" cy="4740252"/>
                    </a:xfrm>
                    <a:prstGeom prst="rect">
                      <a:avLst/>
                    </a:prstGeom>
                    <a:noFill/>
                    <a:ln>
                      <a:noFill/>
                    </a:ln>
                  </pic:spPr>
                </pic:pic>
              </a:graphicData>
            </a:graphic>
          </wp:inline>
        </w:drawing>
      </w:r>
    </w:p>
    <w:p w:rsidR="0022268B" w:rsidRPr="00713EE5" w:rsidRDefault="002312B2" w:rsidP="00FA4DA9">
      <w:pPr>
        <w:spacing w:line="240" w:lineRule="auto"/>
        <w:jc w:val="both"/>
        <w:rPr>
          <w:rFonts w:ascii="Times New Roman" w:hAnsi="Times New Roman" w:cs="Times New Roman"/>
          <w:sz w:val="24"/>
          <w:szCs w:val="24"/>
        </w:rPr>
      </w:pPr>
      <w:r>
        <w:rPr>
          <w:rFonts w:ascii="Times New Roman" w:hAnsi="Times New Roman" w:cs="Times New Roman"/>
          <w:b/>
          <w:sz w:val="24"/>
          <w:szCs w:val="24"/>
        </w:rPr>
        <w:t>“</w:t>
      </w:r>
      <w:r w:rsidR="0022268B" w:rsidRPr="00713EE5">
        <w:rPr>
          <w:rFonts w:ascii="Times New Roman" w:hAnsi="Times New Roman" w:cs="Times New Roman"/>
          <w:b/>
          <w:sz w:val="24"/>
          <w:szCs w:val="24"/>
        </w:rPr>
        <w:t>Los pecadores de Wall Street d</w:t>
      </w:r>
      <w:r>
        <w:rPr>
          <w:rFonts w:ascii="Times New Roman" w:hAnsi="Times New Roman" w:cs="Times New Roman"/>
          <w:b/>
          <w:sz w:val="24"/>
          <w:szCs w:val="24"/>
        </w:rPr>
        <w:t>eben ser castigados prontamente”</w:t>
      </w:r>
      <w:r w:rsidR="0022268B" w:rsidRPr="00713EE5">
        <w:rPr>
          <w:rFonts w:ascii="Times New Roman" w:hAnsi="Times New Roman" w:cs="Times New Roman"/>
          <w:b/>
          <w:sz w:val="24"/>
          <w:szCs w:val="24"/>
        </w:rPr>
        <w:t xml:space="preserve"> </w:t>
      </w:r>
      <w:r w:rsidR="0022268B" w:rsidRPr="00713EE5">
        <w:rPr>
          <w:rFonts w:ascii="Times New Roman" w:hAnsi="Times New Roman" w:cs="Times New Roman"/>
          <w:sz w:val="24"/>
          <w:szCs w:val="24"/>
        </w:rPr>
        <w:t>(Alan Greenspan - 16/04/04)</w:t>
      </w:r>
    </w:p>
    <w:p w:rsidR="0022268B" w:rsidRPr="00713EE5" w:rsidRDefault="002312B2" w:rsidP="00FA4DA9">
      <w:pPr>
        <w:spacing w:line="240" w:lineRule="auto"/>
        <w:jc w:val="both"/>
        <w:rPr>
          <w:rFonts w:ascii="Times New Roman" w:hAnsi="Times New Roman" w:cs="Times New Roman"/>
          <w:sz w:val="24"/>
          <w:szCs w:val="24"/>
        </w:rPr>
      </w:pPr>
      <w:r>
        <w:rPr>
          <w:rFonts w:ascii="Times New Roman" w:hAnsi="Times New Roman" w:cs="Times New Roman"/>
          <w:b/>
          <w:sz w:val="24"/>
          <w:szCs w:val="24"/>
        </w:rPr>
        <w:t>“</w:t>
      </w:r>
      <w:r w:rsidR="0022268B" w:rsidRPr="00713EE5">
        <w:rPr>
          <w:rFonts w:ascii="Times New Roman" w:hAnsi="Times New Roman" w:cs="Times New Roman"/>
          <w:b/>
          <w:sz w:val="24"/>
          <w:szCs w:val="24"/>
        </w:rPr>
        <w:t>Es necesario tener cuidado al reformular las reglas y las prácticas que ya no son suficientes para afrontar la reciente ola de escándalos en Wall Street…los legisladores deben ev</w:t>
      </w:r>
      <w:r>
        <w:rPr>
          <w:rFonts w:ascii="Times New Roman" w:hAnsi="Times New Roman" w:cs="Times New Roman"/>
          <w:b/>
          <w:sz w:val="24"/>
          <w:szCs w:val="24"/>
        </w:rPr>
        <w:t>itar provocar daños colaterales”</w:t>
      </w:r>
      <w:r w:rsidR="0022268B" w:rsidRPr="00713EE5">
        <w:rPr>
          <w:rFonts w:ascii="Times New Roman" w:hAnsi="Times New Roman" w:cs="Times New Roman"/>
          <w:b/>
          <w:sz w:val="24"/>
          <w:szCs w:val="24"/>
        </w:rPr>
        <w:t xml:space="preserve"> </w:t>
      </w:r>
      <w:r w:rsidR="0022268B" w:rsidRPr="00713EE5">
        <w:rPr>
          <w:rFonts w:ascii="Times New Roman" w:hAnsi="Times New Roman" w:cs="Times New Roman"/>
          <w:sz w:val="24"/>
          <w:szCs w:val="24"/>
        </w:rPr>
        <w:t>(Alan Greenspan - 16/04/04)</w:t>
      </w:r>
    </w:p>
    <w:p w:rsidR="0022268B" w:rsidRPr="00713EE5" w:rsidRDefault="002312B2" w:rsidP="00FA4DA9">
      <w:pPr>
        <w:spacing w:line="240" w:lineRule="auto"/>
        <w:jc w:val="both"/>
        <w:rPr>
          <w:rFonts w:ascii="Times New Roman" w:hAnsi="Times New Roman" w:cs="Times New Roman"/>
          <w:sz w:val="24"/>
          <w:szCs w:val="24"/>
        </w:rPr>
      </w:pPr>
      <w:r>
        <w:rPr>
          <w:rFonts w:ascii="Times New Roman" w:hAnsi="Times New Roman" w:cs="Times New Roman"/>
          <w:b/>
          <w:sz w:val="24"/>
          <w:szCs w:val="24"/>
        </w:rPr>
        <w:t>“</w:t>
      </w:r>
      <w:r w:rsidR="0022268B" w:rsidRPr="00713EE5">
        <w:rPr>
          <w:rFonts w:ascii="Times New Roman" w:hAnsi="Times New Roman" w:cs="Times New Roman"/>
          <w:b/>
          <w:sz w:val="24"/>
          <w:szCs w:val="24"/>
        </w:rPr>
        <w:t xml:space="preserve">Algunas prácticas y reglas han perdido su utilidad y requieren ser actualizadas. Pero al hacerlo debemos ser cuidadosos y no erosionar el paradigma que ha gobernado voluntaria </w:t>
      </w:r>
      <w:r>
        <w:rPr>
          <w:rFonts w:ascii="Times New Roman" w:hAnsi="Times New Roman" w:cs="Times New Roman"/>
          <w:b/>
          <w:sz w:val="24"/>
          <w:szCs w:val="24"/>
        </w:rPr>
        <w:t>y efectivamente las operaciones”</w:t>
      </w:r>
      <w:r w:rsidR="0022268B" w:rsidRPr="00713EE5">
        <w:rPr>
          <w:rFonts w:ascii="Times New Roman" w:hAnsi="Times New Roman" w:cs="Times New Roman"/>
          <w:b/>
          <w:sz w:val="24"/>
          <w:szCs w:val="24"/>
        </w:rPr>
        <w:t xml:space="preserve"> </w:t>
      </w:r>
      <w:r w:rsidR="0022268B" w:rsidRPr="00713EE5">
        <w:rPr>
          <w:rFonts w:ascii="Times New Roman" w:hAnsi="Times New Roman" w:cs="Times New Roman"/>
          <w:sz w:val="24"/>
          <w:szCs w:val="24"/>
        </w:rPr>
        <w:t>(Alan Greenspan - 16/04/04)</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“Burbujita” Greenspan</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El hombre sabio contempla lo inevitable y decide que no es inevitable (…) El hombre común contempla lo que es inevitable y decide que es inevitable (…) Zhuang Zi</w:t>
      </w:r>
    </w:p>
    <w:p w:rsidR="0022268B" w:rsidRPr="00713EE5" w:rsidRDefault="00713EE5"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w:t>
      </w:r>
      <w:r w:rsidR="00324F4A" w:rsidRPr="00713EE5">
        <w:rPr>
          <w:rFonts w:ascii="Times New Roman" w:hAnsi="Times New Roman" w:cs="Times New Roman"/>
          <w:sz w:val="24"/>
          <w:szCs w:val="24"/>
        </w:rPr>
        <w:t>Cómo</w:t>
      </w:r>
      <w:r w:rsidR="0022268B" w:rsidRPr="00713EE5">
        <w:rPr>
          <w:rFonts w:ascii="Times New Roman" w:hAnsi="Times New Roman" w:cs="Times New Roman"/>
          <w:sz w:val="24"/>
          <w:szCs w:val="24"/>
        </w:rPr>
        <w:t xml:space="preserve"> catalogarían ustedes al “Maestro” Greenspan?</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lastRenderedPageBreak/>
        <w:t>Una persona que dice: “Es necesario tener cuidado al reformular las reglas y las prácticas que ya no son suficientes para afrontar la reciente ola de escándalos de Wall Street…los legisladores deben evitar provocar “daños colaterales”…Algunas prácticas y reglas han perdido su utilidad y requieren ser actualizadas. Pero al hacerlo debemos ser cuidadosos y no erosionar el paradigma que ha gobernado voluntaria y efectivamente las operaciones”… ¿Es un hombre sabio o un hombre común? ¿Es un Maestro que orienta a sus discípulos, o apenas un “celador” que trata de “tranquilizar” a los mercaderes? ¿Es un Mago que saca conejos de la chistera, o apenas la “liebre” que corre por delante de los galgos?...</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El “Sir” impresiona a los economistas denominando “nuevo paradigma” a lo que sólo es especulación…caratulando de “sobre reacción” a un crash que esfumó más de cuatro billones de dólares de riqueza…pasando de advertir de la “exuberancia irracional” de la bolsa a dedicarse a prolongar este rendimiento…simulando que el problema era “puramente técnico” y que los “cimientos permanecían intactos”…</w:t>
      </w:r>
    </w:p>
    <w:p w:rsidR="0022268B" w:rsidRPr="00713EE5" w:rsidRDefault="00713EE5"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w:t>
      </w:r>
      <w:r w:rsidR="0022268B" w:rsidRPr="00713EE5">
        <w:rPr>
          <w:rFonts w:ascii="Times New Roman" w:hAnsi="Times New Roman" w:cs="Times New Roman"/>
          <w:sz w:val="24"/>
          <w:szCs w:val="24"/>
        </w:rPr>
        <w:t>Greenspan es un sabio, un hombre común, o un encantador de serpientes?</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Cada período del capitalismo tiende a ser diferente a cualquier otro período, una vez dicho esto, la historia de los ciclos económicos y crash bursátiles presentan fenómenos similares. La diferencia con el período actual es especialmente que el nivel de desarrollo del capitalismo es mucho mayor, cada vez se ven afectadas más sumas de capital, y la escala potencial para el desastre es mayor.</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Las “serpientes encantadoras de hombres” guardan el secreto de la “explosión de productividad”, que no es otro que haberlo logrado a expensas de los trabajadores, del aumento colosal de la explotación para generar enormes beneficios a costa de los nervios y la extenuación física de hombres y mujeres, que han retrocedido a sistemas laborales similares a los de sus abuelos o bisabuelos, de la deslocalización,  de la tercerización, del librecambio…</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En tales circunstancias, las ambigüedades engañosas, a veces llamadas, por eufemismo “administración de la crisis”, pueden ser fatales para naciones enteras.</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Normalmente es difícil traducir las palabras de Greenspan a un lenguaje inteligible. Por esto, a la jerga utilizada por el líder de la Fed se le llama “greenspanspeak”, la que se caracteriza por decir “sí y no a la vez”.</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Llamar las cosas por su nombre no va con el estilo de Greenspan, quien ha sostenido más de una vez: “Dedico mucho tiempo a tratar de esquivar las preguntas y me preocupa terriblemente que pueda terminar siendo demasiado claro”.</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No obstante ello, más de una vez se le entiende todo –por adelante y por atrás-, como en las siguientes frases:</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“Si bien los derivados han proporcionado mayor flexibilidad al sistema financiero, también tienen un lado negativo…Su propia complejidad podría dejar a las contrapartes vulnerables a un riesgo significativo que no reconocen actualmente, y por lo tanto estos instrumentos potencialmente exponen al sistema general si los errores son grandes…No obstante los derivados son una parte de una tendencia mayor de innovación financiera que pudo haber ayudado a aligerar la volatilidad usual de los ciclos empresariales”…</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(Luego del colapso del gigante comercializador de energía Enron, algunos legisladores pidieron una mayor regulación de los derivados)</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lastRenderedPageBreak/>
        <w:t>Sin embargo, Greenspan dijo que Enron, así como Long Term Capital Management, un fondo de cobertura que casi colapsó en 1998, tuvieron problemas derivados de un exceso de deuda y “contabilidad opaca”, entre otros factores.</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“Los swaps y otros derivados han estado notablemente libres de fracasos a lo largo de su corta historia, incluso en los últimos 18 meses”, dijo.</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 xml:space="preserve">Lo dicho, </w:t>
      </w:r>
      <w:r w:rsidR="00324F4A">
        <w:rPr>
          <w:rFonts w:ascii="Times New Roman" w:hAnsi="Times New Roman" w:cs="Times New Roman"/>
          <w:sz w:val="24"/>
          <w:szCs w:val="24"/>
        </w:rPr>
        <w:t>¡</w:t>
      </w:r>
      <w:r w:rsidRPr="00713EE5">
        <w:rPr>
          <w:rFonts w:ascii="Times New Roman" w:hAnsi="Times New Roman" w:cs="Times New Roman"/>
          <w:sz w:val="24"/>
          <w:szCs w:val="24"/>
        </w:rPr>
        <w:t>a veces se le entiende todo!</w:t>
      </w:r>
    </w:p>
    <w:p w:rsidR="0022268B" w:rsidRPr="00713EE5" w:rsidRDefault="00713EE5"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w:t>
      </w:r>
      <w:r w:rsidR="0022268B" w:rsidRPr="00713EE5">
        <w:rPr>
          <w:rFonts w:ascii="Times New Roman" w:hAnsi="Times New Roman" w:cs="Times New Roman"/>
          <w:sz w:val="24"/>
          <w:szCs w:val="24"/>
        </w:rPr>
        <w:t>Por</w:t>
      </w:r>
      <w:r w:rsidRPr="00713EE5">
        <w:rPr>
          <w:rFonts w:ascii="Times New Roman" w:hAnsi="Times New Roman" w:cs="Times New Roman"/>
          <w:sz w:val="24"/>
          <w:szCs w:val="24"/>
        </w:rPr>
        <w:t xml:space="preserve"> qué un hombre tan conservador -</w:t>
      </w:r>
      <w:r w:rsidR="0022268B" w:rsidRPr="00713EE5">
        <w:rPr>
          <w:rFonts w:ascii="Times New Roman" w:hAnsi="Times New Roman" w:cs="Times New Roman"/>
          <w:sz w:val="24"/>
          <w:szCs w:val="24"/>
        </w:rPr>
        <w:t>al menos en sus inversiones personales- puede ser el “propalador del viento”?</w:t>
      </w:r>
    </w:p>
    <w:p w:rsidR="0022268B" w:rsidRPr="00713EE5" w:rsidRDefault="00713EE5"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w:t>
      </w:r>
      <w:r w:rsidR="0022268B" w:rsidRPr="00713EE5">
        <w:rPr>
          <w:rFonts w:ascii="Times New Roman" w:hAnsi="Times New Roman" w:cs="Times New Roman"/>
          <w:sz w:val="24"/>
          <w:szCs w:val="24"/>
        </w:rPr>
        <w:t>Por qué resulta ser el ocultador de la insolvencia, el creador de los artificios para generar la ilusión de que nada está pasando, el supervisor que no se ha tomado en serio la fun</w:t>
      </w:r>
      <w:r w:rsidRPr="00713EE5">
        <w:rPr>
          <w:rFonts w:ascii="Times New Roman" w:hAnsi="Times New Roman" w:cs="Times New Roman"/>
          <w:sz w:val="24"/>
          <w:szCs w:val="24"/>
        </w:rPr>
        <w:t>ción de “contralor” (asumiendo -</w:t>
      </w:r>
      <w:r w:rsidR="0022268B" w:rsidRPr="00713EE5">
        <w:rPr>
          <w:rFonts w:ascii="Times New Roman" w:hAnsi="Times New Roman" w:cs="Times New Roman"/>
          <w:sz w:val="24"/>
          <w:szCs w:val="24"/>
        </w:rPr>
        <w:t>calificando- a ciertos bancos co</w:t>
      </w:r>
      <w:r w:rsidRPr="00713EE5">
        <w:rPr>
          <w:rFonts w:ascii="Times New Roman" w:hAnsi="Times New Roman" w:cs="Times New Roman"/>
          <w:sz w:val="24"/>
          <w:szCs w:val="24"/>
        </w:rPr>
        <w:t>n dificultades como “líquidos” -</w:t>
      </w:r>
      <w:r w:rsidR="0022268B" w:rsidRPr="00713EE5">
        <w:rPr>
          <w:rFonts w:ascii="Times New Roman" w:hAnsi="Times New Roman" w:cs="Times New Roman"/>
          <w:sz w:val="24"/>
          <w:szCs w:val="24"/>
        </w:rPr>
        <w:t>y en consecuencia digno de ser rescatado- en lugar de c</w:t>
      </w:r>
      <w:r w:rsidRPr="00713EE5">
        <w:rPr>
          <w:rFonts w:ascii="Times New Roman" w:hAnsi="Times New Roman" w:cs="Times New Roman"/>
          <w:sz w:val="24"/>
          <w:szCs w:val="24"/>
        </w:rPr>
        <w:t>alificarlos como “insolventes” -</w:t>
      </w:r>
      <w:r w:rsidR="0022268B" w:rsidRPr="00713EE5">
        <w:rPr>
          <w:rFonts w:ascii="Times New Roman" w:hAnsi="Times New Roman" w:cs="Times New Roman"/>
          <w:sz w:val="24"/>
          <w:szCs w:val="24"/>
        </w:rPr>
        <w:t>y sujetos a clausura-)?</w:t>
      </w:r>
    </w:p>
    <w:p w:rsidR="0022268B" w:rsidRPr="00713EE5" w:rsidRDefault="00713EE5"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w:t>
      </w:r>
      <w:r w:rsidR="0022268B" w:rsidRPr="00713EE5">
        <w:rPr>
          <w:rFonts w:ascii="Times New Roman" w:hAnsi="Times New Roman" w:cs="Times New Roman"/>
          <w:sz w:val="24"/>
          <w:szCs w:val="24"/>
        </w:rPr>
        <w:t>Por qué es el “guardavida” de los insensatos?</w:t>
      </w:r>
    </w:p>
    <w:p w:rsidR="0022268B" w:rsidRPr="00713EE5" w:rsidRDefault="00713EE5"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w:t>
      </w:r>
      <w:r w:rsidR="0022268B" w:rsidRPr="00713EE5">
        <w:rPr>
          <w:rFonts w:ascii="Times New Roman" w:hAnsi="Times New Roman" w:cs="Times New Roman"/>
          <w:sz w:val="24"/>
          <w:szCs w:val="24"/>
        </w:rPr>
        <w:t>Por qué abrazó el término “nueva economía” sabiendo que fue inventado por los periodistas estadounidenses, educados en el culto a lo “nuevo”, con el que alimentan el “imaginario” de sus lectores?</w:t>
      </w:r>
    </w:p>
    <w:p w:rsidR="0022268B" w:rsidRPr="00713EE5" w:rsidRDefault="00713EE5"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w:t>
      </w:r>
      <w:r w:rsidR="0022268B" w:rsidRPr="00713EE5">
        <w:rPr>
          <w:rFonts w:ascii="Times New Roman" w:hAnsi="Times New Roman" w:cs="Times New Roman"/>
          <w:sz w:val="24"/>
          <w:szCs w:val="24"/>
        </w:rPr>
        <w:t>Por qué apuntaló un régimen de acumulación con predominio financiero?</w:t>
      </w:r>
    </w:p>
    <w:p w:rsidR="0022268B" w:rsidRPr="00713EE5" w:rsidRDefault="00713EE5"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w:t>
      </w:r>
      <w:r w:rsidR="0022268B" w:rsidRPr="00713EE5">
        <w:rPr>
          <w:rFonts w:ascii="Times New Roman" w:hAnsi="Times New Roman" w:cs="Times New Roman"/>
          <w:sz w:val="24"/>
          <w:szCs w:val="24"/>
        </w:rPr>
        <w:t>Por qué cedió a la presión “impersonal” de los mercados financieros?</w:t>
      </w:r>
    </w:p>
    <w:p w:rsidR="0022268B" w:rsidRPr="00713EE5" w:rsidRDefault="00713EE5"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w:t>
      </w:r>
      <w:r w:rsidR="0022268B" w:rsidRPr="00713EE5">
        <w:rPr>
          <w:rFonts w:ascii="Times New Roman" w:hAnsi="Times New Roman" w:cs="Times New Roman"/>
          <w:sz w:val="24"/>
          <w:szCs w:val="24"/>
        </w:rPr>
        <w:t>Por qué alimentó la “divina sorpresa” de la última década del siglo, basada en el aumento del índice de crecimiento de la productividad total de los factores, sabiendo que se basaba en la producción de lo necesario sin la participación de una amplia y creciente porción de sus miembros?</w:t>
      </w:r>
    </w:p>
    <w:p w:rsidR="0022268B" w:rsidRPr="00713EE5" w:rsidRDefault="00713EE5"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w:t>
      </w:r>
      <w:r w:rsidR="0022268B" w:rsidRPr="00713EE5">
        <w:rPr>
          <w:rFonts w:ascii="Times New Roman" w:hAnsi="Times New Roman" w:cs="Times New Roman"/>
          <w:sz w:val="24"/>
          <w:szCs w:val="24"/>
        </w:rPr>
        <w:t xml:space="preserve">Por qué ha sido cómplice (por acción-omisión-acción) en el estallido de burbujas y concatenación de las diversas formas de capital ficticio?  </w:t>
      </w:r>
    </w:p>
    <w:p w:rsidR="0022268B" w:rsidRPr="00713EE5" w:rsidRDefault="002312B2" w:rsidP="00FA4DA9">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Nota: </w:t>
      </w:r>
      <w:r w:rsidR="0022268B" w:rsidRPr="00713EE5">
        <w:rPr>
          <w:rFonts w:ascii="Times New Roman" w:hAnsi="Times New Roman" w:cs="Times New Roman"/>
          <w:b/>
          <w:sz w:val="24"/>
          <w:szCs w:val="24"/>
        </w:rPr>
        <w:t>Como “testigo de cargo” sólo puedo aportar sospechas, a las cuales agrego elementos de respuesta</w:t>
      </w:r>
      <w:r>
        <w:rPr>
          <w:rFonts w:ascii="Times New Roman" w:hAnsi="Times New Roman" w:cs="Times New Roman"/>
          <w:b/>
          <w:sz w:val="24"/>
          <w:szCs w:val="24"/>
        </w:rPr>
        <w:t>,</w:t>
      </w:r>
      <w:r w:rsidR="0022268B" w:rsidRPr="00713EE5">
        <w:rPr>
          <w:rFonts w:ascii="Times New Roman" w:hAnsi="Times New Roman" w:cs="Times New Roman"/>
          <w:b/>
          <w:sz w:val="24"/>
          <w:szCs w:val="24"/>
        </w:rPr>
        <w:t xml:space="preserve"> parcial</w:t>
      </w:r>
      <w:r w:rsidR="00713EE5" w:rsidRPr="00713EE5">
        <w:rPr>
          <w:rFonts w:ascii="Times New Roman" w:hAnsi="Times New Roman" w:cs="Times New Roman"/>
          <w:b/>
          <w:sz w:val="24"/>
          <w:szCs w:val="24"/>
        </w:rPr>
        <w:t>es y provisionales (mayo 2005).</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 (De lo actuado en la crisis de 2000)</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 La inflación no es en la actualidad un problema de especial importancia para la economía norteamericana…</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 El estímulo al crecimiento de la economía ha tomado el relevo en la lucha contra la inflación como prioridad en la política monetaria, en una agresiva política de recorte de tipos…</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 Un Banco Central por sí sólo no puede acabar con una recesión…</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 xml:space="preserve">- La última década ha sido extraordinaria para la economía estadounidense. Las sinergias de tecnologías clave elevaron notablemente las perspectivas de beneficios en tecnologías punta, dieron lugar a un repentino aumento del gasto en bienes de capital e incrementaron significativamente la tasa de crecimiento subyacente de la productividad. La capitalización </w:t>
      </w:r>
      <w:r w:rsidRPr="00713EE5">
        <w:rPr>
          <w:rFonts w:ascii="Times New Roman" w:hAnsi="Times New Roman" w:cs="Times New Roman"/>
          <w:sz w:val="24"/>
          <w:szCs w:val="24"/>
        </w:rPr>
        <w:lastRenderedPageBreak/>
        <w:t>del previsto aumento de los beneficios impulsó los precios de las acciones, lo que contribuyó a un importante repunte del gasto de los hogares en una amplia gama de bienes y servicios, especialmente de nuevas viviendas y bienes duraderos. Este incremento del gasto excedió incluso el notable aumento de los ingresos efectivos…</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 A principios de 2000 el repentino incremento del gasto de hogares y empresas había elevado las existencias de muchos tipos de artículos duraderos y bienes de producción hasta cotas imposibles de mantener…</w:t>
      </w:r>
      <w:r w:rsidR="002312B2">
        <w:rPr>
          <w:rFonts w:ascii="Times New Roman" w:hAnsi="Times New Roman" w:cs="Times New Roman"/>
          <w:sz w:val="24"/>
          <w:szCs w:val="24"/>
        </w:rPr>
        <w:t xml:space="preserve"> </w:t>
      </w:r>
      <w:r w:rsidRPr="00713EE5">
        <w:rPr>
          <w:rFonts w:ascii="Times New Roman" w:hAnsi="Times New Roman" w:cs="Times New Roman"/>
          <w:sz w:val="24"/>
          <w:szCs w:val="24"/>
        </w:rPr>
        <w:t>En general, la capacidad de manufactura de las industrias de alta tecnología aumentó casi un 50% el año pasado, muy por encima de su rápido ritmo de crecimiento de los tres años anteriores. Por tanto, era inevitable que en algún momento se produjera la saturación de inventarios y la caída de las perspectivas de beneficios de estas industrias. Estaba claro que cierta ralentización en la tasa de gastos resultaba necesaria, y deseable de ver, para que la economía avanzara por una senda de crecimiento más equilibrada.</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-Pero el ajuste se ha producido mucho más rápidamente de lo que habían previsto la mayor parte de las empresas…</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 Dado que las empresas no anticiparon la magnitud de la desaceleración, han visto como aumentaban sus inventarios…</w:t>
      </w:r>
      <w:r w:rsidR="002312B2">
        <w:rPr>
          <w:rFonts w:ascii="Times New Roman" w:hAnsi="Times New Roman" w:cs="Times New Roman"/>
          <w:sz w:val="24"/>
          <w:szCs w:val="24"/>
        </w:rPr>
        <w:t xml:space="preserve"> </w:t>
      </w:r>
      <w:r w:rsidRPr="00713EE5">
        <w:rPr>
          <w:rFonts w:ascii="Times New Roman" w:hAnsi="Times New Roman" w:cs="Times New Roman"/>
          <w:sz w:val="24"/>
          <w:szCs w:val="24"/>
        </w:rPr>
        <w:t>Las avanzadas técnicas de gestión de la oferta y las tecnologías que permiten regular la manufactura han permitido en los últimos años a nuestras empresas ajustar sus niveles de producción más rápidamente en cuanto se producen variaciones en las ventas, pero, al parecer, estas mejoras aún no han resuelto el espinoso problema de cómo prever la demanda…</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 El ajuste se inició a finales de 2000, cuando los fabricantes recortaron la producción bruscamente para contener el aumento de existencias…</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 La liquidación de inventarios terminará en algún momento, y su fin estimulará la producción y potenciará la recuperación. Por supuesto, la oportunidad y la intensidad de este proceso dependerá</w:t>
      </w:r>
      <w:r w:rsidR="002312B2">
        <w:rPr>
          <w:rFonts w:ascii="Times New Roman" w:hAnsi="Times New Roman" w:cs="Times New Roman"/>
          <w:sz w:val="24"/>
          <w:szCs w:val="24"/>
        </w:rPr>
        <w:t>n</w:t>
      </w:r>
      <w:r w:rsidRPr="00713EE5">
        <w:rPr>
          <w:rFonts w:ascii="Times New Roman" w:hAnsi="Times New Roman" w:cs="Times New Roman"/>
          <w:sz w:val="24"/>
          <w:szCs w:val="24"/>
        </w:rPr>
        <w:t xml:space="preserve"> del comportamiento de la demanda…</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 xml:space="preserve">- La historia demuestra que los pronósticos sobre la supresión o el repunte de la inflación, como todos los pronósticos, no son fiables. Ante esta incertidumbre, la actitud vigilante de un Banco Central contra la inflación es </w:t>
      </w:r>
      <w:r w:rsidR="00324F4A" w:rsidRPr="00713EE5">
        <w:rPr>
          <w:rFonts w:ascii="Times New Roman" w:hAnsi="Times New Roman" w:cs="Times New Roman"/>
          <w:sz w:val="24"/>
          <w:szCs w:val="24"/>
        </w:rPr>
        <w:t>más</w:t>
      </w:r>
      <w:r w:rsidRPr="00713EE5">
        <w:rPr>
          <w:rFonts w:ascii="Times New Roman" w:hAnsi="Times New Roman" w:cs="Times New Roman"/>
          <w:sz w:val="24"/>
          <w:szCs w:val="24"/>
        </w:rPr>
        <w:t xml:space="preserve"> un tópico de la política monetaria, en, por supuesto, el verdadero cumplimiento de nuestro mandato de promover el crecimiento sostenible.</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 xml:space="preserve">Un Banco Central puede contener la inflación en casi todos los casos. </w:t>
      </w:r>
      <w:r w:rsidR="00713EE5" w:rsidRPr="00713EE5">
        <w:rPr>
          <w:rFonts w:ascii="Times New Roman" w:hAnsi="Times New Roman" w:cs="Times New Roman"/>
          <w:sz w:val="24"/>
          <w:szCs w:val="24"/>
        </w:rPr>
        <w:t>¿</w:t>
      </w:r>
      <w:r w:rsidRPr="00713EE5">
        <w:rPr>
          <w:rFonts w:ascii="Times New Roman" w:hAnsi="Times New Roman" w:cs="Times New Roman"/>
          <w:sz w:val="24"/>
          <w:szCs w:val="24"/>
        </w:rPr>
        <w:t xml:space="preserve">Pero, tenemos la capacidad de eliminar períodos de bonanza y recesiones? </w:t>
      </w:r>
      <w:r w:rsidR="00713EE5" w:rsidRPr="00713EE5">
        <w:rPr>
          <w:rFonts w:ascii="Times New Roman" w:hAnsi="Times New Roman" w:cs="Times New Roman"/>
          <w:sz w:val="24"/>
          <w:szCs w:val="24"/>
        </w:rPr>
        <w:t>¿</w:t>
      </w:r>
      <w:r w:rsidRPr="00713EE5">
        <w:rPr>
          <w:rFonts w:ascii="Times New Roman" w:hAnsi="Times New Roman" w:cs="Times New Roman"/>
          <w:sz w:val="24"/>
          <w:szCs w:val="24"/>
        </w:rPr>
        <w:t>Puede la política fiscal y monetaria, en condiciones óptimas, eliminar el ciclo económico, tal y como algunos optimistas seguidores de J. M. Keynes creían hace varias décadas?</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La respuesta en mi opinión es que no, porque no existen herramientas para cambiar la naturaleza humana, o para predecir el comportamiento humano de forma fiable.</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La historia sugiere que las primas de riesgo caen conforme se disipa la amenaza de estancamiento económico…</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 xml:space="preserve">- La política monetaria, tal como la practicamos actualmente, intenta actuar contra la tendencia al calentamiento de la economía, independientemente de cual sea la fuente, modificando los tipos de interés. Pero es imposible que siempre tengamos éxito. Por ejemplo, no es posible vaticinar hasta </w:t>
      </w:r>
      <w:r w:rsidR="00324F4A" w:rsidRPr="00713EE5">
        <w:rPr>
          <w:rFonts w:ascii="Times New Roman" w:hAnsi="Times New Roman" w:cs="Times New Roman"/>
          <w:sz w:val="24"/>
          <w:szCs w:val="24"/>
        </w:rPr>
        <w:t>qué</w:t>
      </w:r>
      <w:r w:rsidRPr="00713EE5">
        <w:rPr>
          <w:rFonts w:ascii="Times New Roman" w:hAnsi="Times New Roman" w:cs="Times New Roman"/>
          <w:sz w:val="24"/>
          <w:szCs w:val="24"/>
        </w:rPr>
        <w:t xml:space="preserve"> punto bajarán las primas de riesgo, o cuando se detendrá este descenso y comenzará la fase ascendente. Las primas de riesgo, no pueden descender </w:t>
      </w:r>
      <w:r w:rsidRPr="00713EE5">
        <w:rPr>
          <w:rFonts w:ascii="Times New Roman" w:hAnsi="Times New Roman" w:cs="Times New Roman"/>
          <w:sz w:val="24"/>
          <w:szCs w:val="24"/>
        </w:rPr>
        <w:lastRenderedPageBreak/>
        <w:t>indefinidamente, y el final del descenso altera negativamente la psicología del mercado. A menudo el final de este proceso ha sido el estallido de una burbuja financiera…</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 Como he dicho en ocasiones anteriores, identificar las burbujas financieras y vaticinar su final es una tarea sumamente difícil…</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 La política monetaria no puede anticipar el aumento o el final de los excesos especulativos. De hecho, si bajáramos de un día para otro los tipos de interés ante las previsiones de una caída de las cotizaciones, con ello sólo agravaríamos los desequilibrios económicos y financieros. Nuestra única alternativa realista es actuar contra las presiones inflacionistas que a veces acompañan un aumento de precio de los activos, haya burbuja financiera o no, y abordar decididamente las consecuencias de una pronunciada deflación de precios de los activos…</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 Aunque tenemos capacidad limitada para prever y actuar contra las burbujas financieras, las expectativas sobre los acontecimientos económicos inevitablemente desempeñan un papel fundamental en nuestra política monetaria. Si sólo reaccionáramos ante acontecimientos pasados o actuales, el retraso de las decisiones de política monetaria podría acabar desestabilizando la economía, tal y como ha demostrado muchas veces la historia…</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 Dada la baja inflación y las perspectivas de que se mantuviera contenida, la principal amenaza al rendimiento de la economía parecería venir de la excesiva debilidad de la actividad. Por lo tanto, retiramos las restricciones monetarias y hemos adoptado una postura de mayor flexibilidad para compensar los efectos de la caída de la demanda…</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 Debido a los largos retrasos de la política monetaria, nuestras recientes iniciativas tardarán en reforzar las arterias financieras y en potenciar la demanda de bienes y servicios…</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 Una vez que se disipen las fuerzas que ahora contienen las iniciativas de inversión, las nuevas aplicaciones tecnológicas volverán a reforzar las iniciativas de inversión, las nuevas aplicaciones tecnológicas volverán a reforzar la demanda de bienes de capital y restablecerán u</w:t>
      </w:r>
      <w:r w:rsidR="00713EE5" w:rsidRPr="00713EE5">
        <w:rPr>
          <w:rFonts w:ascii="Times New Roman" w:hAnsi="Times New Roman" w:cs="Times New Roman"/>
          <w:sz w:val="24"/>
          <w:szCs w:val="24"/>
        </w:rPr>
        <w:t>n crecimiento económico sólido…</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(15/11/01) Le Figaro Economie: En los últimos 12 meses la Fed inundó el mercado de liquidez. Unos 900.000 millones de dólares han sido creados, la masa monetaria aumentó un 12%, una vez y media más que la liquidez de la zona euro.</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 (De lo actuado en la crisis de 1987)</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 xml:space="preserve">- Greenspan sabía </w:t>
      </w:r>
      <w:r w:rsidR="00324F4A" w:rsidRPr="00713EE5">
        <w:rPr>
          <w:rFonts w:ascii="Times New Roman" w:hAnsi="Times New Roman" w:cs="Times New Roman"/>
          <w:sz w:val="24"/>
          <w:szCs w:val="24"/>
        </w:rPr>
        <w:t>cómo</w:t>
      </w:r>
      <w:r w:rsidRPr="00713EE5">
        <w:rPr>
          <w:rFonts w:ascii="Times New Roman" w:hAnsi="Times New Roman" w:cs="Times New Roman"/>
          <w:sz w:val="24"/>
          <w:szCs w:val="24"/>
        </w:rPr>
        <w:t xml:space="preserve"> funcionaba la fontanería del sistema financiero: una complicada serie de redes que incluían a bancos medianos como el Citibank, bancos de inversión como Goldman Sachs y agentes de bolsa como Merrill Lynch. Los pagos y créditos fluían de forma constante entre todos ellos. Solamente la Fed de Nueva York transfería más de un billón de dólares por día. Si uno de aquellos componentes no conseguía realizar sus pagos o extender sus créditos (o incluso si aplazaban sus pagos en momentos de crisis) podrían provocar una reacción en cadena y paralizar todo el sistema…</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La cuestión más acuciante era quien financiaría o daría crédito a los bancos, los agentes de bolsa y demás implicados en el sistema financiero que necesitasen dinero. A efectos prácticos, la Fed ya estaba concediendo créditos de centenares de millones de dólares, a los tipos de interés en vigor, para los préstamos habituales de un día para otro.</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lastRenderedPageBreak/>
        <w:t>Per</w:t>
      </w:r>
      <w:r w:rsidR="00713EE5" w:rsidRPr="00713EE5">
        <w:rPr>
          <w:rFonts w:ascii="Times New Roman" w:hAnsi="Times New Roman" w:cs="Times New Roman"/>
          <w:sz w:val="24"/>
          <w:szCs w:val="24"/>
        </w:rPr>
        <w:t>o, ¿</w:t>
      </w:r>
      <w:r w:rsidRPr="00713EE5">
        <w:rPr>
          <w:rFonts w:ascii="Times New Roman" w:hAnsi="Times New Roman" w:cs="Times New Roman"/>
          <w:sz w:val="24"/>
          <w:szCs w:val="24"/>
        </w:rPr>
        <w:t xml:space="preserve">cuáles eran los límites? </w:t>
      </w:r>
      <w:r w:rsidR="00713EE5" w:rsidRPr="00713EE5">
        <w:rPr>
          <w:rFonts w:ascii="Times New Roman" w:hAnsi="Times New Roman" w:cs="Times New Roman"/>
          <w:sz w:val="24"/>
          <w:szCs w:val="24"/>
        </w:rPr>
        <w:t>¿</w:t>
      </w:r>
      <w:r w:rsidRPr="00713EE5">
        <w:rPr>
          <w:rFonts w:ascii="Times New Roman" w:hAnsi="Times New Roman" w:cs="Times New Roman"/>
          <w:sz w:val="24"/>
          <w:szCs w:val="24"/>
        </w:rPr>
        <w:t xml:space="preserve">Llegarían a agotar el presupuesto de créditos? </w:t>
      </w:r>
      <w:r w:rsidR="00713EE5" w:rsidRPr="00713EE5">
        <w:rPr>
          <w:rFonts w:ascii="Times New Roman" w:hAnsi="Times New Roman" w:cs="Times New Roman"/>
          <w:sz w:val="24"/>
          <w:szCs w:val="24"/>
        </w:rPr>
        <w:t>¿</w:t>
      </w:r>
      <w:r w:rsidRPr="00713EE5">
        <w:rPr>
          <w:rFonts w:ascii="Times New Roman" w:hAnsi="Times New Roman" w:cs="Times New Roman"/>
          <w:sz w:val="24"/>
          <w:szCs w:val="24"/>
        </w:rPr>
        <w:t>Sería desbordado el sistema crediticio de la Fed? Todas estas cuestiones eran tanto técnicas como políticas…</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Greenspan estaba preparado para llegar hasta el final. La Fed podía prestar dinero, pero sólo si aquellas instituciones se avenían a hacer lo que la Fed quería. No era legal, pero lo haría de buen grado si no quedaba otro remedio. Tanto era lo que había en juego.</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En aquel momento, su trabajo consistía en hacer todo lo que fuera necesario para mantener en buen funcionamiento el sistema, incluso cosas que antes hubieran resultado inconcebibles…</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Se estaba discutiendo un plan para cerrar la bolsa de Nueva York al cabo de una hora.</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Eso lo haría estallar todo, dijo Greenspan…</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 xml:space="preserve">Cerrar la bolsa de Nueva York era una opción que Greenspan no tenía en cuenta. Porque, una vez cerrada, </w:t>
      </w:r>
      <w:r w:rsidR="00713EE5" w:rsidRPr="00713EE5">
        <w:rPr>
          <w:rFonts w:ascii="Times New Roman" w:hAnsi="Times New Roman" w:cs="Times New Roman"/>
          <w:sz w:val="24"/>
          <w:szCs w:val="24"/>
        </w:rPr>
        <w:t>¿</w:t>
      </w:r>
      <w:r w:rsidR="00324F4A" w:rsidRPr="00713EE5">
        <w:rPr>
          <w:rFonts w:ascii="Times New Roman" w:hAnsi="Times New Roman" w:cs="Times New Roman"/>
          <w:sz w:val="24"/>
          <w:szCs w:val="24"/>
        </w:rPr>
        <w:t>cómo</w:t>
      </w:r>
      <w:r w:rsidRPr="00713EE5">
        <w:rPr>
          <w:rFonts w:ascii="Times New Roman" w:hAnsi="Times New Roman" w:cs="Times New Roman"/>
          <w:sz w:val="24"/>
          <w:szCs w:val="24"/>
        </w:rPr>
        <w:t xml:space="preserve"> la iban a abrir luego? </w:t>
      </w:r>
      <w:r w:rsidR="00713EE5" w:rsidRPr="00713EE5">
        <w:rPr>
          <w:rFonts w:ascii="Times New Roman" w:hAnsi="Times New Roman" w:cs="Times New Roman"/>
          <w:sz w:val="24"/>
          <w:szCs w:val="24"/>
        </w:rPr>
        <w:t>¿</w:t>
      </w:r>
      <w:r w:rsidRPr="00713EE5">
        <w:rPr>
          <w:rFonts w:ascii="Times New Roman" w:hAnsi="Times New Roman" w:cs="Times New Roman"/>
          <w:sz w:val="24"/>
          <w:szCs w:val="24"/>
        </w:rPr>
        <w:t>A qué precio se cotizarían las acciones? La bolsa de Hong Kong cerró una vez y costó una semana volver a abrir. Los mercados establecen los precios, si no hay mercado, no hay precios. Era algo casi impensable…</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 xml:space="preserve">Si cerraba Nueva York, </w:t>
      </w:r>
      <w:r w:rsidR="00713EE5" w:rsidRPr="00713EE5">
        <w:rPr>
          <w:rFonts w:ascii="Times New Roman" w:hAnsi="Times New Roman" w:cs="Times New Roman"/>
          <w:sz w:val="24"/>
          <w:szCs w:val="24"/>
        </w:rPr>
        <w:t>¿</w:t>
      </w:r>
      <w:r w:rsidR="00324F4A" w:rsidRPr="00713EE5">
        <w:rPr>
          <w:rFonts w:ascii="Times New Roman" w:hAnsi="Times New Roman" w:cs="Times New Roman"/>
          <w:sz w:val="24"/>
          <w:szCs w:val="24"/>
        </w:rPr>
        <w:t>qué</w:t>
      </w:r>
      <w:r w:rsidRPr="00713EE5">
        <w:rPr>
          <w:rFonts w:ascii="Times New Roman" w:hAnsi="Times New Roman" w:cs="Times New Roman"/>
          <w:sz w:val="24"/>
          <w:szCs w:val="24"/>
        </w:rPr>
        <w:t xml:space="preserve"> ocurriría con el mercado de futuros?…El mercado de futuros se hundiría. Aquello desataría el pánico general…Verdaderamente estaban al borde del precipicio…</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El presidente (Ronald Reagan) podría haber cerrado la bolsa o actuado de alguna otra forma, pero aquello tampoco habría conseguido gran cosa. Sólo una parte de la maquinaria gubernamental tenía poder para dar la vuelta a la situación, y esa parte era precisamente la Fed, ofreciendo crédito ilimitado. Al fin el dinero lo puede todo…o, al menos, la disposición incondicional y abierta de la Fed a proporcionarlo…</w:t>
      </w:r>
    </w:p>
    <w:p w:rsidR="0022268B" w:rsidRPr="00713EE5" w:rsidRDefault="00C20BD9"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22268B" w:rsidRPr="00713EE5">
        <w:rPr>
          <w:rFonts w:ascii="Times New Roman" w:hAnsi="Times New Roman" w:cs="Times New Roman"/>
          <w:sz w:val="24"/>
          <w:szCs w:val="24"/>
        </w:rPr>
        <w:t>Podía recibir el capitalismo americano un indulto mediante la inversión estratégica (o accidental) de varios millones de dólares? Claro que era posible…Greenspan comprendió que en aquel momento nadie habría sabido que hacer…Aquel espacio fantástico y nebuloso entre los mercados libres del capitalismo y las regulaciones del gobierno era una verdadera tierra de nadie.</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El jueves 22 de octubre, el presidente de la Fed de Chicago llamó e informó de una nueva crisis. First Options, una subsidiaria del Continental Illinois, un banco gigantesco estaba en quiebra y no podía proporcionar más créditos al mercado de acciones…</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Debían seguir sus propias regulaciones y proteger al Continental y a sus clientes. No podían permitir que First Options sangrara al banco…</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La quiebra de First Options paralizaría completamente el mercado de opciones y quizá provocase también un nuevo derrumbe de la bolsa. Miró a Greenspan, que parecía asentir.</w:t>
      </w:r>
    </w:p>
    <w:p w:rsidR="0022268B" w:rsidRPr="002312B2" w:rsidRDefault="0022268B" w:rsidP="00FA4DA9">
      <w:pPr>
        <w:spacing w:line="240" w:lineRule="auto"/>
        <w:jc w:val="both"/>
        <w:rPr>
          <w:rFonts w:ascii="Times New Roman" w:hAnsi="Times New Roman" w:cs="Times New Roman"/>
          <w:b/>
          <w:sz w:val="24"/>
          <w:szCs w:val="24"/>
        </w:rPr>
      </w:pPr>
      <w:r w:rsidRPr="00713EE5">
        <w:rPr>
          <w:rFonts w:ascii="Times New Roman" w:hAnsi="Times New Roman" w:cs="Times New Roman"/>
          <w:sz w:val="24"/>
          <w:szCs w:val="24"/>
        </w:rPr>
        <w:t xml:space="preserve">No vamos a dejarlo -le dijo Johnson a Taylor-. No lo bloquearemos. </w:t>
      </w:r>
      <w:r w:rsidRPr="002312B2">
        <w:rPr>
          <w:rFonts w:ascii="Times New Roman" w:hAnsi="Times New Roman" w:cs="Times New Roman"/>
          <w:b/>
          <w:sz w:val="24"/>
          <w:szCs w:val="24"/>
        </w:rPr>
        <w:t>Que fluya el dinero, ya lo limpiaremos más tarde.</w:t>
      </w:r>
    </w:p>
    <w:p w:rsidR="0022268B" w:rsidRPr="002312B2" w:rsidRDefault="0022268B" w:rsidP="00FA4DA9">
      <w:pPr>
        <w:spacing w:line="240" w:lineRule="auto"/>
        <w:jc w:val="both"/>
        <w:rPr>
          <w:rFonts w:ascii="Times New Roman" w:hAnsi="Times New Roman" w:cs="Times New Roman"/>
          <w:b/>
          <w:sz w:val="24"/>
          <w:szCs w:val="24"/>
        </w:rPr>
      </w:pPr>
      <w:r w:rsidRPr="002312B2">
        <w:rPr>
          <w:rFonts w:ascii="Times New Roman" w:hAnsi="Times New Roman" w:cs="Times New Roman"/>
          <w:b/>
          <w:sz w:val="24"/>
          <w:szCs w:val="24"/>
        </w:rPr>
        <w:t>Greenspan se limitó a asentir…</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 (Trece años más tarde)</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Al mando de la crisis, tratando de eliminar los múltiples elementos de incertidumbre…</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lastRenderedPageBreak/>
        <w:t xml:space="preserve">De la exuberancia irracional de los mercados al aterrizaje suave de la economía… </w:t>
      </w:r>
    </w:p>
    <w:p w:rsidR="0022268B" w:rsidRPr="00713EE5" w:rsidRDefault="00713EE5"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¡El guardián del dinero!</w:t>
      </w:r>
    </w:p>
    <w:p w:rsidR="0022268B" w:rsidRPr="00713EE5" w:rsidRDefault="00713EE5"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w:t>
      </w:r>
      <w:r w:rsidR="0022268B" w:rsidRPr="00713EE5">
        <w:rPr>
          <w:rFonts w:ascii="Times New Roman" w:hAnsi="Times New Roman" w:cs="Times New Roman"/>
          <w:sz w:val="24"/>
          <w:szCs w:val="24"/>
        </w:rPr>
        <w:t>Cuál ha sido el resultado?</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El resultado ha sido uno de los mayores despilfarros de dinero y energía humana de la historia moderna. Miles de millones de dólares se perdieron en los últimos años para financiar a empresas que nunca generaron ganancias.</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Cuando ataban los perros con chorizos algún escriba dijo que si se moría Alan Greenspan había que sentarlo en su sillón, con impermeable, gafas oscuras y un puro en la boca para que el mercado siguiera igual…Temo que ahora, podría ser enterrado cerca de la economía real, cuyo epitafio dice:</w:t>
      </w:r>
    </w:p>
    <w:p w:rsidR="0022268B" w:rsidRPr="00713EE5" w:rsidRDefault="0022268B" w:rsidP="00FA4DA9">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Aquí yace la economía real: entre todos la mataron y ella sola se murió…</w:t>
      </w:r>
    </w:p>
    <w:p w:rsidR="00713EE5" w:rsidRPr="00713EE5" w:rsidRDefault="00713EE5" w:rsidP="00FA4DA9">
      <w:pPr>
        <w:spacing w:line="240" w:lineRule="auto"/>
        <w:jc w:val="both"/>
        <w:rPr>
          <w:rFonts w:ascii="Times New Roman" w:hAnsi="Times New Roman" w:cs="Times New Roman"/>
          <w:b/>
          <w:sz w:val="24"/>
          <w:szCs w:val="24"/>
        </w:rPr>
      </w:pPr>
      <w:r w:rsidRPr="00713EE5">
        <w:rPr>
          <w:rFonts w:ascii="Times New Roman" w:hAnsi="Times New Roman" w:cs="Times New Roman"/>
          <w:sz w:val="24"/>
          <w:szCs w:val="24"/>
        </w:rPr>
        <w:t>De un Ensayo anterior:</w:t>
      </w:r>
      <w:r w:rsidRPr="00713EE5">
        <w:rPr>
          <w:rFonts w:ascii="Times New Roman" w:hAnsi="Times New Roman" w:cs="Times New Roman"/>
          <w:b/>
          <w:sz w:val="24"/>
          <w:szCs w:val="24"/>
        </w:rPr>
        <w:t xml:space="preserve"> “El “factor” Bernanke: otro “Maestro” que se cae del tabernáculo - Hagiografía -no autorizada- del heterodoxo “socializador” de las pérdidas del sistema financiero - Una larga “cadena de favores” en la que los intereses comerciales han ido por delante de las cuestiones legales, económicas y sociales. , </w:t>
      </w:r>
      <w:r w:rsidRPr="00713EE5">
        <w:rPr>
          <w:rFonts w:ascii="Times New Roman" w:hAnsi="Times New Roman" w:cs="Times New Roman"/>
          <w:sz w:val="24"/>
          <w:szCs w:val="24"/>
        </w:rPr>
        <w:t xml:space="preserve">publicado en </w:t>
      </w:r>
      <w:r w:rsidRPr="00713EE5">
        <w:rPr>
          <w:rFonts w:ascii="Times New Roman" w:hAnsi="Times New Roman" w:cs="Times New Roman"/>
          <w:b/>
          <w:sz w:val="24"/>
          <w:szCs w:val="24"/>
        </w:rPr>
        <w:t>Junio de 2013</w:t>
      </w:r>
    </w:p>
    <w:p w:rsidR="0022268B" w:rsidRDefault="00713EE5" w:rsidP="00FA4DA9">
      <w:pPr>
        <w:pStyle w:val="selectionshareable"/>
        <w:shd w:val="clear" w:color="auto" w:fill="FFFFFF"/>
        <w:spacing w:after="300"/>
        <w:jc w:val="both"/>
        <w:textAlignment w:val="baseline"/>
        <w:rPr>
          <w:color w:val="FF0000"/>
          <w:shd w:val="clear" w:color="auto" w:fill="FFFFFF"/>
        </w:rPr>
      </w:pPr>
      <w:r>
        <w:rPr>
          <w:color w:val="FF0000"/>
          <w:shd w:val="clear" w:color="auto" w:fill="FFFFFF"/>
        </w:rPr>
        <w:t xml:space="preserve">          </w:t>
      </w:r>
      <w:r>
        <w:rPr>
          <w:rFonts w:ascii="Arial" w:hAnsi="Arial" w:cs="Arial"/>
          <w:noProof/>
          <w:color w:val="205D5D"/>
          <w:sz w:val="15"/>
          <w:szCs w:val="15"/>
        </w:rPr>
        <w:drawing>
          <wp:inline distT="0" distB="0" distL="0" distR="0" wp14:anchorId="056DB0EB" wp14:editId="5C28D274">
            <wp:extent cx="4978400" cy="4032250"/>
            <wp:effectExtent l="0" t="0" r="0" b="6350"/>
            <wp:docPr id="54" name="Imagen 54" descr="La cara del optimismo">
              <a:hlinkClick xmlns:a="http://schemas.openxmlformats.org/drawingml/2006/main" r:id="rId389" tooltip="ampliar información"/>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 descr="La cara del optimismo"/>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4978400" cy="4032250"/>
                    </a:xfrm>
                    <a:prstGeom prst="rect">
                      <a:avLst/>
                    </a:prstGeom>
                    <a:noFill/>
                    <a:ln>
                      <a:noFill/>
                    </a:ln>
                  </pic:spPr>
                </pic:pic>
              </a:graphicData>
            </a:graphic>
          </wp:inline>
        </w:drawing>
      </w:r>
    </w:p>
    <w:p w:rsidR="00713EE5" w:rsidRDefault="00713EE5" w:rsidP="00FA4DA9">
      <w:pPr>
        <w:spacing w:line="240" w:lineRule="auto"/>
        <w:jc w:val="both"/>
        <w:rPr>
          <w:rFonts w:ascii="Times New Roman" w:hAnsi="Times New Roman"/>
          <w:b/>
          <w:sz w:val="24"/>
          <w:szCs w:val="24"/>
        </w:rPr>
      </w:pPr>
      <w:r>
        <w:rPr>
          <w:rFonts w:ascii="Times New Roman" w:hAnsi="Times New Roman"/>
          <w:b/>
          <w:sz w:val="24"/>
          <w:szCs w:val="24"/>
        </w:rPr>
        <w:t>- De “Burbujita” Greenspan, pasamos a “Helicopter” Bernanke, ¿un “clon” del “Maestro”?</w:t>
      </w:r>
    </w:p>
    <w:p w:rsidR="00713EE5" w:rsidRDefault="00713EE5" w:rsidP="00FA4DA9">
      <w:pPr>
        <w:spacing w:line="240" w:lineRule="auto"/>
        <w:jc w:val="both"/>
        <w:rPr>
          <w:rFonts w:ascii="Times New Roman" w:hAnsi="Times New Roman"/>
          <w:b/>
          <w:color w:val="FF0000"/>
          <w:sz w:val="24"/>
          <w:szCs w:val="24"/>
        </w:rPr>
      </w:pPr>
      <w:r>
        <w:rPr>
          <w:rFonts w:ascii="Times New Roman" w:hAnsi="Times New Roman"/>
          <w:b/>
          <w:sz w:val="24"/>
          <w:szCs w:val="24"/>
        </w:rPr>
        <w:t>“Se dice de mí”…:</w:t>
      </w:r>
      <w:r>
        <w:rPr>
          <w:rFonts w:ascii="Times New Roman" w:hAnsi="Times New Roman"/>
          <w:sz w:val="24"/>
          <w:szCs w:val="24"/>
        </w:rPr>
        <w:t xml:space="preserve"> “</w:t>
      </w:r>
      <w:r>
        <w:rPr>
          <w:rFonts w:ascii="Times New Roman" w:hAnsi="Times New Roman"/>
          <w:sz w:val="24"/>
          <w:szCs w:val="24"/>
          <w:u w:val="single"/>
        </w:rPr>
        <w:t>La cara del optimismo</w:t>
      </w:r>
      <w:r>
        <w:rPr>
          <w:rFonts w:ascii="Times New Roman" w:hAnsi="Times New Roman"/>
          <w:sz w:val="24"/>
          <w:szCs w:val="24"/>
        </w:rPr>
        <w:t xml:space="preserve">” (Cinco Días - </w:t>
      </w:r>
      <w:r>
        <w:rPr>
          <w:rFonts w:ascii="Times New Roman" w:hAnsi="Times New Roman"/>
          <w:b/>
          <w:sz w:val="24"/>
          <w:szCs w:val="24"/>
        </w:rPr>
        <w:t>20/3/09</w:t>
      </w:r>
      <w:r>
        <w:rPr>
          <w:rFonts w:ascii="Times New Roman" w:hAnsi="Times New Roman"/>
          <w:sz w:val="24"/>
          <w:szCs w:val="24"/>
        </w:rPr>
        <w:t xml:space="preserve">)  </w:t>
      </w:r>
    </w:p>
    <w:p w:rsidR="00713EE5" w:rsidRDefault="00713EE5" w:rsidP="00FA4DA9">
      <w:pPr>
        <w:spacing w:line="240" w:lineRule="auto"/>
        <w:jc w:val="both"/>
        <w:rPr>
          <w:rFonts w:ascii="Times New Roman" w:hAnsi="Times New Roman"/>
          <w:sz w:val="24"/>
          <w:szCs w:val="24"/>
        </w:rPr>
      </w:pPr>
      <w:r>
        <w:rPr>
          <w:rFonts w:ascii="Times New Roman" w:hAnsi="Times New Roman"/>
          <w:sz w:val="24"/>
          <w:szCs w:val="24"/>
        </w:rPr>
        <w:lastRenderedPageBreak/>
        <w:t xml:space="preserve">El presidente de la FED ocupa el mandato más complicado desde la Gran Depresión. Pero se muestra confiado. </w:t>
      </w:r>
    </w:p>
    <w:p w:rsidR="00713EE5" w:rsidRDefault="00713EE5" w:rsidP="00FA4DA9">
      <w:pPr>
        <w:spacing w:line="240" w:lineRule="auto"/>
        <w:jc w:val="both"/>
        <w:rPr>
          <w:rFonts w:ascii="Times New Roman" w:hAnsi="Times New Roman"/>
          <w:sz w:val="24"/>
          <w:szCs w:val="24"/>
        </w:rPr>
      </w:pPr>
      <w:r>
        <w:rPr>
          <w:rFonts w:ascii="Times New Roman" w:hAnsi="Times New Roman"/>
          <w:sz w:val="24"/>
          <w:szCs w:val="24"/>
        </w:rPr>
        <w:t>¿Cuántos políticos estadounidenses llevan barba? Prácticamente ninguno. En Estados Unidos no está bien vista, no se estila; es un rasgo poco común entre las autoridades o figuras públicas. Un ejemplo: sólo la han lucido cinco de los 44 presidentes del país norteamericano, todos ellos en la segunda mitad del siglo XIX. La cosa cambia en los pasillos de las universidades, ambiente mucho más proclive a la relajación de las normas estéticas. Este detalle dice mucho del carácter y procedencia del doctor Benjamin Shalom Bernanke (Augusta, Georgia, 1953), profesor de Economía en Princeton durante 20 años y actual presidente de la Reserva Federal.</w:t>
      </w:r>
    </w:p>
    <w:p w:rsidR="00713EE5" w:rsidRDefault="00713EE5" w:rsidP="00FA4DA9">
      <w:pPr>
        <w:spacing w:line="240" w:lineRule="auto"/>
        <w:jc w:val="both"/>
        <w:rPr>
          <w:rFonts w:ascii="Times New Roman" w:hAnsi="Times New Roman"/>
          <w:sz w:val="24"/>
          <w:szCs w:val="24"/>
        </w:rPr>
      </w:pPr>
      <w:r>
        <w:rPr>
          <w:rFonts w:ascii="Times New Roman" w:hAnsi="Times New Roman"/>
          <w:sz w:val="24"/>
          <w:szCs w:val="24"/>
        </w:rPr>
        <w:t>El máximo responsable de la política monetaria estadounidense en marzo de 2009 en una entrevista televisiva, la primera de alguien en su cargo en 20 años, que la depresión en EEUU había quedado descartada y que “el final de la recesión se producirá probablemente este año” y la recuperación en 2010. A los tres días anunció la inyección de un billón de dólares a la economía a través de deuda a largo plazo. En 2008 inyectó la misma cantidad tras la caída de Bear Stearns mediante descuentos al crédito para la banca de inversión, reinventando así el repertorio de herramientas de la Fed -hasta entonces tocaba po</w:t>
      </w:r>
      <w:r w:rsidR="00103EEF">
        <w:rPr>
          <w:rFonts w:ascii="Times New Roman" w:hAnsi="Times New Roman"/>
          <w:sz w:val="24"/>
          <w:szCs w:val="24"/>
        </w:rPr>
        <w:t>co más que los tipos de interés</w:t>
      </w:r>
      <w:r>
        <w:rPr>
          <w:rFonts w:ascii="Times New Roman" w:hAnsi="Times New Roman"/>
          <w:sz w:val="24"/>
          <w:szCs w:val="24"/>
        </w:rPr>
        <w:t>.</w:t>
      </w:r>
    </w:p>
    <w:p w:rsidR="00713EE5" w:rsidRDefault="00713EE5" w:rsidP="00FA4DA9">
      <w:pPr>
        <w:spacing w:line="240" w:lineRule="auto"/>
        <w:jc w:val="both"/>
        <w:rPr>
          <w:rFonts w:ascii="Times New Roman" w:hAnsi="Times New Roman"/>
          <w:sz w:val="24"/>
          <w:szCs w:val="24"/>
        </w:rPr>
      </w:pPr>
      <w:r>
        <w:rPr>
          <w:rFonts w:ascii="Times New Roman" w:hAnsi="Times New Roman"/>
          <w:sz w:val="24"/>
          <w:szCs w:val="24"/>
        </w:rPr>
        <w:t>Estas intervenciones, junto con los importantes recortes de tipos practicados en 2007 y el polémico rescate de AIG, convierten a Bernanke en uno de los presidentes de la Fed más intervencionistas -y controvertidos- desde la fundación de la institución en 1913. Algo a tener en cuenta, ya que las simples palabras de quien ostenta tal cargo hacen ganar o perder fortunas. El anuncio de la inyección de liquidez, por ejemplo, provocó inmediatamente una fuerte subida de la Bolsa y un rápido reajuste del dólar y de la rentabilidad de los bonos.</w:t>
      </w:r>
    </w:p>
    <w:p w:rsidR="00713EE5" w:rsidRDefault="00713EE5" w:rsidP="00FA4DA9">
      <w:pPr>
        <w:spacing w:line="240" w:lineRule="auto"/>
        <w:jc w:val="both"/>
        <w:rPr>
          <w:rFonts w:ascii="Times New Roman" w:hAnsi="Times New Roman"/>
          <w:sz w:val="24"/>
          <w:szCs w:val="24"/>
        </w:rPr>
      </w:pPr>
      <w:r>
        <w:rPr>
          <w:rFonts w:ascii="Times New Roman" w:hAnsi="Times New Roman"/>
          <w:sz w:val="24"/>
          <w:szCs w:val="24"/>
        </w:rPr>
        <w:t>Pero antes de manejar los resortes del banco central de EEUU, este descendiente de emigrantes judíos de Europa del Este sólo se había enfrentado a la inflación y a la deflación en sus numerosos artículos científicos. “Yo nunca he estado en Wall Street”, comenta en la entrevista televisiva concedida a 60 Minutes. “La razón por la que me importa es que lo que allí pasa afecta a Main Street”, en referencia al entorno de los trabajadores.</w:t>
      </w:r>
    </w:p>
    <w:p w:rsidR="00713EE5" w:rsidRDefault="00713EE5" w:rsidP="00FA4DA9">
      <w:pPr>
        <w:spacing w:line="240" w:lineRule="auto"/>
        <w:jc w:val="both"/>
        <w:rPr>
          <w:rFonts w:ascii="Times New Roman" w:hAnsi="Times New Roman"/>
          <w:sz w:val="24"/>
          <w:szCs w:val="24"/>
        </w:rPr>
      </w:pPr>
      <w:r>
        <w:rPr>
          <w:rFonts w:ascii="Times New Roman" w:hAnsi="Times New Roman"/>
          <w:sz w:val="24"/>
          <w:szCs w:val="24"/>
        </w:rPr>
        <w:t>Se podría decir que Bernanke cumple con los estereotipos del profesor universitario estadounidense. Más allá de la ya mencionada barba, durante su etapa en Princeton el lugar que más frecuentaba era su despacho. Allí, rodeado de montones de libros y papeles y vestido con pantalones tejanos y camisa de cuadros, atendía pacientemente a sus alumnos. Joan Comajuncosa, profesor de Esade, fue uno de ellos. “Bernanke es una persona muy abierta, trabajadora y atenta con los estudiantes”, apunta. “Ya de vuelta en España, me contestaba los e-mails muy rápidamente. Eso denota cierta empatía hacia los sufrimientos de los doctorandos”. En la facultad tenía fama de ser un profesor claro y conciso, muy cercano a la gente -dentro de los estándares anglosajones-.</w:t>
      </w:r>
    </w:p>
    <w:p w:rsidR="00713EE5" w:rsidRDefault="00713EE5" w:rsidP="00FA4DA9">
      <w:pPr>
        <w:spacing w:line="240" w:lineRule="auto"/>
        <w:jc w:val="both"/>
        <w:rPr>
          <w:rFonts w:ascii="Times New Roman" w:hAnsi="Times New Roman"/>
          <w:sz w:val="24"/>
          <w:szCs w:val="24"/>
        </w:rPr>
      </w:pPr>
      <w:r>
        <w:rPr>
          <w:rFonts w:ascii="Times New Roman" w:hAnsi="Times New Roman"/>
          <w:sz w:val="24"/>
          <w:szCs w:val="24"/>
        </w:rPr>
        <w:t>Sólo le faltaría una chaqueta de pana con coderas para redondear el cuadro. Él mismo no ha escondido nunca su predilección por la comodidad. En 2005, cuando sonaba su nombre como posible sustituto de Alan Greenspan, Bernanke declaró al Wall Street Journal que lo más duro de trasladarse a Washington era tener que llevar traje. “Mi propuesta de que los gobernadores de la Fed mostrasen su completa dedicación al servicio público vistiendo camisas hawaianas y bermudas no se tomó en serio”.</w:t>
      </w:r>
    </w:p>
    <w:p w:rsidR="00713EE5" w:rsidRDefault="00713EE5" w:rsidP="00FA4DA9">
      <w:pPr>
        <w:spacing w:line="240" w:lineRule="auto"/>
        <w:jc w:val="both"/>
        <w:rPr>
          <w:rFonts w:ascii="Times New Roman" w:hAnsi="Times New Roman"/>
          <w:sz w:val="24"/>
          <w:szCs w:val="24"/>
        </w:rPr>
      </w:pPr>
      <w:r>
        <w:rPr>
          <w:rFonts w:ascii="Times New Roman" w:hAnsi="Times New Roman"/>
          <w:sz w:val="24"/>
          <w:szCs w:val="24"/>
        </w:rPr>
        <w:t xml:space="preserve">Y es que para entonces ya era gobernador de la Fed. Asumió ese cargo en 2002, tras colaborar varios años como asesor de la institución. Eso sí: no abandonó la docencia hasta </w:t>
      </w:r>
      <w:r>
        <w:rPr>
          <w:rFonts w:ascii="Times New Roman" w:hAnsi="Times New Roman"/>
          <w:sz w:val="24"/>
          <w:szCs w:val="24"/>
        </w:rPr>
        <w:lastRenderedPageBreak/>
        <w:t>2005, cuando el ex presidente George W. Bush le puso al frente de su equipo de consejeros económicos.</w:t>
      </w:r>
    </w:p>
    <w:p w:rsidR="00713EE5" w:rsidRDefault="00713EE5" w:rsidP="00FA4DA9">
      <w:pPr>
        <w:spacing w:line="240" w:lineRule="auto"/>
        <w:jc w:val="both"/>
        <w:rPr>
          <w:rFonts w:ascii="Times New Roman" w:hAnsi="Times New Roman"/>
          <w:sz w:val="24"/>
          <w:szCs w:val="24"/>
        </w:rPr>
      </w:pPr>
      <w:r>
        <w:rPr>
          <w:rFonts w:ascii="Times New Roman" w:hAnsi="Times New Roman"/>
          <w:sz w:val="24"/>
          <w:szCs w:val="24"/>
        </w:rPr>
        <w:t>Bernanke es conocido por sus posturas cercanas al keynesianismo. En su etapa de director del departamento de Economía de Princeton invitó en alguna ocasión al también académico Paul Krugman, premio Nobel de Economía y gran crítico de George W. Bush. Todo eso contribuyó a que el nombramiento en 2006 de Bernanke como presidente de la Fed desconcertase a más de uno. En Princeton, en cambio, se comentaba que se le eligió por su condición de experto en la Gran Depresión. “Se rumoreaba que en Washington querían a alguien preparado contra un posible escenario de deflación, algo inédito en EEUU en los últimos 70 años”, recuerda Comajuncosa.</w:t>
      </w:r>
    </w:p>
    <w:p w:rsidR="00713EE5" w:rsidRDefault="00713EE5" w:rsidP="00FA4DA9">
      <w:pPr>
        <w:spacing w:line="240" w:lineRule="auto"/>
        <w:jc w:val="both"/>
        <w:rPr>
          <w:rFonts w:ascii="Times New Roman" w:hAnsi="Times New Roman"/>
          <w:sz w:val="24"/>
          <w:szCs w:val="24"/>
        </w:rPr>
      </w:pPr>
      <w:r>
        <w:rPr>
          <w:rFonts w:ascii="Times New Roman" w:hAnsi="Times New Roman"/>
          <w:sz w:val="24"/>
          <w:szCs w:val="24"/>
        </w:rPr>
        <w:t>Aunque ya no vista camisas y pantalones vaqueros, Bernanke conserva su deje académico. No sólo en sus característicos ojos entornados y en su mirada relajada, propia de quien vive en el mundo de las ideas. También resulta palpable en su capacidad de hacer inteligible lo que a duras penas lo es. Según declaró a 60 Minutes, de todas las medidas que ha llevado a cabo como responsable de la Fed, la que más le angustia, y una de las que más se le han criticado, es el rescate de AIG, que le ha costado 165.000 millones de dólares a las arcas públicas. ¿Por qué lo hizo, entonces? Por la misma razón, dice, que si tu vecino incendia su casa al quedarse dormido con un cigarro encendido le ayudarás a apagar el fuego aunque sea su problema, sobre todo si el pueblo entero es de madera.</w:t>
      </w:r>
    </w:p>
    <w:p w:rsidR="00713EE5" w:rsidRDefault="00713EE5" w:rsidP="00FA4DA9">
      <w:pPr>
        <w:spacing w:line="240" w:lineRule="auto"/>
        <w:jc w:val="both"/>
        <w:rPr>
          <w:rFonts w:ascii="Times New Roman" w:hAnsi="Times New Roman"/>
          <w:sz w:val="24"/>
          <w:szCs w:val="24"/>
        </w:rPr>
      </w:pPr>
      <w:r>
        <w:rPr>
          <w:rFonts w:ascii="Times New Roman" w:hAnsi="Times New Roman"/>
          <w:sz w:val="24"/>
          <w:szCs w:val="24"/>
        </w:rPr>
        <w:t>Esperemos, pues, que su optimismo sea justificado y no haya que llamar más a los bomberos…</w:t>
      </w:r>
    </w:p>
    <w:p w:rsidR="00103EEF" w:rsidRDefault="00103EEF" w:rsidP="00FA4DA9">
      <w:pPr>
        <w:spacing w:line="240" w:lineRule="auto"/>
        <w:jc w:val="both"/>
        <w:rPr>
          <w:rFonts w:ascii="Times New Roman" w:hAnsi="Times New Roman"/>
          <w:b/>
          <w:sz w:val="24"/>
          <w:szCs w:val="24"/>
        </w:rPr>
      </w:pPr>
      <w:r>
        <w:rPr>
          <w:rFonts w:ascii="Times New Roman" w:hAnsi="Times New Roman"/>
          <w:b/>
          <w:sz w:val="24"/>
          <w:szCs w:val="24"/>
        </w:rPr>
        <w:t>- Las primeras reacciones políticas e institucionales a la Crisis de las hipotecas “subprime”</w:t>
      </w:r>
    </w:p>
    <w:p w:rsidR="00103EEF" w:rsidRDefault="00103EEF" w:rsidP="00FA4DA9">
      <w:pPr>
        <w:spacing w:line="240" w:lineRule="auto"/>
        <w:jc w:val="both"/>
        <w:rPr>
          <w:rFonts w:ascii="Times New Roman" w:hAnsi="Times New Roman"/>
          <w:b/>
          <w:sz w:val="24"/>
          <w:szCs w:val="24"/>
        </w:rPr>
      </w:pPr>
      <w:r>
        <w:rPr>
          <w:rFonts w:ascii="Times New Roman" w:hAnsi="Times New Roman"/>
          <w:b/>
          <w:sz w:val="24"/>
          <w:szCs w:val="24"/>
        </w:rPr>
        <w:t xml:space="preserve">Bush (POTUS): el gobierno federal “tiene un papel en la ayuda a las familias, pero no para salvar a los especuladores”… </w:t>
      </w:r>
    </w:p>
    <w:p w:rsidR="00103EEF" w:rsidRDefault="00103EEF" w:rsidP="00FA4DA9">
      <w:pPr>
        <w:spacing w:line="240" w:lineRule="auto"/>
        <w:jc w:val="both"/>
        <w:rPr>
          <w:rFonts w:ascii="Times New Roman" w:hAnsi="Times New Roman"/>
          <w:b/>
          <w:sz w:val="24"/>
          <w:szCs w:val="24"/>
        </w:rPr>
      </w:pPr>
      <w:r>
        <w:rPr>
          <w:rFonts w:ascii="Times New Roman" w:hAnsi="Times New Roman"/>
          <w:b/>
          <w:sz w:val="24"/>
          <w:szCs w:val="24"/>
        </w:rPr>
        <w:t xml:space="preserve">Bernanke (Fed) “La Reserva Federal está lista para tomar acciones adicionales como sea necesario para ofrecer liquidez y promover un ordenado funcionamiento de los mercados”. Las pérdidas excedieron “las proyecciones más pesimistas”… </w:t>
      </w:r>
    </w:p>
    <w:p w:rsidR="00103EEF" w:rsidRDefault="00103EEF" w:rsidP="00FA4DA9">
      <w:pPr>
        <w:spacing w:line="240" w:lineRule="auto"/>
        <w:jc w:val="both"/>
        <w:rPr>
          <w:rFonts w:ascii="Times New Roman" w:hAnsi="Times New Roman"/>
          <w:b/>
          <w:sz w:val="24"/>
          <w:szCs w:val="24"/>
        </w:rPr>
      </w:pPr>
      <w:r>
        <w:rPr>
          <w:rFonts w:ascii="Times New Roman" w:hAnsi="Times New Roman"/>
          <w:b/>
          <w:sz w:val="24"/>
          <w:szCs w:val="24"/>
        </w:rPr>
        <w:t>El FMI recuerda que las pérdidas por la crisis deben ser para los inversores y no para los contribuyentes. “Las autoridades deben resistir las presiones por parte de los acreedores en apuros para evitar el refuerzo de comportamientos especulativos y fraudulentos”…</w:t>
      </w:r>
    </w:p>
    <w:p w:rsidR="00103EEF" w:rsidRDefault="00103EEF" w:rsidP="00FA4DA9">
      <w:pPr>
        <w:spacing w:line="240" w:lineRule="auto"/>
        <w:jc w:val="both"/>
        <w:rPr>
          <w:rFonts w:ascii="Times New Roman" w:hAnsi="Times New Roman"/>
          <w:b/>
          <w:sz w:val="24"/>
          <w:szCs w:val="24"/>
        </w:rPr>
      </w:pPr>
      <w:r>
        <w:rPr>
          <w:rFonts w:ascii="Times New Roman" w:hAnsi="Times New Roman"/>
          <w:b/>
          <w:sz w:val="24"/>
          <w:szCs w:val="24"/>
        </w:rPr>
        <w:t xml:space="preserve">Greenspan (ex Fed) admite que sólo entendió el problema de las hipotecas hacia el “fin de 2005”… </w:t>
      </w:r>
    </w:p>
    <w:p w:rsidR="00103EEF" w:rsidRDefault="00103EEF" w:rsidP="00FA4DA9">
      <w:pPr>
        <w:spacing w:before="100" w:beforeAutospacing="1" w:after="100" w:afterAutospacing="1" w:line="240" w:lineRule="auto"/>
        <w:jc w:val="both"/>
        <w:rPr>
          <w:rFonts w:ascii="Times New Roman" w:eastAsia="Times New Roman" w:hAnsi="Times New Roman"/>
          <w:b/>
          <w:sz w:val="24"/>
          <w:szCs w:val="24"/>
        </w:rPr>
      </w:pPr>
      <w:r>
        <w:rPr>
          <w:rFonts w:ascii="Times New Roman" w:eastAsia="Times New Roman" w:hAnsi="Times New Roman"/>
          <w:b/>
          <w:sz w:val="24"/>
          <w:szCs w:val="24"/>
        </w:rPr>
        <w:t>- El presidente de la Reserva Federal, Ben Bernanke, explicaba en el Washington Post (14/11/10):</w:t>
      </w:r>
    </w:p>
    <w:p w:rsidR="00103EEF" w:rsidRDefault="00103EEF" w:rsidP="00FA4DA9">
      <w:pPr>
        <w:spacing w:before="100" w:beforeAutospacing="1" w:after="100" w:afterAutospacing="1" w:line="240" w:lineRule="auto"/>
        <w:jc w:val="both"/>
        <w:rPr>
          <w:rFonts w:ascii="Times New Roman" w:eastAsia="Times New Roman" w:hAnsi="Times New Roman"/>
          <w:b/>
          <w:sz w:val="24"/>
          <w:szCs w:val="24"/>
        </w:rPr>
      </w:pPr>
      <w:r>
        <w:rPr>
          <w:rFonts w:ascii="Times New Roman" w:eastAsia="Times New Roman" w:hAnsi="Times New Roman"/>
          <w:b/>
          <w:sz w:val="24"/>
          <w:szCs w:val="24"/>
        </w:rPr>
        <w:t xml:space="preserve">“Los mercados subieron y los tipos de interés a largo plazo bajaron cuando los inversores empezaron a anticipar la actuación más reciente de la Fed. Una situación financiera más favorable promoverá el crecimiento económico. Por ejemplo, unas hipotecas a tipos más bajos harán las viviendas más asequibles y permitirán que un mayor número de propietarios puedan refinanciarse. Unos tipos más bajos para las empresas incentivarán la inversión. Los precios más altos de los activos impulsarán el </w:t>
      </w:r>
      <w:r>
        <w:rPr>
          <w:rFonts w:ascii="Times New Roman" w:eastAsia="Times New Roman" w:hAnsi="Times New Roman"/>
          <w:b/>
          <w:sz w:val="24"/>
          <w:szCs w:val="24"/>
        </w:rPr>
        <w:lastRenderedPageBreak/>
        <w:t>patrimonio de los consumidores, devolviéndoles la confianza, lo que podrá también reactivar el gasto. El aumento del gasto producirá mayores rentas y beneficios que, en un círculo virtual, darán un mayor soporte a la expansión económica”.</w:t>
      </w:r>
    </w:p>
    <w:p w:rsidR="00103EEF" w:rsidRDefault="00103EEF" w:rsidP="00FA4DA9">
      <w:pPr>
        <w:spacing w:before="100" w:beforeAutospacing="1" w:after="100" w:afterAutospacing="1" w:line="240" w:lineRule="auto"/>
        <w:jc w:val="both"/>
        <w:rPr>
          <w:rFonts w:ascii="Times New Roman" w:eastAsia="Times New Roman" w:hAnsi="Times New Roman"/>
          <w:b/>
          <w:sz w:val="24"/>
          <w:szCs w:val="24"/>
        </w:rPr>
      </w:pPr>
      <w:r>
        <w:rPr>
          <w:rFonts w:ascii="Times New Roman" w:eastAsia="Times New Roman" w:hAnsi="Times New Roman"/>
          <w:b/>
          <w:sz w:val="24"/>
          <w:szCs w:val="24"/>
        </w:rPr>
        <w:t>Sólo le faltó decir: Y si el “círculo virtual” no se cierra, que Dios (o Yahveh, en su caso) y la Patria, me lo demanden.</w:t>
      </w:r>
    </w:p>
    <w:p w:rsidR="00103EEF" w:rsidRDefault="00103EEF" w:rsidP="00FA4DA9">
      <w:pPr>
        <w:spacing w:line="240" w:lineRule="auto"/>
        <w:jc w:val="both"/>
        <w:rPr>
          <w:rFonts w:ascii="Times New Roman" w:eastAsia="Times New Roman" w:hAnsi="Times New Roman"/>
          <w:b/>
          <w:sz w:val="24"/>
          <w:szCs w:val="24"/>
        </w:rPr>
      </w:pPr>
      <w:r>
        <w:rPr>
          <w:rFonts w:ascii="Times New Roman" w:eastAsia="Times New Roman" w:hAnsi="Times New Roman"/>
          <w:b/>
          <w:sz w:val="24"/>
          <w:szCs w:val="24"/>
        </w:rPr>
        <w:t>Para unos (que creen en Dios), u otros (que creen en la Patria) o los pocos (que creemos en Dios y la Patria), algunas reflexiones de “Manias, panics and crashes”:</w:t>
      </w:r>
    </w:p>
    <w:p w:rsidR="00103EEF" w:rsidRDefault="00103EEF" w:rsidP="00FA4DA9">
      <w:pPr>
        <w:spacing w:line="240" w:lineRule="auto"/>
        <w:jc w:val="both"/>
        <w:rPr>
          <w:rFonts w:ascii="Times New Roman" w:eastAsia="Times New Roman" w:hAnsi="Times New Roman"/>
          <w:b/>
          <w:sz w:val="24"/>
          <w:szCs w:val="24"/>
        </w:rPr>
      </w:pPr>
      <w:r>
        <w:rPr>
          <w:rFonts w:ascii="Times New Roman" w:eastAsia="Times New Roman" w:hAnsi="Times New Roman"/>
          <w:b/>
          <w:sz w:val="24"/>
          <w:szCs w:val="24"/>
        </w:rPr>
        <w:t xml:space="preserve">“La labor del prestamista de último recurso ante una debacle está plagada de ambigüedades y dilemas. (...) En estas circunstancias, más que una ciencia la intervención se convierte en un arte”. </w:t>
      </w:r>
    </w:p>
    <w:p w:rsidR="00103EEF" w:rsidRDefault="00103EEF" w:rsidP="00FA4DA9">
      <w:pPr>
        <w:spacing w:before="100" w:beforeAutospacing="1" w:after="100" w:afterAutospacing="1" w:line="240" w:lineRule="auto"/>
        <w:jc w:val="both"/>
        <w:rPr>
          <w:rFonts w:ascii="Times New Roman" w:eastAsia="Times New Roman" w:hAnsi="Times New Roman"/>
          <w:b/>
          <w:sz w:val="24"/>
          <w:szCs w:val="24"/>
        </w:rPr>
      </w:pPr>
      <w:r>
        <w:rPr>
          <w:rFonts w:ascii="Times New Roman" w:eastAsia="Times New Roman" w:hAnsi="Times New Roman"/>
          <w:b/>
          <w:sz w:val="24"/>
          <w:szCs w:val="24"/>
        </w:rPr>
        <w:t xml:space="preserve">“La evolución del “Arte del banquero central” durante los últimos doscientos años tiene como seña de identidad la evolución del concepto de prestamista de último recurso”.  </w:t>
      </w:r>
    </w:p>
    <w:p w:rsidR="00103EEF" w:rsidRDefault="00103EEF" w:rsidP="00FA4DA9">
      <w:pPr>
        <w:spacing w:before="100" w:beforeAutospacing="1" w:after="100" w:afterAutospacing="1" w:line="240" w:lineRule="auto"/>
        <w:jc w:val="both"/>
        <w:rPr>
          <w:rFonts w:ascii="Times New Roman" w:eastAsia="Times New Roman" w:hAnsi="Times New Roman"/>
          <w:b/>
          <w:sz w:val="24"/>
          <w:szCs w:val="24"/>
        </w:rPr>
      </w:pPr>
      <w:r>
        <w:rPr>
          <w:rFonts w:ascii="Times New Roman" w:eastAsia="Times New Roman" w:hAnsi="Times New Roman"/>
          <w:b/>
          <w:sz w:val="24"/>
          <w:szCs w:val="24"/>
        </w:rPr>
        <w:t>“El prestamista de último recurso está listo para frenar una estampida (…) proporcionando tanto dinero como sea necesario”.</w:t>
      </w:r>
    </w:p>
    <w:p w:rsidR="00103EEF" w:rsidRDefault="00103EEF" w:rsidP="00FA4DA9">
      <w:pPr>
        <w:spacing w:before="100" w:beforeAutospacing="1" w:after="100" w:afterAutospacing="1" w:line="240" w:lineRule="auto"/>
        <w:jc w:val="both"/>
        <w:rPr>
          <w:rFonts w:ascii="Times New Roman" w:eastAsia="Times New Roman" w:hAnsi="Times New Roman"/>
          <w:b/>
          <w:sz w:val="24"/>
          <w:szCs w:val="24"/>
        </w:rPr>
      </w:pPr>
      <w:r>
        <w:rPr>
          <w:rFonts w:ascii="Times New Roman" w:eastAsia="Times New Roman" w:hAnsi="Times New Roman"/>
          <w:b/>
          <w:sz w:val="24"/>
          <w:szCs w:val="24"/>
        </w:rPr>
        <w:t>“¿Con cuánto dinero? ¿Para quién? ¿En qué condiciones? ¿Cuándo? Estas preguntas acechan al prestamista de último recurso, que afronta el dilema de que los inversores piensen que los bancos y otros privilegiados acreedores recibirán apoyo en caso de dificultades, lo que reducirá su prudencia en el siguiente boom”.</w:t>
      </w:r>
    </w:p>
    <w:p w:rsidR="00103EEF" w:rsidRDefault="00103EEF" w:rsidP="00FA4DA9">
      <w:pPr>
        <w:spacing w:before="100" w:beforeAutospacing="1" w:after="100" w:afterAutospacing="1" w:line="240" w:lineRule="auto"/>
        <w:jc w:val="both"/>
        <w:rPr>
          <w:rFonts w:ascii="Times New Roman" w:eastAsia="Times New Roman" w:hAnsi="Times New Roman"/>
          <w:b/>
          <w:sz w:val="24"/>
          <w:szCs w:val="24"/>
        </w:rPr>
      </w:pPr>
      <w:r>
        <w:rPr>
          <w:rFonts w:ascii="Times New Roman" w:eastAsia="Times New Roman" w:hAnsi="Times New Roman"/>
          <w:b/>
          <w:sz w:val="24"/>
          <w:szCs w:val="24"/>
        </w:rPr>
        <w:t xml:space="preserve">“Sin embargo, si en medio del pánico la estampida no se frena (…) la venta de activos para minimizar pérdidas puede llevar a la bancarrota a un gran número de empresas, que hasta entonces eran solventes y estaban bien capitalizadas”. </w:t>
      </w:r>
    </w:p>
    <w:p w:rsidR="00103EEF" w:rsidRDefault="00103EEF" w:rsidP="00FA4DA9">
      <w:pPr>
        <w:spacing w:before="100" w:beforeAutospacing="1" w:after="100" w:afterAutospacing="1" w:line="240" w:lineRule="auto"/>
        <w:jc w:val="both"/>
        <w:rPr>
          <w:rFonts w:ascii="Times New Roman" w:eastAsia="Times New Roman" w:hAnsi="Times New Roman"/>
          <w:b/>
          <w:sz w:val="24"/>
          <w:szCs w:val="24"/>
        </w:rPr>
      </w:pPr>
      <w:r>
        <w:rPr>
          <w:rFonts w:ascii="Times New Roman" w:eastAsia="Times New Roman" w:hAnsi="Times New Roman"/>
          <w:b/>
          <w:sz w:val="24"/>
          <w:szCs w:val="24"/>
        </w:rPr>
        <w:t xml:space="preserve">“Los argumentos en contra del prestamista de último recurso han sido continuos. (…) El más tajante fue de Herbert Spencer. “Proteger al hombre de los efectos de su locura lo único que consigue es llenar el mundo de locos”. Un punto de vista comprensible en una era Darwiniana”. </w:t>
      </w:r>
    </w:p>
    <w:p w:rsidR="00103EEF" w:rsidRDefault="00103EEF" w:rsidP="00FA4DA9">
      <w:pPr>
        <w:spacing w:before="100" w:beforeAutospacing="1" w:after="100" w:afterAutospacing="1" w:line="240" w:lineRule="auto"/>
        <w:jc w:val="both"/>
        <w:rPr>
          <w:rFonts w:ascii="Times New Roman" w:eastAsia="Times New Roman" w:hAnsi="Times New Roman"/>
          <w:b/>
          <w:sz w:val="24"/>
          <w:szCs w:val="24"/>
        </w:rPr>
      </w:pPr>
      <w:r>
        <w:rPr>
          <w:rFonts w:ascii="Times New Roman" w:eastAsia="Times New Roman" w:hAnsi="Times New Roman"/>
          <w:b/>
          <w:sz w:val="24"/>
          <w:szCs w:val="24"/>
        </w:rPr>
        <w:t xml:space="preserve">“Los bancos centrales suelen tener normas. Cuando no se pueden romper con facilidad, a menudo surgen problemas. También hay problemas cuando las normas se rompen con demasiada facilidad”.  </w:t>
      </w:r>
    </w:p>
    <w:p w:rsidR="00103EEF" w:rsidRDefault="00103EEF" w:rsidP="00FA4DA9">
      <w:pPr>
        <w:spacing w:before="100" w:beforeAutospacing="1" w:after="100" w:afterAutospacing="1" w:line="240" w:lineRule="auto"/>
        <w:jc w:val="both"/>
        <w:rPr>
          <w:rFonts w:ascii="Times New Roman" w:eastAsia="Times New Roman" w:hAnsi="Times New Roman"/>
          <w:b/>
          <w:sz w:val="24"/>
          <w:szCs w:val="24"/>
        </w:rPr>
      </w:pPr>
      <w:r>
        <w:rPr>
          <w:rFonts w:ascii="Times New Roman" w:eastAsia="Times New Roman" w:hAnsi="Times New Roman"/>
          <w:b/>
          <w:sz w:val="24"/>
          <w:szCs w:val="24"/>
        </w:rPr>
        <w:t xml:space="preserve">“'Demasiado poco, demasiado tarde’ es una de las frases más tristes en la jerga de los bancos centrales y de cualquier actividad. Pero ¿cuánto es bastante? Y ¿cuándo es el momento adecuado?”. </w:t>
      </w:r>
    </w:p>
    <w:p w:rsidR="002312B2" w:rsidRDefault="00103EEF" w:rsidP="00FA4DA9">
      <w:pPr>
        <w:spacing w:before="100" w:beforeAutospacing="1" w:after="100" w:afterAutospacing="1" w:line="240" w:lineRule="auto"/>
        <w:jc w:val="both"/>
        <w:rPr>
          <w:rFonts w:ascii="Times New Roman" w:eastAsia="Times New Roman" w:hAnsi="Times New Roman"/>
          <w:b/>
          <w:sz w:val="24"/>
          <w:szCs w:val="24"/>
        </w:rPr>
      </w:pPr>
      <w:r>
        <w:rPr>
          <w:rFonts w:ascii="Times New Roman" w:eastAsia="Times New Roman" w:hAnsi="Times New Roman"/>
          <w:b/>
          <w:sz w:val="24"/>
          <w:szCs w:val="24"/>
        </w:rPr>
        <w:t>“La gestión del tiempo es un arte. Eso no dice nada y lo dice</w:t>
      </w:r>
      <w:r w:rsidR="003F0083">
        <w:rPr>
          <w:rFonts w:ascii="Times New Roman" w:eastAsia="Times New Roman" w:hAnsi="Times New Roman"/>
          <w:b/>
          <w:sz w:val="24"/>
          <w:szCs w:val="24"/>
        </w:rPr>
        <w:t xml:space="preserve"> todo”…</w:t>
      </w:r>
    </w:p>
    <w:p w:rsidR="00103EEF" w:rsidRDefault="00103EEF" w:rsidP="00FA4DA9">
      <w:pPr>
        <w:spacing w:line="240" w:lineRule="auto"/>
        <w:jc w:val="both"/>
        <w:rPr>
          <w:rFonts w:ascii="Times New Roman" w:hAnsi="Times New Roman"/>
          <w:b/>
          <w:sz w:val="24"/>
          <w:szCs w:val="24"/>
        </w:rPr>
      </w:pPr>
      <w:r>
        <w:rPr>
          <w:rFonts w:ascii="Times New Roman" w:hAnsi="Times New Roman"/>
          <w:b/>
          <w:sz w:val="24"/>
          <w:szCs w:val="24"/>
        </w:rPr>
        <w:t>- Bernie Dixit (“Bernankianas”)</w:t>
      </w:r>
    </w:p>
    <w:p w:rsidR="00103EEF" w:rsidRDefault="00103EEF" w:rsidP="00FA4DA9">
      <w:pPr>
        <w:spacing w:line="240" w:lineRule="auto"/>
        <w:jc w:val="both"/>
        <w:rPr>
          <w:rFonts w:ascii="Times New Roman" w:hAnsi="Times New Roman"/>
          <w:b/>
          <w:sz w:val="24"/>
          <w:szCs w:val="24"/>
        </w:rPr>
      </w:pPr>
      <w:r>
        <w:rPr>
          <w:rFonts w:ascii="Times New Roman" w:hAnsi="Times New Roman"/>
          <w:b/>
          <w:sz w:val="24"/>
          <w:szCs w:val="24"/>
        </w:rPr>
        <w:t>- Con Bernanke “sub judice” (El “testamento vital” de Helicopter Ben) - Agosto 2010</w:t>
      </w:r>
    </w:p>
    <w:p w:rsidR="00103EEF" w:rsidRDefault="00103EEF" w:rsidP="00FA4DA9">
      <w:pPr>
        <w:spacing w:line="240" w:lineRule="auto"/>
        <w:jc w:val="both"/>
        <w:rPr>
          <w:rFonts w:ascii="Times New Roman" w:hAnsi="Times New Roman"/>
          <w:sz w:val="24"/>
          <w:szCs w:val="24"/>
        </w:rPr>
      </w:pPr>
      <w:r>
        <w:rPr>
          <w:rFonts w:ascii="Times New Roman" w:hAnsi="Times New Roman"/>
          <w:sz w:val="24"/>
          <w:szCs w:val="24"/>
        </w:rPr>
        <w:t xml:space="preserve">Si a Alan Greenspan le sobró “calle”, podríamos decir que a Ben Bernanke le ha faltado. Más biblioteca, que asfalto. Demasiada cátedra. Un profesor (tal vez, bien intencionado, al contrario que el Maestro), demasiado teórico (¿despistado?) para lidiar al toro de Wall Street. </w:t>
      </w:r>
      <w:r>
        <w:rPr>
          <w:rFonts w:ascii="Times New Roman" w:hAnsi="Times New Roman"/>
          <w:sz w:val="24"/>
          <w:szCs w:val="24"/>
        </w:rPr>
        <w:lastRenderedPageBreak/>
        <w:t>Además, no estaba en condiciones para arriesgar una entrada a “porta gayola” (*) y la “bestia” de la crisis se lo llevó por delante, y con él, a toda la economía (por desgracia, globalizada).</w:t>
      </w:r>
    </w:p>
    <w:p w:rsidR="00103EEF" w:rsidRDefault="00103EEF" w:rsidP="00FA4DA9">
      <w:pPr>
        <w:spacing w:line="240" w:lineRule="auto"/>
        <w:jc w:val="both"/>
        <w:rPr>
          <w:rFonts w:ascii="Times New Roman" w:hAnsi="Times New Roman"/>
          <w:sz w:val="24"/>
          <w:szCs w:val="24"/>
        </w:rPr>
      </w:pPr>
      <w:r>
        <w:rPr>
          <w:rFonts w:ascii="Times New Roman" w:hAnsi="Times New Roman"/>
          <w:sz w:val="24"/>
          <w:szCs w:val="24"/>
        </w:rPr>
        <w:t>Tanto antes (con Greenspan), como ahora (con Bernanke), “ganó la banca”. Las pérdidas se “socializaron”, en nombre del “riesgo sistémico”, y los “sospechosos habituales” continuaron cobrando sus astronómicos “bonus”, brindando por el “riesgo moral”, bajo el patrocinio de la Fed. Las copas están pagas, vamos.</w:t>
      </w:r>
    </w:p>
    <w:p w:rsidR="00103EEF" w:rsidRDefault="002312B2" w:rsidP="00FA4DA9">
      <w:pPr>
        <w:spacing w:line="240" w:lineRule="auto"/>
        <w:jc w:val="both"/>
        <w:rPr>
          <w:rFonts w:ascii="Times New Roman" w:hAnsi="Times New Roman"/>
          <w:sz w:val="24"/>
          <w:szCs w:val="24"/>
        </w:rPr>
      </w:pPr>
      <w:r>
        <w:rPr>
          <w:rFonts w:ascii="Times New Roman" w:hAnsi="Times New Roman"/>
          <w:sz w:val="24"/>
          <w:szCs w:val="24"/>
        </w:rPr>
        <w:t>--------</w:t>
      </w:r>
    </w:p>
    <w:p w:rsidR="00103EEF" w:rsidRPr="002312B2" w:rsidRDefault="00103EEF" w:rsidP="00FA4DA9">
      <w:pPr>
        <w:spacing w:line="240" w:lineRule="auto"/>
        <w:jc w:val="both"/>
        <w:rPr>
          <w:rFonts w:ascii="Times New Roman" w:hAnsi="Times New Roman"/>
          <w:sz w:val="20"/>
          <w:szCs w:val="20"/>
        </w:rPr>
      </w:pPr>
      <w:r w:rsidRPr="002312B2">
        <w:rPr>
          <w:rFonts w:ascii="Times New Roman" w:hAnsi="Times New Roman"/>
          <w:b/>
          <w:sz w:val="20"/>
          <w:szCs w:val="20"/>
        </w:rPr>
        <w:t xml:space="preserve">(*) </w:t>
      </w:r>
      <w:r w:rsidRPr="002312B2">
        <w:rPr>
          <w:rFonts w:ascii="Times New Roman" w:hAnsi="Times New Roman"/>
          <w:sz w:val="20"/>
          <w:szCs w:val="20"/>
        </w:rPr>
        <w:t xml:space="preserve">El genial Rafael “El Gallo” solía, de vez en cuando, irse a la puerta de chiqueros para ejecutar la suerte llamada a porta gayola o larga cambiada esperando de rodillas. Algunos críticos taurinos de la época, llegaron a afirmar que el citado lance de capa era una suerte más de efecto que de mérito. Obviamente, produce un efecto impresionante en los espectadores; pero, ¿escaso de mérito? </w:t>
      </w:r>
    </w:p>
    <w:p w:rsidR="00103EEF" w:rsidRPr="002312B2" w:rsidRDefault="00103EEF" w:rsidP="00FA4DA9">
      <w:pPr>
        <w:spacing w:line="240" w:lineRule="auto"/>
        <w:jc w:val="both"/>
        <w:rPr>
          <w:rFonts w:ascii="Times New Roman" w:hAnsi="Times New Roman"/>
          <w:sz w:val="20"/>
          <w:szCs w:val="20"/>
        </w:rPr>
      </w:pPr>
      <w:r w:rsidRPr="002312B2">
        <w:rPr>
          <w:rFonts w:ascii="Times New Roman" w:hAnsi="Times New Roman"/>
          <w:sz w:val="20"/>
          <w:szCs w:val="20"/>
        </w:rPr>
        <w:t>Lo primero que se produce cuando un diestro camina hacia la puerta de toriles, es un impresionante silencio del público; luego, una angustiosa espera compartida con el torero al saberse que el toro, enclaustrado en un habitáculo totalmente oscuro, sale deslumbrado al recibir el impacto de la claridad y la embestida puede ser incierta. El mérito consiste precisamente en la capacidad que demuestra el diestro de combinar el ritmo del corazón con el del cerebro. Al impetuoso latir del corazón le contrapone la frialdad mental de ordenar al cuerpo todos los movimientos necesarios para salir airoso de esa dramática situación.</w:t>
      </w:r>
    </w:p>
    <w:p w:rsidR="00103EEF" w:rsidRDefault="002312B2" w:rsidP="00FA4DA9">
      <w:pPr>
        <w:spacing w:line="240" w:lineRule="auto"/>
        <w:jc w:val="both"/>
        <w:rPr>
          <w:rFonts w:ascii="Times New Roman" w:hAnsi="Times New Roman"/>
          <w:sz w:val="24"/>
          <w:szCs w:val="24"/>
        </w:rPr>
      </w:pPr>
      <w:r>
        <w:rPr>
          <w:rFonts w:ascii="Times New Roman" w:hAnsi="Times New Roman"/>
          <w:sz w:val="24"/>
          <w:szCs w:val="24"/>
        </w:rPr>
        <w:t>--------</w:t>
      </w:r>
    </w:p>
    <w:p w:rsidR="00103EEF" w:rsidRPr="002312B2" w:rsidRDefault="00103EEF" w:rsidP="00FA4DA9">
      <w:pPr>
        <w:spacing w:line="240" w:lineRule="auto"/>
        <w:jc w:val="both"/>
        <w:rPr>
          <w:rFonts w:ascii="Times New Roman" w:hAnsi="Times New Roman"/>
          <w:b/>
          <w:sz w:val="24"/>
          <w:szCs w:val="24"/>
        </w:rPr>
      </w:pPr>
      <w:r w:rsidRPr="002312B2">
        <w:rPr>
          <w:rFonts w:ascii="Times New Roman" w:hAnsi="Times New Roman"/>
          <w:b/>
          <w:sz w:val="24"/>
          <w:szCs w:val="24"/>
        </w:rPr>
        <w:t>Hay un largo debate sobre las posibilidades de regular el riesgo sistémico</w:t>
      </w:r>
      <w:r w:rsidRPr="002312B2">
        <w:rPr>
          <w:rFonts w:ascii="Times New Roman" w:hAnsi="Times New Roman"/>
          <w:b/>
          <w:sz w:val="24"/>
          <w:szCs w:val="24"/>
          <w:u w:val="single"/>
        </w:rPr>
        <w:t>,</w:t>
      </w:r>
      <w:r w:rsidRPr="002312B2">
        <w:rPr>
          <w:rFonts w:ascii="Times New Roman" w:hAnsi="Times New Roman"/>
          <w:b/>
          <w:sz w:val="24"/>
          <w:szCs w:val="24"/>
        </w:rPr>
        <w:t xml:space="preserve"> pero más allá de la polémica sobre la inevitabilidad de los errores que pueden cometerse en la toma de decisiones en un contexto de incertidumbre (existen dos tipos de errores, uno consiste en rechazar una propuesta verdadera; el otro, en aceptar una propuesta falsa), puede afirmarse con rotundidad que Bernanke no fue “capaz” de retirar la ponchera, en la mitad de la fiesta. No supo, no quiso o no pudo. Lo demás, es historia…</w:t>
      </w:r>
    </w:p>
    <w:p w:rsidR="00103EEF" w:rsidRPr="002312B2" w:rsidRDefault="00103EEF" w:rsidP="00FA4DA9">
      <w:pPr>
        <w:spacing w:line="240" w:lineRule="auto"/>
        <w:jc w:val="both"/>
        <w:rPr>
          <w:rFonts w:ascii="Times New Roman" w:hAnsi="Times New Roman"/>
          <w:b/>
          <w:sz w:val="24"/>
          <w:szCs w:val="24"/>
        </w:rPr>
      </w:pPr>
      <w:r w:rsidRPr="002312B2">
        <w:rPr>
          <w:rFonts w:ascii="Times New Roman" w:hAnsi="Times New Roman"/>
          <w:b/>
          <w:sz w:val="24"/>
          <w:szCs w:val="24"/>
        </w:rPr>
        <w:t xml:space="preserve">Las “amistades peligrosas” de Greenspan, primero, con la “patrocinio” de Paulson (el hombre que vació el Tesoro; “factótum” de Goldman Sachs, no hay que olvidarlo), y luego, con la “cooperación necesaria” de Geithner (responsable de la Fed de Nueva York; la Cueva de Alí Babá, de donde se “permitieron, toleraron -si no promovieron- y bendijeron” las mayores especulaciones de la banca “global”), subieron a Bernanke al helicóptero para que lanzara billetes sobre Wall Street, donde continúa.  </w:t>
      </w:r>
    </w:p>
    <w:p w:rsidR="00103EEF" w:rsidRPr="002312B2" w:rsidRDefault="00103EEF" w:rsidP="00FA4DA9">
      <w:pPr>
        <w:spacing w:line="240" w:lineRule="auto"/>
        <w:jc w:val="both"/>
        <w:rPr>
          <w:rFonts w:ascii="Times New Roman" w:hAnsi="Times New Roman"/>
          <w:b/>
          <w:sz w:val="24"/>
          <w:szCs w:val="24"/>
        </w:rPr>
      </w:pPr>
      <w:r w:rsidRPr="002312B2">
        <w:rPr>
          <w:rFonts w:ascii="Times New Roman" w:hAnsi="Times New Roman"/>
          <w:b/>
          <w:sz w:val="24"/>
          <w:szCs w:val="24"/>
        </w:rPr>
        <w:t xml:space="preserve">Probablemente a Ben Bernanke se le pueda acusar de ser un “ladrón de confianza”. Ha traicionado la confianza de los trabajadores, de los ahorristas, de los inversores, de los electores. </w:t>
      </w:r>
    </w:p>
    <w:p w:rsidR="00103EEF" w:rsidRPr="002312B2" w:rsidRDefault="00103EEF" w:rsidP="00FA4DA9">
      <w:pPr>
        <w:spacing w:line="240" w:lineRule="auto"/>
        <w:jc w:val="both"/>
        <w:rPr>
          <w:rFonts w:ascii="Times New Roman" w:hAnsi="Times New Roman"/>
          <w:b/>
          <w:sz w:val="24"/>
          <w:szCs w:val="24"/>
        </w:rPr>
      </w:pPr>
      <w:r w:rsidRPr="002312B2">
        <w:rPr>
          <w:rFonts w:ascii="Times New Roman" w:hAnsi="Times New Roman"/>
          <w:b/>
          <w:sz w:val="24"/>
          <w:szCs w:val="24"/>
        </w:rPr>
        <w:t xml:space="preserve">Su mayor fallo, tal vez, haya sido, haber socorrido a los agentes imprudentes. Los rescates sistémicos de la crisis más reciente -por más que fueran necesarios para evitar un derrumbe global- agravaron el problema de riesgo moral.  </w:t>
      </w:r>
    </w:p>
    <w:p w:rsidR="00103EEF" w:rsidRDefault="00103EEF" w:rsidP="00FA4DA9">
      <w:pPr>
        <w:spacing w:line="240" w:lineRule="auto"/>
        <w:jc w:val="both"/>
        <w:rPr>
          <w:rFonts w:ascii="Times New Roman" w:hAnsi="Times New Roman"/>
          <w:sz w:val="24"/>
          <w:szCs w:val="24"/>
        </w:rPr>
      </w:pPr>
      <w:r>
        <w:rPr>
          <w:rFonts w:ascii="Times New Roman" w:hAnsi="Times New Roman"/>
          <w:sz w:val="24"/>
          <w:szCs w:val="24"/>
        </w:rPr>
        <w:t xml:space="preserve">No sólo se auxilió a las instituciones financieras “demasiado grandes para quebrar”, sino que la distorsión se agravó, ya que estas instituciones se han vuelto incluso más grandes -a través de la consolidación del sector financiero-. Si una institución es demasiado grande para quebrar, es demasiado grande y hay que dividirla. </w:t>
      </w:r>
    </w:p>
    <w:p w:rsidR="00103EEF" w:rsidRDefault="00103EEF" w:rsidP="00FA4DA9">
      <w:pPr>
        <w:spacing w:line="240" w:lineRule="auto"/>
        <w:jc w:val="both"/>
        <w:rPr>
          <w:rFonts w:ascii="Times New Roman" w:hAnsi="Times New Roman"/>
          <w:sz w:val="24"/>
          <w:szCs w:val="24"/>
        </w:rPr>
      </w:pPr>
      <w:r>
        <w:rPr>
          <w:rFonts w:ascii="Times New Roman" w:hAnsi="Times New Roman"/>
          <w:sz w:val="24"/>
          <w:szCs w:val="24"/>
        </w:rPr>
        <w:t xml:space="preserve">No hay manera de controlar la codicia mediante alguna apelación a la moralidad y a los valores. La codicia tiene que ser controlada por el miedo a perder, que deriva de saber que las instituciones y los agentes imprudentes no serán rescatados. </w:t>
      </w:r>
    </w:p>
    <w:p w:rsidR="00103EEF" w:rsidRDefault="00103EEF" w:rsidP="00FA4DA9">
      <w:pPr>
        <w:spacing w:line="240" w:lineRule="auto"/>
        <w:jc w:val="both"/>
        <w:rPr>
          <w:rFonts w:ascii="Times New Roman" w:hAnsi="Times New Roman"/>
          <w:sz w:val="24"/>
          <w:szCs w:val="24"/>
        </w:rPr>
      </w:pPr>
      <w:r>
        <w:rPr>
          <w:rFonts w:ascii="Times New Roman" w:hAnsi="Times New Roman"/>
          <w:sz w:val="24"/>
          <w:szCs w:val="24"/>
        </w:rPr>
        <w:lastRenderedPageBreak/>
        <w:t xml:space="preserve">A menos que se lleven a cabo estas reformas radicales, aparecerán nuevos Gordon Gekko (Milken) -y Charles Ponzi (Madoff)-. Por cada Gekko castigado y excarcelado -como el Gekko de la próxima película “Wall Street”-, otros cientos de Gekkos más mezquinos y codiciosos nacerán. </w:t>
      </w:r>
    </w:p>
    <w:p w:rsidR="00103EEF" w:rsidRPr="002312B2" w:rsidRDefault="00103EEF" w:rsidP="00FA4DA9">
      <w:pPr>
        <w:spacing w:line="240" w:lineRule="auto"/>
        <w:jc w:val="both"/>
        <w:rPr>
          <w:rFonts w:ascii="Times New Roman" w:hAnsi="Times New Roman"/>
          <w:b/>
          <w:sz w:val="24"/>
          <w:szCs w:val="24"/>
        </w:rPr>
      </w:pPr>
      <w:r w:rsidRPr="002312B2">
        <w:rPr>
          <w:rFonts w:ascii="Times New Roman" w:hAnsi="Times New Roman"/>
          <w:b/>
          <w:sz w:val="24"/>
          <w:szCs w:val="24"/>
        </w:rPr>
        <w:t>Mucho me temo que la historia juzgará a Ben Bernanke como el “padre” de la inflación (o hiperinflación) moderna, que es el único camino que va quedando disponible para “licuar” las deudas públicas y privadas (esta frase ha sido escrita, “en perfecto estado de mis facultades mentales”, a los 15 días de mes de agosto de 2010, a la espera que el tiempo de o quite razones). Como “ex paciente” argentino, sé de lo que se trata.</w:t>
      </w:r>
    </w:p>
    <w:p w:rsidR="00103EEF" w:rsidRPr="002312B2" w:rsidRDefault="00103EEF" w:rsidP="00FA4DA9">
      <w:pPr>
        <w:spacing w:line="240" w:lineRule="auto"/>
        <w:jc w:val="both"/>
        <w:rPr>
          <w:rFonts w:ascii="Times New Roman" w:hAnsi="Times New Roman"/>
          <w:b/>
          <w:sz w:val="24"/>
          <w:szCs w:val="24"/>
        </w:rPr>
      </w:pPr>
      <w:r w:rsidRPr="002312B2">
        <w:rPr>
          <w:rFonts w:ascii="Times New Roman" w:hAnsi="Times New Roman"/>
          <w:b/>
          <w:sz w:val="24"/>
          <w:szCs w:val="24"/>
        </w:rPr>
        <w:t>Entonces a la “malversación” (de la banca), se agregará la “falsificación” (de la Fed)…</w:t>
      </w:r>
    </w:p>
    <w:p w:rsidR="00103EEF" w:rsidRDefault="00103EEF" w:rsidP="00FA4DA9">
      <w:pPr>
        <w:spacing w:line="240" w:lineRule="auto"/>
        <w:jc w:val="both"/>
        <w:rPr>
          <w:rFonts w:ascii="Times New Roman" w:hAnsi="Times New Roman"/>
          <w:sz w:val="24"/>
          <w:szCs w:val="24"/>
        </w:rPr>
      </w:pPr>
      <w:r>
        <w:rPr>
          <w:rFonts w:ascii="Times New Roman" w:hAnsi="Times New Roman"/>
          <w:sz w:val="24"/>
          <w:szCs w:val="24"/>
        </w:rPr>
        <w:t>Tras los rescate financieros y nacionalizaciones, es muy famosa su frase para describir a George Bush, Henry Paulson y Ben Bernanke como “la troika de bolcheviques que fue capaz de convertir Estados Unidos en la República Socialista de Estados Unidos de América”.</w:t>
      </w:r>
    </w:p>
    <w:p w:rsidR="00103EEF" w:rsidRDefault="00103EEF" w:rsidP="00FA4DA9">
      <w:pPr>
        <w:spacing w:line="240" w:lineRule="auto"/>
        <w:jc w:val="both"/>
        <w:rPr>
          <w:rFonts w:ascii="Times New Roman" w:hAnsi="Times New Roman"/>
          <w:sz w:val="24"/>
          <w:szCs w:val="24"/>
        </w:rPr>
      </w:pPr>
      <w:r>
        <w:rPr>
          <w:rFonts w:ascii="Times New Roman" w:hAnsi="Times New Roman"/>
          <w:sz w:val="24"/>
          <w:szCs w:val="24"/>
        </w:rPr>
        <w:t>(Llama la atención la credibilidad que tiene, aún hoy, Bernanke. Su caso es ilustrativo. No debería tener ninguna credibilidad -no entiende el funcionamiento de los mercados-, pero sí la tiene. Todo el mundo lo cita cuando habla, independientemente de lo que diga, tal y como sucedía con Greenspan)</w:t>
      </w:r>
    </w:p>
    <w:p w:rsidR="00103EEF" w:rsidRDefault="00103EEF" w:rsidP="00FA4DA9">
      <w:pPr>
        <w:spacing w:line="240" w:lineRule="auto"/>
        <w:jc w:val="both"/>
        <w:rPr>
          <w:rFonts w:ascii="Times New Roman" w:eastAsia="Calibri" w:hAnsi="Times New Roman"/>
          <w:b/>
          <w:sz w:val="24"/>
          <w:szCs w:val="24"/>
        </w:rPr>
      </w:pPr>
      <w:r>
        <w:rPr>
          <w:rFonts w:ascii="Times New Roman" w:hAnsi="Times New Roman"/>
          <w:b/>
          <w:sz w:val="24"/>
          <w:szCs w:val="24"/>
        </w:rPr>
        <w:t>Tengo la sensación de que Bernanke, como muchas personas que trabajan codo con codo con el sector financiero, ha terminado viendo el mundo a través de los ojos de los banqueros. El mundo “fantástico” del “easing” (relajamiento).</w:t>
      </w:r>
    </w:p>
    <w:p w:rsidR="00103EEF" w:rsidRDefault="00103EEF" w:rsidP="00FA4DA9">
      <w:pPr>
        <w:spacing w:line="240" w:lineRule="auto"/>
        <w:jc w:val="both"/>
        <w:rPr>
          <w:rFonts w:ascii="Times New Roman" w:hAnsi="Times New Roman"/>
          <w:b/>
          <w:sz w:val="24"/>
          <w:szCs w:val="24"/>
        </w:rPr>
      </w:pPr>
      <w:r>
        <w:rPr>
          <w:rFonts w:ascii="Times New Roman" w:hAnsi="Times New Roman"/>
          <w:b/>
          <w:sz w:val="24"/>
          <w:szCs w:val="24"/>
        </w:rPr>
        <w:t>Como conclusión (preliminar, al 15/8/10) a este largo listado de “agravantes”, me animo a decir, que Ben Bernanke sumó al descontrol total, el desconcierto total. Ni previno, ni curó. En definitiva, no ha hecho una buena gestión durante la crisis y no ha restaurado la confianza. Demasiado “quantitative” y muy poco “qualitative”.</w:t>
      </w:r>
    </w:p>
    <w:p w:rsidR="00103EEF" w:rsidRDefault="00103EEF" w:rsidP="00FA4DA9">
      <w:pPr>
        <w:spacing w:line="240" w:lineRule="auto"/>
        <w:jc w:val="both"/>
        <w:rPr>
          <w:rFonts w:ascii="Times New Roman" w:hAnsi="Times New Roman"/>
          <w:sz w:val="24"/>
          <w:szCs w:val="24"/>
        </w:rPr>
      </w:pPr>
      <w:r>
        <w:rPr>
          <w:rFonts w:ascii="Times New Roman" w:hAnsi="Times New Roman"/>
          <w:sz w:val="24"/>
          <w:szCs w:val="24"/>
        </w:rPr>
        <w:t>La Fed ha fallado estrepitosamente en sus previsiones. O, al menos, si conocían los graves problemas a los que se vería abocada la economía estadounidense, no lo declararon públicamente.</w:t>
      </w:r>
    </w:p>
    <w:p w:rsidR="00103EEF" w:rsidRDefault="00103EEF" w:rsidP="00FA4DA9">
      <w:pPr>
        <w:spacing w:line="240" w:lineRule="auto"/>
        <w:jc w:val="both"/>
        <w:rPr>
          <w:rFonts w:ascii="Times New Roman" w:hAnsi="Times New Roman"/>
          <w:sz w:val="24"/>
          <w:szCs w:val="24"/>
        </w:rPr>
      </w:pPr>
      <w:r>
        <w:rPr>
          <w:rFonts w:ascii="Times New Roman" w:hAnsi="Times New Roman"/>
          <w:sz w:val="24"/>
          <w:szCs w:val="24"/>
        </w:rPr>
        <w:t>En este sentido, no sólo fueron las torpes afirmaciones del presidente (chairman) de la Reserva Federal, Ben Bernanke, quien afirmó en 2005 y 2006 que no había burbuja inmobiliaria, y que aun si la hubiera no afectaría a la economía real; por si fuera poco, en verano de 2007 sostuvo que los problemas subprime no afectarían a la economía.</w:t>
      </w:r>
    </w:p>
    <w:p w:rsidR="00103EEF" w:rsidRDefault="00103EEF" w:rsidP="00FA4DA9">
      <w:pPr>
        <w:spacing w:line="240" w:lineRule="auto"/>
        <w:jc w:val="both"/>
        <w:rPr>
          <w:rFonts w:ascii="Times New Roman" w:hAnsi="Times New Roman"/>
          <w:sz w:val="24"/>
          <w:szCs w:val="24"/>
        </w:rPr>
      </w:pPr>
      <w:r>
        <w:rPr>
          <w:rFonts w:ascii="Times New Roman" w:hAnsi="Times New Roman"/>
          <w:sz w:val="24"/>
          <w:szCs w:val="24"/>
        </w:rPr>
        <w:t>Resulta cuanto menos irónico que en una conferencia dada por Bernanke en enero de 2007, éste dijera lo siguiente: “En mi opinión, los mayores beneficios externos de las actividades de supervisión de la FED son aquellos relacionados con el papel de la institución de evitar y gestionar las crisis financieras”.</w:t>
      </w:r>
    </w:p>
    <w:p w:rsidR="00103EEF" w:rsidRDefault="00103EEF" w:rsidP="00FA4DA9">
      <w:pPr>
        <w:spacing w:line="240" w:lineRule="auto"/>
        <w:jc w:val="both"/>
        <w:rPr>
          <w:rFonts w:ascii="Times New Roman" w:hAnsi="Times New Roman"/>
          <w:b/>
          <w:sz w:val="24"/>
          <w:szCs w:val="24"/>
        </w:rPr>
      </w:pPr>
      <w:r>
        <w:rPr>
          <w:rFonts w:ascii="Times New Roman" w:hAnsi="Times New Roman"/>
          <w:b/>
          <w:sz w:val="24"/>
          <w:szCs w:val="24"/>
        </w:rPr>
        <w:t>Ni una mala palabra, ni una buena acción. Mientras Greenspan excitó al “Bull” (toro), Bernanke se dejó comer por el “Bear” (oso). El “miedo escénico”, hizo lo demás…</w:t>
      </w:r>
    </w:p>
    <w:p w:rsidR="00103EEF" w:rsidRDefault="00103EEF" w:rsidP="00FA4DA9">
      <w:pPr>
        <w:spacing w:line="240" w:lineRule="auto"/>
        <w:jc w:val="both"/>
        <w:rPr>
          <w:rFonts w:ascii="Times New Roman" w:hAnsi="Times New Roman"/>
          <w:b/>
          <w:sz w:val="24"/>
          <w:szCs w:val="24"/>
        </w:rPr>
      </w:pPr>
      <w:r>
        <w:rPr>
          <w:rFonts w:ascii="Times New Roman" w:hAnsi="Times New Roman"/>
          <w:b/>
          <w:sz w:val="24"/>
          <w:szCs w:val="24"/>
        </w:rPr>
        <w:t xml:space="preserve">La “irresponsabilidad ignorante”. ¿Por qué dijeron que el objetivo era el de “tranquilizar a los mercados”, cuando en realidad de lo que se trataba era de salvarle el culo a los “especuladores” de la banca y a los “funambulistas” de Wall Street? ¿Por qué dicen que hay que continuar alentado el “crecimiento de la economía y el empleo”, </w:t>
      </w:r>
      <w:r>
        <w:rPr>
          <w:rFonts w:ascii="Times New Roman" w:hAnsi="Times New Roman"/>
          <w:b/>
          <w:sz w:val="24"/>
          <w:szCs w:val="24"/>
        </w:rPr>
        <w:lastRenderedPageBreak/>
        <w:t>cuando ni la una ni el otro, se han beneficiado de la “regadera” monetaria (versión I y versión II)?</w:t>
      </w:r>
    </w:p>
    <w:p w:rsidR="00103EEF" w:rsidRDefault="00103EEF" w:rsidP="00FA4DA9">
      <w:pPr>
        <w:spacing w:line="240" w:lineRule="auto"/>
        <w:jc w:val="both"/>
        <w:rPr>
          <w:rFonts w:ascii="Times New Roman" w:hAnsi="Times New Roman"/>
          <w:b/>
          <w:sz w:val="24"/>
          <w:szCs w:val="24"/>
        </w:rPr>
      </w:pPr>
      <w:r>
        <w:rPr>
          <w:rFonts w:ascii="Times New Roman" w:hAnsi="Times New Roman"/>
          <w:b/>
          <w:sz w:val="24"/>
          <w:szCs w:val="24"/>
        </w:rPr>
        <w:t xml:space="preserve">En respuesta a la crisis de 2007-2009, la Fed implementó el rescate más generoso alguna vez visto para grandes instituciones financieras. Por supuesto, no es políticamente correcto llamarlos rescates -el término preferido por los estrategas políticos es “respaldo de liquidez” o “protección sistémica”-. Pero representa esencialmente lo mismo: a la hora de la verdad, el gobierno más poderoso del mundo (en los papeles, al menos) pospuso una y otra vez las necesidades y deseos de la gente que le había prestado dinero a los grandes bancos. </w:t>
      </w:r>
    </w:p>
    <w:p w:rsidR="00103EEF" w:rsidRDefault="00103EEF" w:rsidP="00FA4DA9">
      <w:pPr>
        <w:spacing w:line="240" w:lineRule="auto"/>
        <w:jc w:val="both"/>
        <w:rPr>
          <w:rFonts w:ascii="Times New Roman" w:hAnsi="Times New Roman"/>
          <w:b/>
          <w:sz w:val="24"/>
          <w:szCs w:val="24"/>
        </w:rPr>
      </w:pPr>
      <w:r>
        <w:rPr>
          <w:rFonts w:ascii="Times New Roman" w:hAnsi="Times New Roman"/>
          <w:b/>
          <w:sz w:val="24"/>
          <w:szCs w:val="24"/>
        </w:rPr>
        <w:t xml:space="preserve">En cada instancia, la lógica fue impecable. Por ejemplo, si Estados Unidos no hubiese ofrecido respaldo prácticamente incondicional al Citigroup en 2008 (durante la presidencia de George W. Bush) y nuevamente en 2009 (ya en la presidencia de Barack Obama), el resultante colapso financiero habría profundizado la recesión global y agravado las pérdidas de empleos en todo el mundo. </w:t>
      </w:r>
    </w:p>
    <w:p w:rsidR="00103EEF" w:rsidRDefault="00103EEF" w:rsidP="00FA4DA9">
      <w:pPr>
        <w:spacing w:line="240" w:lineRule="auto"/>
        <w:jc w:val="both"/>
        <w:rPr>
          <w:rFonts w:ascii="Times New Roman" w:hAnsi="Times New Roman"/>
          <w:b/>
          <w:sz w:val="24"/>
          <w:szCs w:val="24"/>
        </w:rPr>
      </w:pPr>
      <w:r>
        <w:rPr>
          <w:rFonts w:ascii="Times New Roman" w:hAnsi="Times New Roman"/>
          <w:b/>
          <w:sz w:val="24"/>
          <w:szCs w:val="24"/>
        </w:rPr>
        <w:t xml:space="preserve">En efecto, hubo repetidos juegos de provocación entre el gobierno y las principales instituciones financieras en Estados Unidos. El gobierno dijo: “No más rescates”. Los bancos respondieron: “Si no nos rescatan, es muy probable que se produzca una segunda Gran Depresión”. El gobierno (y la Fed) pensó brevemente en esa perspectiva y luego cedió. </w:t>
      </w:r>
    </w:p>
    <w:p w:rsidR="00103EEF" w:rsidRDefault="00103EEF" w:rsidP="00FA4DA9">
      <w:pPr>
        <w:spacing w:line="240" w:lineRule="auto"/>
        <w:jc w:val="both"/>
        <w:rPr>
          <w:rFonts w:ascii="Times New Roman" w:hAnsi="Times New Roman"/>
          <w:b/>
          <w:sz w:val="24"/>
          <w:szCs w:val="24"/>
        </w:rPr>
      </w:pPr>
      <w:r>
        <w:rPr>
          <w:rFonts w:ascii="Times New Roman" w:hAnsi="Times New Roman"/>
          <w:b/>
          <w:sz w:val="24"/>
          <w:szCs w:val="24"/>
        </w:rPr>
        <w:t>Se protegió a los acreedores y se transfirieron las pérdidas de los sectores financieros al gobierno o al Banco Central (Fed). Además, las pérdidas se cubrieron con una gran cuota de “mesura” regulatoria (vale decir, aceptando mirar para otra parte mientras los bancos reconstruían -y reconstruyen- su capital operando con acciones).</w:t>
      </w:r>
    </w:p>
    <w:p w:rsidR="00103EEF" w:rsidRDefault="00103EEF" w:rsidP="00FA4DA9">
      <w:pPr>
        <w:spacing w:line="240" w:lineRule="auto"/>
        <w:jc w:val="both"/>
        <w:rPr>
          <w:rFonts w:ascii="Times New Roman" w:hAnsi="Times New Roman"/>
          <w:b/>
          <w:sz w:val="24"/>
          <w:szCs w:val="24"/>
        </w:rPr>
      </w:pPr>
      <w:r>
        <w:rPr>
          <w:rFonts w:ascii="Times New Roman" w:hAnsi="Times New Roman"/>
          <w:b/>
          <w:sz w:val="24"/>
          <w:szCs w:val="24"/>
        </w:rPr>
        <w:t>¿Cuál es el problema, entonces, con las políticas de 2007-2009, y por qué no se puede (debe) planificar hacer algo similar en el futuro si alguna vez se vuelve a enfrentar una crisis de esta naturaleza?</w:t>
      </w:r>
    </w:p>
    <w:p w:rsidR="00103EEF" w:rsidRDefault="00103EEF" w:rsidP="00FA4DA9">
      <w:pPr>
        <w:spacing w:line="240" w:lineRule="auto"/>
        <w:jc w:val="both"/>
        <w:rPr>
          <w:rFonts w:ascii="Times New Roman" w:hAnsi="Times New Roman"/>
          <w:b/>
          <w:sz w:val="24"/>
          <w:szCs w:val="24"/>
        </w:rPr>
      </w:pPr>
      <w:r>
        <w:rPr>
          <w:rFonts w:ascii="Times New Roman" w:hAnsi="Times New Roman"/>
          <w:b/>
          <w:sz w:val="24"/>
          <w:szCs w:val="24"/>
        </w:rPr>
        <w:t xml:space="preserve">El problema son los incentivos -lo que los rescates implican para las actitudes y el comportamiento dentro del sector financiero-. La protección que se extendió a los bancos y otras instituciones financieras desde el verano de 2007, y de manera más integral desde la quiebra de Lehman Brothers y AIG en septiembre de 2008, envía una señal clara. Si uno es “grande” en relación al sistema, tiene más probabilidades de recibir un generoso respaldo del gobierno cuando todo el sistema se torna vulnerable. </w:t>
      </w:r>
    </w:p>
    <w:p w:rsidR="00103EEF" w:rsidRDefault="00103EEF" w:rsidP="00FA4DA9">
      <w:pPr>
        <w:spacing w:line="240" w:lineRule="auto"/>
        <w:jc w:val="both"/>
        <w:rPr>
          <w:rFonts w:ascii="Times New Roman" w:eastAsia="Times New Roman" w:hAnsi="Times New Roman"/>
          <w:b/>
          <w:sz w:val="24"/>
          <w:szCs w:val="24"/>
        </w:rPr>
      </w:pPr>
      <w:r>
        <w:rPr>
          <w:rFonts w:ascii="Times New Roman" w:eastAsia="Times New Roman" w:hAnsi="Times New Roman"/>
          <w:b/>
          <w:sz w:val="24"/>
          <w:szCs w:val="24"/>
        </w:rPr>
        <w:t>Mentiras y errores al descubierto (del conundrum de Alan, al oxímoron de Ben)</w:t>
      </w:r>
    </w:p>
    <w:p w:rsidR="00FA4DA9" w:rsidRDefault="00FA4DA9" w:rsidP="00FA4DA9">
      <w:pPr>
        <w:spacing w:line="240" w:lineRule="auto"/>
        <w:jc w:val="both"/>
        <w:rPr>
          <w:rFonts w:ascii="Times New Roman" w:hAnsi="Times New Roman"/>
          <w:color w:val="FF0000"/>
          <w:sz w:val="24"/>
          <w:szCs w:val="24"/>
        </w:rPr>
      </w:pPr>
      <w:r>
        <w:rPr>
          <w:rFonts w:ascii="Times New Roman" w:hAnsi="Times New Roman"/>
          <w:sz w:val="24"/>
          <w:szCs w:val="24"/>
        </w:rPr>
        <w:t xml:space="preserve">- </w:t>
      </w:r>
      <w:r>
        <w:rPr>
          <w:rFonts w:ascii="Times New Roman" w:hAnsi="Times New Roman"/>
          <w:sz w:val="24"/>
          <w:szCs w:val="24"/>
          <w:u w:val="single"/>
        </w:rPr>
        <w:t>Bernanke habla claro: La FED está “imprimiendo dinero</w:t>
      </w:r>
      <w:r>
        <w:rPr>
          <w:rFonts w:ascii="Times New Roman" w:hAnsi="Times New Roman"/>
          <w:sz w:val="24"/>
          <w:szCs w:val="24"/>
        </w:rPr>
        <w:t xml:space="preserve">” (Libertad Digital - </w:t>
      </w:r>
      <w:r>
        <w:rPr>
          <w:rFonts w:ascii="Times New Roman" w:hAnsi="Times New Roman"/>
          <w:b/>
          <w:sz w:val="24"/>
          <w:szCs w:val="24"/>
        </w:rPr>
        <w:t>17/3/09</w:t>
      </w:r>
      <w:r>
        <w:rPr>
          <w:rFonts w:ascii="Times New Roman" w:hAnsi="Times New Roman"/>
          <w:sz w:val="24"/>
          <w:szCs w:val="24"/>
        </w:rPr>
        <w:t xml:space="preserve">) </w:t>
      </w:r>
    </w:p>
    <w:p w:rsidR="00FA4DA9" w:rsidRDefault="00FA4DA9" w:rsidP="00FA4DA9">
      <w:pPr>
        <w:spacing w:line="240" w:lineRule="auto"/>
        <w:jc w:val="both"/>
        <w:rPr>
          <w:rFonts w:ascii="Times New Roman" w:hAnsi="Times New Roman"/>
          <w:sz w:val="24"/>
          <w:szCs w:val="24"/>
        </w:rPr>
      </w:pPr>
      <w:r>
        <w:rPr>
          <w:rFonts w:ascii="Times New Roman" w:hAnsi="Times New Roman"/>
          <w:sz w:val="24"/>
          <w:szCs w:val="24"/>
          <w:u w:val="single"/>
        </w:rPr>
        <w:t>La entrevista al presidente de la Reserva Federal de EEUU (Fed), Ben Bernanke, en 60 minutes se centró en sus previsiones sobre el fin de la crisis</w:t>
      </w:r>
      <w:r>
        <w:rPr>
          <w:rFonts w:ascii="Times New Roman" w:hAnsi="Times New Roman"/>
          <w:sz w:val="24"/>
          <w:szCs w:val="24"/>
        </w:rPr>
        <w:t>. Bernanke ahuyentó el riesgo de caer en una depresión económica, pero también admitió que la Fed imprime dinero para impulsar la economía.</w:t>
      </w:r>
    </w:p>
    <w:p w:rsidR="00FA4DA9" w:rsidRDefault="00FA4DA9" w:rsidP="00FA4DA9">
      <w:pPr>
        <w:spacing w:line="240" w:lineRule="auto"/>
        <w:jc w:val="both"/>
        <w:rPr>
          <w:rFonts w:ascii="Times New Roman" w:hAnsi="Times New Roman"/>
          <w:sz w:val="24"/>
          <w:szCs w:val="24"/>
        </w:rPr>
      </w:pPr>
      <w:r>
        <w:rPr>
          <w:rFonts w:ascii="Times New Roman" w:hAnsi="Times New Roman"/>
          <w:sz w:val="24"/>
          <w:szCs w:val="24"/>
        </w:rPr>
        <w:t xml:space="preserve">(Por M. Llamas)                                                                                </w:t>
      </w:r>
    </w:p>
    <w:p w:rsidR="00FA4DA9" w:rsidRDefault="00FA4DA9" w:rsidP="00FA4DA9">
      <w:pPr>
        <w:spacing w:line="240" w:lineRule="auto"/>
        <w:jc w:val="both"/>
        <w:rPr>
          <w:rFonts w:ascii="Times New Roman" w:hAnsi="Times New Roman"/>
          <w:sz w:val="24"/>
          <w:szCs w:val="24"/>
        </w:rPr>
      </w:pPr>
      <w:r>
        <w:rPr>
          <w:rFonts w:ascii="Times New Roman" w:hAnsi="Times New Roman"/>
          <w:sz w:val="24"/>
          <w:szCs w:val="24"/>
        </w:rPr>
        <w:t xml:space="preserve">El riesgo de caer en una depresión económica se aleja de las costas estadounidenses, según afirmó Bernanke el pasado domingo en una entrevista concedida a la cadena estadounidense CBS. De hecho, avanzó que la profunda recesión económica que atraviesa la primera </w:t>
      </w:r>
      <w:r>
        <w:rPr>
          <w:rFonts w:ascii="Times New Roman" w:hAnsi="Times New Roman"/>
          <w:sz w:val="24"/>
          <w:szCs w:val="24"/>
        </w:rPr>
        <w:lastRenderedPageBreak/>
        <w:t>potencia mundial verá su fin, “posiblemente” este año. De este modo, Bernanke avanza que la ansiada recuperación tendrá lugar en 2010. Un pronóstico que en las últimas jornadas está animando a Wall Street.</w:t>
      </w:r>
    </w:p>
    <w:p w:rsidR="00FA4DA9" w:rsidRDefault="00FA4DA9" w:rsidP="00FA4DA9">
      <w:pPr>
        <w:spacing w:line="240" w:lineRule="auto"/>
        <w:jc w:val="both"/>
        <w:rPr>
          <w:rFonts w:ascii="Times New Roman" w:hAnsi="Times New Roman"/>
          <w:sz w:val="24"/>
          <w:szCs w:val="24"/>
          <w:u w:val="single"/>
        </w:rPr>
      </w:pPr>
      <w:r>
        <w:rPr>
          <w:rFonts w:ascii="Times New Roman" w:hAnsi="Times New Roman"/>
          <w:sz w:val="24"/>
          <w:szCs w:val="24"/>
          <w:u w:val="single"/>
        </w:rPr>
        <w:t>Pero, ¿cómo está impulsando la Fed la estabilización del deteriorado sistema financiero de EEUU? El gran objetivo de la política aplicada por Bernanke, hasta el momento, ha consistido en evitar el riesgo de caer en una recesión con deflación (caída de precios generalizada), al estilo de Japón o la Gran Depresión de los años 30 en EEUU.</w:t>
      </w:r>
    </w:p>
    <w:p w:rsidR="00FA4DA9" w:rsidRPr="002312B2" w:rsidRDefault="00FA4DA9" w:rsidP="00FA4DA9">
      <w:pPr>
        <w:spacing w:line="240" w:lineRule="auto"/>
        <w:jc w:val="both"/>
        <w:rPr>
          <w:rFonts w:ascii="Times New Roman" w:hAnsi="Times New Roman"/>
          <w:b/>
          <w:color w:val="FF0000"/>
          <w:sz w:val="24"/>
          <w:szCs w:val="24"/>
          <w:u w:val="single"/>
        </w:rPr>
      </w:pPr>
      <w:r>
        <w:rPr>
          <w:rFonts w:ascii="Times New Roman" w:hAnsi="Times New Roman"/>
          <w:sz w:val="24"/>
          <w:szCs w:val="24"/>
          <w:u w:val="single"/>
        </w:rPr>
        <w:t xml:space="preserve">Para ello, </w:t>
      </w:r>
      <w:r>
        <w:rPr>
          <w:rFonts w:ascii="Times New Roman" w:hAnsi="Times New Roman"/>
          <w:color w:val="FF0000"/>
          <w:sz w:val="24"/>
          <w:szCs w:val="24"/>
          <w:u w:val="single"/>
        </w:rPr>
        <w:t xml:space="preserve">Bernanke no ha dudado en poner en marcha medidas extraordinarias. </w:t>
      </w:r>
      <w:r w:rsidRPr="002312B2">
        <w:rPr>
          <w:rFonts w:ascii="Times New Roman" w:hAnsi="Times New Roman"/>
          <w:b/>
          <w:color w:val="FF0000"/>
          <w:sz w:val="24"/>
          <w:szCs w:val="24"/>
          <w:u w:val="single"/>
        </w:rPr>
        <w:t xml:space="preserve">En un momento de la citada entrevista, el periodista Scott Pelley pregunta lo siguiente: “¿Ha estado imprimiendo dinero?”. “Bueno, efectivamente”, afirma Bernanke. “Tenemos que hacerlo porque nuestra economía está muy débil y la inflación es muy baja”, indica. “Cuando la economía comience a recuperarse será el momento de abandonar esos programas, subir los tipos de interés y asegurarnos de que la recuperación no implique inflación”. </w:t>
      </w:r>
    </w:p>
    <w:p w:rsidR="00FA4DA9" w:rsidRPr="00D63C98" w:rsidRDefault="00FA4DA9" w:rsidP="00FA4DA9">
      <w:pPr>
        <w:spacing w:line="240" w:lineRule="auto"/>
        <w:jc w:val="both"/>
        <w:rPr>
          <w:rFonts w:ascii="Times New Roman" w:hAnsi="Times New Roman"/>
          <w:b/>
          <w:color w:val="FF0000"/>
          <w:sz w:val="24"/>
          <w:szCs w:val="24"/>
          <w:u w:val="single"/>
        </w:rPr>
      </w:pPr>
      <w:r w:rsidRPr="00D63C98">
        <w:rPr>
          <w:rFonts w:ascii="Times New Roman" w:hAnsi="Times New Roman"/>
          <w:b/>
          <w:color w:val="FF0000"/>
          <w:sz w:val="24"/>
          <w:szCs w:val="24"/>
          <w:u w:val="single"/>
        </w:rPr>
        <w:t>Así pues, la inyección de liquidez al mercado financiero por parte de la Fed no procede del “dinero de los impuestos”, aclara Bernanke. “Los bancos tiene cuentas abiertas con la Fed, al igual que usted tiene una cuenta en una banco comercial. De este modo, para prestar créditos a un banco, nosotros simplemente usamos el ordenador (apunte contable) para aumentar el tamaño de la cuenta que ellos (los bancos) tienen con la Fed”. Algo “muy similar” a la impresión de dinero, admite.</w:t>
      </w:r>
    </w:p>
    <w:p w:rsidR="00FA4DA9" w:rsidRDefault="00FA4DA9" w:rsidP="00FA4DA9">
      <w:pPr>
        <w:spacing w:line="240" w:lineRule="auto"/>
        <w:jc w:val="both"/>
        <w:rPr>
          <w:rFonts w:ascii="Times New Roman" w:hAnsi="Times New Roman"/>
          <w:sz w:val="24"/>
          <w:szCs w:val="24"/>
          <w:u w:val="single"/>
        </w:rPr>
      </w:pPr>
      <w:r>
        <w:rPr>
          <w:rFonts w:ascii="Times New Roman" w:hAnsi="Times New Roman"/>
          <w:sz w:val="24"/>
          <w:szCs w:val="24"/>
          <w:u w:val="single"/>
        </w:rPr>
        <w:t>Bernanke explica así el modo en que funcionan los distintos mecanismos de descuento de papel y activos tóxicos que ha puesto en marcha la Fed para ampliar las líneas de crédito y liquidez a la banca comercial del país. Como resultado, el balance de la Fed casi se ha triplicado desde el inicio de la crisis. A ello, se suma la posibilidad de que la Reserva Federal comience a incrementar sus compras de deuda pública al Tesoro de EEUU mediante la impresión de billetes ex novo, un mecanismo extraordinario que ya ha comenzado a utilizar el Banco de Inglaterra (prevé imprimir 150.000 millones de libras extra).</w:t>
      </w:r>
    </w:p>
    <w:p w:rsidR="00FA4DA9" w:rsidRPr="00FA4DA9" w:rsidRDefault="00FA4DA9" w:rsidP="00FA4DA9">
      <w:pPr>
        <w:spacing w:line="240" w:lineRule="auto"/>
        <w:jc w:val="both"/>
        <w:rPr>
          <w:rFonts w:ascii="Times New Roman" w:hAnsi="Times New Roman"/>
          <w:sz w:val="24"/>
          <w:szCs w:val="24"/>
        </w:rPr>
      </w:pPr>
      <w:r>
        <w:rPr>
          <w:rFonts w:ascii="Times New Roman" w:hAnsi="Times New Roman"/>
          <w:sz w:val="24"/>
          <w:szCs w:val="24"/>
        </w:rPr>
        <w:t>Sin embargo, el propio Bernanke reconoce los riesgos de este tipo de medidas al augurar que, en caso de que se recupere la economía, tendrá que subir tipos y vigilar de cerca la inflación para evitar males mayores.</w:t>
      </w:r>
    </w:p>
    <w:p w:rsidR="00FA4DA9" w:rsidRDefault="00103EEF" w:rsidP="00FA4DA9">
      <w:pPr>
        <w:spacing w:before="100" w:beforeAutospacing="1" w:after="100" w:afterAutospacing="1" w:line="240" w:lineRule="auto"/>
        <w:jc w:val="both"/>
        <w:rPr>
          <w:rFonts w:ascii="Times New Roman" w:eastAsia="Times New Roman" w:hAnsi="Times New Roman"/>
          <w:sz w:val="24"/>
          <w:szCs w:val="24"/>
        </w:rPr>
      </w:pPr>
      <w:r w:rsidRPr="00103EEF">
        <w:rPr>
          <w:rFonts w:ascii="Times New Roman" w:eastAsia="Times New Roman" w:hAnsi="Times New Roman"/>
          <w:sz w:val="24"/>
          <w:szCs w:val="24"/>
        </w:rPr>
        <w:t xml:space="preserve">- </w:t>
      </w:r>
      <w:r>
        <w:rPr>
          <w:rFonts w:ascii="Times New Roman" w:eastAsia="Times New Roman" w:hAnsi="Times New Roman"/>
          <w:sz w:val="24"/>
          <w:szCs w:val="24"/>
          <w:u w:val="single"/>
        </w:rPr>
        <w:t>Bernanke, el banquero central que engañó a medio mundo</w:t>
      </w:r>
      <w:r>
        <w:rPr>
          <w:rFonts w:ascii="Times New Roman" w:eastAsia="Times New Roman" w:hAnsi="Times New Roman"/>
          <w:sz w:val="24"/>
          <w:szCs w:val="24"/>
        </w:rPr>
        <w:t xml:space="preserve"> </w:t>
      </w:r>
      <w:r w:rsidR="00FA4DA9">
        <w:rPr>
          <w:rFonts w:ascii="Times New Roman" w:eastAsia="Times New Roman" w:hAnsi="Times New Roman"/>
          <w:sz w:val="24"/>
          <w:szCs w:val="24"/>
        </w:rPr>
        <w:t xml:space="preserve">(Libertad Digital - </w:t>
      </w:r>
      <w:r w:rsidR="00FA4DA9">
        <w:rPr>
          <w:rFonts w:ascii="Times New Roman" w:eastAsia="Times New Roman" w:hAnsi="Times New Roman"/>
          <w:b/>
          <w:sz w:val="24"/>
          <w:szCs w:val="24"/>
        </w:rPr>
        <w:t>5/1/11</w:t>
      </w:r>
      <w:r w:rsidR="00FA4DA9">
        <w:rPr>
          <w:rFonts w:ascii="Times New Roman" w:eastAsia="Times New Roman" w:hAnsi="Times New Roman"/>
          <w:sz w:val="24"/>
          <w:szCs w:val="24"/>
        </w:rPr>
        <w:t>)</w:t>
      </w:r>
    </w:p>
    <w:p w:rsidR="00103EEF" w:rsidRPr="00103EEF" w:rsidRDefault="00103EEF" w:rsidP="00FA4DA9">
      <w:pPr>
        <w:spacing w:before="100" w:beforeAutospacing="1" w:after="100" w:afterAutospacing="1" w:line="240" w:lineRule="auto"/>
        <w:jc w:val="both"/>
        <w:rPr>
          <w:rFonts w:ascii="Times New Roman" w:eastAsia="Times New Roman" w:hAnsi="Times New Roman"/>
          <w:color w:val="FF0000"/>
          <w:sz w:val="24"/>
          <w:szCs w:val="24"/>
          <w:u w:val="single"/>
        </w:rPr>
      </w:pPr>
      <w:r>
        <w:rPr>
          <w:rFonts w:ascii="Times New Roman" w:eastAsia="Times New Roman" w:hAnsi="Times New Roman"/>
          <w:color w:val="FF0000"/>
          <w:sz w:val="24"/>
          <w:szCs w:val="24"/>
          <w:u w:val="single"/>
        </w:rPr>
        <w:t>El presidente de la FED, Ben Bernanke, fue alabado como la persona perfecta para afrontar el crash de 2008. Pero parece que a Bernanke se le apaga la estrella. Muchos le dan la espalda y las críticas empiezan a arreciar desde todos lados. No es de extrañar si se repasa la hemeroteca.</w:t>
      </w:r>
      <w:r>
        <w:rPr>
          <w:rFonts w:ascii="Times New Roman" w:eastAsia="Times New Roman" w:hAnsi="Times New Roman"/>
          <w:sz w:val="24"/>
          <w:szCs w:val="24"/>
        </w:rPr>
        <w:t xml:space="preserve">                                                                   </w:t>
      </w:r>
    </w:p>
    <w:p w:rsidR="00103EEF" w:rsidRDefault="00103EEF" w:rsidP="00FA4DA9">
      <w:pPr>
        <w:spacing w:before="100" w:beforeAutospacing="1" w:after="100" w:afterAutospacing="1" w:line="240" w:lineRule="auto"/>
        <w:jc w:val="both"/>
        <w:rPr>
          <w:rFonts w:ascii="Times New Roman" w:eastAsia="Times New Roman" w:hAnsi="Times New Roman"/>
          <w:sz w:val="24"/>
          <w:szCs w:val="24"/>
          <w:u w:val="single"/>
        </w:rPr>
      </w:pPr>
      <w:r>
        <w:rPr>
          <w:rFonts w:ascii="Times New Roman" w:eastAsia="Times New Roman" w:hAnsi="Times New Roman"/>
          <w:sz w:val="24"/>
          <w:szCs w:val="24"/>
          <w:u w:val="single"/>
        </w:rPr>
        <w:t>¿Están siendo injustos y oportunistas con Bernanke? ¿O realmente se merece las críticas</w:t>
      </w:r>
      <w:r>
        <w:rPr>
          <w:rFonts w:ascii="Times New Roman" w:eastAsia="Times New Roman" w:hAnsi="Times New Roman"/>
          <w:sz w:val="24"/>
          <w:szCs w:val="24"/>
        </w:rPr>
        <w:t xml:space="preserve">? El debate se ha repetido por todo el internet económico, muchas veces como lucha entre diferentes visiones o escuelas, donde los participantes acaban enrocados. Para evitar caer en la misma dinámica </w:t>
      </w:r>
      <w:r>
        <w:rPr>
          <w:rFonts w:ascii="Times New Roman" w:eastAsia="Times New Roman" w:hAnsi="Times New Roman"/>
          <w:sz w:val="24"/>
          <w:szCs w:val="24"/>
          <w:u w:val="single"/>
        </w:rPr>
        <w:t>nada mejor que juzgar a Bernanke por sus predicciones. Para bien o para mal, el tiempo siempre pone a cada persona en su sitio.</w:t>
      </w:r>
    </w:p>
    <w:p w:rsidR="003F0083" w:rsidRDefault="003F0083" w:rsidP="00FA4DA9">
      <w:pPr>
        <w:spacing w:before="100" w:beforeAutospacing="1" w:after="100" w:afterAutospacing="1" w:line="240" w:lineRule="auto"/>
        <w:jc w:val="both"/>
        <w:rPr>
          <w:rFonts w:ascii="Times New Roman" w:eastAsia="Times New Roman" w:hAnsi="Times New Roman"/>
          <w:sz w:val="24"/>
          <w:szCs w:val="24"/>
          <w:u w:val="single"/>
        </w:rPr>
      </w:pPr>
    </w:p>
    <w:p w:rsidR="00103EEF" w:rsidRDefault="00103EEF" w:rsidP="00FA4DA9">
      <w:pPr>
        <w:spacing w:before="100" w:beforeAutospacing="1" w:after="100" w:afterAutospacing="1" w:line="240" w:lineRule="auto"/>
        <w:jc w:val="both"/>
        <w:rPr>
          <w:rFonts w:ascii="Times New Roman" w:eastAsia="Times New Roman" w:hAnsi="Times New Roman"/>
          <w:color w:val="FF0000"/>
          <w:sz w:val="24"/>
          <w:szCs w:val="24"/>
        </w:rPr>
      </w:pPr>
      <w:r>
        <w:rPr>
          <w:rFonts w:ascii="Times New Roman" w:eastAsia="Times New Roman" w:hAnsi="Times New Roman"/>
          <w:sz w:val="24"/>
          <w:szCs w:val="24"/>
        </w:rPr>
        <w:lastRenderedPageBreak/>
        <w:t xml:space="preserve">1. </w:t>
      </w:r>
      <w:r>
        <w:rPr>
          <w:rFonts w:ascii="Times New Roman" w:eastAsia="Times New Roman" w:hAnsi="Times New Roman"/>
          <w:color w:val="FF0000"/>
          <w:sz w:val="24"/>
          <w:szCs w:val="24"/>
        </w:rPr>
        <w:t>Antes de la crisis</w:t>
      </w:r>
    </w:p>
    <w:p w:rsidR="00103EEF" w:rsidRDefault="00103EEF" w:rsidP="00FA4DA9">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sz w:val="24"/>
          <w:szCs w:val="24"/>
        </w:rPr>
        <w:t>Marzo de 2005</w:t>
      </w:r>
    </w:p>
    <w:p w:rsidR="00103EEF" w:rsidRDefault="00103EEF" w:rsidP="00FA4DA9">
      <w:pPr>
        <w:spacing w:before="100" w:beforeAutospacing="1" w:after="100" w:afterAutospacing="1" w:line="240" w:lineRule="auto"/>
        <w:jc w:val="both"/>
        <w:rPr>
          <w:rFonts w:ascii="Times New Roman" w:eastAsia="Times New Roman" w:hAnsi="Times New Roman"/>
          <w:color w:val="FF0000"/>
          <w:sz w:val="24"/>
          <w:szCs w:val="24"/>
          <w:u w:val="single"/>
        </w:rPr>
      </w:pPr>
      <w:r>
        <w:rPr>
          <w:rFonts w:ascii="Times New Roman" w:eastAsia="Times New Roman" w:hAnsi="Times New Roman"/>
          <w:color w:val="FF0000"/>
          <w:sz w:val="24"/>
          <w:szCs w:val="24"/>
          <w:u w:val="single"/>
        </w:rPr>
        <w:t>El reciente influjo de capital ha provocado una subida del precio de la vivienda. Esta subida, a su vez, ha alentado a las familias a aumentar su consumo. Por supuesto, el aumento de las tasas de propiedad de vivienda y de consumo de los hogares son cosas buenas</w:t>
      </w:r>
    </w:p>
    <w:p w:rsidR="00103EEF" w:rsidRDefault="00103EEF" w:rsidP="00FA4DA9">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sz w:val="24"/>
          <w:szCs w:val="24"/>
        </w:rPr>
        <w:t>Discurso para la “Virginia Association of Economics”</w:t>
      </w:r>
    </w:p>
    <w:p w:rsidR="00103EEF" w:rsidRDefault="00103EEF" w:rsidP="00FA4DA9">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sz w:val="24"/>
          <w:szCs w:val="24"/>
        </w:rPr>
        <w:t>Julio de 2005</w:t>
      </w:r>
    </w:p>
    <w:p w:rsidR="00103EEF" w:rsidRDefault="00103EEF" w:rsidP="00FA4DA9">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sz w:val="24"/>
          <w:szCs w:val="24"/>
        </w:rPr>
        <w:t>Transcripción de las partes más significativas del vídeo:</w:t>
      </w:r>
    </w:p>
    <w:p w:rsidR="00103EEF" w:rsidRDefault="00103EEF" w:rsidP="00FA4DA9">
      <w:pPr>
        <w:spacing w:before="100" w:beforeAutospacing="1" w:after="100" w:afterAutospacing="1" w:line="240" w:lineRule="auto"/>
        <w:jc w:val="both"/>
        <w:rPr>
          <w:rFonts w:ascii="Times New Roman" w:eastAsia="Times New Roman" w:hAnsi="Times New Roman"/>
          <w:sz w:val="24"/>
          <w:szCs w:val="24"/>
          <w:u w:val="single"/>
        </w:rPr>
      </w:pPr>
      <w:r>
        <w:rPr>
          <w:rFonts w:ascii="Times New Roman" w:eastAsia="Times New Roman" w:hAnsi="Times New Roman"/>
          <w:sz w:val="24"/>
          <w:szCs w:val="24"/>
        </w:rPr>
        <w:t xml:space="preserve">Entrevistador: Ben, se habla mucho de una burbuja inmobiliaria, particularmente, ya sabes (inaudible) de todo tipo de lugares. </w:t>
      </w:r>
      <w:r>
        <w:rPr>
          <w:rFonts w:ascii="Times New Roman" w:eastAsia="Times New Roman" w:hAnsi="Times New Roman"/>
          <w:sz w:val="24"/>
          <w:szCs w:val="24"/>
          <w:u w:val="single"/>
        </w:rPr>
        <w:t>¿Puede darnos su opinión acerca de si existe o no una burbuja inmobiliaria?</w:t>
      </w:r>
    </w:p>
    <w:p w:rsidR="00103EEF" w:rsidRDefault="00103EEF" w:rsidP="00FA4DA9">
      <w:pPr>
        <w:spacing w:before="100" w:beforeAutospacing="1" w:after="100" w:afterAutospacing="1" w:line="240" w:lineRule="auto"/>
        <w:jc w:val="both"/>
        <w:rPr>
          <w:rFonts w:ascii="Times New Roman" w:eastAsia="Times New Roman" w:hAnsi="Times New Roman"/>
          <w:color w:val="FF0000"/>
          <w:sz w:val="24"/>
          <w:szCs w:val="24"/>
          <w:u w:val="single"/>
        </w:rPr>
      </w:pPr>
      <w:r>
        <w:rPr>
          <w:rFonts w:ascii="Times New Roman" w:eastAsia="Times New Roman" w:hAnsi="Times New Roman"/>
          <w:sz w:val="24"/>
          <w:szCs w:val="24"/>
        </w:rPr>
        <w:t xml:space="preserve">Bernanke: </w:t>
      </w:r>
      <w:r>
        <w:rPr>
          <w:rFonts w:ascii="Times New Roman" w:eastAsia="Times New Roman" w:hAnsi="Times New Roman"/>
          <w:color w:val="FF0000"/>
          <w:sz w:val="24"/>
          <w:szCs w:val="24"/>
          <w:u w:val="single"/>
        </w:rPr>
        <w:t>Bueno, sin lugar a dudas, los precios de la vivienda han subido bastante; creo que es importante tener en cuenta que los fundamentales son también fuertes. Tenemos una economía en crecimiento, empleo, ingresos. Tenemos las tasas hipotecarias muy bajas. Tenemos la demografía apoyando el crecimiento de la vivienda.</w:t>
      </w:r>
    </w:p>
    <w:p w:rsidR="00103EEF" w:rsidRDefault="00103EEF" w:rsidP="00FA4DA9">
      <w:pPr>
        <w:spacing w:before="100" w:beforeAutospacing="1" w:after="100" w:afterAutospacing="1" w:line="240" w:lineRule="auto"/>
        <w:jc w:val="both"/>
        <w:rPr>
          <w:rFonts w:ascii="Times New Roman" w:eastAsia="Times New Roman" w:hAnsi="Times New Roman"/>
          <w:color w:val="FF0000"/>
          <w:sz w:val="24"/>
          <w:szCs w:val="24"/>
          <w:u w:val="single"/>
        </w:rPr>
      </w:pPr>
      <w:r>
        <w:rPr>
          <w:rFonts w:ascii="Times New Roman" w:eastAsia="Times New Roman" w:hAnsi="Times New Roman"/>
          <w:color w:val="FF0000"/>
          <w:sz w:val="24"/>
          <w:szCs w:val="24"/>
          <w:u w:val="single"/>
        </w:rPr>
        <w:t>Tenemos una oferta restringida en algunos lugares. Por lo tanto, es comprensible que los precios suban algo. No sé si los precios están exactamente donde deben estar, pero creo que es justo decir que mucho de lo que ha pasado está soportado por la fuerza de la economía.</w:t>
      </w:r>
    </w:p>
    <w:p w:rsidR="00103EEF" w:rsidRDefault="00103EEF" w:rsidP="00FA4DA9">
      <w:pPr>
        <w:spacing w:before="100" w:beforeAutospacing="1" w:after="100" w:afterAutospacing="1" w:line="240" w:lineRule="auto"/>
        <w:jc w:val="both"/>
        <w:rPr>
          <w:rFonts w:ascii="Times New Roman" w:eastAsia="Times New Roman" w:hAnsi="Times New Roman"/>
          <w:sz w:val="24"/>
          <w:szCs w:val="24"/>
          <w:u w:val="single"/>
        </w:rPr>
      </w:pPr>
      <w:r>
        <w:rPr>
          <w:rFonts w:ascii="Times New Roman" w:eastAsia="Times New Roman" w:hAnsi="Times New Roman"/>
          <w:sz w:val="24"/>
          <w:szCs w:val="24"/>
        </w:rPr>
        <w:t xml:space="preserve">Entrevistador: Dígame, </w:t>
      </w:r>
      <w:r>
        <w:rPr>
          <w:rFonts w:ascii="Times New Roman" w:eastAsia="Times New Roman" w:hAnsi="Times New Roman"/>
          <w:sz w:val="24"/>
          <w:szCs w:val="24"/>
          <w:u w:val="single"/>
        </w:rPr>
        <w:t>¿cuál es el peor de los casos?</w:t>
      </w:r>
      <w:r>
        <w:rPr>
          <w:rFonts w:ascii="Times New Roman" w:eastAsia="Times New Roman" w:hAnsi="Times New Roman"/>
          <w:sz w:val="24"/>
          <w:szCs w:val="24"/>
        </w:rPr>
        <w:t xml:space="preserve"> Señor, tenemos tantos economistas viniendo al programa y diciendo: </w:t>
      </w:r>
      <w:r>
        <w:rPr>
          <w:rFonts w:ascii="Times New Roman" w:eastAsia="Times New Roman" w:hAnsi="Times New Roman"/>
          <w:sz w:val="24"/>
          <w:szCs w:val="24"/>
          <w:u w:val="single"/>
        </w:rPr>
        <w:t>“Oh, esto es una burbuja, y va a estallar, y esto va a ser un verdadero problema para la economía”.</w:t>
      </w:r>
      <w:r>
        <w:rPr>
          <w:rFonts w:ascii="Times New Roman" w:eastAsia="Times New Roman" w:hAnsi="Times New Roman"/>
          <w:sz w:val="24"/>
          <w:szCs w:val="24"/>
        </w:rPr>
        <w:t xml:space="preserve"> </w:t>
      </w:r>
      <w:r>
        <w:rPr>
          <w:rFonts w:ascii="Times New Roman" w:eastAsia="Times New Roman" w:hAnsi="Times New Roman"/>
          <w:sz w:val="24"/>
          <w:szCs w:val="24"/>
          <w:u w:val="single"/>
        </w:rPr>
        <w:t>Algunos dicen que podría incluso provocar una recesión más adelante. ¿Cuál es el peor de los casos, si en realidad los precios bajaran considerablemente en todo el país?</w:t>
      </w:r>
    </w:p>
    <w:p w:rsidR="00103EEF" w:rsidRDefault="00103EEF" w:rsidP="00FA4DA9">
      <w:pPr>
        <w:spacing w:before="100" w:beforeAutospacing="1" w:after="100" w:afterAutospacing="1" w:line="240" w:lineRule="auto"/>
        <w:jc w:val="both"/>
        <w:rPr>
          <w:rFonts w:ascii="Times New Roman" w:eastAsia="Times New Roman" w:hAnsi="Times New Roman"/>
          <w:color w:val="FF0000"/>
          <w:sz w:val="24"/>
          <w:szCs w:val="24"/>
          <w:u w:val="single"/>
        </w:rPr>
      </w:pPr>
      <w:r>
        <w:rPr>
          <w:rFonts w:ascii="Times New Roman" w:eastAsia="Times New Roman" w:hAnsi="Times New Roman"/>
          <w:sz w:val="24"/>
          <w:szCs w:val="24"/>
        </w:rPr>
        <w:t xml:space="preserve">Bernanke: </w:t>
      </w:r>
      <w:r>
        <w:rPr>
          <w:rFonts w:ascii="Times New Roman" w:eastAsia="Times New Roman" w:hAnsi="Times New Roman"/>
          <w:color w:val="FF0000"/>
          <w:sz w:val="24"/>
          <w:szCs w:val="24"/>
          <w:u w:val="single"/>
        </w:rPr>
        <w:t>Bueno, no acepto su premisa. Es una posibilidad bastante improbable. Nunca hemos tenido una disminución de los precios inmobiliarios en todo el territorio nacional. Creo que es más probable que los precios de la vivienda se desaceleren, tal vez estabilicen: podría reducir el consumo un poco. No creo que llevara a la economía muy lejos de su camino del pleno empleo, sin embargo.</w:t>
      </w:r>
    </w:p>
    <w:p w:rsidR="00103EEF" w:rsidRDefault="00103EEF" w:rsidP="00FA4DA9">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sz w:val="24"/>
          <w:szCs w:val="24"/>
        </w:rPr>
        <w:t>Febrero de 2007</w:t>
      </w:r>
    </w:p>
    <w:p w:rsidR="00103EEF" w:rsidRDefault="00103EEF" w:rsidP="00FA4DA9">
      <w:pPr>
        <w:spacing w:before="100" w:beforeAutospacing="1" w:after="100" w:afterAutospacing="1" w:line="240" w:lineRule="auto"/>
        <w:jc w:val="both"/>
        <w:rPr>
          <w:rFonts w:ascii="Times New Roman" w:eastAsia="Times New Roman" w:hAnsi="Times New Roman"/>
          <w:color w:val="FF0000"/>
          <w:sz w:val="24"/>
          <w:szCs w:val="24"/>
          <w:u w:val="single"/>
        </w:rPr>
      </w:pPr>
      <w:r>
        <w:rPr>
          <w:rFonts w:ascii="Times New Roman" w:eastAsia="Times New Roman" w:hAnsi="Times New Roman"/>
          <w:color w:val="FF0000"/>
          <w:sz w:val="24"/>
          <w:szCs w:val="24"/>
          <w:u w:val="single"/>
        </w:rPr>
        <w:t>Se espera un crecimiento moderado en el futuro. Creemos que si el sector inmobiliario comienza a estabilizarse, y si algunas de las correcciones de inventarios se completan, hay una posibilidad razonable de que veamos un cierto fortalecimiento de la economía en algún momento durante la mitad del año.</w:t>
      </w:r>
    </w:p>
    <w:p w:rsidR="00103EEF" w:rsidRDefault="00103EEF" w:rsidP="00FA4DA9">
      <w:pPr>
        <w:spacing w:before="100" w:beforeAutospacing="1" w:after="100" w:afterAutospacing="1" w:line="240" w:lineRule="auto"/>
        <w:jc w:val="both"/>
        <w:rPr>
          <w:rFonts w:ascii="Times New Roman" w:eastAsia="Times New Roman" w:hAnsi="Times New Roman"/>
          <w:color w:val="FF0000"/>
          <w:sz w:val="24"/>
          <w:szCs w:val="24"/>
          <w:u w:val="single"/>
        </w:rPr>
      </w:pPr>
      <w:r>
        <w:rPr>
          <w:rFonts w:ascii="Times New Roman" w:eastAsia="Times New Roman" w:hAnsi="Times New Roman"/>
          <w:color w:val="FF0000"/>
          <w:sz w:val="24"/>
          <w:szCs w:val="24"/>
          <w:u w:val="single"/>
        </w:rPr>
        <w:t>Nuestra evaluación es que no hay indicación en este punto que las cuestiones de hipotecas de alto riesgo (subprime) se haya extendido a todo el mercado hipotecario, que todavía parece ser saludable.</w:t>
      </w:r>
    </w:p>
    <w:p w:rsidR="00103EEF" w:rsidRDefault="00103EEF" w:rsidP="00FA4DA9">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sz w:val="24"/>
          <w:szCs w:val="24"/>
        </w:rPr>
        <w:lastRenderedPageBreak/>
        <w:t>Julio 2007</w:t>
      </w:r>
    </w:p>
    <w:p w:rsidR="00103EEF" w:rsidRDefault="00103EEF" w:rsidP="00FA4DA9">
      <w:pPr>
        <w:spacing w:before="100" w:beforeAutospacing="1" w:after="100" w:afterAutospacing="1" w:line="240" w:lineRule="auto"/>
        <w:jc w:val="both"/>
        <w:rPr>
          <w:rFonts w:ascii="Times New Roman" w:eastAsia="Times New Roman" w:hAnsi="Times New Roman"/>
          <w:color w:val="FF0000"/>
          <w:sz w:val="24"/>
          <w:szCs w:val="24"/>
          <w:u w:val="single"/>
        </w:rPr>
      </w:pPr>
      <w:r>
        <w:rPr>
          <w:rFonts w:ascii="Times New Roman" w:eastAsia="Times New Roman" w:hAnsi="Times New Roman"/>
          <w:color w:val="FF0000"/>
          <w:sz w:val="24"/>
          <w:szCs w:val="24"/>
          <w:u w:val="single"/>
        </w:rPr>
        <w:t>La economía global sigue siendo fuerte, apoyado por un sólido crecimiento económico en el extranjero. Las exportaciones de EEUU deberían crecer aún más en los próximos trimestres. En general, parece que la economía de EEUU se expandirá a un ritmo moderado durante el segundo semestre de 2007, con crecimiento y fortalecimiento en 2008 llegando a una tasa cercana a la tendencia subyacente de la economía.</w:t>
      </w:r>
    </w:p>
    <w:p w:rsidR="00103EEF" w:rsidRDefault="00103EEF" w:rsidP="00FA4DA9">
      <w:pPr>
        <w:spacing w:before="100" w:beforeAutospacing="1" w:after="100" w:afterAutospacing="1" w:line="240" w:lineRule="auto"/>
        <w:jc w:val="both"/>
        <w:rPr>
          <w:rFonts w:ascii="Times New Roman" w:eastAsia="Times New Roman" w:hAnsi="Times New Roman"/>
          <w:sz w:val="24"/>
          <w:szCs w:val="24"/>
          <w:u w:val="single"/>
        </w:rPr>
      </w:pPr>
      <w:r>
        <w:rPr>
          <w:rFonts w:ascii="Times New Roman" w:eastAsia="Times New Roman" w:hAnsi="Times New Roman"/>
          <w:sz w:val="24"/>
          <w:szCs w:val="24"/>
          <w:u w:val="single"/>
        </w:rPr>
        <w:t>No hay mucho que decir. Bernanke, el chairman de la Reserva Federal, no vio venir la crisis</w:t>
      </w:r>
      <w:r>
        <w:rPr>
          <w:rFonts w:ascii="Times New Roman" w:eastAsia="Times New Roman" w:hAnsi="Times New Roman"/>
          <w:sz w:val="24"/>
          <w:szCs w:val="24"/>
        </w:rPr>
        <w:t xml:space="preserve">. </w:t>
      </w:r>
      <w:r>
        <w:rPr>
          <w:rFonts w:ascii="Times New Roman" w:eastAsia="Times New Roman" w:hAnsi="Times New Roman"/>
          <w:sz w:val="24"/>
          <w:szCs w:val="24"/>
          <w:u w:val="single"/>
        </w:rPr>
        <w:t>Bernanke creía que la economía funcionaba correctamente y sería capaz de realizar un pequeño ajuste no traumático en 2007, para recuperar crecimiento total en 2008.</w:t>
      </w:r>
    </w:p>
    <w:p w:rsidR="00103EEF" w:rsidRDefault="00324F4A" w:rsidP="00FA4DA9">
      <w:pPr>
        <w:spacing w:before="100" w:beforeAutospacing="1" w:after="100" w:afterAutospacing="1" w:line="240" w:lineRule="auto"/>
        <w:jc w:val="both"/>
        <w:rPr>
          <w:rFonts w:ascii="Times New Roman" w:eastAsia="Times New Roman" w:hAnsi="Times New Roman"/>
          <w:sz w:val="24"/>
          <w:szCs w:val="24"/>
          <w:u w:val="single"/>
        </w:rPr>
      </w:pPr>
      <w:r>
        <w:rPr>
          <w:rFonts w:ascii="Times New Roman" w:eastAsia="Times New Roman" w:hAnsi="Times New Roman"/>
          <w:sz w:val="24"/>
          <w:szCs w:val="24"/>
          <w:u w:val="single"/>
        </w:rPr>
        <w:t>Aun</w:t>
      </w:r>
      <w:r w:rsidR="00103EEF">
        <w:rPr>
          <w:rFonts w:ascii="Times New Roman" w:eastAsia="Times New Roman" w:hAnsi="Times New Roman"/>
          <w:sz w:val="24"/>
          <w:szCs w:val="24"/>
          <w:u w:val="single"/>
        </w:rPr>
        <w:t xml:space="preserve"> así, Bernanke fue promocionado en 2008 y principios de 2009 como la persona más capacitada para entender la economía y afrontar los graves problemas que la crisis traía. Se hizo mucho énfasis en sus estudios académicos sobre </w:t>
      </w:r>
      <w:r>
        <w:rPr>
          <w:rFonts w:ascii="Times New Roman" w:eastAsia="Times New Roman" w:hAnsi="Times New Roman"/>
          <w:sz w:val="24"/>
          <w:szCs w:val="24"/>
          <w:u w:val="single"/>
        </w:rPr>
        <w:t>la</w:t>
      </w:r>
      <w:r w:rsidR="00103EEF">
        <w:rPr>
          <w:rFonts w:ascii="Times New Roman" w:eastAsia="Times New Roman" w:hAnsi="Times New Roman"/>
          <w:sz w:val="24"/>
          <w:szCs w:val="24"/>
          <w:u w:val="single"/>
        </w:rPr>
        <w:t xml:space="preserve"> Gran Depresión.</w:t>
      </w:r>
    </w:p>
    <w:p w:rsidR="00103EEF" w:rsidRDefault="00103EEF" w:rsidP="00FA4DA9">
      <w:pPr>
        <w:spacing w:before="100" w:beforeAutospacing="1" w:after="100" w:afterAutospacing="1" w:line="240" w:lineRule="auto"/>
        <w:jc w:val="both"/>
        <w:rPr>
          <w:rFonts w:ascii="Times New Roman" w:eastAsia="Times New Roman" w:hAnsi="Times New Roman"/>
          <w:sz w:val="24"/>
          <w:szCs w:val="24"/>
          <w:u w:val="single"/>
        </w:rPr>
      </w:pPr>
      <w:r>
        <w:rPr>
          <w:rFonts w:ascii="Times New Roman" w:eastAsia="Times New Roman" w:hAnsi="Times New Roman"/>
          <w:sz w:val="24"/>
          <w:szCs w:val="24"/>
          <w:u w:val="single"/>
        </w:rPr>
        <w:t>Llegada su renovación en 2009, ante la oposición de cierta parte del Congreso, personajes de las finanzas como Warren Buffet o el fondo de inversión PIMCO salieron a apoyarle. Obama finalmente le confirmó otros cuatro años al frente de la Reserva Federal (FED), el banco central más poderoso del planeta.</w:t>
      </w:r>
    </w:p>
    <w:p w:rsidR="00103EEF" w:rsidRDefault="00103EEF" w:rsidP="00FA4DA9">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sz w:val="24"/>
          <w:szCs w:val="24"/>
        </w:rPr>
        <w:t>Las alabanzas a la gestión de la crisis tampoco fueron escasas:</w:t>
      </w:r>
    </w:p>
    <w:p w:rsidR="00103EEF" w:rsidRDefault="00103EEF" w:rsidP="00FA4DA9">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sz w:val="24"/>
          <w:szCs w:val="24"/>
        </w:rPr>
        <w:t>Ben Bernanke será visto como el mejor chairman de la Reserva Federal de la historia (...) se le conocerá como el hombre que evitó la segunda Gran Depresión.</w:t>
      </w:r>
    </w:p>
    <w:p w:rsidR="00103EEF" w:rsidRDefault="00103EEF" w:rsidP="00FA4DA9">
      <w:pPr>
        <w:spacing w:before="100" w:beforeAutospacing="1" w:after="100" w:afterAutospacing="1" w:line="240" w:lineRule="auto"/>
        <w:jc w:val="both"/>
        <w:rPr>
          <w:rFonts w:ascii="Times New Roman" w:eastAsia="Times New Roman" w:hAnsi="Times New Roman"/>
          <w:color w:val="FF0000"/>
          <w:sz w:val="24"/>
          <w:szCs w:val="24"/>
        </w:rPr>
      </w:pPr>
      <w:r>
        <w:rPr>
          <w:rFonts w:ascii="Times New Roman" w:eastAsia="Times New Roman" w:hAnsi="Times New Roman"/>
          <w:sz w:val="24"/>
          <w:szCs w:val="24"/>
        </w:rPr>
        <w:t xml:space="preserve">2. </w:t>
      </w:r>
      <w:r>
        <w:rPr>
          <w:rFonts w:ascii="Times New Roman" w:eastAsia="Times New Roman" w:hAnsi="Times New Roman"/>
          <w:color w:val="FF0000"/>
          <w:sz w:val="24"/>
          <w:szCs w:val="24"/>
        </w:rPr>
        <w:t>Durante la crisis</w:t>
      </w:r>
    </w:p>
    <w:p w:rsidR="00103EEF" w:rsidRDefault="00103EEF" w:rsidP="00FA4DA9">
      <w:pPr>
        <w:spacing w:before="100" w:beforeAutospacing="1" w:after="100" w:afterAutospacing="1" w:line="240" w:lineRule="auto"/>
        <w:jc w:val="both"/>
        <w:rPr>
          <w:rFonts w:ascii="Times New Roman" w:eastAsia="Times New Roman" w:hAnsi="Times New Roman"/>
          <w:sz w:val="24"/>
          <w:szCs w:val="24"/>
          <w:u w:val="single"/>
        </w:rPr>
      </w:pPr>
      <w:r>
        <w:rPr>
          <w:rFonts w:ascii="Times New Roman" w:eastAsia="Times New Roman" w:hAnsi="Times New Roman"/>
          <w:sz w:val="24"/>
          <w:szCs w:val="24"/>
          <w:u w:val="single"/>
        </w:rPr>
        <w:t>La Reserva Federal anunció la primera ronda de compra de activos, conocida como quantitative easing (QE1), en noviembre de 2008. La respuesta del presidente de la FED a las críticas fue asegurar que las medidas eran temporales y su objetivo era proveer liquidez al sistema financiero. El balance del banco central se multiplicó casi por tres.</w:t>
      </w:r>
    </w:p>
    <w:p w:rsidR="00103EEF" w:rsidRDefault="00103EEF" w:rsidP="00FA4DA9">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sz w:val="24"/>
          <w:szCs w:val="24"/>
        </w:rPr>
        <w:t>A principios de 2009, declarando en el Congreso:</w:t>
      </w:r>
    </w:p>
    <w:p w:rsidR="00103EEF" w:rsidRDefault="00103EEF" w:rsidP="00FA4DA9">
      <w:pPr>
        <w:spacing w:before="100" w:beforeAutospacing="1" w:after="100" w:afterAutospacing="1" w:line="240" w:lineRule="auto"/>
        <w:jc w:val="both"/>
        <w:rPr>
          <w:rFonts w:ascii="Times New Roman" w:eastAsia="Times New Roman" w:hAnsi="Times New Roman"/>
          <w:color w:val="FF0000"/>
          <w:sz w:val="24"/>
          <w:szCs w:val="24"/>
          <w:u w:val="single"/>
        </w:rPr>
      </w:pPr>
      <w:r>
        <w:rPr>
          <w:rFonts w:ascii="Times New Roman" w:eastAsia="Times New Roman" w:hAnsi="Times New Roman"/>
          <w:color w:val="FF0000"/>
          <w:sz w:val="24"/>
          <w:szCs w:val="24"/>
          <w:u w:val="single"/>
        </w:rPr>
        <w:t>La Reserva Federal no monetizará la deuda del gobierno</w:t>
      </w:r>
    </w:p>
    <w:p w:rsidR="00103EEF" w:rsidRDefault="00103EEF" w:rsidP="00FA4DA9">
      <w:pPr>
        <w:spacing w:before="100" w:beforeAutospacing="1" w:after="100" w:afterAutospacing="1" w:line="240" w:lineRule="auto"/>
        <w:jc w:val="both"/>
        <w:rPr>
          <w:rFonts w:ascii="Times New Roman" w:eastAsia="Times New Roman" w:hAnsi="Times New Roman"/>
          <w:color w:val="FF0000"/>
          <w:sz w:val="24"/>
          <w:szCs w:val="24"/>
          <w:u w:val="single"/>
        </w:rPr>
      </w:pPr>
      <w:r>
        <w:rPr>
          <w:rFonts w:ascii="Times New Roman" w:eastAsia="Times New Roman" w:hAnsi="Times New Roman"/>
          <w:color w:val="FF0000"/>
          <w:sz w:val="24"/>
          <w:szCs w:val="24"/>
          <w:u w:val="single"/>
        </w:rPr>
        <w:t>Adelantémonos por un momento hasta noviembre de 2010, cuando en un discurso para inversores el presidente de la Reserva Federal de Dallas, Richard W. Fisher, admitió a regañadientes que estaban monetizando la deuda del Gobierno.</w:t>
      </w:r>
    </w:p>
    <w:p w:rsidR="00103EEF" w:rsidRDefault="00103EEF" w:rsidP="00FA4DA9">
      <w:pPr>
        <w:spacing w:before="100" w:beforeAutospacing="1" w:after="100" w:afterAutospacing="1" w:line="240" w:lineRule="auto"/>
        <w:jc w:val="both"/>
        <w:rPr>
          <w:rFonts w:ascii="Times New Roman" w:eastAsia="Times New Roman" w:hAnsi="Times New Roman"/>
          <w:sz w:val="24"/>
          <w:szCs w:val="24"/>
          <w:u w:val="single"/>
        </w:rPr>
      </w:pPr>
      <w:r>
        <w:rPr>
          <w:rFonts w:ascii="Times New Roman" w:eastAsia="Times New Roman" w:hAnsi="Times New Roman"/>
          <w:sz w:val="24"/>
          <w:szCs w:val="24"/>
        </w:rPr>
        <w:t xml:space="preserve">En junio de 2009, la Reserva Federal anunció la extensión de sus programas de liquidez temporales hasta febrero de 2010. </w:t>
      </w:r>
      <w:r>
        <w:rPr>
          <w:rFonts w:ascii="Times New Roman" w:eastAsia="Times New Roman" w:hAnsi="Times New Roman"/>
          <w:sz w:val="24"/>
          <w:szCs w:val="24"/>
          <w:u w:val="single"/>
        </w:rPr>
        <w:t>Hacia finales de año, diciembre de 2009, con la renovación de Bernanke atascada en el Congreso por las críticas a sus políticas expansivas, la Reserva Federal emitió un comunicado donde volvía a asegurar que las medidas tomadas en 2008 iban a expirar a principios de 2010. Los tipos de interés no iban a modificarse.</w:t>
      </w:r>
    </w:p>
    <w:p w:rsidR="00103EEF" w:rsidRDefault="00103EEF" w:rsidP="00FA4DA9">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A la luz de la mejora continua en el funcionamiento de los mercados financieros, el Comité y la Junta de Gobernadores prevén que la mayoría de los programas especiales de liquidez de la </w:t>
      </w:r>
      <w:r>
        <w:rPr>
          <w:rFonts w:ascii="Times New Roman" w:eastAsia="Times New Roman" w:hAnsi="Times New Roman"/>
          <w:sz w:val="24"/>
          <w:szCs w:val="24"/>
        </w:rPr>
        <w:lastRenderedPageBreak/>
        <w:t>Reserva Federal expirarán el 1 de febrero de 2010, en consonancia con el anuncio de la Reserva Federal del 25 de junio de 2009.</w:t>
      </w:r>
    </w:p>
    <w:p w:rsidR="00103EEF" w:rsidRDefault="00103EEF" w:rsidP="00FA4DA9">
      <w:pPr>
        <w:spacing w:before="100" w:beforeAutospacing="1" w:after="100" w:afterAutospacing="1" w:line="240" w:lineRule="auto"/>
        <w:jc w:val="both"/>
        <w:rPr>
          <w:rFonts w:ascii="Times New Roman" w:eastAsia="Times New Roman" w:hAnsi="Times New Roman"/>
          <w:sz w:val="24"/>
          <w:szCs w:val="24"/>
          <w:u w:val="single"/>
        </w:rPr>
      </w:pPr>
      <w:r>
        <w:rPr>
          <w:rFonts w:ascii="Times New Roman" w:eastAsia="Times New Roman" w:hAnsi="Times New Roman"/>
          <w:sz w:val="24"/>
          <w:szCs w:val="24"/>
          <w:u w:val="single"/>
        </w:rPr>
        <w:t>Fue en este momento cuando desde la Reserva Federal se intentó promocionar el término jobless recovery, recuperación económica sin disminución del paro, para explicar la mejora de algunas estadísticas, pero no cuajó.</w:t>
      </w:r>
    </w:p>
    <w:p w:rsidR="00103EEF" w:rsidRDefault="00103EEF" w:rsidP="00FA4DA9">
      <w:pPr>
        <w:spacing w:before="100" w:beforeAutospacing="1" w:after="100" w:afterAutospacing="1" w:line="240" w:lineRule="auto"/>
        <w:jc w:val="both"/>
        <w:rPr>
          <w:rFonts w:ascii="Times New Roman" w:eastAsia="Times New Roman" w:hAnsi="Times New Roman"/>
          <w:color w:val="FF0000"/>
          <w:sz w:val="24"/>
          <w:szCs w:val="24"/>
          <w:u w:val="single"/>
        </w:rPr>
      </w:pPr>
      <w:r>
        <w:rPr>
          <w:rFonts w:ascii="Times New Roman" w:eastAsia="Times New Roman" w:hAnsi="Times New Roman"/>
          <w:color w:val="FF0000"/>
          <w:sz w:val="24"/>
          <w:szCs w:val="24"/>
          <w:u w:val="single"/>
        </w:rPr>
        <w:t>2010 llegó y las medidas se extendieron. En agosto del pasado año, la Reserva Federal anunció lo que se vino a llamar QE lite</w:t>
      </w:r>
      <w:r>
        <w:rPr>
          <w:rFonts w:ascii="Times New Roman" w:eastAsia="Times New Roman" w:hAnsi="Times New Roman"/>
          <w:sz w:val="24"/>
          <w:szCs w:val="24"/>
        </w:rPr>
        <w:t xml:space="preserve">. Un nuevo programa que, básicamente, consiste en usar el dinero de las hipotecas compradas de los bancos a través del QE1 para comprar bonos del Gobierno federal, consolidando así la expansión crediticia inicial. </w:t>
      </w:r>
      <w:r>
        <w:rPr>
          <w:rFonts w:ascii="Times New Roman" w:eastAsia="Times New Roman" w:hAnsi="Times New Roman"/>
          <w:color w:val="FF0000"/>
          <w:sz w:val="24"/>
          <w:szCs w:val="24"/>
          <w:u w:val="single"/>
        </w:rPr>
        <w:t>Es decir, Bernanke no sólo no está retirando las medidas supuestamente temporales, sino que las está fijando en el balance del banco central.</w:t>
      </w:r>
    </w:p>
    <w:p w:rsidR="00103EEF" w:rsidRDefault="00103EEF" w:rsidP="00FA4DA9">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sz w:val="24"/>
          <w:szCs w:val="24"/>
          <w:u w:val="single"/>
        </w:rPr>
        <w:t>Éste es un detalle por el que la prensa pasó mayoritariamente de puntillas... por una buena razón</w:t>
      </w:r>
      <w:r>
        <w:rPr>
          <w:rFonts w:ascii="Times New Roman" w:eastAsia="Times New Roman" w:hAnsi="Times New Roman"/>
          <w:sz w:val="24"/>
          <w:szCs w:val="24"/>
        </w:rPr>
        <w:t>. Desde el inicio de la crisis se había intentado marginalizar a los críticos de la FED y de Bernanke tildándolos de alarmistas. Se hacía hincapié en lo ridículo de los argumentos que aseguraban que Bernanke no tenía intención de retirar las medidas supuestamente temporales, y que, cuando se filtrara, el dinero iba a crear una crisis inflacionaria.</w:t>
      </w:r>
    </w:p>
    <w:p w:rsidR="00103EEF" w:rsidRDefault="00103EEF" w:rsidP="00FA4DA9">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sz w:val="24"/>
          <w:szCs w:val="24"/>
          <w:u w:val="single"/>
        </w:rPr>
        <w:t>A partir de este momento no se habló más de retirar las medidas. De hecho, en junio de 2010 Bernanke ya había mostrado su incredulidad por el precio del oro</w:t>
      </w:r>
      <w:r>
        <w:rPr>
          <w:rFonts w:ascii="Times New Roman" w:eastAsia="Times New Roman" w:hAnsi="Times New Roman"/>
          <w:sz w:val="24"/>
          <w:szCs w:val="24"/>
        </w:rPr>
        <w:t>:</w:t>
      </w:r>
    </w:p>
    <w:p w:rsidR="00103EEF" w:rsidRDefault="00103EEF" w:rsidP="00FA4DA9">
      <w:pPr>
        <w:spacing w:before="100" w:beforeAutospacing="1" w:after="100" w:afterAutospacing="1" w:line="240" w:lineRule="auto"/>
        <w:jc w:val="both"/>
        <w:rPr>
          <w:rFonts w:ascii="Times New Roman" w:eastAsia="Times New Roman" w:hAnsi="Times New Roman"/>
          <w:color w:val="FF0000"/>
          <w:sz w:val="24"/>
          <w:szCs w:val="24"/>
          <w:u w:val="single"/>
        </w:rPr>
      </w:pPr>
      <w:r>
        <w:rPr>
          <w:rFonts w:ascii="Times New Roman" w:eastAsia="Times New Roman" w:hAnsi="Times New Roman"/>
          <w:color w:val="FF0000"/>
          <w:sz w:val="24"/>
          <w:szCs w:val="24"/>
          <w:u w:val="single"/>
        </w:rPr>
        <w:t>Yo no entiendo muy bien los movimientos en el precio del oro</w:t>
      </w:r>
    </w:p>
    <w:p w:rsidR="00103EEF" w:rsidRDefault="00103EEF" w:rsidP="00FA4DA9">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sz w:val="24"/>
          <w:szCs w:val="24"/>
          <w:u w:val="single"/>
        </w:rPr>
        <w:t>Y eso que su predecesor, Alan Greenspan, se lo había explicado meses antes</w:t>
      </w:r>
      <w:r>
        <w:rPr>
          <w:rFonts w:ascii="Times New Roman" w:eastAsia="Times New Roman" w:hAnsi="Times New Roman"/>
          <w:sz w:val="24"/>
          <w:szCs w:val="24"/>
        </w:rPr>
        <w:t>:</w:t>
      </w:r>
    </w:p>
    <w:p w:rsidR="00103EEF" w:rsidRDefault="00103EEF" w:rsidP="00FA4DA9">
      <w:pPr>
        <w:spacing w:before="100" w:beforeAutospacing="1" w:after="100" w:afterAutospacing="1" w:line="240" w:lineRule="auto"/>
        <w:jc w:val="both"/>
        <w:rPr>
          <w:rFonts w:ascii="Times New Roman" w:eastAsia="Times New Roman" w:hAnsi="Times New Roman"/>
          <w:sz w:val="24"/>
          <w:szCs w:val="24"/>
          <w:u w:val="single"/>
        </w:rPr>
      </w:pPr>
      <w:r>
        <w:rPr>
          <w:rFonts w:ascii="Times New Roman" w:eastAsia="Times New Roman" w:hAnsi="Times New Roman"/>
          <w:sz w:val="24"/>
          <w:szCs w:val="24"/>
          <w:u w:val="single"/>
        </w:rPr>
        <w:t>“El aumento del precio del oro, es estrictamente un fenómeno monetario (...) una indicación de una etapa muy temprana del intento de alejarse de las monedas de papel (...) Lo que es fascinante es la influencia que el oro todavía tiene para reinar sobre el sistema financiero como la última forma de pago”.</w:t>
      </w:r>
    </w:p>
    <w:p w:rsidR="00103EEF" w:rsidRDefault="00103EEF" w:rsidP="00FA4DA9">
      <w:pPr>
        <w:spacing w:before="100" w:beforeAutospacing="1" w:after="100" w:afterAutospacing="1" w:line="240" w:lineRule="auto"/>
        <w:jc w:val="both"/>
        <w:rPr>
          <w:rFonts w:ascii="Times New Roman" w:eastAsia="Times New Roman" w:hAnsi="Times New Roman"/>
          <w:color w:val="FF0000"/>
          <w:sz w:val="24"/>
          <w:szCs w:val="24"/>
          <w:u w:val="single"/>
        </w:rPr>
      </w:pPr>
      <w:r>
        <w:rPr>
          <w:rFonts w:ascii="Times New Roman" w:eastAsia="Times New Roman" w:hAnsi="Times New Roman"/>
          <w:color w:val="FF0000"/>
          <w:sz w:val="24"/>
          <w:szCs w:val="24"/>
          <w:u w:val="single"/>
        </w:rPr>
        <w:t>En noviembre de 2010 se anunció el QE2, más expansión monetaria. La diferencia con el QE1, donde la Reserva Federal compró bonos del Gobierno a largo plazo y deuda hipotecaria de los bancos, consiste en que el QE2 se dedicará exclusivamente a comprar más deuda pública del Gobierno.</w:t>
      </w:r>
    </w:p>
    <w:p w:rsidR="00103EEF" w:rsidRDefault="00103EEF" w:rsidP="00FA4DA9">
      <w:pPr>
        <w:spacing w:before="100" w:beforeAutospacing="1" w:after="100" w:afterAutospacing="1" w:line="240" w:lineRule="auto"/>
        <w:jc w:val="both"/>
        <w:rPr>
          <w:rFonts w:ascii="Times New Roman" w:eastAsia="Times New Roman" w:hAnsi="Times New Roman"/>
          <w:sz w:val="24"/>
          <w:szCs w:val="24"/>
          <w:u w:val="single"/>
        </w:rPr>
      </w:pPr>
      <w:r>
        <w:rPr>
          <w:rFonts w:ascii="Times New Roman" w:eastAsia="Times New Roman" w:hAnsi="Times New Roman"/>
          <w:sz w:val="24"/>
          <w:szCs w:val="24"/>
          <w:u w:val="single"/>
        </w:rPr>
        <w:t>Pero el clima político en EEUU había cambiado para entonces. La segunda revolución keynesiana ingeniada por los políticos había fracasado y la popularidad de Obama no paraba de caer</w:t>
      </w:r>
      <w:r>
        <w:rPr>
          <w:rFonts w:ascii="Times New Roman" w:eastAsia="Times New Roman" w:hAnsi="Times New Roman"/>
          <w:sz w:val="24"/>
          <w:szCs w:val="24"/>
        </w:rPr>
        <w:t xml:space="preserve">. Las ideas de contención fiscal y restricción gubernamental florecían, especialmente de la mano del Tea Party. </w:t>
      </w:r>
      <w:r>
        <w:rPr>
          <w:rFonts w:ascii="Times New Roman" w:eastAsia="Times New Roman" w:hAnsi="Times New Roman"/>
          <w:sz w:val="24"/>
          <w:szCs w:val="24"/>
          <w:u w:val="single"/>
        </w:rPr>
        <w:t>Así que cuando Bernanke concedió el pasado diciembre una nueva entrevista para explicar el QE2 aseguró:</w:t>
      </w:r>
    </w:p>
    <w:p w:rsidR="00103EEF" w:rsidRDefault="00103EEF" w:rsidP="00FA4DA9">
      <w:pPr>
        <w:spacing w:before="100" w:beforeAutospacing="1" w:after="100" w:afterAutospacing="1" w:line="240" w:lineRule="auto"/>
        <w:jc w:val="both"/>
        <w:rPr>
          <w:rFonts w:ascii="Times New Roman" w:eastAsia="Times New Roman" w:hAnsi="Times New Roman"/>
          <w:color w:val="FF0000"/>
          <w:sz w:val="24"/>
          <w:szCs w:val="24"/>
          <w:u w:val="single"/>
        </w:rPr>
      </w:pPr>
      <w:r>
        <w:rPr>
          <w:rFonts w:ascii="Times New Roman" w:eastAsia="Times New Roman" w:hAnsi="Times New Roman"/>
          <w:color w:val="FF0000"/>
          <w:sz w:val="24"/>
          <w:szCs w:val="24"/>
          <w:u w:val="single"/>
        </w:rPr>
        <w:t>Se repite por ahí el mito de que lo que estamos haciendo es imprimir dinero. No estamos imprimiendo dinero.</w:t>
      </w:r>
    </w:p>
    <w:p w:rsidR="00103EEF" w:rsidRDefault="00103EEF" w:rsidP="00FA4DA9">
      <w:pPr>
        <w:spacing w:before="100" w:beforeAutospacing="1" w:after="100" w:afterAutospacing="1" w:line="240" w:lineRule="auto"/>
        <w:jc w:val="both"/>
        <w:rPr>
          <w:rFonts w:ascii="Times New Roman" w:eastAsia="Times New Roman" w:hAnsi="Times New Roman"/>
          <w:sz w:val="24"/>
          <w:szCs w:val="24"/>
          <w:u w:val="single"/>
        </w:rPr>
      </w:pPr>
      <w:r>
        <w:rPr>
          <w:rFonts w:ascii="Times New Roman" w:eastAsia="Times New Roman" w:hAnsi="Times New Roman"/>
          <w:sz w:val="24"/>
          <w:szCs w:val="24"/>
          <w:u w:val="single"/>
        </w:rPr>
        <w:t>Sin embargo, en la entrevista que concedió un año y medio antes para justificar el QE1 dijo:</w:t>
      </w:r>
    </w:p>
    <w:p w:rsidR="00103EEF" w:rsidRPr="002312B2" w:rsidRDefault="00103EEF" w:rsidP="00FA4DA9">
      <w:pPr>
        <w:spacing w:before="100" w:beforeAutospacing="1" w:after="100" w:afterAutospacing="1" w:line="240" w:lineRule="auto"/>
        <w:jc w:val="both"/>
        <w:rPr>
          <w:rFonts w:ascii="Times New Roman" w:eastAsia="Times New Roman" w:hAnsi="Times New Roman"/>
          <w:b/>
          <w:sz w:val="24"/>
          <w:szCs w:val="24"/>
          <w:u w:val="single"/>
        </w:rPr>
      </w:pPr>
      <w:r w:rsidRPr="002312B2">
        <w:rPr>
          <w:rFonts w:ascii="Times New Roman" w:eastAsia="Times New Roman" w:hAnsi="Times New Roman"/>
          <w:b/>
          <w:sz w:val="24"/>
          <w:szCs w:val="24"/>
          <w:u w:val="single"/>
        </w:rPr>
        <w:t>Entrevistador: “</w:t>
      </w:r>
      <w:r w:rsidR="00324F4A">
        <w:rPr>
          <w:rFonts w:ascii="Times New Roman" w:eastAsia="Times New Roman" w:hAnsi="Times New Roman"/>
          <w:b/>
          <w:sz w:val="24"/>
          <w:szCs w:val="24"/>
          <w:u w:val="single"/>
        </w:rPr>
        <w:t>¿</w:t>
      </w:r>
      <w:r w:rsidRPr="002312B2">
        <w:rPr>
          <w:rFonts w:ascii="Times New Roman" w:eastAsia="Times New Roman" w:hAnsi="Times New Roman"/>
          <w:b/>
          <w:sz w:val="24"/>
          <w:szCs w:val="24"/>
          <w:u w:val="single"/>
        </w:rPr>
        <w:t>Usted ha estado imprimiendo dinero?”</w:t>
      </w:r>
    </w:p>
    <w:p w:rsidR="00103EEF" w:rsidRPr="002312B2" w:rsidRDefault="00103EEF" w:rsidP="00FA4DA9">
      <w:pPr>
        <w:spacing w:before="100" w:beforeAutospacing="1" w:after="100" w:afterAutospacing="1" w:line="240" w:lineRule="auto"/>
        <w:jc w:val="both"/>
        <w:rPr>
          <w:rFonts w:ascii="Times New Roman" w:eastAsia="Times New Roman" w:hAnsi="Times New Roman"/>
          <w:b/>
          <w:color w:val="FF0000"/>
          <w:sz w:val="24"/>
          <w:szCs w:val="24"/>
          <w:u w:val="single"/>
        </w:rPr>
      </w:pPr>
      <w:r w:rsidRPr="002312B2">
        <w:rPr>
          <w:rFonts w:ascii="Times New Roman" w:eastAsia="Times New Roman" w:hAnsi="Times New Roman"/>
          <w:b/>
          <w:color w:val="FF0000"/>
          <w:sz w:val="24"/>
          <w:szCs w:val="24"/>
          <w:u w:val="single"/>
        </w:rPr>
        <w:lastRenderedPageBreak/>
        <w:t>Bernanke: “Sí, efectivamente, y es lo que tenemos que hacer”.</w:t>
      </w:r>
    </w:p>
    <w:p w:rsidR="00103EEF" w:rsidRDefault="00103EEF" w:rsidP="00FA4DA9">
      <w:pPr>
        <w:spacing w:before="100" w:beforeAutospacing="1" w:after="100" w:afterAutospacing="1" w:line="240" w:lineRule="auto"/>
        <w:jc w:val="both"/>
        <w:rPr>
          <w:rFonts w:ascii="Times New Roman" w:eastAsia="Times New Roman" w:hAnsi="Times New Roman"/>
          <w:sz w:val="24"/>
          <w:szCs w:val="24"/>
          <w:u w:val="single"/>
        </w:rPr>
      </w:pPr>
      <w:r>
        <w:rPr>
          <w:rFonts w:ascii="Times New Roman" w:eastAsia="Times New Roman" w:hAnsi="Times New Roman"/>
          <w:color w:val="FF0000"/>
          <w:sz w:val="24"/>
          <w:szCs w:val="24"/>
          <w:u w:val="single"/>
        </w:rPr>
        <w:t>Las maniobras lingüísticas de Bernanke</w:t>
      </w:r>
      <w:r>
        <w:rPr>
          <w:rFonts w:ascii="Times New Roman" w:eastAsia="Times New Roman" w:hAnsi="Times New Roman"/>
          <w:sz w:val="24"/>
          <w:szCs w:val="24"/>
          <w:u w:val="single"/>
        </w:rPr>
        <w:t xml:space="preserve"> fueron recogidas por el siempre genial cómico Jon Stewart. La presión podría estar provocando estos deslices, pero las prestidigitaciones semánticas no son nuevas para él. Ya en 2006 tuvo este divertido intercambio con el vicepresidente del Banco Central Europeo, Lucas Papademos:</w:t>
      </w:r>
    </w:p>
    <w:p w:rsidR="00103EEF" w:rsidRDefault="00103EEF" w:rsidP="00FA4DA9">
      <w:pPr>
        <w:spacing w:before="100" w:beforeAutospacing="1" w:after="100" w:afterAutospacing="1" w:line="240" w:lineRule="auto"/>
        <w:jc w:val="both"/>
        <w:rPr>
          <w:rFonts w:ascii="Times New Roman" w:eastAsia="Times New Roman" w:hAnsi="Times New Roman"/>
          <w:color w:val="FF0000"/>
          <w:sz w:val="24"/>
          <w:szCs w:val="24"/>
          <w:u w:val="single"/>
        </w:rPr>
      </w:pPr>
      <w:r>
        <w:rPr>
          <w:rFonts w:ascii="Times New Roman" w:eastAsia="Times New Roman" w:hAnsi="Times New Roman"/>
          <w:color w:val="FF0000"/>
          <w:sz w:val="24"/>
          <w:szCs w:val="24"/>
          <w:u w:val="single"/>
        </w:rPr>
        <w:t>Bernanke: “Sería acertado decir que los agregados monetarios y de crédito no han jugado un papel central en la formulación de la política monetaria de EEUU (desde 1982), aunque los políticos siguen utilizando los datos monetarios como fuente de información sobre el estado de la economía”.</w:t>
      </w:r>
    </w:p>
    <w:p w:rsidR="00103EEF" w:rsidRDefault="00103EEF" w:rsidP="00FA4DA9">
      <w:pPr>
        <w:spacing w:before="100" w:beforeAutospacing="1" w:after="100" w:afterAutospacing="1" w:line="240" w:lineRule="auto"/>
        <w:jc w:val="both"/>
        <w:rPr>
          <w:rFonts w:ascii="Times New Roman" w:eastAsia="Times New Roman" w:hAnsi="Times New Roman"/>
          <w:sz w:val="24"/>
          <w:szCs w:val="24"/>
          <w:u w:val="single"/>
        </w:rPr>
      </w:pPr>
      <w:r>
        <w:rPr>
          <w:rFonts w:ascii="Times New Roman" w:eastAsia="Times New Roman" w:hAnsi="Times New Roman"/>
          <w:sz w:val="24"/>
          <w:szCs w:val="24"/>
          <w:u w:val="single"/>
        </w:rPr>
        <w:t>Lucas Papademos respondía sorprendido: “¿Es realmente posible que una política descrita como monetaria sea formulada e implementada sin que el dinero juegue un papel central? De hecho, la sugerencia de que la política monetaria puede llevarse a cabo sin la asignación de un papel destacado al dinero parece ser una oxímoron”. Es decir, una declaración contradictoria, sino peor, ya que el significado literal de “oxímoron” es “deliberadamente tonta”.</w:t>
      </w:r>
    </w:p>
    <w:p w:rsidR="00103EEF" w:rsidRDefault="00103EEF" w:rsidP="00FA4DA9">
      <w:pPr>
        <w:spacing w:before="100" w:beforeAutospacing="1" w:after="100" w:afterAutospacing="1" w:line="240" w:lineRule="auto"/>
        <w:jc w:val="both"/>
        <w:rPr>
          <w:rFonts w:ascii="Times New Roman" w:eastAsia="Times New Roman" w:hAnsi="Times New Roman"/>
          <w:sz w:val="24"/>
          <w:szCs w:val="24"/>
          <w:u w:val="single"/>
        </w:rPr>
      </w:pPr>
      <w:r>
        <w:rPr>
          <w:rFonts w:ascii="Times New Roman" w:eastAsia="Times New Roman" w:hAnsi="Times New Roman"/>
          <w:sz w:val="24"/>
          <w:szCs w:val="24"/>
          <w:u w:val="single"/>
        </w:rPr>
        <w:t>La Reserva Federal lleva ejecutando el QE2 desde su anuncio, comprando bonos del Gobierno. En la misma entrevista en Bernanke quiso tranquilizar a la gente:</w:t>
      </w:r>
    </w:p>
    <w:p w:rsidR="00103EEF" w:rsidRDefault="00103EEF" w:rsidP="00FA4DA9">
      <w:pPr>
        <w:spacing w:before="100" w:beforeAutospacing="1" w:after="100" w:afterAutospacing="1" w:line="240" w:lineRule="auto"/>
        <w:jc w:val="both"/>
        <w:rPr>
          <w:rFonts w:ascii="Times New Roman" w:eastAsia="Times New Roman" w:hAnsi="Times New Roman"/>
          <w:sz w:val="24"/>
          <w:szCs w:val="24"/>
          <w:u w:val="single"/>
        </w:rPr>
      </w:pPr>
      <w:r>
        <w:rPr>
          <w:rFonts w:ascii="Times New Roman" w:eastAsia="Times New Roman" w:hAnsi="Times New Roman"/>
          <w:sz w:val="24"/>
          <w:szCs w:val="24"/>
          <w:u w:val="single"/>
        </w:rPr>
        <w:t>Entrevistador: “¿Es mantener la inflación bajo control una prioridad menor de la Reserva Federal en estos momentos?”</w:t>
      </w:r>
    </w:p>
    <w:p w:rsidR="00103EEF" w:rsidRDefault="00103EEF" w:rsidP="00FA4DA9">
      <w:pPr>
        <w:spacing w:before="100" w:beforeAutospacing="1" w:after="100" w:afterAutospacing="1" w:line="240" w:lineRule="auto"/>
        <w:jc w:val="both"/>
        <w:rPr>
          <w:rFonts w:ascii="Times New Roman" w:eastAsia="Times New Roman" w:hAnsi="Times New Roman"/>
          <w:color w:val="FF0000"/>
          <w:sz w:val="24"/>
          <w:szCs w:val="24"/>
          <w:u w:val="single"/>
        </w:rPr>
      </w:pPr>
      <w:r>
        <w:rPr>
          <w:rFonts w:ascii="Times New Roman" w:eastAsia="Times New Roman" w:hAnsi="Times New Roman"/>
          <w:color w:val="FF0000"/>
          <w:sz w:val="24"/>
          <w:szCs w:val="24"/>
          <w:u w:val="single"/>
        </w:rPr>
        <w:t>Bernanke: “No, en absoluto, lo que estamos tratando de hacer es lograr un equilibrio. Hemos sido muy, muy claros que no vamos a permitir que la inflación pase por encima de un dos por ciento o menos”.</w:t>
      </w:r>
    </w:p>
    <w:p w:rsidR="00103EEF" w:rsidRDefault="00103EEF" w:rsidP="00FA4DA9">
      <w:pPr>
        <w:spacing w:before="100" w:beforeAutospacing="1" w:after="100" w:afterAutospacing="1" w:line="240" w:lineRule="auto"/>
        <w:jc w:val="both"/>
        <w:rPr>
          <w:rFonts w:ascii="Times New Roman" w:eastAsia="Times New Roman" w:hAnsi="Times New Roman"/>
          <w:sz w:val="24"/>
          <w:szCs w:val="24"/>
          <w:u w:val="single"/>
        </w:rPr>
      </w:pPr>
      <w:r>
        <w:rPr>
          <w:rFonts w:ascii="Times New Roman" w:eastAsia="Times New Roman" w:hAnsi="Times New Roman"/>
          <w:sz w:val="24"/>
          <w:szCs w:val="24"/>
          <w:u w:val="single"/>
        </w:rPr>
        <w:t>Dado el historial de Bernanke, ¿apostarías tu dinero en su capacidad o credibilidad de cumplir esta promesa?</w:t>
      </w:r>
    </w:p>
    <w:p w:rsidR="00FA4DA9" w:rsidRDefault="00D63C98" w:rsidP="00FA4DA9">
      <w:pPr>
        <w:spacing w:line="240" w:lineRule="auto"/>
        <w:jc w:val="both"/>
        <w:rPr>
          <w:rFonts w:ascii="Times New Roman" w:hAnsi="Times New Roman"/>
          <w:b/>
          <w:sz w:val="24"/>
          <w:szCs w:val="24"/>
        </w:rPr>
      </w:pPr>
      <w:r>
        <w:rPr>
          <w:rFonts w:ascii="Times New Roman" w:hAnsi="Times New Roman"/>
          <w:b/>
          <w:sz w:val="24"/>
          <w:szCs w:val="24"/>
        </w:rPr>
        <w:t xml:space="preserve">Nota: </w:t>
      </w:r>
      <w:r w:rsidR="00FA4DA9">
        <w:rPr>
          <w:rFonts w:ascii="Times New Roman" w:hAnsi="Times New Roman"/>
          <w:b/>
          <w:sz w:val="24"/>
          <w:szCs w:val="24"/>
        </w:rPr>
        <w:t>Para evitar la trampa de liquidez, Ben nos propone el “opio” del riesgo moral…   y más allá… ¿la hiperinflación? Que Dios nos pille confesados. Sólo nos queda rezar.</w:t>
      </w:r>
    </w:p>
    <w:p w:rsidR="00FA4DA9" w:rsidRDefault="00FA4DA9" w:rsidP="00FA4DA9">
      <w:pPr>
        <w:spacing w:line="240" w:lineRule="auto"/>
        <w:jc w:val="both"/>
        <w:rPr>
          <w:rFonts w:ascii="Times New Roman" w:hAnsi="Times New Roman"/>
          <w:b/>
          <w:sz w:val="24"/>
          <w:szCs w:val="24"/>
        </w:rPr>
      </w:pPr>
      <w:r>
        <w:rPr>
          <w:rFonts w:ascii="Times New Roman" w:hAnsi="Times New Roman"/>
          <w:b/>
          <w:sz w:val="24"/>
          <w:szCs w:val="24"/>
        </w:rPr>
        <w:t>- Bernie: de sospechoso habitual a pr</w:t>
      </w:r>
      <w:r w:rsidR="00D63C98">
        <w:rPr>
          <w:rFonts w:ascii="Times New Roman" w:hAnsi="Times New Roman"/>
          <w:b/>
          <w:sz w:val="24"/>
          <w:szCs w:val="24"/>
        </w:rPr>
        <w:t>esunto delincuente (un diálogo “imperdible”</w:t>
      </w:r>
      <w:r>
        <w:rPr>
          <w:rFonts w:ascii="Times New Roman" w:hAnsi="Times New Roman"/>
          <w:b/>
          <w:sz w:val="24"/>
          <w:szCs w:val="24"/>
        </w:rPr>
        <w:t>)</w:t>
      </w:r>
    </w:p>
    <w:p w:rsidR="00FA4DA9" w:rsidRDefault="00FA4DA9" w:rsidP="00FA4DA9">
      <w:pPr>
        <w:spacing w:line="240" w:lineRule="auto"/>
        <w:jc w:val="both"/>
        <w:rPr>
          <w:rFonts w:ascii="Times New Roman" w:hAnsi="Times New Roman"/>
          <w:sz w:val="24"/>
          <w:szCs w:val="24"/>
        </w:rPr>
      </w:pPr>
      <w:r>
        <w:rPr>
          <w:rFonts w:ascii="Times New Roman" w:hAnsi="Times New Roman"/>
          <w:sz w:val="24"/>
          <w:szCs w:val="24"/>
        </w:rPr>
        <w:t>John Hussman uno de los mejores gestores de fondos y una de las mentes más brillantes de Wall Street, relató en una de sus recientes cartas (</w:t>
      </w:r>
      <w:r>
        <w:rPr>
          <w:rFonts w:ascii="Times New Roman" w:hAnsi="Times New Roman"/>
          <w:b/>
          <w:sz w:val="24"/>
          <w:szCs w:val="24"/>
        </w:rPr>
        <w:t>20/9/10</w:t>
      </w:r>
      <w:r>
        <w:rPr>
          <w:rFonts w:ascii="Times New Roman" w:hAnsi="Times New Roman"/>
          <w:sz w:val="24"/>
          <w:szCs w:val="24"/>
        </w:rPr>
        <w:t>), un duro diálogo en el Senado americano entre el congresista republicano Scott Garrett y Ben Bernanke</w:t>
      </w:r>
    </w:p>
    <w:p w:rsidR="00FA4DA9" w:rsidRDefault="00FA4DA9" w:rsidP="00FA4DA9">
      <w:pPr>
        <w:spacing w:line="240" w:lineRule="auto"/>
        <w:jc w:val="both"/>
        <w:rPr>
          <w:rFonts w:ascii="Times New Roman" w:hAnsi="Times New Roman"/>
          <w:sz w:val="24"/>
          <w:szCs w:val="24"/>
          <w:u w:val="single"/>
        </w:rPr>
      </w:pPr>
      <w:r>
        <w:rPr>
          <w:rFonts w:ascii="Times New Roman" w:hAnsi="Times New Roman"/>
          <w:sz w:val="24"/>
          <w:szCs w:val="24"/>
          <w:u w:val="single"/>
        </w:rPr>
        <w:t>Garrett: (dirigiéndose a Bernanke) Usted compró más de un trillón (anglosajón) de dólares de la deuda de GSE (Government-Sponsored Enterprises), y hasta ese momento, en circunstancias normales, en el balance de la FED solo habían los bonos del Tesoro, o si había algún otro activo, siempre tenían firmado un pacto de recompra de dichos títulos en su hoja de balance con un tercero (Repo). Actualmente, en torno a dos tercios del balance de la FED están en deuda de GSE.</w:t>
      </w:r>
    </w:p>
    <w:p w:rsidR="00FA4DA9" w:rsidRDefault="00FA4DA9" w:rsidP="00FA4DA9">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Bernanke: Así es.</w:t>
      </w:r>
    </w:p>
    <w:p w:rsidR="00FA4DA9" w:rsidRDefault="00FA4DA9" w:rsidP="00FA4DA9">
      <w:pPr>
        <w:spacing w:line="240" w:lineRule="auto"/>
        <w:jc w:val="both"/>
        <w:rPr>
          <w:rFonts w:ascii="Times New Roman" w:hAnsi="Times New Roman"/>
          <w:sz w:val="24"/>
          <w:szCs w:val="24"/>
          <w:u w:val="single"/>
        </w:rPr>
      </w:pPr>
      <w:r>
        <w:rPr>
          <w:rFonts w:ascii="Times New Roman" w:hAnsi="Times New Roman"/>
          <w:sz w:val="24"/>
          <w:szCs w:val="24"/>
          <w:u w:val="single"/>
        </w:rPr>
        <w:lastRenderedPageBreak/>
        <w:t>Garrett: Así que de momento están garantizados - ¿no sabemos realmente si son deuda soberana o no - pero sí que están garantizados por el gobierno de los EEUU, pero sólo hasta cuando lo están? 2012, ¿verdad?</w:t>
      </w:r>
      <w:r>
        <w:rPr>
          <w:rFonts w:ascii="Times New Roman" w:hAnsi="Times New Roman"/>
          <w:sz w:val="24"/>
          <w:szCs w:val="24"/>
        </w:rPr>
        <w:t xml:space="preserve"> Después de eso, el Congreso podría tomar otra decisión, y entonces llegados a ese punto, posiblemente estos activos - dos tercios de su balance - no estarían garantizados por el gobierno federal. </w:t>
      </w:r>
      <w:r>
        <w:rPr>
          <w:rFonts w:ascii="Times New Roman" w:hAnsi="Times New Roman"/>
          <w:sz w:val="24"/>
          <w:szCs w:val="24"/>
          <w:u w:val="single"/>
        </w:rPr>
        <w:t xml:space="preserve">Vamos a ver…. usted no tiene una... ¿tiene usted un pacto de recompra en esos activos, firmado con alguien? </w:t>
      </w:r>
    </w:p>
    <w:p w:rsidR="00FA4DA9" w:rsidRDefault="00FA4DA9" w:rsidP="00FA4DA9">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Bernanke: No sé qué quiere decir con un acuerdo de recompra. Somos dueños de dichos valores.</w:t>
      </w:r>
    </w:p>
    <w:p w:rsidR="00FA4DA9" w:rsidRDefault="00FA4DA9" w:rsidP="00FA4DA9">
      <w:pPr>
        <w:spacing w:line="240" w:lineRule="auto"/>
        <w:jc w:val="both"/>
        <w:rPr>
          <w:rFonts w:ascii="Times New Roman" w:hAnsi="Times New Roman"/>
          <w:sz w:val="24"/>
          <w:szCs w:val="24"/>
          <w:u w:val="single"/>
        </w:rPr>
      </w:pPr>
      <w:r>
        <w:rPr>
          <w:rFonts w:ascii="Times New Roman" w:hAnsi="Times New Roman"/>
          <w:sz w:val="24"/>
          <w:szCs w:val="24"/>
          <w:u w:val="single"/>
        </w:rPr>
        <w:t>Garrett: Usted es el propietario de esos valores, ¿no es así? Así que no hay pacto de recompra con alguien externo, para volver a recomprarlos. Son de su propiedad.</w:t>
      </w:r>
    </w:p>
    <w:p w:rsidR="00FA4DA9" w:rsidRDefault="00FA4DA9" w:rsidP="00FA4DA9">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Bernanke: Cierto.</w:t>
      </w:r>
    </w:p>
    <w:p w:rsidR="00FA4DA9" w:rsidRDefault="00FA4DA9" w:rsidP="00FA4DA9">
      <w:pPr>
        <w:spacing w:line="240" w:lineRule="auto"/>
        <w:jc w:val="both"/>
        <w:rPr>
          <w:rFonts w:ascii="Times New Roman" w:hAnsi="Times New Roman"/>
          <w:sz w:val="24"/>
          <w:szCs w:val="24"/>
          <w:u w:val="single"/>
        </w:rPr>
      </w:pPr>
      <w:r>
        <w:rPr>
          <w:rFonts w:ascii="Times New Roman" w:hAnsi="Times New Roman"/>
          <w:sz w:val="24"/>
          <w:szCs w:val="24"/>
          <w:u w:val="single"/>
        </w:rPr>
        <w:t>Garrett: Así que después de 2012, si ya no fuesen garantizados, ¿es justo decir que es posible que en ese momento la FED estaría aplicando una política fiscal, que sería básicamente la creación de dinero?</w:t>
      </w:r>
      <w:r>
        <w:rPr>
          <w:rFonts w:ascii="Times New Roman" w:hAnsi="Times New Roman"/>
          <w:sz w:val="24"/>
          <w:szCs w:val="24"/>
        </w:rPr>
        <w:t xml:space="preserve"> Y sé que usted estaría de acuerdo en que este sería </w:t>
      </w:r>
      <w:r>
        <w:rPr>
          <w:rFonts w:ascii="Times New Roman" w:hAnsi="Times New Roman"/>
          <w:sz w:val="24"/>
          <w:szCs w:val="24"/>
          <w:u w:val="single"/>
        </w:rPr>
        <w:t>un actuación inconstitucional de la FED</w:t>
      </w:r>
      <w:r>
        <w:rPr>
          <w:rFonts w:ascii="Times New Roman" w:hAnsi="Times New Roman"/>
          <w:sz w:val="24"/>
          <w:szCs w:val="24"/>
        </w:rPr>
        <w:t xml:space="preserve">, al participar en la política fiscal - </w:t>
      </w:r>
      <w:r>
        <w:rPr>
          <w:rFonts w:ascii="Times New Roman" w:hAnsi="Times New Roman"/>
          <w:sz w:val="24"/>
          <w:szCs w:val="24"/>
          <w:u w:val="single"/>
        </w:rPr>
        <w:t>Entonces, ¿dónde va a estar usted en 2012 si hay que aplicar una quita (pérdida) porque estos activos ya no estarían garantizados?</w:t>
      </w:r>
    </w:p>
    <w:p w:rsidR="00FA4DA9" w:rsidRDefault="00FA4DA9" w:rsidP="00FA4DA9">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Bernanke: Bueno, en primer lugar desde la perspectiva del gobierno, yo, ehhhh, como un acto que, ehhhh, la Reserva Federal podría perder el dinero que el Tesoro podría ganar. No habría ningún cambio (pérdida o ganancia), en términos consolidados en la posición del gobierno de EEUU... En segundo lugar, el acto de la Reserva Federal explícitamente da…</w:t>
      </w:r>
    </w:p>
    <w:p w:rsidR="00FA4DA9" w:rsidRDefault="00FA4DA9" w:rsidP="00FA4DA9">
      <w:pPr>
        <w:spacing w:line="240" w:lineRule="auto"/>
        <w:jc w:val="both"/>
        <w:rPr>
          <w:rFonts w:ascii="Times New Roman" w:hAnsi="Times New Roman"/>
          <w:sz w:val="24"/>
          <w:szCs w:val="24"/>
          <w:u w:val="single"/>
        </w:rPr>
      </w:pPr>
      <w:r>
        <w:rPr>
          <w:rFonts w:ascii="Times New Roman" w:hAnsi="Times New Roman"/>
          <w:sz w:val="24"/>
          <w:szCs w:val="24"/>
          <w:u w:val="single"/>
        </w:rPr>
        <w:t>Garrett: ¿Cómo podríamos estar nosotros ganando? ¿Cómo estaría el Tesoro ganando?</w:t>
      </w:r>
    </w:p>
    <w:p w:rsidR="00FA4DA9" w:rsidRDefault="00FA4DA9" w:rsidP="00FA4DA9">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Bernanke: Bueno, si hay una hipoteca impagada y el Tesoro... se debe aportar pongamos $ 10, si el Tesoro se niega a hacerlo, entonces la FED perdería $ 10, por lo que de una u otra manera el gobierno va a perder $ 10. Pero sólo quiero decir dos cosas, una es que creo que, eh...</w:t>
      </w:r>
    </w:p>
    <w:p w:rsidR="00FA4DA9" w:rsidRDefault="00FA4DA9" w:rsidP="00FA4DA9">
      <w:pPr>
        <w:spacing w:line="240" w:lineRule="auto"/>
        <w:jc w:val="both"/>
        <w:rPr>
          <w:rFonts w:ascii="Times New Roman" w:hAnsi="Times New Roman"/>
          <w:sz w:val="24"/>
          <w:szCs w:val="24"/>
          <w:u w:val="single"/>
        </w:rPr>
      </w:pPr>
      <w:r>
        <w:rPr>
          <w:rFonts w:ascii="Times New Roman" w:hAnsi="Times New Roman"/>
          <w:sz w:val="24"/>
          <w:szCs w:val="24"/>
          <w:u w:val="single"/>
        </w:rPr>
        <w:t>Garrett: ¿Pero si usted no los hubiera comprado en su día, nada de esto habría ocurrido? No se habrían creado estos $ 10. Ahora como usted los compró, en esencia, si no los respalda, entonces usted tendrá que crear adicionalmente $ 10.</w:t>
      </w:r>
    </w:p>
    <w:p w:rsidR="00FA4DA9" w:rsidRDefault="00FA4DA9" w:rsidP="00FA4DA9">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Bernanke: Bueno, espero que no suceda, porque creo que es muy importante para la estabilidad financiera y la confianza que nosotros, que nosotros le garantizamos...</w:t>
      </w:r>
    </w:p>
    <w:p w:rsidR="00FA4DA9" w:rsidRDefault="00FA4DA9" w:rsidP="00FA4DA9">
      <w:pPr>
        <w:spacing w:line="240" w:lineRule="auto"/>
        <w:jc w:val="both"/>
        <w:rPr>
          <w:rFonts w:ascii="Times New Roman" w:hAnsi="Times New Roman"/>
          <w:sz w:val="24"/>
          <w:szCs w:val="24"/>
          <w:u w:val="single"/>
        </w:rPr>
      </w:pPr>
      <w:r>
        <w:rPr>
          <w:rFonts w:ascii="Times New Roman" w:hAnsi="Times New Roman"/>
          <w:sz w:val="24"/>
          <w:szCs w:val="24"/>
          <w:u w:val="single"/>
        </w:rPr>
        <w:t>Garrett: Vamos a jugar al caso hipotético de que esto ocurre.</w:t>
      </w:r>
    </w:p>
    <w:p w:rsidR="00FA4DA9" w:rsidRDefault="00FA4DA9" w:rsidP="00FA4DA9">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Bernanke: Bueno, entonces la FED podría perder dinero allí. Sin embargo, permítanme señalar que la Ley de Reserva Federal, que no ha invocado ninguna de emergencia o de poderes extraordinarios para comprar esos organismos. Queda expresamente en la Ley de la Reserva Federal, que podemos comprar bonos del Tesoro o títulos de las agencias y por lo que no hicimos nada raro allí.</w:t>
      </w:r>
    </w:p>
    <w:p w:rsidR="00FA4DA9" w:rsidRDefault="00FA4DA9" w:rsidP="00FA4DA9">
      <w:pPr>
        <w:spacing w:line="240" w:lineRule="auto"/>
        <w:jc w:val="both"/>
        <w:rPr>
          <w:rFonts w:ascii="Times New Roman" w:hAnsi="Times New Roman"/>
          <w:sz w:val="24"/>
          <w:szCs w:val="24"/>
          <w:u w:val="single"/>
        </w:rPr>
      </w:pPr>
      <w:r>
        <w:rPr>
          <w:rFonts w:ascii="Times New Roman" w:hAnsi="Times New Roman"/>
          <w:sz w:val="24"/>
          <w:szCs w:val="24"/>
          <w:u w:val="single"/>
        </w:rPr>
        <w:t>Garrett: ¿En qué situación estaban cuando se los compró? ¿Estaban en tutela en ese momento?</w:t>
      </w:r>
    </w:p>
    <w:p w:rsidR="00FA4DA9" w:rsidRDefault="00FA4DA9" w:rsidP="00FA4DA9">
      <w:pPr>
        <w:spacing w:line="240" w:lineRule="auto"/>
        <w:jc w:val="both"/>
        <w:rPr>
          <w:rFonts w:ascii="Times New Roman" w:hAnsi="Times New Roman"/>
          <w:color w:val="FF0000"/>
          <w:sz w:val="24"/>
          <w:szCs w:val="24"/>
          <w:u w:val="single"/>
        </w:rPr>
      </w:pPr>
      <w:r>
        <w:rPr>
          <w:rFonts w:ascii="Times New Roman" w:hAnsi="Times New Roman"/>
          <w:sz w:val="24"/>
          <w:szCs w:val="24"/>
        </w:rPr>
        <w:t xml:space="preserve"> </w:t>
      </w:r>
      <w:r>
        <w:rPr>
          <w:rFonts w:ascii="Times New Roman" w:hAnsi="Times New Roman"/>
          <w:color w:val="FF0000"/>
          <w:sz w:val="24"/>
          <w:szCs w:val="24"/>
          <w:u w:val="single"/>
        </w:rPr>
        <w:t>Bernanke: Um, sí.</w:t>
      </w:r>
    </w:p>
    <w:p w:rsidR="00FA4DA9" w:rsidRDefault="00FA4DA9" w:rsidP="00FA4DA9">
      <w:pPr>
        <w:spacing w:line="240" w:lineRule="auto"/>
        <w:jc w:val="both"/>
        <w:rPr>
          <w:rFonts w:ascii="Times New Roman" w:hAnsi="Times New Roman"/>
          <w:sz w:val="24"/>
          <w:szCs w:val="24"/>
          <w:u w:val="single"/>
        </w:rPr>
      </w:pPr>
      <w:r>
        <w:rPr>
          <w:rFonts w:ascii="Times New Roman" w:hAnsi="Times New Roman"/>
          <w:sz w:val="24"/>
          <w:szCs w:val="24"/>
          <w:u w:val="single"/>
        </w:rPr>
        <w:lastRenderedPageBreak/>
        <w:t>Garrett: ¿Es normal que la FED compre valores de estas  agencias cuando están bajo la tutela? ¿Se había hecho esto antes?</w:t>
      </w:r>
    </w:p>
    <w:p w:rsidR="00FA4DA9" w:rsidRDefault="00FA4DA9" w:rsidP="00FA4DA9">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Bernanke: Nunca antes habían estado bajo la tutela de la administración como ahora.</w:t>
      </w:r>
    </w:p>
    <w:p w:rsidR="00FA4DA9" w:rsidRDefault="00FA4DA9" w:rsidP="00FA4DA9">
      <w:pPr>
        <w:spacing w:line="240" w:lineRule="auto"/>
        <w:jc w:val="both"/>
        <w:rPr>
          <w:rFonts w:ascii="Times New Roman" w:hAnsi="Times New Roman"/>
          <w:sz w:val="24"/>
          <w:szCs w:val="24"/>
          <w:u w:val="single"/>
        </w:rPr>
      </w:pPr>
      <w:r>
        <w:rPr>
          <w:rFonts w:ascii="Times New Roman" w:hAnsi="Times New Roman"/>
          <w:sz w:val="24"/>
          <w:szCs w:val="24"/>
          <w:u w:val="single"/>
        </w:rPr>
        <w:t>Garrett:</w:t>
      </w:r>
      <w:r>
        <w:rPr>
          <w:rFonts w:ascii="Times New Roman" w:hAnsi="Times New Roman"/>
          <w:sz w:val="24"/>
          <w:szCs w:val="24"/>
        </w:rPr>
        <w:t xml:space="preserve"> </w:t>
      </w:r>
      <w:r>
        <w:rPr>
          <w:rFonts w:ascii="Times New Roman" w:hAnsi="Times New Roman"/>
          <w:sz w:val="24"/>
          <w:szCs w:val="24"/>
          <w:u w:val="single"/>
        </w:rPr>
        <w:t>Bueno, ahí lo tenemos. Así que la práctica habitual no es la que se ha seguido aquí. Simplemente me parece que podemos haber ido por un camino diferente al de la historia de los EEUU, donde la Reserva Federal ha participado en la compra de una garantía, que no es del Tesoro, que no está garantizado por la plena fe y crédito de los Estados Unidos de por vida, ni hay ningún acuerdo de recompra con cualquier otra entidad a la que la FED le adquirió - y que la FED, en esencia, podría haber creado dinero (imprimir) si el gobierno finalmente no lo garantiza. Al menos, esta podría ser la situación en que nos podríamos encontrar en el 2012.</w:t>
      </w:r>
    </w:p>
    <w:p w:rsidR="00FA4DA9" w:rsidRPr="00FA4DA9" w:rsidRDefault="00FA4DA9" w:rsidP="00FA4DA9">
      <w:pPr>
        <w:spacing w:line="240" w:lineRule="auto"/>
        <w:jc w:val="both"/>
        <w:rPr>
          <w:rFonts w:ascii="Times New Roman" w:hAnsi="Times New Roman"/>
          <w:sz w:val="24"/>
          <w:szCs w:val="24"/>
          <w:u w:val="single"/>
        </w:rPr>
      </w:pPr>
      <w:r>
        <w:rPr>
          <w:rFonts w:ascii="Times New Roman" w:hAnsi="Times New Roman"/>
          <w:sz w:val="24"/>
          <w:szCs w:val="24"/>
          <w:u w:val="single"/>
        </w:rPr>
        <w:t xml:space="preserve">En resumen yo diría que la bomba nuclear que estaba en los balances de todos los bancos privados y entidades financieras como Freddie Mac y Fannie Mae, ha pasado al balance del corazón del sistema, en el de la FED. Pero no solo en los USA, el BCE europeo está comprando en el mercado bonos griegos, portugueses e irlandeses por un lado, y por otro presta todo el dinero que les pida cualquier banco privado europeo sin límite, a cambio de Deuda pública (española por ejemplo) o peor </w:t>
      </w:r>
      <w:r w:rsidR="00324F4A">
        <w:rPr>
          <w:rFonts w:ascii="Times New Roman" w:hAnsi="Times New Roman"/>
          <w:sz w:val="24"/>
          <w:szCs w:val="24"/>
          <w:u w:val="single"/>
        </w:rPr>
        <w:t>aún</w:t>
      </w:r>
      <w:r>
        <w:rPr>
          <w:rFonts w:ascii="Times New Roman" w:hAnsi="Times New Roman"/>
          <w:sz w:val="24"/>
          <w:szCs w:val="24"/>
          <w:u w:val="single"/>
        </w:rPr>
        <w:t xml:space="preserve"> titulaciones de hipotecas empaquetadas que sólo el banco privado que la crea sabe de su solvencia.</w:t>
      </w:r>
    </w:p>
    <w:p w:rsidR="00FA4DA9" w:rsidRDefault="00FA4DA9" w:rsidP="00FA4DA9">
      <w:pPr>
        <w:spacing w:before="100" w:beforeAutospacing="1" w:after="100" w:afterAutospacing="1" w:line="240" w:lineRule="auto"/>
        <w:jc w:val="both"/>
        <w:rPr>
          <w:rFonts w:ascii="Times New Roman" w:eastAsia="Times New Roman" w:hAnsi="Times New Roman"/>
          <w:b/>
          <w:sz w:val="24"/>
          <w:szCs w:val="24"/>
        </w:rPr>
      </w:pPr>
      <w:r>
        <w:rPr>
          <w:rFonts w:ascii="Times New Roman" w:eastAsia="Times New Roman" w:hAnsi="Times New Roman"/>
          <w:b/>
          <w:sz w:val="24"/>
          <w:szCs w:val="24"/>
        </w:rPr>
        <w:t>PD: Tócala otra vez, Ben (una magnífica reseña de sus principales “deposiciones”)</w:t>
      </w:r>
    </w:p>
    <w:p w:rsidR="00FA4DA9" w:rsidRDefault="00FA4DA9" w:rsidP="00FA4DA9">
      <w:pPr>
        <w:pStyle w:val="NormalWeb"/>
        <w:jc w:val="both"/>
        <w:rPr>
          <w:color w:val="FF0000"/>
          <w:u w:val="single"/>
        </w:rPr>
      </w:pPr>
      <w:r>
        <w:t xml:space="preserve">Uno de los últimos en atacar al presidente del regulador monetario ha sido </w:t>
      </w:r>
      <w:r>
        <w:rPr>
          <w:u w:val="single"/>
        </w:rPr>
        <w:t>Business Insider,</w:t>
      </w:r>
      <w:r>
        <w:t xml:space="preserve"> en un artículo publicado el 8/12/10, bajo el titular </w:t>
      </w:r>
      <w:r>
        <w:rPr>
          <w:color w:val="FF0000"/>
          <w:u w:val="single"/>
        </w:rPr>
        <w:t>“30 citas de Bernanke tan absurdas que no sabes si reír o llorar”.</w:t>
      </w:r>
    </w:p>
    <w:p w:rsidR="00FA4DA9" w:rsidRPr="00D63C98" w:rsidRDefault="00FA4DA9" w:rsidP="00FA4DA9">
      <w:pPr>
        <w:pStyle w:val="NormalWeb"/>
        <w:jc w:val="both"/>
        <w:rPr>
          <w:b/>
          <w:color w:val="FF0000"/>
          <w:u w:val="single"/>
        </w:rPr>
      </w:pPr>
      <w:r>
        <w:t>Así, la que podría ser la mejor “perla” de Bernanke retrata toda su política monetaria y se encuentra en su discurso del 21 de noviembre de 2002.  Entonces aseguró que</w:t>
      </w:r>
      <w:r>
        <w:rPr>
          <w:color w:val="FF0000"/>
          <w:u w:val="single"/>
        </w:rPr>
        <w:t xml:space="preserve"> </w:t>
      </w:r>
      <w:r w:rsidRPr="00D63C98">
        <w:rPr>
          <w:b/>
          <w:color w:val="FF0000"/>
          <w:u w:val="single"/>
        </w:rPr>
        <w:t>“El Gobierno de Estados Unidos tiene una tecnología llamada imprenta (hoy en día su equivalente tecnológico) que permite producir todos los dólares que se deseen a ningún coste”.</w:t>
      </w:r>
    </w:p>
    <w:p w:rsidR="00FA4DA9" w:rsidRDefault="00FA4DA9" w:rsidP="00FA4DA9">
      <w:pPr>
        <w:pStyle w:val="NormalWeb"/>
        <w:jc w:val="both"/>
        <w:rPr>
          <w:lang w:val="en-US"/>
        </w:rPr>
      </w:pPr>
      <w:r>
        <w:rPr>
          <w:lang w:val="en-US"/>
        </w:rPr>
        <w:t xml:space="preserve">- </w:t>
      </w:r>
      <w:r>
        <w:rPr>
          <w:u w:val="single"/>
          <w:lang w:val="en-US"/>
        </w:rPr>
        <w:t>30 Bernanke Quotes That Are So Absurd You Won’t Know Whether To Laugh Or Cry</w:t>
      </w:r>
      <w:r>
        <w:rPr>
          <w:lang w:val="en-US"/>
        </w:rPr>
        <w:t xml:space="preserve"> (Business Insider - </w:t>
      </w:r>
      <w:r>
        <w:rPr>
          <w:b/>
          <w:lang w:val="en-US"/>
        </w:rPr>
        <w:t>8/12/10</w:t>
      </w:r>
      <w:r>
        <w:rPr>
          <w:lang w:val="en-US"/>
        </w:rPr>
        <w:t>)</w:t>
      </w:r>
    </w:p>
    <w:p w:rsidR="00FA4DA9" w:rsidRDefault="00FA4DA9" w:rsidP="00FA4DA9">
      <w:pPr>
        <w:pStyle w:val="NormalWeb"/>
        <w:jc w:val="both"/>
        <w:rPr>
          <w:lang w:val="en-US"/>
        </w:rPr>
      </w:pPr>
      <w:r>
        <w:rPr>
          <w:lang w:val="en-US"/>
        </w:rPr>
        <w:t xml:space="preserve"> (By Michael Snyder, The Economic Collapse)  </w:t>
      </w:r>
    </w:p>
    <w:p w:rsidR="00FA4DA9" w:rsidRDefault="00FA4DA9" w:rsidP="00FA4DA9">
      <w:pPr>
        <w:pStyle w:val="NormalWeb"/>
        <w:jc w:val="both"/>
        <w:rPr>
          <w:lang w:val="en-US"/>
        </w:rPr>
      </w:pPr>
      <w:r>
        <w:rPr>
          <w:lang w:val="en-US"/>
        </w:rPr>
        <w:t>Did you see Federal Reserve Chairman Ben Bernanke on 60 Minutes the other night? Bernanke portrayed the Federal Reserve as the great protector of the U.S. economy, he claimed that unemployment would be 15 percent higher if the Federal Reserve had sat back and done nothing during the financial crisis and he even started laying the groundwork for a third round of quantitative easing.</w:t>
      </w:r>
    </w:p>
    <w:p w:rsidR="00FA4DA9" w:rsidRDefault="00FA4DA9" w:rsidP="00FA4DA9">
      <w:pPr>
        <w:pStyle w:val="NormalWeb"/>
        <w:jc w:val="both"/>
        <w:rPr>
          <w:lang w:val="en-US"/>
        </w:rPr>
      </w:pPr>
      <w:r>
        <w:rPr>
          <w:lang w:val="en-US"/>
        </w:rPr>
        <w:t xml:space="preserve">Unfortunately, 60 Minutes did not ask Bernanke any hard questions and did not challenge him on his past record. It was almost as if they considered Bernanke to be above criticism. But someone in the mainstream media should be taking a closer look at this guy and his record. The truth is that the incompetence that Bernanke has displayed over the past few years makes the Cincinnati Bengals look like a model of excellence. </w:t>
      </w:r>
    </w:p>
    <w:p w:rsidR="00FA4DA9" w:rsidRDefault="00FA4DA9" w:rsidP="00FA4DA9">
      <w:pPr>
        <w:pStyle w:val="NormalWeb"/>
        <w:jc w:val="both"/>
        <w:rPr>
          <w:lang w:val="en-US"/>
        </w:rPr>
      </w:pPr>
      <w:r>
        <w:rPr>
          <w:lang w:val="en-US"/>
        </w:rPr>
        <w:lastRenderedPageBreak/>
        <w:t xml:space="preserve">Bernanke kept insisting that the housing market was stable even while it was falling apart, he had absolutely no idea the financial crisis was coming, he declared that Fannie Mae and Freddie Mac were in no danger of failing just before they failed, his policies have created asset bubble after asset bubble and the world financial system is now inherently unstable. </w:t>
      </w:r>
    </w:p>
    <w:p w:rsidR="00FA4DA9" w:rsidRDefault="00FA4DA9" w:rsidP="00FA4DA9">
      <w:pPr>
        <w:pStyle w:val="NormalWeb"/>
        <w:jc w:val="both"/>
        <w:rPr>
          <w:lang w:val="en-US"/>
        </w:rPr>
      </w:pPr>
      <w:r>
        <w:rPr>
          <w:lang w:val="en-US"/>
        </w:rPr>
        <w:t>But even with such horrific job performance, Barack Obama and leaders of both political parties continue to publicly praise Bernanke at every opportunity.  What in the world is going on here?</w:t>
      </w:r>
    </w:p>
    <w:p w:rsidR="00FA4DA9" w:rsidRDefault="00FA4DA9" w:rsidP="00FA4DA9">
      <w:pPr>
        <w:pStyle w:val="NormalWeb"/>
        <w:jc w:val="both"/>
        <w:rPr>
          <w:lang w:val="en-US"/>
        </w:rPr>
      </w:pPr>
      <w:r>
        <w:rPr>
          <w:lang w:val="en-US"/>
        </w:rPr>
        <w:t>Not that Bernanke is solely responsible. His predecessor, Alan Greenspan, was responsible for many of the policies that have brought us to this point. In addition, most of the other presidents of the individual Federal Reserve banks across the United States seem just as clueless as Bernanke.</w:t>
      </w:r>
    </w:p>
    <w:p w:rsidR="00FA4DA9" w:rsidRDefault="00FA4DA9" w:rsidP="00FA4DA9">
      <w:pPr>
        <w:pStyle w:val="NormalWeb"/>
        <w:jc w:val="both"/>
        <w:rPr>
          <w:lang w:val="en-US"/>
        </w:rPr>
      </w:pPr>
      <w:r>
        <w:rPr>
          <w:lang w:val="en-US"/>
        </w:rPr>
        <w:t>But you would think at some point someone in authority would be calling for Bernanke to resign.  Accountability has to begin somewhere.</w:t>
      </w:r>
    </w:p>
    <w:p w:rsidR="00FA4DA9" w:rsidRDefault="00FA4DA9" w:rsidP="00FA4DA9">
      <w:pPr>
        <w:pStyle w:val="NormalWeb"/>
        <w:jc w:val="both"/>
        <w:rPr>
          <w:lang w:val="en-US"/>
        </w:rPr>
      </w:pPr>
      <w:r>
        <w:rPr>
          <w:lang w:val="en-US"/>
        </w:rPr>
        <w:t>The Bernanke quotes that you will read below reveal a pattern of incompetence and mismanagement that is absolutely mind blowing. Looking back now, we can see that Bernanke was wrong about almost everything.</w:t>
      </w:r>
    </w:p>
    <w:p w:rsidR="00FA4DA9" w:rsidRDefault="00FA4DA9" w:rsidP="00FA4DA9">
      <w:pPr>
        <w:pStyle w:val="NormalWeb"/>
        <w:jc w:val="both"/>
        <w:rPr>
          <w:lang w:val="en-US"/>
        </w:rPr>
      </w:pPr>
      <w:r>
        <w:rPr>
          <w:lang w:val="en-US"/>
        </w:rPr>
        <w:t>But the mainstream media and our top politicians keep insisting that Bernanke is the man to lead our economy into a bright future.</w:t>
      </w:r>
    </w:p>
    <w:p w:rsidR="00FA4DA9" w:rsidRDefault="00FA4DA9" w:rsidP="00FA4DA9">
      <w:pPr>
        <w:pStyle w:val="NormalWeb"/>
        <w:jc w:val="both"/>
        <w:rPr>
          <w:lang w:val="en-US"/>
        </w:rPr>
      </w:pPr>
      <w:r>
        <w:rPr>
          <w:lang w:val="en-US"/>
        </w:rPr>
        <w:t>It is almost as if we have been transported into some bizarre episode of “The Twilight Zone” where the more incompetence someone exhibits the more they are to be praised.</w:t>
      </w:r>
    </w:p>
    <w:p w:rsidR="00FA4DA9" w:rsidRDefault="00FA4DA9" w:rsidP="00FA4DA9">
      <w:pPr>
        <w:pStyle w:val="NormalWeb"/>
        <w:jc w:val="both"/>
        <w:rPr>
          <w:lang w:val="en-US"/>
        </w:rPr>
      </w:pPr>
      <w:r>
        <w:rPr>
          <w:lang w:val="en-US"/>
        </w:rPr>
        <w:t>The following are 30 Ben Bernanke quotes that are so stupid that you won't know whether to laugh or cry...</w:t>
      </w:r>
    </w:p>
    <w:p w:rsidR="00FA4DA9" w:rsidRDefault="00FA4DA9" w:rsidP="00FA4DA9">
      <w:pPr>
        <w:pStyle w:val="NormalWeb"/>
        <w:jc w:val="both"/>
        <w:rPr>
          <w:lang w:val="en-US"/>
        </w:rPr>
      </w:pPr>
      <w:r>
        <w:rPr>
          <w:lang w:val="en-US"/>
        </w:rPr>
        <w:t>Nov. 21, 2002</w:t>
      </w:r>
    </w:p>
    <w:p w:rsidR="00FA4DA9" w:rsidRDefault="00FA4DA9" w:rsidP="00FA4DA9">
      <w:pPr>
        <w:pStyle w:val="NormalWeb"/>
        <w:jc w:val="both"/>
        <w:rPr>
          <w:color w:val="FF0000"/>
          <w:lang w:val="en-US"/>
        </w:rPr>
      </w:pPr>
      <w:r>
        <w:rPr>
          <w:color w:val="FF0000"/>
          <w:lang w:val="en-US"/>
        </w:rPr>
        <w:t xml:space="preserve">“The U.S. government has a technology, called a printing press (or today, its electronic equivalent), that allows it to produce as many U.S. dollars as it wishes at no cost”. </w:t>
      </w:r>
    </w:p>
    <w:p w:rsidR="00FA4DA9" w:rsidRDefault="00FA4DA9" w:rsidP="00FA4DA9">
      <w:pPr>
        <w:pStyle w:val="NormalWeb"/>
        <w:jc w:val="both"/>
        <w:rPr>
          <w:lang w:val="en-US"/>
        </w:rPr>
      </w:pPr>
      <w:r>
        <w:rPr>
          <w:lang w:val="en-US"/>
        </w:rPr>
        <w:t>June 2004</w:t>
      </w:r>
    </w:p>
    <w:p w:rsidR="00FA4DA9" w:rsidRDefault="00FA4DA9" w:rsidP="00FA4DA9">
      <w:pPr>
        <w:pStyle w:val="NormalWeb"/>
        <w:jc w:val="both"/>
        <w:rPr>
          <w:color w:val="FF0000"/>
          <w:lang w:val="en-US"/>
        </w:rPr>
      </w:pPr>
      <w:r>
        <w:rPr>
          <w:color w:val="FF0000"/>
          <w:lang w:val="en-US"/>
        </w:rPr>
        <w:t xml:space="preserve">“Economics has many substantive areas of knowledge where there is agreement but also contains areas of controversy. That's inescapable”. </w:t>
      </w:r>
    </w:p>
    <w:p w:rsidR="00FA4DA9" w:rsidRDefault="00FA4DA9" w:rsidP="00FA4DA9">
      <w:pPr>
        <w:pStyle w:val="NormalWeb"/>
        <w:jc w:val="both"/>
        <w:rPr>
          <w:lang w:val="en-US"/>
        </w:rPr>
      </w:pPr>
      <w:r>
        <w:rPr>
          <w:lang w:val="en-US"/>
        </w:rPr>
        <w:t>June 2004</w:t>
      </w:r>
    </w:p>
    <w:p w:rsidR="00D63C98" w:rsidRDefault="00FA4DA9" w:rsidP="00FA4DA9">
      <w:pPr>
        <w:pStyle w:val="NormalWeb"/>
        <w:jc w:val="both"/>
        <w:rPr>
          <w:color w:val="FF0000"/>
          <w:lang w:val="en-US"/>
        </w:rPr>
      </w:pPr>
      <w:r>
        <w:rPr>
          <w:color w:val="FF0000"/>
          <w:lang w:val="en-US"/>
        </w:rPr>
        <w:t xml:space="preserve">“Not all information is beneficial”. </w:t>
      </w:r>
    </w:p>
    <w:p w:rsidR="00FA4DA9" w:rsidRDefault="00FA4DA9" w:rsidP="00FA4DA9">
      <w:pPr>
        <w:pStyle w:val="NormalWeb"/>
        <w:jc w:val="both"/>
        <w:rPr>
          <w:lang w:val="en-US"/>
        </w:rPr>
      </w:pPr>
      <w:r>
        <w:rPr>
          <w:lang w:val="en-US"/>
        </w:rPr>
        <w:t>July, 2005</w:t>
      </w:r>
    </w:p>
    <w:p w:rsidR="00FA4DA9" w:rsidRDefault="00FA4DA9" w:rsidP="00FA4DA9">
      <w:pPr>
        <w:pStyle w:val="NormalWeb"/>
        <w:jc w:val="both"/>
        <w:rPr>
          <w:color w:val="FF0000"/>
          <w:lang w:val="en-US"/>
        </w:rPr>
      </w:pPr>
      <w:r>
        <w:rPr>
          <w:color w:val="FF0000"/>
          <w:lang w:val="en-US"/>
        </w:rPr>
        <w:t xml:space="preserve">“We’ve never had a decline in house prices on a nationwide basis. So, what I think what is more likely is that house prices will slow, maybe stabilize, might slow consumption spending a bit. I don’t think it’s gonna drive the economy too far from its full employment path, though”. </w:t>
      </w:r>
    </w:p>
    <w:p w:rsidR="00FA4DA9" w:rsidRDefault="00FA4DA9" w:rsidP="00FA4DA9">
      <w:pPr>
        <w:pStyle w:val="NormalWeb"/>
        <w:jc w:val="both"/>
        <w:rPr>
          <w:lang w:val="en-US"/>
        </w:rPr>
      </w:pPr>
      <w:r>
        <w:rPr>
          <w:lang w:val="en-US"/>
        </w:rPr>
        <w:lastRenderedPageBreak/>
        <w:t>Oct. 20, 2005</w:t>
      </w:r>
    </w:p>
    <w:p w:rsidR="00FA4DA9" w:rsidRDefault="00FA4DA9" w:rsidP="00FA4DA9">
      <w:pPr>
        <w:pStyle w:val="NormalWeb"/>
        <w:jc w:val="both"/>
        <w:rPr>
          <w:color w:val="FF0000"/>
          <w:lang w:val="en-US"/>
        </w:rPr>
      </w:pPr>
      <w:r>
        <w:rPr>
          <w:color w:val="FF0000"/>
          <w:lang w:val="en-US"/>
        </w:rPr>
        <w:t xml:space="preserve">“House prices have risen by nearly 25 percent over the past two years. Although speculative activity has increased in some areas, at a national level these price increases largely reflect strong economic fundamentals”. </w:t>
      </w:r>
    </w:p>
    <w:p w:rsidR="00FA4DA9" w:rsidRDefault="00FA4DA9" w:rsidP="00FA4DA9">
      <w:pPr>
        <w:pStyle w:val="NormalWeb"/>
        <w:jc w:val="both"/>
        <w:rPr>
          <w:lang w:val="en-US"/>
        </w:rPr>
      </w:pPr>
      <w:r>
        <w:rPr>
          <w:lang w:val="en-US"/>
        </w:rPr>
        <w:t>Nov. 15, 2005</w:t>
      </w:r>
    </w:p>
    <w:p w:rsidR="00FA4DA9" w:rsidRDefault="00FA4DA9" w:rsidP="00FA4DA9">
      <w:pPr>
        <w:pStyle w:val="NormalWeb"/>
        <w:jc w:val="both"/>
        <w:rPr>
          <w:color w:val="FF0000"/>
          <w:lang w:val="en-US"/>
        </w:rPr>
      </w:pPr>
      <w:r>
        <w:rPr>
          <w:color w:val="FF0000"/>
          <w:lang w:val="en-US"/>
        </w:rPr>
        <w:t xml:space="preserve">“With respect to their safety, derivatives, for the most part, are traded among very sophisticated financial institutions and individuals who have considerable incentive to understand them and to use them properly”. </w:t>
      </w:r>
    </w:p>
    <w:p w:rsidR="00FA4DA9" w:rsidRDefault="00FA4DA9" w:rsidP="00FA4DA9">
      <w:pPr>
        <w:pStyle w:val="NormalWeb"/>
        <w:jc w:val="both"/>
        <w:rPr>
          <w:lang w:val="en-US"/>
        </w:rPr>
      </w:pPr>
      <w:r>
        <w:rPr>
          <w:lang w:val="en-US"/>
        </w:rPr>
        <w:t>Feb. 15, 2006</w:t>
      </w:r>
    </w:p>
    <w:p w:rsidR="00FA4DA9" w:rsidRDefault="00FA4DA9" w:rsidP="00FA4DA9">
      <w:pPr>
        <w:pStyle w:val="NormalWeb"/>
        <w:jc w:val="both"/>
        <w:rPr>
          <w:color w:val="FF0000"/>
          <w:lang w:val="en-US"/>
        </w:rPr>
      </w:pPr>
      <w:r>
        <w:rPr>
          <w:color w:val="FF0000"/>
          <w:lang w:val="en-US"/>
        </w:rPr>
        <w:t>“Housing markets are cooling a bit. Our expectation is that the decline in activity or the slowing in activity will be moderate, that house prices will probably continue to rise”.</w:t>
      </w:r>
    </w:p>
    <w:p w:rsidR="00FA4DA9" w:rsidRDefault="00FA4DA9" w:rsidP="00FA4DA9">
      <w:pPr>
        <w:pStyle w:val="NormalWeb"/>
        <w:jc w:val="both"/>
        <w:rPr>
          <w:lang w:val="en-US"/>
        </w:rPr>
      </w:pPr>
      <w:r>
        <w:rPr>
          <w:lang w:val="en-US"/>
        </w:rPr>
        <w:t>Feb. 16, 2006</w:t>
      </w:r>
    </w:p>
    <w:p w:rsidR="00FA4DA9" w:rsidRDefault="00FA4DA9" w:rsidP="00FA4DA9">
      <w:pPr>
        <w:pStyle w:val="NormalWeb"/>
        <w:jc w:val="both"/>
        <w:rPr>
          <w:color w:val="FF0000"/>
          <w:lang w:val="en-US"/>
        </w:rPr>
      </w:pPr>
      <w:r>
        <w:rPr>
          <w:color w:val="FF0000"/>
          <w:lang w:val="en-US"/>
        </w:rPr>
        <w:t xml:space="preserve">“I don't think that Chinese ownership of U.S. assets is so large as to put our country at risk economically”. </w:t>
      </w:r>
    </w:p>
    <w:p w:rsidR="00FA4DA9" w:rsidRDefault="00FA4DA9" w:rsidP="00FA4DA9">
      <w:pPr>
        <w:pStyle w:val="NormalWeb"/>
        <w:jc w:val="both"/>
        <w:rPr>
          <w:lang w:val="en-US"/>
        </w:rPr>
      </w:pPr>
      <w:r>
        <w:rPr>
          <w:lang w:val="en-US"/>
        </w:rPr>
        <w:t>Oct. 4, 2006</w:t>
      </w:r>
    </w:p>
    <w:p w:rsidR="00FA4DA9" w:rsidRDefault="00FA4DA9" w:rsidP="00FA4DA9">
      <w:pPr>
        <w:pStyle w:val="NormalWeb"/>
        <w:jc w:val="both"/>
        <w:rPr>
          <w:color w:val="FF0000"/>
          <w:lang w:val="en-US"/>
        </w:rPr>
      </w:pPr>
      <w:r>
        <w:rPr>
          <w:color w:val="FF0000"/>
          <w:lang w:val="en-US"/>
        </w:rPr>
        <w:t xml:space="preserve">“If current trends continue, the typical U.S. worker will be considerably more productive several decades from now. Thus, one might argue that letting future generations bear the burden of population aging is appropriate, as they will likely be richer than we are even taking that burden into account”. </w:t>
      </w:r>
    </w:p>
    <w:p w:rsidR="00FA4DA9" w:rsidRDefault="00FA4DA9" w:rsidP="00FA4DA9">
      <w:pPr>
        <w:pStyle w:val="NormalWeb"/>
        <w:jc w:val="both"/>
        <w:rPr>
          <w:color w:val="FF0000"/>
          <w:lang w:val="en-US"/>
        </w:rPr>
      </w:pPr>
      <w:r>
        <w:rPr>
          <w:lang w:val="en-US"/>
        </w:rPr>
        <w:t>March 28, 2007</w:t>
      </w:r>
    </w:p>
    <w:p w:rsidR="00FA4DA9" w:rsidRDefault="00FA4DA9" w:rsidP="00FA4DA9">
      <w:pPr>
        <w:pStyle w:val="NormalWeb"/>
        <w:jc w:val="both"/>
        <w:rPr>
          <w:color w:val="FF0000"/>
          <w:lang w:val="en-US"/>
        </w:rPr>
      </w:pPr>
      <w:r>
        <w:rPr>
          <w:color w:val="FF0000"/>
          <w:lang w:val="en-US"/>
        </w:rPr>
        <w:t xml:space="preserve">“At this juncture, however, the impact on the broader economy and financial markets of the problems in the subprime market seems likely to be contained. In particular, mortgages to prime borrowers and fixed-rate mortgages to all classes of borrowers continue to perform well, with low rates of delinquency”. </w:t>
      </w:r>
    </w:p>
    <w:p w:rsidR="00FA4DA9" w:rsidRDefault="00FA4DA9" w:rsidP="00FA4DA9">
      <w:pPr>
        <w:pStyle w:val="NormalWeb"/>
        <w:jc w:val="both"/>
        <w:rPr>
          <w:lang w:val="en-US"/>
        </w:rPr>
      </w:pPr>
      <w:r>
        <w:rPr>
          <w:lang w:val="en-US"/>
        </w:rPr>
        <w:t>Feb. 15, 2007</w:t>
      </w:r>
    </w:p>
    <w:p w:rsidR="00FA4DA9" w:rsidRDefault="00FA4DA9" w:rsidP="00FA4DA9">
      <w:pPr>
        <w:pStyle w:val="NormalWeb"/>
        <w:jc w:val="both"/>
        <w:rPr>
          <w:color w:val="FF0000"/>
          <w:lang w:val="en-US"/>
        </w:rPr>
      </w:pPr>
      <w:r>
        <w:rPr>
          <w:color w:val="FF0000"/>
          <w:lang w:val="en-US"/>
        </w:rPr>
        <w:t xml:space="preserve">“Despite the ongoing adjustments in the housing sector, overall economic prospects for households remain good. Household finances appear generally solid, and delinquency rates on most types of consumer loans and residential mortgages remain low”. </w:t>
      </w:r>
    </w:p>
    <w:p w:rsidR="00FA4DA9" w:rsidRDefault="00FA4DA9" w:rsidP="00FA4DA9">
      <w:pPr>
        <w:pStyle w:val="NormalWeb"/>
        <w:jc w:val="both"/>
        <w:rPr>
          <w:lang w:val="en-US"/>
        </w:rPr>
      </w:pPr>
      <w:r>
        <w:rPr>
          <w:lang w:val="en-US"/>
        </w:rPr>
        <w:t>May 17, 2007</w:t>
      </w:r>
    </w:p>
    <w:p w:rsidR="00FA4DA9" w:rsidRDefault="00FA4DA9" w:rsidP="00FA4DA9">
      <w:pPr>
        <w:pStyle w:val="NormalWeb"/>
        <w:jc w:val="both"/>
        <w:rPr>
          <w:color w:val="FF0000"/>
          <w:lang w:val="en-US"/>
        </w:rPr>
      </w:pPr>
      <w:r>
        <w:rPr>
          <w:color w:val="FF0000"/>
          <w:lang w:val="en-US"/>
        </w:rPr>
        <w:t xml:space="preserve">“All that said, given the fundamental factors in place that should support the demand for housing, we believe the effect of the troubles in the subprime sector on the broader housing market will likely be limited, and we do not expect significant spillovers from the subprime market to the rest of the economy or to the financial system.  The vast majority of mortgages, including even subprime mortgages, continue to perform well.  Past gains in house prices </w:t>
      </w:r>
      <w:r>
        <w:rPr>
          <w:color w:val="FF0000"/>
          <w:lang w:val="en-US"/>
        </w:rPr>
        <w:lastRenderedPageBreak/>
        <w:t xml:space="preserve">have left most homeowners with significant amounts of home equity, and growth in jobs and incomes should help keep the financial obligations of most households manageable”. </w:t>
      </w:r>
    </w:p>
    <w:p w:rsidR="00FA4DA9" w:rsidRDefault="00FA4DA9" w:rsidP="00FA4DA9">
      <w:pPr>
        <w:pStyle w:val="NormalWeb"/>
        <w:jc w:val="both"/>
        <w:rPr>
          <w:lang w:val="en-US"/>
        </w:rPr>
      </w:pPr>
      <w:r>
        <w:rPr>
          <w:lang w:val="en-US"/>
        </w:rPr>
        <w:t>Oct. 31, 2007</w:t>
      </w:r>
    </w:p>
    <w:p w:rsidR="00FA4DA9" w:rsidRDefault="00FA4DA9" w:rsidP="00FA4DA9">
      <w:pPr>
        <w:pStyle w:val="NormalWeb"/>
        <w:jc w:val="both"/>
        <w:rPr>
          <w:color w:val="FF0000"/>
          <w:lang w:val="en-US"/>
        </w:rPr>
      </w:pPr>
      <w:r>
        <w:rPr>
          <w:color w:val="FF0000"/>
          <w:lang w:val="en-US"/>
        </w:rPr>
        <w:t xml:space="preserve">“It is not the responsibility of the Federal Reserve -nor would it be appropriate- to protect lenders and investors from the consequences of their financial decisions”. </w:t>
      </w:r>
    </w:p>
    <w:p w:rsidR="00FA4DA9" w:rsidRDefault="00FA4DA9" w:rsidP="00FA4DA9">
      <w:pPr>
        <w:pStyle w:val="NormalWeb"/>
        <w:jc w:val="both"/>
        <w:rPr>
          <w:lang w:val="en-US"/>
        </w:rPr>
      </w:pPr>
      <w:r>
        <w:rPr>
          <w:lang w:val="en-US"/>
        </w:rPr>
        <w:t>Jan. 10, 2008</w:t>
      </w:r>
    </w:p>
    <w:p w:rsidR="00FA4DA9" w:rsidRDefault="00FA4DA9" w:rsidP="00FA4DA9">
      <w:pPr>
        <w:pStyle w:val="NormalWeb"/>
        <w:jc w:val="both"/>
        <w:rPr>
          <w:color w:val="FF0000"/>
          <w:lang w:val="en-US"/>
        </w:rPr>
      </w:pPr>
      <w:r>
        <w:rPr>
          <w:color w:val="FF0000"/>
          <w:lang w:val="en-US"/>
        </w:rPr>
        <w:t xml:space="preserve">“The Federal Reserve is not currently forecasting a recession”. </w:t>
      </w:r>
    </w:p>
    <w:p w:rsidR="00FA4DA9" w:rsidRDefault="00FA4DA9" w:rsidP="00FA4DA9">
      <w:pPr>
        <w:pStyle w:val="NormalWeb"/>
        <w:jc w:val="both"/>
        <w:rPr>
          <w:lang w:val="en-US"/>
        </w:rPr>
      </w:pPr>
      <w:r>
        <w:rPr>
          <w:lang w:val="en-US"/>
        </w:rPr>
        <w:t>Jan. 18, 2008</w:t>
      </w:r>
    </w:p>
    <w:p w:rsidR="00FA4DA9" w:rsidRDefault="00FA4DA9" w:rsidP="00FA4DA9">
      <w:pPr>
        <w:pStyle w:val="NormalWeb"/>
        <w:jc w:val="both"/>
        <w:rPr>
          <w:color w:val="FF0000"/>
          <w:lang w:val="en-US"/>
        </w:rPr>
      </w:pPr>
      <w:r>
        <w:rPr>
          <w:lang w:val="en-US"/>
        </w:rPr>
        <w:t xml:space="preserve">(Two months before Fannie Mae and Freddie Mac collapsed and were nationalized) </w:t>
      </w:r>
      <w:r>
        <w:rPr>
          <w:color w:val="FF0000"/>
          <w:lang w:val="en-US"/>
        </w:rPr>
        <w:t xml:space="preserve">“They will make it through the storm”. </w:t>
      </w:r>
    </w:p>
    <w:p w:rsidR="00FA4DA9" w:rsidRDefault="00FA4DA9" w:rsidP="00FA4DA9">
      <w:pPr>
        <w:pStyle w:val="NormalWeb"/>
        <w:jc w:val="both"/>
        <w:rPr>
          <w:lang w:val="en-US"/>
        </w:rPr>
      </w:pPr>
      <w:r>
        <w:rPr>
          <w:lang w:val="en-US"/>
        </w:rPr>
        <w:t>Jan. 18, 2008</w:t>
      </w:r>
    </w:p>
    <w:p w:rsidR="00FA4DA9" w:rsidRDefault="00FA4DA9" w:rsidP="00FA4DA9">
      <w:pPr>
        <w:pStyle w:val="NormalWeb"/>
        <w:jc w:val="both"/>
        <w:rPr>
          <w:color w:val="FF0000"/>
          <w:lang w:val="en-US"/>
        </w:rPr>
      </w:pPr>
      <w:r>
        <w:rPr>
          <w:color w:val="FF0000"/>
          <w:lang w:val="en-US"/>
        </w:rPr>
        <w:t xml:space="preserve">“(The U.S. economy) has a strong labor force, excellent productivity and technology, and a deep and liquid financial market that is in the process of repairing itself”. </w:t>
      </w:r>
    </w:p>
    <w:p w:rsidR="00FA4DA9" w:rsidRDefault="00FA4DA9" w:rsidP="00FA4DA9">
      <w:pPr>
        <w:pStyle w:val="NormalWeb"/>
        <w:jc w:val="both"/>
        <w:rPr>
          <w:lang w:val="en-US"/>
        </w:rPr>
      </w:pPr>
      <w:r>
        <w:rPr>
          <w:lang w:val="en-US"/>
        </w:rPr>
        <w:t>June 3, 2009</w:t>
      </w:r>
    </w:p>
    <w:p w:rsidR="00FA4DA9" w:rsidRDefault="00FA4DA9" w:rsidP="00FA4DA9">
      <w:pPr>
        <w:pStyle w:val="NormalWeb"/>
        <w:jc w:val="both"/>
        <w:rPr>
          <w:color w:val="FF0000"/>
          <w:lang w:val="en-US"/>
        </w:rPr>
      </w:pPr>
      <w:r>
        <w:rPr>
          <w:lang w:val="en-US"/>
        </w:rPr>
        <w:t xml:space="preserve">(When asked directly during a congressional hearing if the Federal Reserve would monetize U.S. government debt) </w:t>
      </w:r>
      <w:r>
        <w:rPr>
          <w:color w:val="FF0000"/>
          <w:lang w:val="en-US"/>
        </w:rPr>
        <w:t xml:space="preserve">“The Federal Reserve will not monetize the debt”. </w:t>
      </w:r>
    </w:p>
    <w:p w:rsidR="00FA4DA9" w:rsidRDefault="00FA4DA9" w:rsidP="00FA4DA9">
      <w:pPr>
        <w:pStyle w:val="NormalWeb"/>
        <w:jc w:val="both"/>
        <w:rPr>
          <w:lang w:val="en-US"/>
        </w:rPr>
      </w:pPr>
      <w:r>
        <w:rPr>
          <w:lang w:val="en-US"/>
        </w:rPr>
        <w:t>June 9, 2008</w:t>
      </w:r>
    </w:p>
    <w:p w:rsidR="00FA4DA9" w:rsidRDefault="00FA4DA9" w:rsidP="00FA4DA9">
      <w:pPr>
        <w:pStyle w:val="NormalWeb"/>
        <w:jc w:val="both"/>
        <w:rPr>
          <w:color w:val="FF0000"/>
          <w:lang w:val="en-US"/>
        </w:rPr>
      </w:pPr>
      <w:r>
        <w:rPr>
          <w:color w:val="FF0000"/>
          <w:lang w:val="en-US"/>
        </w:rPr>
        <w:t xml:space="preserve">“The risk that the economy has entered a substantial downturn appears to have diminished over the past month or so”. </w:t>
      </w:r>
    </w:p>
    <w:p w:rsidR="00FA4DA9" w:rsidRDefault="00FA4DA9" w:rsidP="00FA4DA9">
      <w:pPr>
        <w:pStyle w:val="NormalWeb"/>
        <w:jc w:val="both"/>
        <w:rPr>
          <w:lang w:val="en-US"/>
        </w:rPr>
      </w:pPr>
      <w:r>
        <w:rPr>
          <w:lang w:val="en-US"/>
        </w:rPr>
        <w:t>July 20, 2008</w:t>
      </w:r>
    </w:p>
    <w:p w:rsidR="00FA4DA9" w:rsidRDefault="00FA4DA9" w:rsidP="00FA4DA9">
      <w:pPr>
        <w:pStyle w:val="NormalWeb"/>
        <w:jc w:val="both"/>
        <w:rPr>
          <w:color w:val="FF0000"/>
          <w:lang w:val="en-US"/>
        </w:rPr>
      </w:pPr>
      <w:r>
        <w:rPr>
          <w:color w:val="FF0000"/>
          <w:lang w:val="en-US"/>
        </w:rPr>
        <w:t xml:space="preserve">“The GSEs are adequately capitalized. They are in no danger of failing”. </w:t>
      </w:r>
    </w:p>
    <w:p w:rsidR="00FA4DA9" w:rsidRDefault="00FA4DA9" w:rsidP="00FA4DA9">
      <w:pPr>
        <w:pStyle w:val="NormalWeb"/>
        <w:jc w:val="both"/>
        <w:rPr>
          <w:lang w:val="en-US"/>
        </w:rPr>
      </w:pPr>
      <w:r>
        <w:rPr>
          <w:lang w:val="en-US"/>
        </w:rPr>
        <w:t>Sept. 23, 2008</w:t>
      </w:r>
    </w:p>
    <w:p w:rsidR="00FA4DA9" w:rsidRDefault="00FA4DA9" w:rsidP="00FA4DA9">
      <w:pPr>
        <w:pStyle w:val="NormalWeb"/>
        <w:jc w:val="both"/>
        <w:rPr>
          <w:color w:val="FF0000"/>
          <w:lang w:val="en-US"/>
        </w:rPr>
      </w:pPr>
      <w:r>
        <w:rPr>
          <w:color w:val="FF0000"/>
          <w:lang w:val="en-US"/>
        </w:rPr>
        <w:t xml:space="preserve">“My interest is solely for the strength and recovery of the U.S. economy”. </w:t>
      </w:r>
    </w:p>
    <w:p w:rsidR="00FA4DA9" w:rsidRDefault="00FA4DA9" w:rsidP="00FA4DA9">
      <w:pPr>
        <w:pStyle w:val="NormalWeb"/>
        <w:jc w:val="both"/>
        <w:rPr>
          <w:lang w:val="en-US"/>
        </w:rPr>
      </w:pPr>
      <w:r>
        <w:rPr>
          <w:lang w:val="en-US"/>
        </w:rPr>
        <w:t>Aug. 2, 2010</w:t>
      </w:r>
    </w:p>
    <w:p w:rsidR="00FA4DA9" w:rsidRDefault="00FA4DA9" w:rsidP="00FA4DA9">
      <w:pPr>
        <w:pStyle w:val="NormalWeb"/>
        <w:jc w:val="both"/>
        <w:rPr>
          <w:color w:val="FF0000"/>
          <w:lang w:val="en-US"/>
        </w:rPr>
      </w:pPr>
      <w:r>
        <w:rPr>
          <w:color w:val="FF0000"/>
          <w:lang w:val="en-US"/>
        </w:rPr>
        <w:t xml:space="preserve">“The financial crisis appears to be mostly behind us, and the economy seems to have stabilized and is expanding again”. </w:t>
      </w:r>
    </w:p>
    <w:p w:rsidR="00FA4DA9" w:rsidRDefault="00FA4DA9" w:rsidP="00FA4DA9">
      <w:pPr>
        <w:pStyle w:val="NormalWeb"/>
        <w:jc w:val="both"/>
        <w:rPr>
          <w:lang w:val="en-US"/>
        </w:rPr>
      </w:pPr>
      <w:r>
        <w:rPr>
          <w:lang w:val="en-US"/>
        </w:rPr>
        <w:t>Oct. 15, 2010</w:t>
      </w:r>
    </w:p>
    <w:p w:rsidR="00FA4DA9" w:rsidRDefault="00FA4DA9" w:rsidP="00FA4DA9">
      <w:pPr>
        <w:pStyle w:val="NormalWeb"/>
        <w:jc w:val="both"/>
        <w:rPr>
          <w:color w:val="FF0000"/>
          <w:lang w:val="en-US"/>
        </w:rPr>
      </w:pPr>
      <w:r>
        <w:rPr>
          <w:color w:val="FF0000"/>
          <w:lang w:val="en-US"/>
        </w:rPr>
        <w:t xml:space="preserve">“...inflation is running at rates that are too low relative to the levels that the Committee judges to be most consistent with the Federal Reserve's dual mandate in the longer run”. </w:t>
      </w:r>
    </w:p>
    <w:p w:rsidR="00FA4DA9" w:rsidRDefault="00FA4DA9" w:rsidP="00FA4DA9">
      <w:pPr>
        <w:pStyle w:val="NormalWeb"/>
        <w:jc w:val="both"/>
        <w:rPr>
          <w:lang w:val="en-US"/>
        </w:rPr>
      </w:pPr>
      <w:r>
        <w:rPr>
          <w:lang w:val="en-US"/>
        </w:rPr>
        <w:lastRenderedPageBreak/>
        <w:t>Oct. 15, 2010</w:t>
      </w:r>
    </w:p>
    <w:p w:rsidR="00FA4DA9" w:rsidRDefault="00FA4DA9" w:rsidP="00FA4DA9">
      <w:pPr>
        <w:pStyle w:val="NormalWeb"/>
        <w:jc w:val="both"/>
        <w:rPr>
          <w:color w:val="FF0000"/>
          <w:lang w:val="en-US"/>
        </w:rPr>
      </w:pPr>
      <w:r>
        <w:rPr>
          <w:color w:val="FF0000"/>
          <w:lang w:val="en-US"/>
        </w:rPr>
        <w:t xml:space="preserve">“Similarly, the mandate-consistent inflation rate -the inflation rate that best promotes our dual objectives in the long run- is not necessarily zero; indeed, Committee participants have generally judged that a modestly positive inflation rate over the longer run is most consistent with the dual mandate”. </w:t>
      </w:r>
    </w:p>
    <w:p w:rsidR="00FA4DA9" w:rsidRDefault="00FA4DA9" w:rsidP="00FA4DA9">
      <w:pPr>
        <w:pStyle w:val="NormalWeb"/>
        <w:jc w:val="both"/>
        <w:rPr>
          <w:lang w:val="en-US"/>
        </w:rPr>
      </w:pPr>
      <w:r>
        <w:rPr>
          <w:lang w:val="en-US"/>
        </w:rPr>
        <w:t>Nov. 5, 2010</w:t>
      </w:r>
    </w:p>
    <w:p w:rsidR="00FA4DA9" w:rsidRDefault="00FA4DA9" w:rsidP="00FA4DA9">
      <w:pPr>
        <w:pStyle w:val="NormalWeb"/>
        <w:jc w:val="both"/>
        <w:rPr>
          <w:color w:val="FF0000"/>
          <w:lang w:val="en-US"/>
        </w:rPr>
      </w:pPr>
      <w:r>
        <w:rPr>
          <w:color w:val="FF0000"/>
          <w:lang w:val="en-US"/>
        </w:rPr>
        <w:t xml:space="preserve">“Although low inflation is generally good, inflation that is too low can pose risks to the economy - especially when the economy is struggling”. </w:t>
      </w:r>
    </w:p>
    <w:p w:rsidR="00FA4DA9" w:rsidRDefault="00FA4DA9" w:rsidP="00FA4DA9">
      <w:pPr>
        <w:pStyle w:val="NormalWeb"/>
        <w:jc w:val="both"/>
        <w:rPr>
          <w:lang w:val="en-US"/>
        </w:rPr>
      </w:pPr>
      <w:r>
        <w:rPr>
          <w:lang w:val="en-US"/>
        </w:rPr>
        <w:t>Dec. 5, 2010</w:t>
      </w:r>
    </w:p>
    <w:p w:rsidR="00FA4DA9" w:rsidRDefault="00FA4DA9" w:rsidP="00FA4DA9">
      <w:pPr>
        <w:pStyle w:val="NormalWeb"/>
        <w:jc w:val="both"/>
        <w:rPr>
          <w:color w:val="FF0000"/>
          <w:lang w:val="en-US"/>
        </w:rPr>
      </w:pPr>
      <w:r>
        <w:rPr>
          <w:lang w:val="en-US"/>
        </w:rPr>
        <w:t>(On 60 Minutes in response to a question about what would have happened if the Federal Reserve had not “bailed out” the U.S. economy)</w:t>
      </w:r>
      <w:r>
        <w:rPr>
          <w:color w:val="FF0000"/>
          <w:lang w:val="en-US"/>
        </w:rPr>
        <w:t xml:space="preserve"> “Unemployment would be much, much higher. It might be something like it was in the Depression. Twenty-five percent”. </w:t>
      </w:r>
    </w:p>
    <w:p w:rsidR="00FA4DA9" w:rsidRDefault="00FA4DA9" w:rsidP="00FA4DA9">
      <w:pPr>
        <w:pStyle w:val="NormalWeb"/>
        <w:jc w:val="both"/>
        <w:rPr>
          <w:lang w:val="en-US"/>
        </w:rPr>
      </w:pPr>
      <w:r>
        <w:rPr>
          <w:lang w:val="en-US"/>
        </w:rPr>
        <w:t>Dec. 5, 2010</w:t>
      </w:r>
    </w:p>
    <w:p w:rsidR="00FA4DA9" w:rsidRDefault="00FA4DA9" w:rsidP="00FA4DA9">
      <w:pPr>
        <w:pStyle w:val="NormalWeb"/>
        <w:jc w:val="both"/>
        <w:rPr>
          <w:color w:val="FF0000"/>
          <w:lang w:val="en-US"/>
        </w:rPr>
      </w:pPr>
      <w:r>
        <w:rPr>
          <w:color w:val="FF0000"/>
          <w:lang w:val="en-US"/>
        </w:rPr>
        <w:t xml:space="preserve">“One myth that’s out there is that what we’re doing is printing money. We’re not printing money”. </w:t>
      </w:r>
    </w:p>
    <w:p w:rsidR="00FA4DA9" w:rsidRDefault="00FA4DA9" w:rsidP="00FA4DA9">
      <w:pPr>
        <w:pStyle w:val="NormalWeb"/>
        <w:jc w:val="both"/>
        <w:rPr>
          <w:lang w:val="en-US"/>
        </w:rPr>
      </w:pPr>
      <w:r>
        <w:rPr>
          <w:lang w:val="en-US"/>
        </w:rPr>
        <w:t>Dec. 5, 2010</w:t>
      </w:r>
    </w:p>
    <w:p w:rsidR="00FA4DA9" w:rsidRDefault="00FA4DA9" w:rsidP="00FA4DA9">
      <w:pPr>
        <w:pStyle w:val="NormalWeb"/>
        <w:jc w:val="both"/>
        <w:rPr>
          <w:color w:val="FF0000"/>
          <w:lang w:val="en-US"/>
        </w:rPr>
      </w:pPr>
      <w:r>
        <w:rPr>
          <w:color w:val="FF0000"/>
          <w:lang w:val="en-US"/>
        </w:rPr>
        <w:t xml:space="preserve">“The money supply is not changing in any significant way. What we’re doing is lowering interest rates by buying Treasury securities”. </w:t>
      </w:r>
    </w:p>
    <w:p w:rsidR="00FA4DA9" w:rsidRDefault="00FA4DA9" w:rsidP="00FA4DA9">
      <w:pPr>
        <w:pStyle w:val="NormalWeb"/>
        <w:jc w:val="both"/>
        <w:rPr>
          <w:lang w:val="en-US"/>
        </w:rPr>
      </w:pPr>
      <w:r>
        <w:rPr>
          <w:lang w:val="en-US"/>
        </w:rPr>
        <w:t>Dec. 5, 2010</w:t>
      </w:r>
    </w:p>
    <w:p w:rsidR="00FA4DA9" w:rsidRDefault="00FA4DA9" w:rsidP="00FA4DA9">
      <w:pPr>
        <w:pStyle w:val="NormalWeb"/>
        <w:jc w:val="both"/>
        <w:rPr>
          <w:color w:val="FF0000"/>
          <w:lang w:val="en-US"/>
        </w:rPr>
      </w:pPr>
      <w:r>
        <w:rPr>
          <w:lang w:val="en-US"/>
        </w:rPr>
        <w:t>(On the possibility that the Fed might launch QE3)</w:t>
      </w:r>
      <w:r>
        <w:rPr>
          <w:color w:val="FF0000"/>
          <w:lang w:val="en-US"/>
        </w:rPr>
        <w:t xml:space="preserve"> “Oh, it's certainly possible. And again, it depends on the efficacy of the program. It depends on inflation. And finally it depends on how the economy looks”. </w:t>
      </w:r>
    </w:p>
    <w:p w:rsidR="00FA4DA9" w:rsidRDefault="00FA4DA9" w:rsidP="00FA4DA9">
      <w:pPr>
        <w:pStyle w:val="NormalWeb"/>
        <w:jc w:val="both"/>
        <w:rPr>
          <w:lang w:val="en-US"/>
        </w:rPr>
      </w:pPr>
      <w:r>
        <w:rPr>
          <w:lang w:val="en-US"/>
        </w:rPr>
        <w:t>Dec. 5, 2010</w:t>
      </w:r>
    </w:p>
    <w:p w:rsidR="00FA4DA9" w:rsidRDefault="00FA4DA9" w:rsidP="00FA4DA9">
      <w:pPr>
        <w:pStyle w:val="NormalWeb"/>
        <w:jc w:val="both"/>
        <w:rPr>
          <w:color w:val="FF0000"/>
          <w:lang w:val="en-US"/>
        </w:rPr>
      </w:pPr>
      <w:r>
        <w:rPr>
          <w:color w:val="FF0000"/>
          <w:lang w:val="en-US"/>
        </w:rPr>
        <w:t xml:space="preserve">“I wish I'd been omniscient and seen the crisis coming”. </w:t>
      </w:r>
    </w:p>
    <w:p w:rsidR="00FA4DA9" w:rsidRDefault="00FA4DA9" w:rsidP="00FA4DA9">
      <w:pPr>
        <w:pStyle w:val="NormalWeb"/>
        <w:jc w:val="both"/>
        <w:rPr>
          <w:lang w:val="en-US"/>
        </w:rPr>
      </w:pPr>
      <w:r>
        <w:rPr>
          <w:lang w:val="en-US"/>
        </w:rPr>
        <w:t>Dec. 5, 2010</w:t>
      </w:r>
    </w:p>
    <w:p w:rsidR="00FA4DA9" w:rsidRDefault="00FA4DA9" w:rsidP="00FA4DA9">
      <w:pPr>
        <w:pStyle w:val="NormalWeb"/>
        <w:jc w:val="both"/>
        <w:rPr>
          <w:color w:val="FF0000"/>
          <w:lang w:val="en-US"/>
        </w:rPr>
      </w:pPr>
      <w:r>
        <w:rPr>
          <w:color w:val="FF0000"/>
          <w:lang w:val="en-US"/>
        </w:rPr>
        <w:t xml:space="preserve">“We’ve been very, very clear that we will not allow inflation to rise above 2 percent”. </w:t>
      </w:r>
    </w:p>
    <w:p w:rsidR="00FA4DA9" w:rsidRDefault="00FA4DA9" w:rsidP="00FA4DA9">
      <w:pPr>
        <w:pStyle w:val="NormalWeb"/>
        <w:jc w:val="both"/>
        <w:rPr>
          <w:color w:val="FF0000"/>
          <w:lang w:val="en-US"/>
        </w:rPr>
      </w:pPr>
      <w:r>
        <w:rPr>
          <w:color w:val="FF0000"/>
          <w:lang w:val="en-US"/>
        </w:rPr>
        <w:t>Bonus: “I don't fully understand movements in the gold price”.</w:t>
      </w:r>
    </w:p>
    <w:p w:rsidR="00FA4DA9" w:rsidRDefault="00FA4DA9" w:rsidP="00FA4DA9">
      <w:pPr>
        <w:shd w:val="clear" w:color="auto" w:fill="EBF1F6"/>
        <w:spacing w:line="300" w:lineRule="atLeast"/>
        <w:rPr>
          <w:rFonts w:ascii="Arial" w:hAnsi="Arial" w:cs="Arial"/>
          <w:color w:val="222222"/>
          <w:sz w:val="19"/>
          <w:szCs w:val="19"/>
          <w:lang w:val="en"/>
        </w:rPr>
      </w:pPr>
      <w:r>
        <w:rPr>
          <w:rFonts w:ascii="Arial" w:hAnsi="Arial" w:cs="Arial"/>
          <w:noProof/>
          <w:color w:val="222222"/>
          <w:sz w:val="19"/>
          <w:szCs w:val="19"/>
          <w:lang w:eastAsia="es-ES"/>
        </w:rPr>
        <w:lastRenderedPageBreak/>
        <w:drawing>
          <wp:inline distT="0" distB="0" distL="0" distR="0" wp14:anchorId="2F3646D4" wp14:editId="504801B1">
            <wp:extent cx="5200650" cy="2540000"/>
            <wp:effectExtent l="0" t="0" r="0" b="0"/>
            <wp:docPr id="82" name="Imagen 82" descr="Bonus: &quot;I don't fully understand movements in the gold price&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onus: &quot;I don't fully understand movements in the gold price&quot;"/>
                    <pic:cNvPicPr>
                      <a:picLocks noChangeAspect="1" noChangeArrowheads="1"/>
                    </pic:cNvPicPr>
                  </pic:nvPicPr>
                  <pic:blipFill>
                    <a:blip r:embed="rId391" r:link="rId392">
                      <a:extLst>
                        <a:ext uri="{28A0092B-C50C-407E-A947-70E740481C1C}">
                          <a14:useLocalDpi xmlns:a14="http://schemas.microsoft.com/office/drawing/2010/main" val="0"/>
                        </a:ext>
                      </a:extLst>
                    </a:blip>
                    <a:srcRect/>
                    <a:stretch>
                      <a:fillRect/>
                    </a:stretch>
                  </pic:blipFill>
                  <pic:spPr bwMode="auto">
                    <a:xfrm>
                      <a:off x="0" y="0"/>
                      <a:ext cx="5200650" cy="2540000"/>
                    </a:xfrm>
                    <a:prstGeom prst="rect">
                      <a:avLst/>
                    </a:prstGeom>
                    <a:noFill/>
                    <a:ln>
                      <a:noFill/>
                    </a:ln>
                  </pic:spPr>
                </pic:pic>
              </a:graphicData>
            </a:graphic>
          </wp:inline>
        </w:drawing>
      </w:r>
    </w:p>
    <w:p w:rsidR="00FA4DA9" w:rsidRDefault="00FA4DA9" w:rsidP="00FA4DA9">
      <w:pPr>
        <w:shd w:val="clear" w:color="auto" w:fill="EBF1F6"/>
        <w:spacing w:line="300" w:lineRule="atLeast"/>
        <w:rPr>
          <w:rFonts w:ascii="Times New Roman" w:hAnsi="Times New Roman" w:cs="Times New Roman"/>
          <w:sz w:val="24"/>
          <w:szCs w:val="24"/>
          <w:lang w:val="en-US"/>
        </w:rPr>
      </w:pPr>
      <w:r>
        <w:rPr>
          <w:rFonts w:ascii="Times New Roman" w:hAnsi="Times New Roman"/>
          <w:sz w:val="24"/>
          <w:szCs w:val="24"/>
          <w:lang w:val="en-US"/>
        </w:rPr>
        <w:t xml:space="preserve">Dear Bernanke, Here's Your Guide To What's Really Making Gold Explode </w:t>
      </w:r>
    </w:p>
    <w:p w:rsidR="00FA4DA9" w:rsidRPr="00822CE1" w:rsidRDefault="00FA4DA9" w:rsidP="00FA4DA9">
      <w:pPr>
        <w:spacing w:line="240" w:lineRule="auto"/>
        <w:jc w:val="both"/>
        <w:rPr>
          <w:rFonts w:ascii="Times New Roman" w:hAnsi="Times New Roman" w:cs="Times New Roman"/>
          <w:color w:val="FF0000"/>
          <w:sz w:val="24"/>
          <w:szCs w:val="24"/>
          <w:shd w:val="clear" w:color="auto" w:fill="FFFFFF"/>
        </w:rPr>
      </w:pPr>
      <w:r w:rsidRPr="00FA4DA9">
        <w:rPr>
          <w:rFonts w:ascii="Times New Roman" w:hAnsi="Times New Roman" w:cs="Times New Roman"/>
          <w:sz w:val="24"/>
          <w:szCs w:val="24"/>
          <w:shd w:val="clear" w:color="auto" w:fill="FFFFFF"/>
        </w:rPr>
        <w:t xml:space="preserve">Nota: de los siguientes miembros del </w:t>
      </w:r>
      <w:r>
        <w:rPr>
          <w:rFonts w:ascii="Times New Roman" w:hAnsi="Times New Roman" w:cs="Times New Roman"/>
          <w:sz w:val="24"/>
          <w:szCs w:val="24"/>
          <w:shd w:val="clear" w:color="auto" w:fill="FFFFFF"/>
        </w:rPr>
        <w:t xml:space="preserve">“Hall of Fame”, no tengo “ilustraciones” que ofrecerles, </w:t>
      </w:r>
      <w:r w:rsidR="00822CE1">
        <w:rPr>
          <w:rFonts w:ascii="Times New Roman" w:hAnsi="Times New Roman" w:cs="Times New Roman"/>
          <w:sz w:val="24"/>
          <w:szCs w:val="24"/>
          <w:shd w:val="clear" w:color="auto" w:fill="FFFFFF"/>
        </w:rPr>
        <w:t xml:space="preserve">porque </w:t>
      </w:r>
      <w:r w:rsidR="00C20BD9">
        <w:rPr>
          <w:rFonts w:ascii="Times New Roman" w:hAnsi="Times New Roman" w:cs="Times New Roman"/>
          <w:sz w:val="24"/>
          <w:szCs w:val="24"/>
          <w:shd w:val="clear" w:color="auto" w:fill="FFFFFF"/>
        </w:rPr>
        <w:t>todavía no escribí su</w:t>
      </w:r>
      <w:r>
        <w:rPr>
          <w:rFonts w:ascii="Times New Roman" w:hAnsi="Times New Roman" w:cs="Times New Roman"/>
          <w:sz w:val="24"/>
          <w:szCs w:val="24"/>
          <w:shd w:val="clear" w:color="auto" w:fill="FFFFFF"/>
        </w:rPr>
        <w:t xml:space="preserve"> “hagiografía”</w:t>
      </w:r>
      <w:r w:rsidR="00822CE1">
        <w:rPr>
          <w:rFonts w:ascii="Times New Roman" w:hAnsi="Times New Roman" w:cs="Times New Roman"/>
          <w:sz w:val="24"/>
          <w:szCs w:val="24"/>
          <w:shd w:val="clear" w:color="auto" w:fill="FFFFFF"/>
        </w:rPr>
        <w:t>, no autorizada. Sabrán perdonar</w:t>
      </w:r>
      <w:r>
        <w:rPr>
          <w:rFonts w:ascii="Times New Roman" w:hAnsi="Times New Roman" w:cs="Times New Roman"/>
          <w:sz w:val="24"/>
          <w:szCs w:val="24"/>
          <w:shd w:val="clear" w:color="auto" w:fill="FFFFFF"/>
        </w:rPr>
        <w:t>. De todos modos</w:t>
      </w:r>
      <w:r w:rsidR="00822CE1">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sus “deposiciones”</w:t>
      </w:r>
      <w:r w:rsidR="00822CE1">
        <w:rPr>
          <w:rFonts w:ascii="Times New Roman" w:hAnsi="Times New Roman" w:cs="Times New Roman"/>
          <w:sz w:val="24"/>
          <w:szCs w:val="24"/>
          <w:shd w:val="clear" w:color="auto" w:fill="FFFFFF"/>
        </w:rPr>
        <w:t>, deben</w:t>
      </w:r>
      <w:r>
        <w:rPr>
          <w:rFonts w:ascii="Times New Roman" w:hAnsi="Times New Roman" w:cs="Times New Roman"/>
          <w:sz w:val="24"/>
          <w:szCs w:val="24"/>
          <w:shd w:val="clear" w:color="auto" w:fill="FFFFFF"/>
        </w:rPr>
        <w:t xml:space="preserve"> ser tenidas </w:t>
      </w:r>
      <w:r w:rsidR="00566FFD">
        <w:rPr>
          <w:rFonts w:ascii="Times New Roman" w:hAnsi="Times New Roman" w:cs="Times New Roman"/>
          <w:sz w:val="24"/>
          <w:szCs w:val="24"/>
          <w:shd w:val="clear" w:color="auto" w:fill="FFFFFF"/>
        </w:rPr>
        <w:t>en consideración</w:t>
      </w:r>
      <w:r w:rsidR="00D63C98">
        <w:rPr>
          <w:rFonts w:ascii="Times New Roman" w:hAnsi="Times New Roman" w:cs="Times New Roman"/>
          <w:sz w:val="24"/>
          <w:szCs w:val="24"/>
          <w:shd w:val="clear" w:color="auto" w:fill="FFFFFF"/>
        </w:rPr>
        <w:t>: “por la cuenta que nos trae”.</w:t>
      </w:r>
    </w:p>
    <w:p w:rsidR="00FA4DA9" w:rsidRPr="00822CE1" w:rsidRDefault="00FA4DA9" w:rsidP="00FA4DA9">
      <w:pPr>
        <w:spacing w:line="240" w:lineRule="auto"/>
        <w:jc w:val="both"/>
        <w:rPr>
          <w:rFonts w:ascii="Times New Roman" w:hAnsi="Times New Roman" w:cs="Times New Roman"/>
          <w:b/>
          <w:sz w:val="24"/>
          <w:szCs w:val="24"/>
        </w:rPr>
      </w:pPr>
      <w:r w:rsidRPr="00822CE1">
        <w:rPr>
          <w:rFonts w:ascii="Times New Roman" w:hAnsi="Times New Roman" w:cs="Times New Roman"/>
          <w:b/>
          <w:sz w:val="24"/>
          <w:szCs w:val="24"/>
        </w:rPr>
        <w:t>Frases célebres de Mario Draghi</w:t>
      </w:r>
    </w:p>
    <w:p w:rsidR="00FA4DA9" w:rsidRPr="00805CF0" w:rsidRDefault="00FA4DA9" w:rsidP="00FA4DA9">
      <w:pPr>
        <w:pStyle w:val="Ttulo2"/>
        <w:shd w:val="clear" w:color="auto" w:fill="FFFFFF"/>
        <w:spacing w:before="300" w:after="225" w:line="240" w:lineRule="auto"/>
        <w:jc w:val="both"/>
        <w:rPr>
          <w:rFonts w:ascii="Times New Roman" w:hAnsi="Times New Roman" w:cs="Times New Roman"/>
          <w:b w:val="0"/>
          <w:bCs w:val="0"/>
          <w:color w:val="212529"/>
          <w:sz w:val="24"/>
          <w:szCs w:val="24"/>
        </w:rPr>
      </w:pPr>
      <w:r w:rsidRPr="00805CF0">
        <w:rPr>
          <w:rFonts w:ascii="Times New Roman" w:hAnsi="Times New Roman" w:cs="Times New Roman"/>
          <w:b w:val="0"/>
          <w:bCs w:val="0"/>
          <w:color w:val="212529"/>
          <w:sz w:val="24"/>
          <w:szCs w:val="24"/>
        </w:rPr>
        <w:t>26 de julio de 2012</w:t>
      </w:r>
    </w:p>
    <w:p w:rsidR="00FA4DA9" w:rsidRPr="00D63C98" w:rsidRDefault="00D63C98" w:rsidP="00FA4DA9">
      <w:pPr>
        <w:pStyle w:val="NormalWeb"/>
        <w:shd w:val="clear" w:color="auto" w:fill="FFFFFF"/>
        <w:spacing w:before="0" w:beforeAutospacing="0" w:after="270" w:afterAutospacing="0"/>
        <w:jc w:val="both"/>
        <w:rPr>
          <w:b/>
          <w:color w:val="212529"/>
          <w:spacing w:val="-1"/>
        </w:rPr>
      </w:pPr>
      <w:r w:rsidRPr="00D63C98">
        <w:rPr>
          <w:b/>
          <w:color w:val="212529"/>
          <w:spacing w:val="-1"/>
        </w:rPr>
        <w:t>“</w:t>
      </w:r>
      <w:r w:rsidR="00FA4DA9" w:rsidRPr="00D63C98">
        <w:rPr>
          <w:b/>
          <w:color w:val="212529"/>
          <w:spacing w:val="-1"/>
        </w:rPr>
        <w:t>Haré lo que sea necesario para salvar al e</w:t>
      </w:r>
      <w:r w:rsidRPr="00D63C98">
        <w:rPr>
          <w:b/>
          <w:color w:val="212529"/>
          <w:spacing w:val="-1"/>
        </w:rPr>
        <w:t>uro, y créanme, será suficiente”</w:t>
      </w:r>
      <w:r w:rsidR="00FA4DA9" w:rsidRPr="00D63C98">
        <w:rPr>
          <w:b/>
          <w:color w:val="212529"/>
          <w:spacing w:val="-1"/>
        </w:rPr>
        <w:t>.</w:t>
      </w:r>
    </w:p>
    <w:p w:rsidR="00FA4DA9" w:rsidRPr="00805CF0" w:rsidRDefault="00FA4DA9" w:rsidP="00FA4DA9">
      <w:pPr>
        <w:pStyle w:val="NormalWeb"/>
        <w:shd w:val="clear" w:color="auto" w:fill="FFFFFF"/>
        <w:spacing w:before="0" w:beforeAutospacing="0" w:after="270" w:afterAutospacing="0"/>
        <w:jc w:val="both"/>
        <w:rPr>
          <w:color w:val="212529"/>
          <w:spacing w:val="-1"/>
        </w:rPr>
      </w:pPr>
      <w:r w:rsidRPr="00805CF0">
        <w:rPr>
          <w:color w:val="212529"/>
          <w:spacing w:val="-1"/>
        </w:rPr>
        <w:t>Con esta sentencia el presidente del BCE encaró directamente la crisis de deuda europea que se había generado entonces.</w:t>
      </w:r>
    </w:p>
    <w:p w:rsidR="00FA4DA9" w:rsidRPr="00805CF0" w:rsidRDefault="00FA4DA9" w:rsidP="00FA4DA9">
      <w:pPr>
        <w:pStyle w:val="Ttulo2"/>
        <w:shd w:val="clear" w:color="auto" w:fill="FFFFFF"/>
        <w:spacing w:before="300" w:after="225" w:line="240" w:lineRule="auto"/>
        <w:jc w:val="both"/>
        <w:rPr>
          <w:rFonts w:ascii="Times New Roman" w:hAnsi="Times New Roman" w:cs="Times New Roman"/>
          <w:b w:val="0"/>
          <w:bCs w:val="0"/>
          <w:color w:val="212529"/>
          <w:sz w:val="24"/>
          <w:szCs w:val="24"/>
        </w:rPr>
      </w:pPr>
      <w:r w:rsidRPr="00805CF0">
        <w:rPr>
          <w:rFonts w:ascii="Times New Roman" w:hAnsi="Times New Roman" w:cs="Times New Roman"/>
          <w:b w:val="0"/>
          <w:bCs w:val="0"/>
          <w:color w:val="212529"/>
          <w:sz w:val="24"/>
          <w:szCs w:val="24"/>
        </w:rPr>
        <w:t>4 de julio de 2013</w:t>
      </w:r>
    </w:p>
    <w:p w:rsidR="00FA4DA9" w:rsidRPr="00D63C98" w:rsidRDefault="00D63C98" w:rsidP="00FA4DA9">
      <w:pPr>
        <w:pStyle w:val="NormalWeb"/>
        <w:shd w:val="clear" w:color="auto" w:fill="FFFFFF"/>
        <w:spacing w:before="0" w:beforeAutospacing="0" w:after="270" w:afterAutospacing="0"/>
        <w:jc w:val="both"/>
        <w:rPr>
          <w:b/>
          <w:color w:val="212529"/>
          <w:spacing w:val="-1"/>
        </w:rPr>
      </w:pPr>
      <w:r w:rsidRPr="00D63C98">
        <w:rPr>
          <w:b/>
          <w:color w:val="212529"/>
          <w:spacing w:val="-1"/>
        </w:rPr>
        <w:t>“</w:t>
      </w:r>
      <w:r w:rsidR="00FA4DA9" w:rsidRPr="00D63C98">
        <w:rPr>
          <w:b/>
          <w:color w:val="212529"/>
          <w:spacing w:val="-1"/>
        </w:rPr>
        <w:t>Los tipos se mantendrán en los niveles actuales, </w:t>
      </w:r>
      <w:hyperlink r:id="rId393" w:history="1">
        <w:r w:rsidR="00FA4DA9" w:rsidRPr="00D63C98">
          <w:rPr>
            <w:rStyle w:val="Hipervnculo"/>
            <w:b/>
            <w:color w:val="auto"/>
            <w:spacing w:val="-1"/>
            <w:u w:val="none"/>
          </w:rPr>
          <w:t>o incluso más bajos</w:t>
        </w:r>
      </w:hyperlink>
      <w:r w:rsidR="00FA4DA9" w:rsidRPr="00D63C98">
        <w:rPr>
          <w:b/>
          <w:color w:val="212529"/>
          <w:spacing w:val="-1"/>
        </w:rPr>
        <w:t xml:space="preserve">, por </w:t>
      </w:r>
      <w:r w:rsidRPr="00D63C98">
        <w:rPr>
          <w:b/>
          <w:color w:val="212529"/>
          <w:spacing w:val="-1"/>
        </w:rPr>
        <w:t>un periodo de tiempo prolongado”</w:t>
      </w:r>
      <w:r w:rsidR="00FA4DA9" w:rsidRPr="00D63C98">
        <w:rPr>
          <w:b/>
          <w:color w:val="212529"/>
          <w:spacing w:val="-1"/>
        </w:rPr>
        <w:t>.</w:t>
      </w:r>
    </w:p>
    <w:p w:rsidR="00FA4DA9" w:rsidRPr="00805CF0" w:rsidRDefault="00FA4DA9" w:rsidP="00FA4DA9">
      <w:pPr>
        <w:pStyle w:val="NormalWeb"/>
        <w:shd w:val="clear" w:color="auto" w:fill="FFFFFF"/>
        <w:spacing w:before="0" w:beforeAutospacing="0" w:after="270" w:afterAutospacing="0"/>
        <w:jc w:val="both"/>
        <w:rPr>
          <w:color w:val="212529"/>
          <w:spacing w:val="-1"/>
        </w:rPr>
      </w:pPr>
      <w:r w:rsidRPr="00805CF0">
        <w:rPr>
          <w:color w:val="212529"/>
          <w:spacing w:val="-1"/>
        </w:rPr>
        <w:t>Desde entonces, esta oración ha sido recurrente en prácticamente todas las comparecencias de Mario Draghi tras las reuniones del BCE. En 2017 el banquero la matizó, eliminando la re</w:t>
      </w:r>
      <w:r w:rsidR="00D63C98">
        <w:rPr>
          <w:color w:val="212529"/>
          <w:spacing w:val="-1"/>
        </w:rPr>
        <w:t>ferencia a tipos “más bajos”</w:t>
      </w:r>
      <w:r w:rsidRPr="00805CF0">
        <w:rPr>
          <w:color w:val="212529"/>
          <w:spacing w:val="-1"/>
        </w:rPr>
        <w:t>, una muestra de mayor confianza.</w:t>
      </w:r>
    </w:p>
    <w:p w:rsidR="00FA4DA9" w:rsidRPr="00805CF0" w:rsidRDefault="00FA4DA9" w:rsidP="00FA4DA9">
      <w:pPr>
        <w:pStyle w:val="Ttulo2"/>
        <w:shd w:val="clear" w:color="auto" w:fill="FFFFFF"/>
        <w:spacing w:before="300" w:after="225" w:line="240" w:lineRule="auto"/>
        <w:jc w:val="both"/>
        <w:rPr>
          <w:rFonts w:ascii="Times New Roman" w:hAnsi="Times New Roman" w:cs="Times New Roman"/>
          <w:b w:val="0"/>
          <w:bCs w:val="0"/>
          <w:color w:val="212529"/>
          <w:sz w:val="24"/>
          <w:szCs w:val="24"/>
        </w:rPr>
      </w:pPr>
      <w:r w:rsidRPr="00805CF0">
        <w:rPr>
          <w:rFonts w:ascii="Times New Roman" w:hAnsi="Times New Roman" w:cs="Times New Roman"/>
          <w:b w:val="0"/>
          <w:bCs w:val="0"/>
          <w:color w:val="212529"/>
          <w:sz w:val="24"/>
          <w:szCs w:val="24"/>
        </w:rPr>
        <w:t>8 de mayo de 2014</w:t>
      </w:r>
    </w:p>
    <w:p w:rsidR="00FA4DA9" w:rsidRPr="00D63C98" w:rsidRDefault="00D63C98" w:rsidP="00FA4DA9">
      <w:pPr>
        <w:pStyle w:val="NormalWeb"/>
        <w:shd w:val="clear" w:color="auto" w:fill="FFFFFF"/>
        <w:spacing w:before="0" w:beforeAutospacing="0" w:after="270" w:afterAutospacing="0"/>
        <w:jc w:val="both"/>
        <w:rPr>
          <w:b/>
          <w:color w:val="212529"/>
          <w:spacing w:val="-1"/>
        </w:rPr>
      </w:pPr>
      <w:r w:rsidRPr="00D63C98">
        <w:rPr>
          <w:b/>
          <w:color w:val="212529"/>
          <w:spacing w:val="-1"/>
        </w:rPr>
        <w:t>“</w:t>
      </w:r>
      <w:r w:rsidR="00FA4DA9" w:rsidRPr="00D63C98">
        <w:rPr>
          <w:b/>
          <w:color w:val="212529"/>
          <w:spacing w:val="-1"/>
        </w:rPr>
        <w:t xml:space="preserve">Hay unanimidad en emplear medidas no </w:t>
      </w:r>
      <w:r w:rsidRPr="00D63C98">
        <w:rPr>
          <w:b/>
          <w:color w:val="212529"/>
          <w:spacing w:val="-1"/>
        </w:rPr>
        <w:t>convencionales, si es necesario”</w:t>
      </w:r>
      <w:r w:rsidR="00FA4DA9" w:rsidRPr="00D63C98">
        <w:rPr>
          <w:b/>
          <w:color w:val="212529"/>
          <w:spacing w:val="-1"/>
        </w:rPr>
        <w:t>.</w:t>
      </w:r>
    </w:p>
    <w:p w:rsidR="00FA4DA9" w:rsidRPr="00805CF0" w:rsidRDefault="00FA4DA9" w:rsidP="00FA4DA9">
      <w:pPr>
        <w:pStyle w:val="NormalWeb"/>
        <w:shd w:val="clear" w:color="auto" w:fill="FFFFFF"/>
        <w:spacing w:before="0" w:beforeAutospacing="0" w:after="270" w:afterAutospacing="0"/>
        <w:jc w:val="both"/>
        <w:rPr>
          <w:color w:val="212529"/>
          <w:spacing w:val="-1"/>
        </w:rPr>
      </w:pPr>
      <w:r w:rsidRPr="00805CF0">
        <w:rPr>
          <w:color w:val="212529"/>
          <w:spacing w:val="-1"/>
        </w:rPr>
        <w:t>Con esta frase el presidente de la entidad </w:t>
      </w:r>
      <w:hyperlink r:id="rId394" w:history="1">
        <w:r w:rsidRPr="00D63C98">
          <w:rPr>
            <w:rStyle w:val="Hipervnculo"/>
            <w:color w:val="auto"/>
            <w:spacing w:val="-1"/>
            <w:u w:val="none"/>
          </w:rPr>
          <w:t>abrió la puerta por primera vez</w:t>
        </w:r>
      </w:hyperlink>
      <w:r w:rsidRPr="00805CF0">
        <w:rPr>
          <w:color w:val="212529"/>
          <w:spacing w:val="-1"/>
        </w:rPr>
        <w:t> a implementar un programa de estímulos en forma de compras de deuda, similar al de Japón o Estados Unidos, que finalmente se llevó a cabo también en la eurozona.</w:t>
      </w:r>
    </w:p>
    <w:p w:rsidR="00FA4DA9" w:rsidRPr="00805CF0" w:rsidRDefault="00FA4DA9" w:rsidP="00FA4DA9">
      <w:pPr>
        <w:pStyle w:val="Ttulo2"/>
        <w:shd w:val="clear" w:color="auto" w:fill="FFFFFF"/>
        <w:spacing w:before="300" w:after="225" w:line="240" w:lineRule="auto"/>
        <w:jc w:val="both"/>
        <w:rPr>
          <w:rFonts w:ascii="Times New Roman" w:hAnsi="Times New Roman" w:cs="Times New Roman"/>
          <w:b w:val="0"/>
          <w:bCs w:val="0"/>
          <w:color w:val="212529"/>
          <w:sz w:val="24"/>
          <w:szCs w:val="24"/>
        </w:rPr>
      </w:pPr>
      <w:r w:rsidRPr="00805CF0">
        <w:rPr>
          <w:rFonts w:ascii="Times New Roman" w:hAnsi="Times New Roman" w:cs="Times New Roman"/>
          <w:b w:val="0"/>
          <w:bCs w:val="0"/>
          <w:color w:val="212529"/>
          <w:sz w:val="24"/>
          <w:szCs w:val="24"/>
        </w:rPr>
        <w:t>3 de septiembre de 2015</w:t>
      </w:r>
    </w:p>
    <w:p w:rsidR="00FA4DA9" w:rsidRPr="00805CF0" w:rsidRDefault="00D63C98" w:rsidP="00FA4DA9">
      <w:pPr>
        <w:pStyle w:val="NormalWeb"/>
        <w:shd w:val="clear" w:color="auto" w:fill="FFFFFF"/>
        <w:spacing w:before="0" w:beforeAutospacing="0" w:after="270" w:afterAutospacing="0"/>
        <w:jc w:val="both"/>
        <w:rPr>
          <w:color w:val="212529"/>
          <w:spacing w:val="-1"/>
        </w:rPr>
      </w:pPr>
      <w:r>
        <w:rPr>
          <w:color w:val="212529"/>
          <w:spacing w:val="-1"/>
        </w:rPr>
        <w:t>“</w:t>
      </w:r>
      <w:r w:rsidR="00FA4DA9" w:rsidRPr="00805CF0">
        <w:rPr>
          <w:color w:val="212529"/>
          <w:spacing w:val="-1"/>
        </w:rPr>
        <w:t xml:space="preserve">Si cambiamos el objetivo de inflación ahora perderíamos credibilidad y se generaría desconfianza; no debemos hacerlo sólo </w:t>
      </w:r>
      <w:r w:rsidR="00324F4A" w:rsidRPr="00805CF0">
        <w:rPr>
          <w:color w:val="212529"/>
          <w:spacing w:val="-1"/>
        </w:rPr>
        <w:t>porque</w:t>
      </w:r>
      <w:r w:rsidR="00FA4DA9" w:rsidRPr="00805CF0">
        <w:rPr>
          <w:color w:val="212529"/>
          <w:spacing w:val="-1"/>
        </w:rPr>
        <w:t xml:space="preserve"> </w:t>
      </w:r>
      <w:r>
        <w:rPr>
          <w:color w:val="212529"/>
          <w:spacing w:val="-1"/>
        </w:rPr>
        <w:t>nos cueste alcanzar el objetivo”</w:t>
      </w:r>
      <w:r w:rsidR="00FA4DA9" w:rsidRPr="00805CF0">
        <w:rPr>
          <w:color w:val="212529"/>
          <w:spacing w:val="-1"/>
        </w:rPr>
        <w:t>.</w:t>
      </w:r>
    </w:p>
    <w:p w:rsidR="00FA4DA9" w:rsidRPr="00805CF0" w:rsidRDefault="00FA4DA9" w:rsidP="00FA4DA9">
      <w:pPr>
        <w:pStyle w:val="NormalWeb"/>
        <w:shd w:val="clear" w:color="auto" w:fill="FFFFFF"/>
        <w:spacing w:before="0" w:beforeAutospacing="0" w:after="270" w:afterAutospacing="0"/>
        <w:jc w:val="both"/>
        <w:rPr>
          <w:color w:val="212529"/>
          <w:spacing w:val="-1"/>
        </w:rPr>
      </w:pPr>
      <w:r w:rsidRPr="00805CF0">
        <w:rPr>
          <w:color w:val="212529"/>
          <w:spacing w:val="-1"/>
        </w:rPr>
        <w:lastRenderedPageBreak/>
        <w:t>Draghi se ha defendido de las críticas de muchas formas. Esta es la retórica que eligió para justificar que la entidad no cambie el nivel al que debería llegar la inflación, una posibilidad que destacaron analistas entonces.</w:t>
      </w:r>
    </w:p>
    <w:p w:rsidR="00FA4DA9" w:rsidRPr="00805CF0" w:rsidRDefault="00FA4DA9" w:rsidP="00FA4DA9">
      <w:pPr>
        <w:pStyle w:val="Ttulo2"/>
        <w:shd w:val="clear" w:color="auto" w:fill="FFFFFF"/>
        <w:spacing w:before="300" w:after="225" w:line="240" w:lineRule="auto"/>
        <w:jc w:val="both"/>
        <w:rPr>
          <w:rFonts w:ascii="Times New Roman" w:hAnsi="Times New Roman" w:cs="Times New Roman"/>
          <w:b w:val="0"/>
          <w:bCs w:val="0"/>
          <w:color w:val="212529"/>
          <w:sz w:val="24"/>
          <w:szCs w:val="24"/>
        </w:rPr>
      </w:pPr>
      <w:r w:rsidRPr="00805CF0">
        <w:rPr>
          <w:rFonts w:ascii="Times New Roman" w:hAnsi="Times New Roman" w:cs="Times New Roman"/>
          <w:b w:val="0"/>
          <w:bCs w:val="0"/>
          <w:color w:val="212529"/>
          <w:sz w:val="24"/>
          <w:szCs w:val="24"/>
        </w:rPr>
        <w:t>8 de diciembre de 2016</w:t>
      </w:r>
    </w:p>
    <w:p w:rsidR="00FA4DA9" w:rsidRPr="00D63C98" w:rsidRDefault="00D63C98" w:rsidP="00FA4DA9">
      <w:pPr>
        <w:pStyle w:val="NormalWeb"/>
        <w:shd w:val="clear" w:color="auto" w:fill="FFFFFF"/>
        <w:spacing w:before="0" w:beforeAutospacing="0" w:after="270" w:afterAutospacing="0"/>
        <w:jc w:val="both"/>
        <w:rPr>
          <w:b/>
          <w:color w:val="212529"/>
          <w:spacing w:val="-1"/>
        </w:rPr>
      </w:pPr>
      <w:r w:rsidRPr="00D63C98">
        <w:rPr>
          <w:b/>
          <w:color w:val="212529"/>
          <w:spacing w:val="-1"/>
        </w:rPr>
        <w:t>“</w:t>
      </w:r>
      <w:r w:rsidR="00FA4DA9" w:rsidRPr="00D63C98">
        <w:rPr>
          <w:b/>
          <w:color w:val="212529"/>
          <w:spacing w:val="-1"/>
        </w:rPr>
        <w:t>El programa de compras de deuda continuará hasta el final de 2017, o más allá, si es necesario, hasta que el BCE vea un ajuste sostenido de la inflación hacia el objetivo del 2%. </w:t>
      </w:r>
      <w:r w:rsidR="00FA4DA9" w:rsidRPr="00D63C98">
        <w:rPr>
          <w:b/>
          <w:spacing w:val="-1"/>
        </w:rPr>
        <w:t>Estamos listos para aument</w:t>
      </w:r>
      <w:r w:rsidRPr="00D63C98">
        <w:rPr>
          <w:b/>
          <w:spacing w:val="-1"/>
        </w:rPr>
        <w:t>ar el programa, si es necesario</w:t>
      </w:r>
      <w:r w:rsidRPr="00D63C98">
        <w:rPr>
          <w:b/>
          <w:color w:val="212529"/>
          <w:spacing w:val="-1"/>
        </w:rPr>
        <w:t>”</w:t>
      </w:r>
      <w:r w:rsidR="00FA4DA9" w:rsidRPr="00D63C98">
        <w:rPr>
          <w:b/>
          <w:color w:val="212529"/>
          <w:spacing w:val="-1"/>
        </w:rPr>
        <w:t>.</w:t>
      </w:r>
    </w:p>
    <w:p w:rsidR="00FA4DA9" w:rsidRPr="00805CF0" w:rsidRDefault="00FA4DA9" w:rsidP="00FA4DA9">
      <w:pPr>
        <w:pStyle w:val="NormalWeb"/>
        <w:shd w:val="clear" w:color="auto" w:fill="FFFFFF"/>
        <w:spacing w:before="0" w:beforeAutospacing="0" w:after="270" w:afterAutospacing="0"/>
        <w:jc w:val="both"/>
        <w:rPr>
          <w:color w:val="212529"/>
          <w:spacing w:val="-1"/>
        </w:rPr>
      </w:pPr>
      <w:r w:rsidRPr="00805CF0">
        <w:rPr>
          <w:color w:val="212529"/>
          <w:spacing w:val="-1"/>
        </w:rPr>
        <w:t>Con esta sentencia Draghi anunció la ampliación del QE, una frase que también ha repetido en múltiples ocasiones, y que finalmente ha variado ligeramente, en la reunión de junio de 2017, cuando eliminó la referencia a que el programa pueda ampliarse.</w:t>
      </w:r>
    </w:p>
    <w:p w:rsidR="00FA4DA9" w:rsidRPr="00805CF0" w:rsidRDefault="00FA4DA9" w:rsidP="00FA4DA9">
      <w:pPr>
        <w:pStyle w:val="Ttulo2"/>
        <w:shd w:val="clear" w:color="auto" w:fill="FFFFFF"/>
        <w:spacing w:before="300" w:after="225" w:line="240" w:lineRule="auto"/>
        <w:jc w:val="both"/>
        <w:rPr>
          <w:rFonts w:ascii="Times New Roman" w:hAnsi="Times New Roman" w:cs="Times New Roman"/>
          <w:b w:val="0"/>
          <w:bCs w:val="0"/>
          <w:color w:val="212529"/>
          <w:sz w:val="24"/>
          <w:szCs w:val="24"/>
        </w:rPr>
      </w:pPr>
      <w:r w:rsidRPr="00805CF0">
        <w:rPr>
          <w:rFonts w:ascii="Times New Roman" w:hAnsi="Times New Roman" w:cs="Times New Roman"/>
          <w:b w:val="0"/>
          <w:bCs w:val="0"/>
          <w:color w:val="212529"/>
          <w:sz w:val="24"/>
          <w:szCs w:val="24"/>
        </w:rPr>
        <w:t>Otras citas importantes</w:t>
      </w:r>
    </w:p>
    <w:p w:rsidR="00FA4DA9" w:rsidRPr="00805CF0" w:rsidRDefault="00FA4DA9" w:rsidP="00FA4DA9">
      <w:pPr>
        <w:pStyle w:val="NormalWeb"/>
        <w:shd w:val="clear" w:color="auto" w:fill="FFFFFF"/>
        <w:spacing w:before="0" w:beforeAutospacing="0" w:after="270" w:afterAutospacing="0"/>
        <w:jc w:val="both"/>
        <w:rPr>
          <w:color w:val="212529"/>
          <w:spacing w:val="-1"/>
        </w:rPr>
      </w:pPr>
      <w:r w:rsidRPr="00D63C98">
        <w:rPr>
          <w:bCs/>
          <w:color w:val="212529"/>
          <w:spacing w:val="-1"/>
        </w:rPr>
        <w:t>7 de febrero de 2013</w:t>
      </w:r>
      <w:r w:rsidRPr="00805CF0">
        <w:rPr>
          <w:b/>
          <w:bCs/>
          <w:color w:val="212529"/>
          <w:spacing w:val="-1"/>
        </w:rPr>
        <w:t>:</w:t>
      </w:r>
      <w:r w:rsidR="00D63C98">
        <w:rPr>
          <w:color w:val="212529"/>
          <w:spacing w:val="-1"/>
        </w:rPr>
        <w:t> “</w:t>
      </w:r>
      <w:r w:rsidRPr="00805CF0">
        <w:rPr>
          <w:color w:val="212529"/>
          <w:spacing w:val="-1"/>
        </w:rPr>
        <w:t>El BCE suminist</w:t>
      </w:r>
      <w:r w:rsidR="00D63C98">
        <w:rPr>
          <w:color w:val="212529"/>
          <w:spacing w:val="-1"/>
        </w:rPr>
        <w:t>rará toda la liquidez necesaria”</w:t>
      </w:r>
      <w:r w:rsidRPr="00805CF0">
        <w:rPr>
          <w:color w:val="212529"/>
          <w:spacing w:val="-1"/>
        </w:rPr>
        <w:t xml:space="preserve"> a los bancos de la eurozona, si volviera a haber tensiones.</w:t>
      </w:r>
    </w:p>
    <w:p w:rsidR="00FA4DA9" w:rsidRPr="00805CF0" w:rsidRDefault="00FA4DA9" w:rsidP="00FA4DA9">
      <w:pPr>
        <w:pStyle w:val="NormalWeb"/>
        <w:shd w:val="clear" w:color="auto" w:fill="FFFFFF"/>
        <w:spacing w:before="0" w:beforeAutospacing="0" w:after="270" w:afterAutospacing="0"/>
        <w:jc w:val="both"/>
        <w:rPr>
          <w:color w:val="212529"/>
          <w:spacing w:val="-1"/>
        </w:rPr>
      </w:pPr>
      <w:r w:rsidRPr="00D63C98">
        <w:rPr>
          <w:bCs/>
          <w:color w:val="212529"/>
          <w:spacing w:val="-1"/>
        </w:rPr>
        <w:t>2 de octubre de 2013</w:t>
      </w:r>
      <w:r w:rsidRPr="00805CF0">
        <w:rPr>
          <w:b/>
          <w:bCs/>
          <w:color w:val="212529"/>
          <w:spacing w:val="-1"/>
        </w:rPr>
        <w:t>:</w:t>
      </w:r>
      <w:r w:rsidR="00D63C98">
        <w:rPr>
          <w:color w:val="212529"/>
          <w:spacing w:val="-1"/>
        </w:rPr>
        <w:t> “</w:t>
      </w:r>
      <w:r w:rsidRPr="00805CF0">
        <w:rPr>
          <w:color w:val="212529"/>
          <w:spacing w:val="-1"/>
        </w:rPr>
        <w:t>El tipo de cambio es importante para el crecimiento y la estabilidad de precios, por lo que seguiremos</w:t>
      </w:r>
      <w:r w:rsidR="00D63C98">
        <w:rPr>
          <w:color w:val="212529"/>
          <w:spacing w:val="-1"/>
        </w:rPr>
        <w:t xml:space="preserve"> de cerca la evolución del euro”</w:t>
      </w:r>
      <w:r w:rsidRPr="00805CF0">
        <w:rPr>
          <w:color w:val="212529"/>
          <w:spacing w:val="-1"/>
        </w:rPr>
        <w:t>.</w:t>
      </w:r>
    </w:p>
    <w:p w:rsidR="00FA4DA9" w:rsidRPr="00805CF0" w:rsidRDefault="00FA4DA9" w:rsidP="00FA4DA9">
      <w:pPr>
        <w:pStyle w:val="NormalWeb"/>
        <w:shd w:val="clear" w:color="auto" w:fill="FFFFFF"/>
        <w:spacing w:before="0" w:beforeAutospacing="0" w:after="270" w:afterAutospacing="0"/>
        <w:jc w:val="both"/>
        <w:rPr>
          <w:color w:val="212529"/>
          <w:spacing w:val="-1"/>
        </w:rPr>
      </w:pPr>
      <w:r w:rsidRPr="00D63C98">
        <w:rPr>
          <w:bCs/>
          <w:color w:val="212529"/>
          <w:spacing w:val="-1"/>
        </w:rPr>
        <w:t>6 de marzo de 2014</w:t>
      </w:r>
      <w:r w:rsidRPr="00805CF0">
        <w:rPr>
          <w:b/>
          <w:bCs/>
          <w:color w:val="212529"/>
          <w:spacing w:val="-1"/>
        </w:rPr>
        <w:t>: </w:t>
      </w:r>
      <w:r w:rsidR="00D63C98">
        <w:rPr>
          <w:color w:val="212529"/>
          <w:spacing w:val="-1"/>
        </w:rPr>
        <w:t>“</w:t>
      </w:r>
      <w:r w:rsidRPr="00805CF0">
        <w:rPr>
          <w:color w:val="212529"/>
          <w:spacing w:val="-1"/>
        </w:rPr>
        <w:t>El tipo de cambio no es compe</w:t>
      </w:r>
      <w:r w:rsidR="00D63C98">
        <w:rPr>
          <w:color w:val="212529"/>
          <w:spacing w:val="-1"/>
        </w:rPr>
        <w:t>tencia de la política monetaria”</w:t>
      </w:r>
      <w:r w:rsidRPr="00805CF0">
        <w:rPr>
          <w:color w:val="212529"/>
          <w:spacing w:val="-1"/>
        </w:rPr>
        <w:t>, respecto a la fortaleza del euro.</w:t>
      </w:r>
    </w:p>
    <w:p w:rsidR="00FA4DA9" w:rsidRPr="00805CF0" w:rsidRDefault="00FA4DA9" w:rsidP="00FA4DA9">
      <w:pPr>
        <w:pStyle w:val="NormalWeb"/>
        <w:shd w:val="clear" w:color="auto" w:fill="FFFFFF"/>
        <w:spacing w:before="0" w:beforeAutospacing="0" w:after="270" w:afterAutospacing="0"/>
        <w:jc w:val="both"/>
        <w:rPr>
          <w:color w:val="212529"/>
          <w:spacing w:val="-1"/>
        </w:rPr>
      </w:pPr>
      <w:r w:rsidRPr="00D63C98">
        <w:rPr>
          <w:bCs/>
          <w:color w:val="212529"/>
          <w:spacing w:val="-1"/>
        </w:rPr>
        <w:t>3 de diciembre de 2015</w:t>
      </w:r>
      <w:r w:rsidRPr="00805CF0">
        <w:rPr>
          <w:b/>
          <w:bCs/>
          <w:color w:val="212529"/>
          <w:spacing w:val="-1"/>
        </w:rPr>
        <w:t>: </w:t>
      </w:r>
      <w:r w:rsidRPr="00805CF0">
        <w:rPr>
          <w:color w:val="212529"/>
          <w:spacing w:val="-1"/>
        </w:rPr>
        <w:t>Sobre alca</w:t>
      </w:r>
      <w:r w:rsidR="00D63C98">
        <w:rPr>
          <w:color w:val="212529"/>
          <w:spacing w:val="-1"/>
        </w:rPr>
        <w:t>nzar su objetivo de inflación: “</w:t>
      </w:r>
      <w:r w:rsidRPr="00805CF0">
        <w:rPr>
          <w:color w:val="212529"/>
          <w:spacing w:val="-1"/>
        </w:rPr>
        <w:t xml:space="preserve">Hay </w:t>
      </w:r>
      <w:r w:rsidR="00D63C98">
        <w:rPr>
          <w:color w:val="212529"/>
          <w:spacing w:val="-1"/>
        </w:rPr>
        <w:t>confianza, pero no complacencia”</w:t>
      </w:r>
      <w:r w:rsidRPr="00805CF0">
        <w:rPr>
          <w:color w:val="212529"/>
          <w:spacing w:val="-1"/>
        </w:rPr>
        <w:t>.</w:t>
      </w:r>
    </w:p>
    <w:p w:rsidR="00FA4DA9" w:rsidRPr="00805CF0" w:rsidRDefault="00FA4DA9" w:rsidP="00FA4DA9">
      <w:pPr>
        <w:pStyle w:val="NormalWeb"/>
        <w:shd w:val="clear" w:color="auto" w:fill="FFFFFF"/>
        <w:spacing w:before="0" w:beforeAutospacing="0" w:after="270" w:afterAutospacing="0"/>
        <w:jc w:val="both"/>
        <w:rPr>
          <w:color w:val="212529"/>
          <w:spacing w:val="-1"/>
        </w:rPr>
      </w:pPr>
      <w:r w:rsidRPr="00D63C98">
        <w:rPr>
          <w:bCs/>
          <w:color w:val="212529"/>
          <w:spacing w:val="-1"/>
        </w:rPr>
        <w:t>21 de abril de 2016</w:t>
      </w:r>
      <w:r w:rsidRPr="00805CF0">
        <w:rPr>
          <w:b/>
          <w:bCs/>
          <w:color w:val="212529"/>
          <w:spacing w:val="-1"/>
        </w:rPr>
        <w:t>:</w:t>
      </w:r>
      <w:r w:rsidRPr="00805CF0">
        <w:rPr>
          <w:color w:val="212529"/>
          <w:spacing w:val="-1"/>
        </w:rPr>
        <w:t> S</w:t>
      </w:r>
      <w:r w:rsidR="00D63C98">
        <w:rPr>
          <w:color w:val="212529"/>
          <w:spacing w:val="-1"/>
        </w:rPr>
        <w:t>obre las críticas de Alemania: “</w:t>
      </w:r>
      <w:r w:rsidRPr="00805CF0">
        <w:rPr>
          <w:color w:val="212529"/>
          <w:spacing w:val="-1"/>
        </w:rPr>
        <w:t xml:space="preserve">Nosotros obedecemos </w:t>
      </w:r>
      <w:r>
        <w:rPr>
          <w:color w:val="212529"/>
          <w:spacing w:val="-1"/>
        </w:rPr>
        <w:t>la ley, no a los políticos, por</w:t>
      </w:r>
      <w:r w:rsidRPr="00805CF0">
        <w:rPr>
          <w:color w:val="212529"/>
          <w:spacing w:val="-1"/>
        </w:rPr>
        <w:t>que somos indepen</w:t>
      </w:r>
      <w:r w:rsidR="00D63C98">
        <w:rPr>
          <w:color w:val="212529"/>
          <w:spacing w:val="-1"/>
        </w:rPr>
        <w:t>dientes, como deja claro la ley”</w:t>
      </w:r>
      <w:r w:rsidRPr="00805CF0">
        <w:rPr>
          <w:color w:val="212529"/>
          <w:spacing w:val="-1"/>
        </w:rPr>
        <w:t>.</w:t>
      </w:r>
    </w:p>
    <w:p w:rsidR="00FA4DA9" w:rsidRPr="00805CF0" w:rsidRDefault="00FA4DA9" w:rsidP="00FA4DA9">
      <w:pPr>
        <w:pStyle w:val="NormalWeb"/>
        <w:shd w:val="clear" w:color="auto" w:fill="FFFFFF"/>
        <w:spacing w:before="0" w:beforeAutospacing="0" w:after="270" w:afterAutospacing="0"/>
        <w:jc w:val="both"/>
        <w:rPr>
          <w:color w:val="212529"/>
          <w:spacing w:val="-1"/>
        </w:rPr>
      </w:pPr>
      <w:r w:rsidRPr="00D63C98">
        <w:rPr>
          <w:bCs/>
          <w:color w:val="212529"/>
          <w:spacing w:val="-1"/>
        </w:rPr>
        <w:t>21 de abril de 2016</w:t>
      </w:r>
      <w:r w:rsidRPr="00805CF0">
        <w:rPr>
          <w:b/>
          <w:bCs/>
          <w:color w:val="212529"/>
          <w:spacing w:val="-1"/>
        </w:rPr>
        <w:t>:</w:t>
      </w:r>
      <w:r w:rsidRPr="00805CF0">
        <w:rPr>
          <w:color w:val="212529"/>
          <w:spacing w:val="-1"/>
        </w:rPr>
        <w:t> "Vamos a tener baja inflación por un periodo largo. Debemos ser pacientes".</w:t>
      </w:r>
    </w:p>
    <w:p w:rsidR="00FA4DA9" w:rsidRDefault="00FA4DA9" w:rsidP="00FA4DA9">
      <w:pPr>
        <w:pStyle w:val="NormalWeb"/>
        <w:shd w:val="clear" w:color="auto" w:fill="FFFFFF"/>
        <w:spacing w:before="0" w:beforeAutospacing="0" w:after="270" w:afterAutospacing="0"/>
        <w:jc w:val="both"/>
        <w:rPr>
          <w:color w:val="212529"/>
          <w:spacing w:val="-1"/>
        </w:rPr>
      </w:pPr>
      <w:r w:rsidRPr="00D63C98">
        <w:rPr>
          <w:bCs/>
          <w:color w:val="212529"/>
          <w:spacing w:val="-1"/>
        </w:rPr>
        <w:t>6 de abril de 2017</w:t>
      </w:r>
      <w:r w:rsidRPr="00805CF0">
        <w:rPr>
          <w:b/>
          <w:bCs/>
          <w:color w:val="212529"/>
          <w:spacing w:val="-1"/>
        </w:rPr>
        <w:t>: </w:t>
      </w:r>
      <w:r w:rsidR="00D63C98">
        <w:rPr>
          <w:color w:val="212529"/>
          <w:spacing w:val="-1"/>
        </w:rPr>
        <w:t>“</w:t>
      </w:r>
      <w:r w:rsidRPr="00805CF0">
        <w:rPr>
          <w:color w:val="212529"/>
          <w:spacing w:val="-1"/>
        </w:rPr>
        <w:t xml:space="preserve">Hay 4 puntos que se tienen que cumplir para considerar que hemos cumplido el objetivo: que la inflación se acerque al 2%; que sea estructural y se estabilice en ese nivel con confianza; que sea sostenible sin el apoyo del BCE; que sea global para </w:t>
      </w:r>
      <w:r w:rsidR="00D63C98">
        <w:rPr>
          <w:color w:val="212529"/>
          <w:spacing w:val="-1"/>
        </w:rPr>
        <w:t>todos los países de la eurozona”</w:t>
      </w:r>
      <w:r w:rsidRPr="00805CF0">
        <w:rPr>
          <w:color w:val="212529"/>
          <w:spacing w:val="-1"/>
        </w:rPr>
        <w:t>.</w:t>
      </w:r>
    </w:p>
    <w:p w:rsidR="00FA4DA9" w:rsidRPr="00822CE1" w:rsidRDefault="00FA4DA9" w:rsidP="00FA4DA9">
      <w:pPr>
        <w:pStyle w:val="NormalWeb"/>
        <w:shd w:val="clear" w:color="auto" w:fill="FFFFFF"/>
        <w:spacing w:before="0" w:beforeAutospacing="0" w:after="270" w:afterAutospacing="0"/>
        <w:jc w:val="both"/>
        <w:rPr>
          <w:b/>
          <w:color w:val="212529"/>
          <w:spacing w:val="-1"/>
        </w:rPr>
      </w:pPr>
      <w:r w:rsidRPr="00822CE1">
        <w:rPr>
          <w:b/>
          <w:color w:val="212529"/>
          <w:spacing w:val="-1"/>
        </w:rPr>
        <w:t>Frases célebres de Janet Yellen</w:t>
      </w:r>
    </w:p>
    <w:p w:rsidR="00FA4DA9" w:rsidRPr="00805CF0" w:rsidRDefault="00FA4DA9" w:rsidP="00FA4DA9">
      <w:pPr>
        <w:pStyle w:val="NormalWeb"/>
        <w:shd w:val="clear" w:color="auto" w:fill="FFFFFF"/>
        <w:spacing w:after="270"/>
        <w:jc w:val="both"/>
        <w:rPr>
          <w:color w:val="212529"/>
          <w:spacing w:val="-1"/>
        </w:rPr>
      </w:pPr>
      <w:r>
        <w:rPr>
          <w:color w:val="212529"/>
          <w:spacing w:val="-1"/>
        </w:rPr>
        <w:t>Janet Yellen dio el 24/9/15</w:t>
      </w:r>
      <w:r w:rsidRPr="00805CF0">
        <w:rPr>
          <w:color w:val="212529"/>
          <w:spacing w:val="-1"/>
        </w:rPr>
        <w:t xml:space="preserve"> un discurso en Massachusetts sobre la dinámica inflacionaria de los Estados Unidos y cómo influye en la política monetaria de la Fed; así como sus implicaciones sobre el empleo, y de paso, validó las expectativas de los analistas e inversionistas de que será este año cuando el banco central estadounidense comience un periodo de alza de tasas aunque no mencionó en cuál de las dos </w:t>
      </w:r>
      <w:r>
        <w:rPr>
          <w:color w:val="212529"/>
          <w:spacing w:val="-1"/>
        </w:rPr>
        <w:t>últimas reuniones se realizará.</w:t>
      </w:r>
    </w:p>
    <w:p w:rsidR="00FA4DA9" w:rsidRPr="00805CF0" w:rsidRDefault="00FA4DA9" w:rsidP="00FA4DA9">
      <w:pPr>
        <w:pStyle w:val="NormalWeb"/>
        <w:shd w:val="clear" w:color="auto" w:fill="FFFFFF"/>
        <w:spacing w:after="270"/>
        <w:jc w:val="both"/>
        <w:rPr>
          <w:color w:val="212529"/>
          <w:spacing w:val="-1"/>
        </w:rPr>
      </w:pPr>
      <w:r w:rsidRPr="00805CF0">
        <w:rPr>
          <w:color w:val="212529"/>
          <w:spacing w:val="-1"/>
        </w:rPr>
        <w:t xml:space="preserve">Para la presidenta de la Fed las condiciones externas no son un elemento que está contaminando los objetivos de su política monetaria, y de hecho, el Comité Federal de Mercado Abierto (FOMC) mantiene que la estabilidad inflacionaria, la solidez de la economía </w:t>
      </w:r>
      <w:r w:rsidRPr="00805CF0">
        <w:rPr>
          <w:color w:val="212529"/>
          <w:spacing w:val="-1"/>
        </w:rPr>
        <w:lastRenderedPageBreak/>
        <w:t>doméstica y un entorno externo menos volátil, influyan en el cambio de postura de la Fe</w:t>
      </w:r>
      <w:r>
        <w:rPr>
          <w:color w:val="212529"/>
          <w:spacing w:val="-1"/>
        </w:rPr>
        <w:t>d que actualmente es expansiva.</w:t>
      </w:r>
    </w:p>
    <w:p w:rsidR="00FA4DA9" w:rsidRPr="00805CF0" w:rsidRDefault="00FA4DA9" w:rsidP="00FA4DA9">
      <w:pPr>
        <w:pStyle w:val="NormalWeb"/>
        <w:shd w:val="clear" w:color="auto" w:fill="FFFFFF"/>
        <w:spacing w:after="270"/>
        <w:jc w:val="both"/>
        <w:rPr>
          <w:color w:val="212529"/>
          <w:spacing w:val="-1"/>
        </w:rPr>
      </w:pPr>
      <w:r w:rsidRPr="00805CF0">
        <w:rPr>
          <w:color w:val="212529"/>
          <w:spacing w:val="-1"/>
        </w:rPr>
        <w:t>A continuación se destacan las 10 frases del discurso de Janet Yellen:</w:t>
      </w:r>
    </w:p>
    <w:p w:rsidR="00FA4DA9" w:rsidRPr="00805CF0" w:rsidRDefault="007D1F05" w:rsidP="00FA4DA9">
      <w:pPr>
        <w:pStyle w:val="NormalWeb"/>
        <w:shd w:val="clear" w:color="auto" w:fill="FFFFFF"/>
        <w:spacing w:after="270"/>
        <w:jc w:val="both"/>
        <w:rPr>
          <w:color w:val="212529"/>
          <w:spacing w:val="-1"/>
        </w:rPr>
      </w:pPr>
      <w:r w:rsidRPr="00805CF0">
        <w:rPr>
          <w:color w:val="212529"/>
          <w:spacing w:val="-1"/>
        </w:rPr>
        <w:t>*</w:t>
      </w:r>
      <w:r>
        <w:rPr>
          <w:color w:val="212529"/>
          <w:spacing w:val="-1"/>
        </w:rPr>
        <w:t xml:space="preserve"> </w:t>
      </w:r>
      <w:r w:rsidR="00FA4DA9" w:rsidRPr="00805CF0">
        <w:rPr>
          <w:color w:val="212529"/>
          <w:spacing w:val="-1"/>
        </w:rPr>
        <w:t>Brincos en los precios de alimentos y energía han jugado un papel importante en los altibajos de la inflación desde me</w:t>
      </w:r>
      <w:r w:rsidR="00FA4DA9">
        <w:rPr>
          <w:color w:val="212529"/>
          <w:spacing w:val="-1"/>
        </w:rPr>
        <w:t>diados de la década de los 60’s</w:t>
      </w:r>
      <w:r w:rsidR="00D63C98">
        <w:rPr>
          <w:color w:val="212529"/>
          <w:spacing w:val="-1"/>
        </w:rPr>
        <w:t>.</w:t>
      </w:r>
    </w:p>
    <w:p w:rsidR="00FA4DA9" w:rsidRPr="00805CF0" w:rsidRDefault="007D1F05" w:rsidP="00FA4DA9">
      <w:pPr>
        <w:pStyle w:val="NormalWeb"/>
        <w:shd w:val="clear" w:color="auto" w:fill="FFFFFF"/>
        <w:spacing w:after="270"/>
        <w:jc w:val="both"/>
        <w:rPr>
          <w:color w:val="212529"/>
          <w:spacing w:val="-1"/>
        </w:rPr>
      </w:pPr>
      <w:r w:rsidRPr="00805CF0">
        <w:rPr>
          <w:color w:val="212529"/>
          <w:spacing w:val="-1"/>
        </w:rPr>
        <w:t>*</w:t>
      </w:r>
      <w:r>
        <w:rPr>
          <w:color w:val="212529"/>
          <w:spacing w:val="-1"/>
        </w:rPr>
        <w:t xml:space="preserve"> </w:t>
      </w:r>
      <w:r w:rsidR="00FA4DA9" w:rsidRPr="00805CF0">
        <w:rPr>
          <w:color w:val="212529"/>
          <w:spacing w:val="-1"/>
        </w:rPr>
        <w:t>En los últimos 20 años el comportamiento de la inflación de largo plazo ha sido más fácil de pronosticar que en la década de los 70’s</w:t>
      </w:r>
      <w:r w:rsidR="00D63C98">
        <w:rPr>
          <w:color w:val="212529"/>
          <w:spacing w:val="-1"/>
        </w:rPr>
        <w:t>.</w:t>
      </w:r>
    </w:p>
    <w:p w:rsidR="00FA4DA9" w:rsidRPr="00805CF0" w:rsidRDefault="007D1F05" w:rsidP="00FA4DA9">
      <w:pPr>
        <w:pStyle w:val="NormalWeb"/>
        <w:shd w:val="clear" w:color="auto" w:fill="FFFFFF"/>
        <w:spacing w:after="270"/>
        <w:jc w:val="both"/>
        <w:rPr>
          <w:color w:val="212529"/>
          <w:spacing w:val="-1"/>
        </w:rPr>
      </w:pPr>
      <w:r w:rsidRPr="00805CF0">
        <w:rPr>
          <w:color w:val="212529"/>
          <w:spacing w:val="-1"/>
        </w:rPr>
        <w:t>*</w:t>
      </w:r>
      <w:r>
        <w:rPr>
          <w:color w:val="212529"/>
          <w:spacing w:val="-1"/>
        </w:rPr>
        <w:t xml:space="preserve"> </w:t>
      </w:r>
      <w:r w:rsidR="00FA4DA9" w:rsidRPr="00805CF0">
        <w:rPr>
          <w:color w:val="212529"/>
          <w:spacing w:val="-1"/>
        </w:rPr>
        <w:t>Desde 2008 la inflación tuvo un crecimiento promedio de 1.5% y actualmente está cerca del cero, influida no solo por los precios de la energía sino también por el resto de los precios que no son alimentos</w:t>
      </w:r>
      <w:r>
        <w:rPr>
          <w:color w:val="212529"/>
          <w:spacing w:val="-1"/>
        </w:rPr>
        <w:t>.</w:t>
      </w:r>
    </w:p>
    <w:p w:rsidR="00FA4DA9" w:rsidRPr="00805CF0" w:rsidRDefault="007D1F05" w:rsidP="00FA4DA9">
      <w:pPr>
        <w:pStyle w:val="NormalWeb"/>
        <w:shd w:val="clear" w:color="auto" w:fill="FFFFFF"/>
        <w:spacing w:after="270"/>
        <w:jc w:val="both"/>
        <w:rPr>
          <w:color w:val="212529"/>
          <w:spacing w:val="-1"/>
        </w:rPr>
      </w:pPr>
      <w:r w:rsidRPr="00805CF0">
        <w:rPr>
          <w:color w:val="212529"/>
          <w:spacing w:val="-1"/>
        </w:rPr>
        <w:t>*</w:t>
      </w:r>
      <w:r>
        <w:rPr>
          <w:color w:val="212529"/>
          <w:spacing w:val="-1"/>
        </w:rPr>
        <w:t xml:space="preserve"> </w:t>
      </w:r>
      <w:r w:rsidR="00FA4DA9" w:rsidRPr="00805CF0">
        <w:rPr>
          <w:color w:val="212529"/>
          <w:spacing w:val="-1"/>
        </w:rPr>
        <w:t>Una inflación alta influye para que los hogares y las empresas dediquen tiempo y esfuerzo en reducir su tenencia de dinero en efectivo, además de que para las empresas es un periodo de ajuste de precios frecuentes</w:t>
      </w:r>
      <w:r>
        <w:rPr>
          <w:color w:val="212529"/>
          <w:spacing w:val="-1"/>
        </w:rPr>
        <w:t>.</w:t>
      </w:r>
    </w:p>
    <w:p w:rsidR="00FA4DA9" w:rsidRPr="00805CF0" w:rsidRDefault="007D1F05" w:rsidP="00FA4DA9">
      <w:pPr>
        <w:pStyle w:val="NormalWeb"/>
        <w:shd w:val="clear" w:color="auto" w:fill="FFFFFF"/>
        <w:spacing w:after="270"/>
        <w:jc w:val="both"/>
        <w:rPr>
          <w:color w:val="212529"/>
          <w:spacing w:val="-1"/>
        </w:rPr>
      </w:pPr>
      <w:r w:rsidRPr="00805CF0">
        <w:rPr>
          <w:color w:val="212529"/>
          <w:spacing w:val="-1"/>
        </w:rPr>
        <w:t>*</w:t>
      </w:r>
      <w:r>
        <w:rPr>
          <w:color w:val="212529"/>
          <w:spacing w:val="-1"/>
        </w:rPr>
        <w:t xml:space="preserve"> </w:t>
      </w:r>
      <w:r w:rsidR="00FA4DA9" w:rsidRPr="00805CF0">
        <w:rPr>
          <w:color w:val="212529"/>
          <w:spacing w:val="-1"/>
        </w:rPr>
        <w:t>El comité anticipa que la inflación regresará gradualmente a niveles de 2.0% en los siguientes dos o tres años</w:t>
      </w:r>
      <w:r>
        <w:rPr>
          <w:color w:val="212529"/>
          <w:spacing w:val="-1"/>
        </w:rPr>
        <w:t>.</w:t>
      </w:r>
    </w:p>
    <w:p w:rsidR="00FA4DA9" w:rsidRPr="00805CF0" w:rsidRDefault="007D1F05" w:rsidP="00FA4DA9">
      <w:pPr>
        <w:pStyle w:val="NormalWeb"/>
        <w:shd w:val="clear" w:color="auto" w:fill="FFFFFF"/>
        <w:spacing w:after="270"/>
        <w:jc w:val="both"/>
        <w:rPr>
          <w:color w:val="212529"/>
          <w:spacing w:val="-1"/>
        </w:rPr>
      </w:pPr>
      <w:r w:rsidRPr="00805CF0">
        <w:rPr>
          <w:color w:val="212529"/>
          <w:spacing w:val="-1"/>
        </w:rPr>
        <w:t>*</w:t>
      </w:r>
      <w:r>
        <w:rPr>
          <w:color w:val="212529"/>
          <w:spacing w:val="-1"/>
        </w:rPr>
        <w:t xml:space="preserve"> </w:t>
      </w:r>
      <w:r w:rsidR="00FA4DA9" w:rsidRPr="00805CF0">
        <w:rPr>
          <w:color w:val="212529"/>
          <w:spacing w:val="-1"/>
        </w:rPr>
        <w:t>La baja de los precios de la energía explica la mitad de la baja observada este año en la inflación</w:t>
      </w:r>
      <w:r>
        <w:rPr>
          <w:color w:val="212529"/>
          <w:spacing w:val="-1"/>
        </w:rPr>
        <w:t>.</w:t>
      </w:r>
    </w:p>
    <w:p w:rsidR="00FA4DA9" w:rsidRPr="00805CF0" w:rsidRDefault="007D1F05" w:rsidP="00FA4DA9">
      <w:pPr>
        <w:pStyle w:val="NormalWeb"/>
        <w:shd w:val="clear" w:color="auto" w:fill="FFFFFF"/>
        <w:spacing w:after="270"/>
        <w:jc w:val="both"/>
        <w:rPr>
          <w:color w:val="212529"/>
          <w:spacing w:val="-1"/>
        </w:rPr>
      </w:pPr>
      <w:r w:rsidRPr="00805CF0">
        <w:rPr>
          <w:color w:val="212529"/>
          <w:spacing w:val="-1"/>
        </w:rPr>
        <w:t>*</w:t>
      </w:r>
      <w:r>
        <w:rPr>
          <w:color w:val="212529"/>
          <w:spacing w:val="-1"/>
        </w:rPr>
        <w:t xml:space="preserve"> </w:t>
      </w:r>
      <w:r w:rsidR="00FA4DA9" w:rsidRPr="00805CF0">
        <w:rPr>
          <w:color w:val="212529"/>
          <w:spacing w:val="-1"/>
        </w:rPr>
        <w:t>Otro factor que redujo las presiones este año es la caída de los precios de las importaciones que se atribuye a la apreciación de 15% del dólar</w:t>
      </w:r>
      <w:r>
        <w:rPr>
          <w:color w:val="212529"/>
          <w:spacing w:val="-1"/>
        </w:rPr>
        <w:t>.</w:t>
      </w:r>
    </w:p>
    <w:p w:rsidR="00FA4DA9" w:rsidRPr="00805CF0" w:rsidRDefault="007D1F05" w:rsidP="00FA4DA9">
      <w:pPr>
        <w:pStyle w:val="NormalWeb"/>
        <w:shd w:val="clear" w:color="auto" w:fill="FFFFFF"/>
        <w:spacing w:after="270"/>
        <w:jc w:val="both"/>
        <w:rPr>
          <w:color w:val="212529"/>
          <w:spacing w:val="-1"/>
        </w:rPr>
      </w:pPr>
      <w:r w:rsidRPr="00805CF0">
        <w:rPr>
          <w:color w:val="212529"/>
          <w:spacing w:val="-1"/>
        </w:rPr>
        <w:t>*</w:t>
      </w:r>
      <w:r>
        <w:rPr>
          <w:color w:val="212529"/>
          <w:spacing w:val="-1"/>
        </w:rPr>
        <w:t xml:space="preserve"> </w:t>
      </w:r>
      <w:r w:rsidR="00FA4DA9" w:rsidRPr="00805CF0">
        <w:rPr>
          <w:color w:val="212529"/>
          <w:spacing w:val="-1"/>
        </w:rPr>
        <w:t>Hay un elevado número inusual de personas que están trabajando medio tiempo, pero preferiría que fuera tiempo completo</w:t>
      </w:r>
      <w:r>
        <w:rPr>
          <w:color w:val="212529"/>
          <w:spacing w:val="-1"/>
        </w:rPr>
        <w:t>.</w:t>
      </w:r>
    </w:p>
    <w:p w:rsidR="00FA4DA9" w:rsidRPr="00805CF0" w:rsidRDefault="007D1F05" w:rsidP="00FA4DA9">
      <w:pPr>
        <w:pStyle w:val="NormalWeb"/>
        <w:shd w:val="clear" w:color="auto" w:fill="FFFFFF"/>
        <w:spacing w:after="270"/>
        <w:jc w:val="both"/>
        <w:rPr>
          <w:color w:val="212529"/>
          <w:spacing w:val="-1"/>
        </w:rPr>
      </w:pPr>
      <w:r w:rsidRPr="00805CF0">
        <w:rPr>
          <w:color w:val="212529"/>
          <w:spacing w:val="-1"/>
        </w:rPr>
        <w:t>*</w:t>
      </w:r>
      <w:r>
        <w:rPr>
          <w:color w:val="212529"/>
          <w:spacing w:val="-1"/>
        </w:rPr>
        <w:t xml:space="preserve"> </w:t>
      </w:r>
      <w:r w:rsidR="00FA4DA9" w:rsidRPr="00805CF0">
        <w:rPr>
          <w:color w:val="212529"/>
          <w:spacing w:val="-1"/>
        </w:rPr>
        <w:t>Consistente con esto es el lento crecimiento que muestran los sueldos por hora y las compensaciones, lo que sugiere que para la mayoría de las empresas se les facilita contratar y mantener a los empleados</w:t>
      </w:r>
      <w:r>
        <w:rPr>
          <w:color w:val="212529"/>
          <w:spacing w:val="-1"/>
        </w:rPr>
        <w:t>.</w:t>
      </w:r>
    </w:p>
    <w:p w:rsidR="00FA4DA9" w:rsidRDefault="007D1F05" w:rsidP="00FA4DA9">
      <w:pPr>
        <w:pStyle w:val="NormalWeb"/>
        <w:shd w:val="clear" w:color="auto" w:fill="FFFFFF"/>
        <w:spacing w:after="270"/>
        <w:jc w:val="both"/>
        <w:rPr>
          <w:color w:val="212529"/>
          <w:spacing w:val="-1"/>
        </w:rPr>
      </w:pPr>
      <w:r w:rsidRPr="00805CF0">
        <w:rPr>
          <w:color w:val="212529"/>
          <w:spacing w:val="-1"/>
        </w:rPr>
        <w:t>*</w:t>
      </w:r>
      <w:r>
        <w:rPr>
          <w:color w:val="212529"/>
          <w:spacing w:val="-1"/>
        </w:rPr>
        <w:t xml:space="preserve"> </w:t>
      </w:r>
      <w:r w:rsidR="00FA4DA9" w:rsidRPr="00805CF0">
        <w:rPr>
          <w:color w:val="212529"/>
          <w:spacing w:val="-1"/>
        </w:rPr>
        <w:t>El primer aumento de nuestra tasa objetivo de fondos federales debe tener consecuencias menores para las condiciones financieras y de la economía en general</w:t>
      </w:r>
      <w:r>
        <w:rPr>
          <w:color w:val="212529"/>
          <w:spacing w:val="-1"/>
        </w:rPr>
        <w:t>.</w:t>
      </w:r>
    </w:p>
    <w:p w:rsidR="00FA4DA9" w:rsidRPr="00822CE1" w:rsidRDefault="00FA4DA9" w:rsidP="00FA4DA9">
      <w:pPr>
        <w:pStyle w:val="NormalWeb"/>
        <w:shd w:val="clear" w:color="auto" w:fill="FFFFFF"/>
        <w:spacing w:after="270"/>
        <w:jc w:val="both"/>
        <w:rPr>
          <w:b/>
          <w:color w:val="212529"/>
          <w:spacing w:val="-1"/>
        </w:rPr>
      </w:pPr>
      <w:r w:rsidRPr="00822CE1">
        <w:rPr>
          <w:b/>
          <w:color w:val="212529"/>
          <w:spacing w:val="-1"/>
        </w:rPr>
        <w:t>Frases célebres de Jerome Powell</w:t>
      </w:r>
    </w:p>
    <w:p w:rsidR="00FA4DA9" w:rsidRPr="00805CF0" w:rsidRDefault="007D1F05" w:rsidP="00FA4DA9">
      <w:pPr>
        <w:pStyle w:val="NormalWeb"/>
        <w:shd w:val="clear" w:color="auto" w:fill="FFFFFF"/>
        <w:spacing w:after="270"/>
        <w:jc w:val="both"/>
        <w:rPr>
          <w:color w:val="212529"/>
          <w:spacing w:val="-1"/>
        </w:rPr>
      </w:pPr>
      <w:r>
        <w:rPr>
          <w:color w:val="212529"/>
          <w:spacing w:val="-1"/>
        </w:rPr>
        <w:t>* “</w:t>
      </w:r>
      <w:r w:rsidR="00FA4DA9" w:rsidRPr="00805CF0">
        <w:rPr>
          <w:color w:val="212529"/>
          <w:spacing w:val="-1"/>
        </w:rPr>
        <w:t>No conozco a nadie que retrase sus decisiones de gasto porque espere un d</w:t>
      </w:r>
      <w:r>
        <w:rPr>
          <w:color w:val="212529"/>
          <w:spacing w:val="-1"/>
        </w:rPr>
        <w:t>escenso continuado de precios”</w:t>
      </w:r>
      <w:r w:rsidR="00FA4DA9">
        <w:rPr>
          <w:color w:val="212529"/>
          <w:spacing w:val="-1"/>
        </w:rPr>
        <w:t>.</w:t>
      </w:r>
    </w:p>
    <w:p w:rsidR="00FA4DA9" w:rsidRPr="00805CF0" w:rsidRDefault="007D1F05" w:rsidP="00FA4DA9">
      <w:pPr>
        <w:pStyle w:val="NormalWeb"/>
        <w:shd w:val="clear" w:color="auto" w:fill="FFFFFF"/>
        <w:spacing w:after="270"/>
        <w:jc w:val="both"/>
        <w:rPr>
          <w:color w:val="212529"/>
          <w:spacing w:val="-1"/>
        </w:rPr>
      </w:pPr>
      <w:r>
        <w:rPr>
          <w:color w:val="212529"/>
          <w:spacing w:val="-1"/>
        </w:rPr>
        <w:t>* “</w:t>
      </w:r>
      <w:r w:rsidR="00FA4DA9" w:rsidRPr="00805CF0">
        <w:rPr>
          <w:color w:val="212529"/>
          <w:spacing w:val="-1"/>
        </w:rPr>
        <w:t>Una recuperación económica en USA que dependa del consumo, será USD bajista; si la recuperación se produce por la inversión, llev</w:t>
      </w:r>
      <w:r>
        <w:rPr>
          <w:color w:val="212529"/>
          <w:spacing w:val="-1"/>
        </w:rPr>
        <w:t>ará a una subida de la moneda”</w:t>
      </w:r>
      <w:r w:rsidR="00FA4DA9">
        <w:rPr>
          <w:color w:val="212529"/>
          <w:spacing w:val="-1"/>
        </w:rPr>
        <w:t>.</w:t>
      </w:r>
    </w:p>
    <w:p w:rsidR="00FA4DA9" w:rsidRPr="00805CF0" w:rsidRDefault="007D1F05" w:rsidP="00FA4DA9">
      <w:pPr>
        <w:pStyle w:val="NormalWeb"/>
        <w:shd w:val="clear" w:color="auto" w:fill="FFFFFF"/>
        <w:spacing w:after="270"/>
        <w:jc w:val="both"/>
        <w:rPr>
          <w:color w:val="212529"/>
          <w:spacing w:val="-1"/>
        </w:rPr>
      </w:pPr>
      <w:r>
        <w:rPr>
          <w:color w:val="212529"/>
          <w:spacing w:val="-1"/>
        </w:rPr>
        <w:t>* “</w:t>
      </w:r>
      <w:r w:rsidR="00FA4DA9" w:rsidRPr="00805CF0">
        <w:rPr>
          <w:color w:val="212529"/>
          <w:spacing w:val="-1"/>
        </w:rPr>
        <w:t>Un USD fuerte no significa siempre que la moneda se aprecie. Nos podemos también referir a que sea un buen ins</w:t>
      </w:r>
      <w:r>
        <w:rPr>
          <w:color w:val="212529"/>
          <w:spacing w:val="-1"/>
        </w:rPr>
        <w:t>trumento de pago y de reserva”</w:t>
      </w:r>
      <w:r w:rsidR="00FA4DA9">
        <w:rPr>
          <w:color w:val="212529"/>
          <w:spacing w:val="-1"/>
        </w:rPr>
        <w:t>.</w:t>
      </w:r>
    </w:p>
    <w:p w:rsidR="00FA4DA9" w:rsidRPr="00805CF0" w:rsidRDefault="007D1F05" w:rsidP="00FA4DA9">
      <w:pPr>
        <w:pStyle w:val="NormalWeb"/>
        <w:shd w:val="clear" w:color="auto" w:fill="FFFFFF"/>
        <w:spacing w:after="270"/>
        <w:jc w:val="both"/>
        <w:rPr>
          <w:color w:val="212529"/>
          <w:spacing w:val="-1"/>
        </w:rPr>
      </w:pPr>
      <w:r>
        <w:rPr>
          <w:color w:val="212529"/>
          <w:spacing w:val="-1"/>
        </w:rPr>
        <w:lastRenderedPageBreak/>
        <w:t>* “</w:t>
      </w:r>
      <w:r w:rsidR="00FA4DA9" w:rsidRPr="00805CF0">
        <w:rPr>
          <w:color w:val="212529"/>
          <w:spacing w:val="-1"/>
        </w:rPr>
        <w:t>Está bien mantener una política expansiva en situaciones como la actual, aunque siempre que pongamos límite</w:t>
      </w:r>
      <w:r>
        <w:rPr>
          <w:color w:val="212529"/>
          <w:spacing w:val="-1"/>
        </w:rPr>
        <w:t>s por el lado de los gastos”</w:t>
      </w:r>
      <w:r w:rsidR="00FA4DA9">
        <w:rPr>
          <w:color w:val="212529"/>
          <w:spacing w:val="-1"/>
        </w:rPr>
        <w:t>.</w:t>
      </w:r>
    </w:p>
    <w:p w:rsidR="00FA4DA9" w:rsidRPr="00805CF0" w:rsidRDefault="007D1F05" w:rsidP="00FA4DA9">
      <w:pPr>
        <w:pStyle w:val="NormalWeb"/>
        <w:shd w:val="clear" w:color="auto" w:fill="FFFFFF"/>
        <w:spacing w:after="270"/>
        <w:jc w:val="both"/>
        <w:rPr>
          <w:color w:val="212529"/>
          <w:spacing w:val="-1"/>
        </w:rPr>
      </w:pPr>
      <w:r>
        <w:rPr>
          <w:color w:val="212529"/>
          <w:spacing w:val="-1"/>
        </w:rPr>
        <w:t>* “</w:t>
      </w:r>
      <w:r w:rsidR="00FA4DA9" w:rsidRPr="00805CF0">
        <w:rPr>
          <w:color w:val="212529"/>
          <w:spacing w:val="-1"/>
        </w:rPr>
        <w:t>No hace falta aumentar el carácter expansivo de la política económica: es sólo cuestión de tiempo que la e</w:t>
      </w:r>
      <w:r>
        <w:rPr>
          <w:color w:val="212529"/>
          <w:spacing w:val="-1"/>
        </w:rPr>
        <w:t>conomía se recupere por si sola”</w:t>
      </w:r>
      <w:r w:rsidR="00FA4DA9" w:rsidRPr="00805CF0">
        <w:rPr>
          <w:color w:val="212529"/>
          <w:spacing w:val="-1"/>
        </w:rPr>
        <w:t xml:space="preserve"> (fue </w:t>
      </w:r>
      <w:r w:rsidR="00FA4DA9">
        <w:rPr>
          <w:color w:val="212529"/>
          <w:spacing w:val="-1"/>
        </w:rPr>
        <w:t>dicha hace más de siete meses).</w:t>
      </w:r>
    </w:p>
    <w:p w:rsidR="00FA4DA9" w:rsidRPr="00805CF0" w:rsidRDefault="007D1F05" w:rsidP="00FA4DA9">
      <w:pPr>
        <w:pStyle w:val="NormalWeb"/>
        <w:shd w:val="clear" w:color="auto" w:fill="FFFFFF"/>
        <w:spacing w:after="270"/>
        <w:jc w:val="both"/>
        <w:rPr>
          <w:color w:val="212529"/>
          <w:spacing w:val="-1"/>
        </w:rPr>
      </w:pPr>
      <w:r>
        <w:rPr>
          <w:color w:val="212529"/>
          <w:spacing w:val="-1"/>
        </w:rPr>
        <w:t>* “</w:t>
      </w:r>
      <w:r w:rsidR="00FA4DA9" w:rsidRPr="00805CF0">
        <w:rPr>
          <w:color w:val="212529"/>
          <w:spacing w:val="-1"/>
        </w:rPr>
        <w:t>Los tipos de interés no son la panacea que cura todos los males. Partiendo de los bajos tipos actuales, hay que sentar las bases mediante reformas estructurales para q</w:t>
      </w:r>
      <w:r>
        <w:rPr>
          <w:color w:val="212529"/>
          <w:spacing w:val="-1"/>
        </w:rPr>
        <w:t>ue la recuperación sea sólida”</w:t>
      </w:r>
      <w:r w:rsidR="00FA4DA9">
        <w:rPr>
          <w:color w:val="212529"/>
          <w:spacing w:val="-1"/>
        </w:rPr>
        <w:t>.</w:t>
      </w:r>
    </w:p>
    <w:p w:rsidR="00FA4DA9" w:rsidRPr="00805CF0" w:rsidRDefault="007D1F05" w:rsidP="00FA4DA9">
      <w:pPr>
        <w:pStyle w:val="NormalWeb"/>
        <w:shd w:val="clear" w:color="auto" w:fill="FFFFFF"/>
        <w:spacing w:after="270"/>
        <w:jc w:val="both"/>
        <w:rPr>
          <w:color w:val="212529"/>
          <w:spacing w:val="-1"/>
        </w:rPr>
      </w:pPr>
      <w:r>
        <w:rPr>
          <w:color w:val="212529"/>
          <w:spacing w:val="-1"/>
        </w:rPr>
        <w:t>* “</w:t>
      </w:r>
      <w:r w:rsidR="00FA4DA9" w:rsidRPr="00805CF0">
        <w:rPr>
          <w:color w:val="212529"/>
          <w:spacing w:val="-1"/>
        </w:rPr>
        <w:t>Como cualquier otro mercado, los precios de las bolsas son el resultado del cruce entre la oferta y la demanda. Conseguir que las bolsas suban es lo mismo que aumentar en té</w:t>
      </w:r>
      <w:r>
        <w:rPr>
          <w:color w:val="212529"/>
          <w:spacing w:val="-1"/>
        </w:rPr>
        <w:t>rminos relativos a la demanda”</w:t>
      </w:r>
      <w:r w:rsidR="00FA4DA9">
        <w:rPr>
          <w:color w:val="212529"/>
          <w:spacing w:val="-1"/>
        </w:rPr>
        <w:t>.</w:t>
      </w:r>
    </w:p>
    <w:p w:rsidR="00FA4DA9" w:rsidRPr="00805CF0" w:rsidRDefault="007D1F05" w:rsidP="00FA4DA9">
      <w:pPr>
        <w:pStyle w:val="NormalWeb"/>
        <w:shd w:val="clear" w:color="auto" w:fill="FFFFFF"/>
        <w:spacing w:after="270"/>
        <w:jc w:val="both"/>
        <w:rPr>
          <w:color w:val="212529"/>
          <w:spacing w:val="-1"/>
        </w:rPr>
      </w:pPr>
      <w:r>
        <w:rPr>
          <w:color w:val="212529"/>
          <w:spacing w:val="-1"/>
        </w:rPr>
        <w:t>* “</w:t>
      </w:r>
      <w:r w:rsidR="00FA4DA9" w:rsidRPr="00805CF0">
        <w:rPr>
          <w:color w:val="212529"/>
          <w:spacing w:val="-1"/>
        </w:rPr>
        <w:t>Si uno viniera de Marte y viera los bajos tipos de interés de la deuda, nivel bajo de existencias empresariales, un USD débil y los niveles de desempleo, probablemente pensaría que la economía U</w:t>
      </w:r>
      <w:r>
        <w:rPr>
          <w:color w:val="212529"/>
          <w:spacing w:val="-1"/>
        </w:rPr>
        <w:t>SA está preparada para crecer”</w:t>
      </w:r>
      <w:r w:rsidR="00FA4DA9">
        <w:rPr>
          <w:color w:val="212529"/>
          <w:spacing w:val="-1"/>
        </w:rPr>
        <w:t>.</w:t>
      </w:r>
    </w:p>
    <w:p w:rsidR="00FA4DA9" w:rsidRDefault="007D1F05" w:rsidP="00FA4DA9">
      <w:pPr>
        <w:pStyle w:val="NormalWeb"/>
        <w:shd w:val="clear" w:color="auto" w:fill="FFFFFF"/>
        <w:spacing w:after="270"/>
        <w:jc w:val="both"/>
        <w:rPr>
          <w:color w:val="212529"/>
          <w:spacing w:val="-1"/>
        </w:rPr>
      </w:pPr>
      <w:r>
        <w:rPr>
          <w:color w:val="212529"/>
          <w:spacing w:val="-1"/>
        </w:rPr>
        <w:t>* “</w:t>
      </w:r>
      <w:r w:rsidR="00FA4DA9" w:rsidRPr="00805CF0">
        <w:rPr>
          <w:color w:val="212529"/>
          <w:spacing w:val="-1"/>
        </w:rPr>
        <w:t>No es preocupante el nivel actual del USD, aunque sí la ve</w:t>
      </w:r>
      <w:r>
        <w:rPr>
          <w:color w:val="212529"/>
          <w:spacing w:val="-1"/>
        </w:rPr>
        <w:t>locidad con que se ha alcanzado”</w:t>
      </w:r>
      <w:r w:rsidR="00FA4DA9" w:rsidRPr="00805CF0">
        <w:rPr>
          <w:color w:val="212529"/>
          <w:spacing w:val="-1"/>
        </w:rPr>
        <w:t>.</w:t>
      </w:r>
    </w:p>
    <w:p w:rsidR="00FA4DA9" w:rsidRPr="00805CF0" w:rsidRDefault="007D1F05" w:rsidP="00FA4DA9">
      <w:pPr>
        <w:pStyle w:val="NormalWeb"/>
        <w:shd w:val="clear" w:color="auto" w:fill="FFFFFF"/>
        <w:spacing w:after="270"/>
        <w:jc w:val="both"/>
        <w:rPr>
          <w:color w:val="212529"/>
          <w:spacing w:val="-1"/>
        </w:rPr>
      </w:pPr>
      <w:r>
        <w:rPr>
          <w:color w:val="212529"/>
          <w:spacing w:val="-1"/>
        </w:rPr>
        <w:t>* “</w:t>
      </w:r>
      <w:r w:rsidR="00FA4DA9" w:rsidRPr="00805CF0">
        <w:rPr>
          <w:color w:val="212529"/>
          <w:spacing w:val="-1"/>
        </w:rPr>
        <w:t>Hay dos clases de analistas en los mercados: aquellos que justifican y comparten a posteriori la evolución de los mercados y los que se ven obligados a asumirla aunque sin compartirla. Sin duda, el siguiente movimiento brusco de los mercados</w:t>
      </w:r>
      <w:r w:rsidR="00FA4DA9">
        <w:rPr>
          <w:color w:val="212529"/>
          <w:spacing w:val="-1"/>
        </w:rPr>
        <w:t xml:space="preserve"> dará la razón a l</w:t>
      </w:r>
      <w:r>
        <w:rPr>
          <w:color w:val="212529"/>
          <w:spacing w:val="-1"/>
        </w:rPr>
        <w:t>os segundos”</w:t>
      </w:r>
      <w:r w:rsidR="00FA4DA9">
        <w:rPr>
          <w:color w:val="212529"/>
          <w:spacing w:val="-1"/>
        </w:rPr>
        <w:t>.</w:t>
      </w:r>
    </w:p>
    <w:p w:rsidR="00FA4DA9" w:rsidRPr="00805CF0" w:rsidRDefault="006B1F0A" w:rsidP="00FA4DA9">
      <w:pPr>
        <w:pStyle w:val="NormalWeb"/>
        <w:shd w:val="clear" w:color="auto" w:fill="FFFFFF"/>
        <w:spacing w:after="270"/>
        <w:jc w:val="both"/>
        <w:rPr>
          <w:color w:val="212529"/>
          <w:spacing w:val="-1"/>
        </w:rPr>
      </w:pPr>
      <w:r>
        <w:rPr>
          <w:color w:val="212529"/>
          <w:spacing w:val="-1"/>
        </w:rPr>
        <w:t>* “</w:t>
      </w:r>
      <w:r w:rsidR="00FA4DA9" w:rsidRPr="00805CF0">
        <w:rPr>
          <w:color w:val="212529"/>
          <w:spacing w:val="-1"/>
        </w:rPr>
        <w:t xml:space="preserve">Los mercados se alimentan de expectativas, aunque con demasiada frecuencia éstas son más tarde superadas por la avaricia </w:t>
      </w:r>
      <w:r>
        <w:rPr>
          <w:color w:val="212529"/>
          <w:spacing w:val="-1"/>
        </w:rPr>
        <w:t>lo que puede llevar a excesos”</w:t>
      </w:r>
      <w:r w:rsidR="00FA4DA9">
        <w:rPr>
          <w:color w:val="212529"/>
          <w:spacing w:val="-1"/>
        </w:rPr>
        <w:t>.</w:t>
      </w:r>
    </w:p>
    <w:p w:rsidR="00FA4DA9" w:rsidRPr="00805CF0" w:rsidRDefault="007D1F05" w:rsidP="00FA4DA9">
      <w:pPr>
        <w:pStyle w:val="NormalWeb"/>
        <w:shd w:val="clear" w:color="auto" w:fill="FFFFFF"/>
        <w:spacing w:after="270"/>
        <w:jc w:val="both"/>
        <w:rPr>
          <w:color w:val="212529"/>
          <w:spacing w:val="-1"/>
        </w:rPr>
      </w:pPr>
      <w:r>
        <w:rPr>
          <w:color w:val="212529"/>
          <w:spacing w:val="-1"/>
        </w:rPr>
        <w:t>* “</w:t>
      </w:r>
      <w:r w:rsidR="00FA4DA9" w:rsidRPr="00805CF0">
        <w:rPr>
          <w:color w:val="212529"/>
          <w:spacing w:val="-1"/>
        </w:rPr>
        <w:t>La deuda y la bolsa son activos alternativos en situaciones normales. Pero é</w:t>
      </w:r>
      <w:r w:rsidR="00FA4DA9">
        <w:rPr>
          <w:color w:val="212529"/>
          <w:spacing w:val="-1"/>
        </w:rPr>
        <w:t xml:space="preserve">sta no </w:t>
      </w:r>
      <w:r>
        <w:rPr>
          <w:color w:val="212529"/>
          <w:spacing w:val="-1"/>
        </w:rPr>
        <w:t>es una situación normal”.</w:t>
      </w:r>
    </w:p>
    <w:p w:rsidR="00FA4DA9" w:rsidRDefault="00FA4DA9" w:rsidP="00FA4DA9">
      <w:pPr>
        <w:pStyle w:val="NormalWeb"/>
        <w:shd w:val="clear" w:color="auto" w:fill="FFFFFF"/>
        <w:spacing w:after="270"/>
        <w:jc w:val="both"/>
        <w:rPr>
          <w:color w:val="212529"/>
          <w:spacing w:val="-1"/>
        </w:rPr>
      </w:pPr>
      <w:r w:rsidRPr="00805CF0">
        <w:rPr>
          <w:color w:val="212529"/>
          <w:spacing w:val="-1"/>
        </w:rPr>
        <w:t>Y por último,</w:t>
      </w:r>
      <w:r>
        <w:rPr>
          <w:color w:val="212529"/>
          <w:spacing w:val="-1"/>
        </w:rPr>
        <w:t xml:space="preserve"> </w:t>
      </w:r>
      <w:r w:rsidR="007D1F05">
        <w:rPr>
          <w:color w:val="212529"/>
          <w:spacing w:val="-1"/>
        </w:rPr>
        <w:t>una tradicional: “</w:t>
      </w:r>
      <w:r w:rsidRPr="00805CF0">
        <w:rPr>
          <w:color w:val="212529"/>
          <w:spacing w:val="-1"/>
        </w:rPr>
        <w:t>los mercados nunca se equivocan, sino que evolucionan en función de la informa</w:t>
      </w:r>
      <w:r w:rsidR="007D1F05">
        <w:rPr>
          <w:color w:val="212529"/>
          <w:spacing w:val="-1"/>
        </w:rPr>
        <w:t>ción disponible en cada momento”</w:t>
      </w:r>
      <w:r w:rsidRPr="00805CF0">
        <w:rPr>
          <w:color w:val="212529"/>
          <w:spacing w:val="-1"/>
        </w:rPr>
        <w:t>. Pues eso.</w:t>
      </w:r>
    </w:p>
    <w:p w:rsidR="00FA4DA9" w:rsidRPr="005214A2" w:rsidRDefault="00FA4DA9" w:rsidP="00FA4DA9">
      <w:pPr>
        <w:pStyle w:val="NormalWeb"/>
        <w:shd w:val="clear" w:color="auto" w:fill="FFFFFF"/>
        <w:spacing w:after="270"/>
        <w:jc w:val="both"/>
        <w:rPr>
          <w:color w:val="212529"/>
          <w:spacing w:val="-1"/>
        </w:rPr>
      </w:pPr>
      <w:r w:rsidRPr="005214A2">
        <w:rPr>
          <w:color w:val="212529"/>
          <w:spacing w:val="-1"/>
        </w:rPr>
        <w:t>El presidente de la Reserva Federal de los Estados Unidos, Jerome Powell, pro</w:t>
      </w:r>
      <w:r w:rsidR="007D1F05">
        <w:rPr>
          <w:color w:val="212529"/>
          <w:spacing w:val="-1"/>
        </w:rPr>
        <w:t xml:space="preserve">nunció </w:t>
      </w:r>
      <w:r w:rsidRPr="005214A2">
        <w:rPr>
          <w:color w:val="212529"/>
          <w:spacing w:val="-1"/>
        </w:rPr>
        <w:t>el discurso central del retiro anual que el banco central del país lleva a cabo todos los añ</w:t>
      </w:r>
      <w:r>
        <w:rPr>
          <w:color w:val="212529"/>
          <w:spacing w:val="-1"/>
        </w:rPr>
        <w:t>os en Jackson Hole, en Wyoming.</w:t>
      </w:r>
    </w:p>
    <w:p w:rsidR="00FA4DA9" w:rsidRPr="005214A2" w:rsidRDefault="00FA4DA9" w:rsidP="00FA4DA9">
      <w:pPr>
        <w:pStyle w:val="NormalWeb"/>
        <w:shd w:val="clear" w:color="auto" w:fill="FFFFFF"/>
        <w:spacing w:after="270"/>
        <w:jc w:val="both"/>
        <w:rPr>
          <w:color w:val="212529"/>
          <w:spacing w:val="-1"/>
        </w:rPr>
      </w:pPr>
      <w:r w:rsidRPr="005214A2">
        <w:rPr>
          <w:color w:val="212529"/>
          <w:spacing w:val="-1"/>
        </w:rPr>
        <w:t xml:space="preserve">En su pronunciamiento dijo que comparte la opinión de la mayoría de los participantes del Comité de Operaciones de Mercado Abierto (FOMC, por sus siglas en inglés) de que si la economía evolucionaba, “podría ser apropiado comenzar a reducir el ritmo </w:t>
      </w:r>
      <w:r>
        <w:rPr>
          <w:color w:val="212529"/>
          <w:spacing w:val="-1"/>
        </w:rPr>
        <w:t>de compra de activos este año”.</w:t>
      </w:r>
    </w:p>
    <w:p w:rsidR="00FA4DA9" w:rsidRPr="005214A2" w:rsidRDefault="00FA4DA9" w:rsidP="00FA4DA9">
      <w:pPr>
        <w:pStyle w:val="NormalWeb"/>
        <w:shd w:val="clear" w:color="auto" w:fill="FFFFFF"/>
        <w:spacing w:after="270"/>
        <w:jc w:val="both"/>
        <w:rPr>
          <w:color w:val="212529"/>
          <w:spacing w:val="-1"/>
        </w:rPr>
      </w:pPr>
      <w:r w:rsidRPr="005214A2">
        <w:rPr>
          <w:color w:val="212529"/>
          <w:spacing w:val="-1"/>
        </w:rPr>
        <w:t>Precisamente, el foco de atención estaba puesto en cualquier comentario que pudiera hacer sobre el futuro del programa de compra de bonos de US$</w:t>
      </w:r>
      <w:r w:rsidR="007D1F05">
        <w:rPr>
          <w:color w:val="212529"/>
          <w:spacing w:val="-1"/>
        </w:rPr>
        <w:t xml:space="preserve"> </w:t>
      </w:r>
      <w:r w:rsidRPr="005214A2">
        <w:rPr>
          <w:color w:val="212529"/>
          <w:spacing w:val="-1"/>
        </w:rPr>
        <w:t>120.000 millones al mes. En su reunión del 27-28 de julio, la mayoría de los responsables de la política monetaria consideraron que probablemente sería apropiado empezar a reducir esas compras este año,</w:t>
      </w:r>
      <w:r>
        <w:rPr>
          <w:color w:val="212529"/>
          <w:spacing w:val="-1"/>
        </w:rPr>
        <w:t xml:space="preserve"> según las actas de la reunión.</w:t>
      </w:r>
    </w:p>
    <w:p w:rsidR="00FA4DA9" w:rsidRPr="005214A2" w:rsidRDefault="00FA4DA9" w:rsidP="00FA4DA9">
      <w:pPr>
        <w:pStyle w:val="NormalWeb"/>
        <w:shd w:val="clear" w:color="auto" w:fill="FFFFFF"/>
        <w:spacing w:after="270"/>
        <w:jc w:val="both"/>
        <w:rPr>
          <w:color w:val="212529"/>
          <w:spacing w:val="-1"/>
        </w:rPr>
      </w:pPr>
      <w:r>
        <w:rPr>
          <w:color w:val="212529"/>
          <w:spacing w:val="-1"/>
        </w:rPr>
        <w:lastRenderedPageBreak/>
        <w:t>Inflación:</w:t>
      </w:r>
    </w:p>
    <w:p w:rsidR="00FA4DA9" w:rsidRPr="005214A2" w:rsidRDefault="007D1F05" w:rsidP="00FA4DA9">
      <w:pPr>
        <w:pStyle w:val="NormalWeb"/>
        <w:shd w:val="clear" w:color="auto" w:fill="FFFFFF"/>
        <w:spacing w:after="270"/>
        <w:jc w:val="both"/>
        <w:rPr>
          <w:color w:val="212529"/>
          <w:spacing w:val="-1"/>
        </w:rPr>
      </w:pPr>
      <w:r w:rsidRPr="00805CF0">
        <w:rPr>
          <w:color w:val="212529"/>
          <w:spacing w:val="-1"/>
        </w:rPr>
        <w:t>*</w:t>
      </w:r>
      <w:r w:rsidRPr="005214A2">
        <w:rPr>
          <w:color w:val="212529"/>
          <w:spacing w:val="-1"/>
        </w:rPr>
        <w:t xml:space="preserve"> </w:t>
      </w:r>
      <w:r w:rsidR="00FA4DA9" w:rsidRPr="005214A2">
        <w:rPr>
          <w:color w:val="212529"/>
          <w:spacing w:val="-1"/>
        </w:rPr>
        <w:t>“La rápida reapertura de la economía ha provocado un b</w:t>
      </w:r>
      <w:r w:rsidR="00FA4DA9">
        <w:rPr>
          <w:color w:val="212529"/>
          <w:spacing w:val="-1"/>
        </w:rPr>
        <w:t>rusco aumento de la inflación”.</w:t>
      </w:r>
    </w:p>
    <w:p w:rsidR="00FA4DA9" w:rsidRPr="005214A2" w:rsidRDefault="007D1F05" w:rsidP="00FA4DA9">
      <w:pPr>
        <w:pStyle w:val="NormalWeb"/>
        <w:shd w:val="clear" w:color="auto" w:fill="FFFFFF"/>
        <w:spacing w:after="270"/>
        <w:jc w:val="both"/>
        <w:rPr>
          <w:color w:val="212529"/>
          <w:spacing w:val="-1"/>
        </w:rPr>
      </w:pPr>
      <w:r w:rsidRPr="00805CF0">
        <w:rPr>
          <w:color w:val="212529"/>
          <w:spacing w:val="-1"/>
        </w:rPr>
        <w:t>*</w:t>
      </w:r>
      <w:r w:rsidRPr="005214A2">
        <w:rPr>
          <w:color w:val="212529"/>
          <w:spacing w:val="-1"/>
        </w:rPr>
        <w:t xml:space="preserve"> </w:t>
      </w:r>
      <w:r w:rsidR="00FA4DA9" w:rsidRPr="005214A2">
        <w:rPr>
          <w:color w:val="212529"/>
          <w:spacing w:val="-1"/>
        </w:rPr>
        <w:t>“La inflación en estos niveles es, por supuesto, un motivo de preocupación. Pero esa preocupación se ve atenuada por una serie de factores que sugieren que estas lecturas elevadas prob</w:t>
      </w:r>
      <w:r w:rsidR="00FA4DA9">
        <w:rPr>
          <w:color w:val="212529"/>
          <w:spacing w:val="-1"/>
        </w:rPr>
        <w:t>ablemente resulten temporales”.</w:t>
      </w:r>
    </w:p>
    <w:p w:rsidR="00FA4DA9" w:rsidRPr="005214A2" w:rsidRDefault="007D1F05" w:rsidP="00FA4DA9">
      <w:pPr>
        <w:pStyle w:val="NormalWeb"/>
        <w:shd w:val="clear" w:color="auto" w:fill="FFFFFF"/>
        <w:spacing w:after="270"/>
        <w:jc w:val="both"/>
        <w:rPr>
          <w:color w:val="212529"/>
          <w:spacing w:val="-1"/>
        </w:rPr>
      </w:pPr>
      <w:r w:rsidRPr="00805CF0">
        <w:rPr>
          <w:color w:val="212529"/>
          <w:spacing w:val="-1"/>
        </w:rPr>
        <w:t>*</w:t>
      </w:r>
      <w:r w:rsidRPr="005214A2">
        <w:rPr>
          <w:color w:val="212529"/>
          <w:spacing w:val="-1"/>
        </w:rPr>
        <w:t xml:space="preserve"> </w:t>
      </w:r>
      <w:r w:rsidR="00FA4DA9" w:rsidRPr="005214A2">
        <w:rPr>
          <w:color w:val="212529"/>
          <w:spacing w:val="-1"/>
        </w:rPr>
        <w:t xml:space="preserve">“Parece poco probable que la inflación de los bienes duraderos continúe contribuyendo de manera importante con el </w:t>
      </w:r>
      <w:r w:rsidR="00FA4DA9">
        <w:rPr>
          <w:color w:val="212529"/>
          <w:spacing w:val="-1"/>
        </w:rPr>
        <w:t>tiempo a la inflación general”.</w:t>
      </w:r>
    </w:p>
    <w:p w:rsidR="00FA4DA9" w:rsidRPr="005214A2" w:rsidRDefault="007D1F05" w:rsidP="00FA4DA9">
      <w:pPr>
        <w:pStyle w:val="NormalWeb"/>
        <w:shd w:val="clear" w:color="auto" w:fill="FFFFFF"/>
        <w:spacing w:after="270"/>
        <w:jc w:val="both"/>
        <w:rPr>
          <w:color w:val="212529"/>
          <w:spacing w:val="-1"/>
        </w:rPr>
      </w:pPr>
      <w:r w:rsidRPr="00805CF0">
        <w:rPr>
          <w:color w:val="212529"/>
          <w:spacing w:val="-1"/>
        </w:rPr>
        <w:t>*</w:t>
      </w:r>
      <w:r w:rsidRPr="005214A2">
        <w:rPr>
          <w:color w:val="212529"/>
          <w:spacing w:val="-1"/>
        </w:rPr>
        <w:t xml:space="preserve"> </w:t>
      </w:r>
      <w:r w:rsidR="00FA4DA9" w:rsidRPr="005214A2">
        <w:rPr>
          <w:color w:val="212529"/>
          <w:spacing w:val="-1"/>
        </w:rPr>
        <w:t>“Monitoreamos cuidadosamente una amplia gama de indicadores de expectativas de inflación a más largo plazo. En la actualidad, estas medidas se encuentran en niveles ampliamente consistentes</w:t>
      </w:r>
      <w:r w:rsidR="00FA4DA9">
        <w:rPr>
          <w:color w:val="212529"/>
          <w:spacing w:val="-1"/>
        </w:rPr>
        <w:t xml:space="preserve"> con nuestro objetivo del 2 %”.</w:t>
      </w:r>
    </w:p>
    <w:p w:rsidR="00FA4DA9" w:rsidRPr="005214A2" w:rsidRDefault="00FA4DA9" w:rsidP="00FA4DA9">
      <w:pPr>
        <w:pStyle w:val="NormalWeb"/>
        <w:shd w:val="clear" w:color="auto" w:fill="FFFFFF"/>
        <w:spacing w:after="270"/>
        <w:jc w:val="both"/>
        <w:rPr>
          <w:color w:val="212529"/>
          <w:spacing w:val="-1"/>
        </w:rPr>
      </w:pPr>
      <w:r w:rsidRPr="005214A2">
        <w:rPr>
          <w:color w:val="212529"/>
          <w:spacing w:val="-1"/>
        </w:rPr>
        <w:t>Alza de tasas clave:</w:t>
      </w:r>
    </w:p>
    <w:p w:rsidR="00FA4DA9" w:rsidRPr="005214A2" w:rsidRDefault="007D1F05" w:rsidP="00FA4DA9">
      <w:pPr>
        <w:pStyle w:val="NormalWeb"/>
        <w:shd w:val="clear" w:color="auto" w:fill="FFFFFF"/>
        <w:spacing w:after="270"/>
        <w:jc w:val="both"/>
        <w:rPr>
          <w:color w:val="212529"/>
          <w:spacing w:val="-1"/>
        </w:rPr>
      </w:pPr>
      <w:r w:rsidRPr="00805CF0">
        <w:rPr>
          <w:color w:val="212529"/>
          <w:spacing w:val="-1"/>
        </w:rPr>
        <w:t>*</w:t>
      </w:r>
      <w:r w:rsidRPr="005214A2">
        <w:rPr>
          <w:color w:val="212529"/>
          <w:spacing w:val="-1"/>
        </w:rPr>
        <w:t xml:space="preserve"> </w:t>
      </w:r>
      <w:r w:rsidR="00FA4DA9" w:rsidRPr="005214A2">
        <w:rPr>
          <w:color w:val="212529"/>
          <w:spacing w:val="-1"/>
        </w:rPr>
        <w:t>“El momento y el ritmo de la próxima reducción en las compras de activos no pretenderán llevar una señal directa con respecto al momento del despegue de las tasas de interés, para lo cual hemos articulado una prueba diferente y sustancialmente más estricta”.</w:t>
      </w:r>
    </w:p>
    <w:p w:rsidR="00FA4DA9" w:rsidRPr="005214A2" w:rsidRDefault="007D1F05" w:rsidP="00FA4DA9">
      <w:pPr>
        <w:pStyle w:val="NormalWeb"/>
        <w:shd w:val="clear" w:color="auto" w:fill="FFFFFF"/>
        <w:spacing w:after="270"/>
        <w:jc w:val="both"/>
        <w:rPr>
          <w:color w:val="212529"/>
          <w:spacing w:val="-1"/>
        </w:rPr>
      </w:pPr>
      <w:r w:rsidRPr="00805CF0">
        <w:rPr>
          <w:color w:val="212529"/>
          <w:spacing w:val="-1"/>
        </w:rPr>
        <w:t>*</w:t>
      </w:r>
      <w:r w:rsidRPr="005214A2">
        <w:rPr>
          <w:color w:val="212529"/>
          <w:spacing w:val="-1"/>
        </w:rPr>
        <w:t xml:space="preserve"> </w:t>
      </w:r>
      <w:r w:rsidR="00FA4DA9" w:rsidRPr="005214A2">
        <w:rPr>
          <w:color w:val="212529"/>
          <w:spacing w:val="-1"/>
        </w:rPr>
        <w:t>“Hemos dicho que continuaremos manteniendo el rango meta para la tasa de fondos federales en su nivel actual hasta que la economía alcance condiciones consistentes con el empleo máximo, y la inflación haya alcanzado el 2% y esté en camino de exceder moderadamen</w:t>
      </w:r>
      <w:r w:rsidR="00FA4DA9">
        <w:rPr>
          <w:color w:val="212529"/>
          <w:spacing w:val="-1"/>
        </w:rPr>
        <w:t>te el 2% durante algún tiempo”.</w:t>
      </w:r>
    </w:p>
    <w:p w:rsidR="00FA4DA9" w:rsidRPr="005214A2" w:rsidRDefault="00FA4DA9" w:rsidP="00FA4DA9">
      <w:pPr>
        <w:pStyle w:val="NormalWeb"/>
        <w:shd w:val="clear" w:color="auto" w:fill="FFFFFF"/>
        <w:spacing w:after="270"/>
        <w:jc w:val="both"/>
        <w:rPr>
          <w:color w:val="212529"/>
          <w:spacing w:val="-1"/>
        </w:rPr>
      </w:pPr>
      <w:r w:rsidRPr="005214A2">
        <w:rPr>
          <w:color w:val="212529"/>
          <w:spacing w:val="-1"/>
        </w:rPr>
        <w:t>Reducción de compras de activo</w:t>
      </w:r>
      <w:r>
        <w:rPr>
          <w:color w:val="212529"/>
          <w:spacing w:val="-1"/>
        </w:rPr>
        <w:t>s:</w:t>
      </w:r>
    </w:p>
    <w:p w:rsidR="00FA4DA9" w:rsidRPr="005214A2" w:rsidRDefault="007D1F05" w:rsidP="00FA4DA9">
      <w:pPr>
        <w:pStyle w:val="NormalWeb"/>
        <w:shd w:val="clear" w:color="auto" w:fill="FFFFFF"/>
        <w:spacing w:after="270"/>
        <w:jc w:val="both"/>
        <w:rPr>
          <w:color w:val="212529"/>
          <w:spacing w:val="-1"/>
        </w:rPr>
      </w:pPr>
      <w:r w:rsidRPr="00805CF0">
        <w:rPr>
          <w:color w:val="212529"/>
          <w:spacing w:val="-1"/>
        </w:rPr>
        <w:t>*</w:t>
      </w:r>
      <w:r w:rsidRPr="005214A2">
        <w:rPr>
          <w:color w:val="212529"/>
          <w:spacing w:val="-1"/>
        </w:rPr>
        <w:t xml:space="preserve"> </w:t>
      </w:r>
      <w:r w:rsidR="00FA4DA9" w:rsidRPr="005214A2">
        <w:rPr>
          <w:color w:val="212529"/>
          <w:spacing w:val="-1"/>
        </w:rPr>
        <w:t>“Hemos dicho que continuaríamos con nuestras compras de activos al ritmo actual hasta que veamos un progreso sustancial adicional hacia nuestros objetivos máximos de e</w:t>
      </w:r>
      <w:r w:rsidR="00FA4DA9">
        <w:rPr>
          <w:color w:val="212529"/>
          <w:spacing w:val="-1"/>
        </w:rPr>
        <w:t>mpleo y estabilidad de precios”</w:t>
      </w:r>
    </w:p>
    <w:p w:rsidR="00FA4DA9" w:rsidRPr="005214A2" w:rsidRDefault="007D1F05" w:rsidP="00FA4DA9">
      <w:pPr>
        <w:pStyle w:val="NormalWeb"/>
        <w:shd w:val="clear" w:color="auto" w:fill="FFFFFF"/>
        <w:spacing w:after="270"/>
        <w:jc w:val="both"/>
        <w:rPr>
          <w:color w:val="212529"/>
          <w:spacing w:val="-1"/>
        </w:rPr>
      </w:pPr>
      <w:r w:rsidRPr="00805CF0">
        <w:rPr>
          <w:color w:val="212529"/>
          <w:spacing w:val="-1"/>
        </w:rPr>
        <w:t>*</w:t>
      </w:r>
      <w:r w:rsidRPr="005214A2">
        <w:rPr>
          <w:color w:val="212529"/>
          <w:spacing w:val="-1"/>
        </w:rPr>
        <w:t xml:space="preserve"> </w:t>
      </w:r>
      <w:r w:rsidR="00FA4DA9" w:rsidRPr="005214A2">
        <w:rPr>
          <w:color w:val="212529"/>
          <w:spacing w:val="-1"/>
        </w:rPr>
        <w:t xml:space="preserve">“En la reciente reunión del FOMC en julio, yo opinaba, al igual que la mayoría de los participantes, que si la economía evolucionaba ampliamente como se anticipó, podría ser apropiado comenzar a reducir el ritmo </w:t>
      </w:r>
      <w:r w:rsidR="00FA4DA9">
        <w:rPr>
          <w:color w:val="212529"/>
          <w:spacing w:val="-1"/>
        </w:rPr>
        <w:t>de compra de activos este año”.</w:t>
      </w:r>
    </w:p>
    <w:p w:rsidR="00FA4DA9" w:rsidRPr="005214A2" w:rsidRDefault="007D1F05" w:rsidP="00FA4DA9">
      <w:pPr>
        <w:pStyle w:val="NormalWeb"/>
        <w:shd w:val="clear" w:color="auto" w:fill="FFFFFF"/>
        <w:spacing w:after="270"/>
        <w:jc w:val="both"/>
        <w:rPr>
          <w:color w:val="212529"/>
          <w:spacing w:val="-1"/>
        </w:rPr>
      </w:pPr>
      <w:r w:rsidRPr="00805CF0">
        <w:rPr>
          <w:color w:val="212529"/>
          <w:spacing w:val="-1"/>
        </w:rPr>
        <w:t>*</w:t>
      </w:r>
      <w:r w:rsidRPr="005214A2">
        <w:rPr>
          <w:color w:val="212529"/>
          <w:spacing w:val="-1"/>
        </w:rPr>
        <w:t xml:space="preserve"> </w:t>
      </w:r>
      <w:r w:rsidR="00FA4DA9" w:rsidRPr="005214A2">
        <w:rPr>
          <w:color w:val="212529"/>
          <w:spacing w:val="-1"/>
        </w:rPr>
        <w:t>“Ha habido un claro pr</w:t>
      </w:r>
      <w:r w:rsidR="00FA4DA9">
        <w:rPr>
          <w:color w:val="212529"/>
          <w:spacing w:val="-1"/>
        </w:rPr>
        <w:t>ogreso hacia el máximo empleo”.</w:t>
      </w:r>
    </w:p>
    <w:p w:rsidR="00FA4DA9" w:rsidRPr="005214A2" w:rsidRDefault="007D1F05" w:rsidP="00FA4DA9">
      <w:pPr>
        <w:pStyle w:val="NormalWeb"/>
        <w:shd w:val="clear" w:color="auto" w:fill="FFFFFF"/>
        <w:spacing w:after="270"/>
        <w:jc w:val="both"/>
        <w:rPr>
          <w:color w:val="212529"/>
          <w:spacing w:val="-1"/>
        </w:rPr>
      </w:pPr>
      <w:r w:rsidRPr="00805CF0">
        <w:rPr>
          <w:color w:val="212529"/>
          <w:spacing w:val="-1"/>
        </w:rPr>
        <w:t>*</w:t>
      </w:r>
      <w:r w:rsidRPr="005214A2">
        <w:rPr>
          <w:color w:val="212529"/>
          <w:spacing w:val="-1"/>
        </w:rPr>
        <w:t xml:space="preserve"> </w:t>
      </w:r>
      <w:r w:rsidR="00FA4DA9" w:rsidRPr="005214A2">
        <w:rPr>
          <w:color w:val="212529"/>
          <w:spacing w:val="-1"/>
        </w:rPr>
        <w:t>“El mes intermedio ha traído más progreso en forma de un sólido informe de empleo para julio, pero también la mayor pro</w:t>
      </w:r>
      <w:r w:rsidR="00FA4DA9">
        <w:rPr>
          <w:color w:val="212529"/>
          <w:spacing w:val="-1"/>
        </w:rPr>
        <w:t>pagación de la variante delta”.</w:t>
      </w:r>
    </w:p>
    <w:p w:rsidR="003F0083" w:rsidRPr="005214A2" w:rsidRDefault="007D1F05" w:rsidP="00FA4DA9">
      <w:pPr>
        <w:pStyle w:val="NormalWeb"/>
        <w:shd w:val="clear" w:color="auto" w:fill="FFFFFF"/>
        <w:spacing w:after="270"/>
        <w:jc w:val="both"/>
        <w:rPr>
          <w:color w:val="212529"/>
          <w:spacing w:val="-1"/>
        </w:rPr>
      </w:pPr>
      <w:r w:rsidRPr="00805CF0">
        <w:rPr>
          <w:color w:val="212529"/>
          <w:spacing w:val="-1"/>
        </w:rPr>
        <w:t>*</w:t>
      </w:r>
      <w:r w:rsidRPr="005214A2">
        <w:rPr>
          <w:color w:val="212529"/>
          <w:spacing w:val="-1"/>
        </w:rPr>
        <w:t xml:space="preserve"> </w:t>
      </w:r>
      <w:r w:rsidR="00FA4DA9" w:rsidRPr="005214A2">
        <w:rPr>
          <w:color w:val="212529"/>
          <w:spacing w:val="-1"/>
        </w:rPr>
        <w:t>“Evaluaremos cuidadosamente los datos entrant</w:t>
      </w:r>
      <w:r w:rsidR="00FA4DA9">
        <w:rPr>
          <w:color w:val="212529"/>
          <w:spacing w:val="-1"/>
        </w:rPr>
        <w:t>es y los riesgos en evolución”.</w:t>
      </w:r>
    </w:p>
    <w:p w:rsidR="00FA4DA9" w:rsidRDefault="009D56CE" w:rsidP="00FA4DA9">
      <w:pPr>
        <w:pStyle w:val="NormalWeb"/>
        <w:shd w:val="clear" w:color="auto" w:fill="FFFFFF"/>
        <w:spacing w:after="270"/>
        <w:jc w:val="both"/>
        <w:rPr>
          <w:color w:val="212529"/>
          <w:spacing w:val="-1"/>
        </w:rPr>
      </w:pPr>
      <w:r w:rsidRPr="00805CF0">
        <w:rPr>
          <w:color w:val="212529"/>
          <w:spacing w:val="-1"/>
        </w:rPr>
        <w:t>*</w:t>
      </w:r>
      <w:r w:rsidRPr="005214A2">
        <w:rPr>
          <w:color w:val="212529"/>
          <w:spacing w:val="-1"/>
        </w:rPr>
        <w:t xml:space="preserve"> </w:t>
      </w:r>
      <w:r w:rsidR="00FA4DA9" w:rsidRPr="005214A2">
        <w:rPr>
          <w:color w:val="212529"/>
          <w:spacing w:val="-1"/>
        </w:rPr>
        <w:t xml:space="preserve">“La economía ahora ha cumplido con </w:t>
      </w:r>
      <w:r w:rsidR="0038435F">
        <w:rPr>
          <w:color w:val="212529"/>
          <w:spacing w:val="-1"/>
        </w:rPr>
        <w:t>la prueba de un “progreso sustancial adicional”</w:t>
      </w:r>
      <w:r w:rsidR="00FA4DA9" w:rsidRPr="005214A2">
        <w:rPr>
          <w:color w:val="212529"/>
          <w:spacing w:val="-1"/>
        </w:rPr>
        <w:t xml:space="preserve"> hacia el objetivo de inflación de la Fed”</w:t>
      </w:r>
      <w:r w:rsidR="003F0083">
        <w:rPr>
          <w:color w:val="212529"/>
          <w:spacing w:val="-1"/>
        </w:rPr>
        <w:t>.</w:t>
      </w:r>
    </w:p>
    <w:p w:rsidR="00FA4DA9" w:rsidRPr="00822CE1" w:rsidRDefault="00FA4DA9" w:rsidP="00FA4DA9">
      <w:pPr>
        <w:pStyle w:val="NormalWeb"/>
        <w:shd w:val="clear" w:color="auto" w:fill="FFFFFF"/>
        <w:spacing w:after="270"/>
        <w:jc w:val="both"/>
        <w:rPr>
          <w:b/>
          <w:color w:val="212529"/>
          <w:spacing w:val="-1"/>
        </w:rPr>
      </w:pPr>
      <w:r w:rsidRPr="00822CE1">
        <w:rPr>
          <w:b/>
          <w:color w:val="212529"/>
          <w:spacing w:val="-1"/>
        </w:rPr>
        <w:t>Información sobre Christine Lagarde</w:t>
      </w:r>
      <w:r w:rsidR="0038435F">
        <w:rPr>
          <w:b/>
          <w:color w:val="212529"/>
          <w:spacing w:val="-1"/>
        </w:rPr>
        <w:t xml:space="preserve"> (como</w:t>
      </w:r>
      <w:r w:rsidR="005B7ABA">
        <w:rPr>
          <w:b/>
          <w:color w:val="212529"/>
          <w:spacing w:val="-1"/>
        </w:rPr>
        <w:t xml:space="preserve"> buena</w:t>
      </w:r>
      <w:r w:rsidR="0038435F">
        <w:rPr>
          <w:b/>
          <w:color w:val="212529"/>
          <w:spacing w:val="-1"/>
        </w:rPr>
        <w:t xml:space="preserve"> francesa, sus frases, son discursos) </w:t>
      </w:r>
    </w:p>
    <w:p w:rsidR="00FA4DA9" w:rsidRPr="00E55B4E" w:rsidRDefault="00FA4DA9" w:rsidP="00FA4DA9">
      <w:pPr>
        <w:pStyle w:val="NormalWeb"/>
        <w:shd w:val="clear" w:color="auto" w:fill="FFFFFF"/>
        <w:spacing w:after="270"/>
        <w:jc w:val="both"/>
        <w:rPr>
          <w:color w:val="212529"/>
          <w:spacing w:val="-1"/>
        </w:rPr>
      </w:pPr>
      <w:r>
        <w:rPr>
          <w:color w:val="212529"/>
          <w:spacing w:val="-1"/>
        </w:rPr>
        <w:t xml:space="preserve">- </w:t>
      </w:r>
      <w:r w:rsidRPr="00E55B4E">
        <w:rPr>
          <w:color w:val="212529"/>
          <w:spacing w:val="-1"/>
          <w:u w:val="single"/>
        </w:rPr>
        <w:t>Lagarde promete seis veces que el BCE mantendrá su política expansiva</w:t>
      </w:r>
      <w:r>
        <w:rPr>
          <w:color w:val="212529"/>
          <w:spacing w:val="-1"/>
        </w:rPr>
        <w:t xml:space="preserve"> (El País - </w:t>
      </w:r>
      <w:r w:rsidRPr="00E55B4E">
        <w:rPr>
          <w:b/>
          <w:color w:val="212529"/>
          <w:spacing w:val="-1"/>
        </w:rPr>
        <w:t>29/9/21</w:t>
      </w:r>
      <w:r>
        <w:rPr>
          <w:color w:val="212529"/>
          <w:spacing w:val="-1"/>
        </w:rPr>
        <w:t>)</w:t>
      </w:r>
    </w:p>
    <w:p w:rsidR="00FA4DA9" w:rsidRPr="00E55B4E" w:rsidRDefault="00FA4DA9" w:rsidP="00FA4DA9">
      <w:pPr>
        <w:pStyle w:val="NormalWeb"/>
        <w:shd w:val="clear" w:color="auto" w:fill="FFFFFF"/>
        <w:spacing w:after="270"/>
        <w:jc w:val="both"/>
        <w:rPr>
          <w:color w:val="212529"/>
          <w:spacing w:val="-1"/>
        </w:rPr>
      </w:pPr>
      <w:r>
        <w:rPr>
          <w:color w:val="212529"/>
          <w:spacing w:val="-1"/>
        </w:rPr>
        <w:lastRenderedPageBreak/>
        <w:t xml:space="preserve">(Por </w:t>
      </w:r>
      <w:r w:rsidRPr="00E55B4E">
        <w:rPr>
          <w:color w:val="212529"/>
          <w:spacing w:val="-1"/>
        </w:rPr>
        <w:t>Xavier Vidal-Folch</w:t>
      </w:r>
      <w:r>
        <w:rPr>
          <w:color w:val="212529"/>
          <w:spacing w:val="-1"/>
        </w:rPr>
        <w:t>)</w:t>
      </w:r>
    </w:p>
    <w:p w:rsidR="00FA4DA9" w:rsidRPr="007D1F05" w:rsidRDefault="00FA4DA9" w:rsidP="00FA4DA9">
      <w:pPr>
        <w:pStyle w:val="NormalWeb"/>
        <w:shd w:val="clear" w:color="auto" w:fill="FFFFFF"/>
        <w:spacing w:after="270"/>
        <w:jc w:val="both"/>
        <w:rPr>
          <w:color w:val="FF0000"/>
          <w:spacing w:val="-1"/>
          <w:u w:val="single"/>
        </w:rPr>
      </w:pPr>
      <w:r w:rsidRPr="00E55B4E">
        <w:rPr>
          <w:color w:val="212529"/>
          <w:spacing w:val="-1"/>
        </w:rPr>
        <w:t xml:space="preserve">Resultó un espectáculo insólito por su insistencia, su prolija argumentación y la longitud del discurso. </w:t>
      </w:r>
      <w:r w:rsidRPr="007D1F05">
        <w:rPr>
          <w:color w:val="FF0000"/>
          <w:spacing w:val="-1"/>
          <w:u w:val="single"/>
        </w:rPr>
        <w:t>Christine Lagarde, la presidenta del Banco Central Europeo (BCE), prometió este martes una y otra vez que la entidad seguirá con su política monetaria expansiva o acomodaticia, sobre todo con los bajos tipos de interés.</w:t>
      </w:r>
    </w:p>
    <w:p w:rsidR="00FA4DA9" w:rsidRPr="00E55B4E" w:rsidRDefault="00FA4DA9" w:rsidP="00FA4DA9">
      <w:pPr>
        <w:pStyle w:val="NormalWeb"/>
        <w:shd w:val="clear" w:color="auto" w:fill="FFFFFF"/>
        <w:spacing w:after="270"/>
        <w:jc w:val="both"/>
        <w:rPr>
          <w:color w:val="212529"/>
          <w:spacing w:val="-1"/>
        </w:rPr>
      </w:pPr>
      <w:r w:rsidRPr="00E55B4E">
        <w:rPr>
          <w:color w:val="212529"/>
          <w:spacing w:val="-1"/>
        </w:rPr>
        <w:t>Lo hizo al inaugurar el Fórum sobre banca central, que solía celebrarse en Sintra (Portugal) y que por segunda vez se vehicula por vía digital. También la ocasión la pintaban calva; normalmente ese discurso de bienvenida suele ser sintético. Todos los signos comparativos son escasos cuando se trata de interpretar los designios (y arcanos) de los banqueros centrales.</w:t>
      </w:r>
    </w:p>
    <w:p w:rsidR="00FA4DA9" w:rsidRPr="00E55B4E" w:rsidRDefault="00FA4DA9" w:rsidP="00FA4DA9">
      <w:pPr>
        <w:pStyle w:val="NormalWeb"/>
        <w:shd w:val="clear" w:color="auto" w:fill="FFFFFF"/>
        <w:spacing w:after="270"/>
        <w:jc w:val="both"/>
        <w:rPr>
          <w:color w:val="212529"/>
          <w:spacing w:val="-1"/>
        </w:rPr>
      </w:pPr>
      <w:r w:rsidRPr="00E55B4E">
        <w:rPr>
          <w:color w:val="212529"/>
          <w:spacing w:val="-1"/>
        </w:rPr>
        <w:t>Por eso se erige en medida de compromiso el hecho de que solo en alguna ocasión singular el mensaje de Sintra fuese estratégico: como cuando el antecesor de Lagarde, Mario Draghi, apostó en 2019 por una larga era de bajos tipos de interés, lo que soliviantó a Donald Trump porque eso redundaba en un abaratamiento del euro que favorecía en ven</w:t>
      </w:r>
      <w:r>
        <w:rPr>
          <w:color w:val="212529"/>
          <w:spacing w:val="-1"/>
        </w:rPr>
        <w:t>a a las exportaciones europeas.</w:t>
      </w:r>
    </w:p>
    <w:p w:rsidR="00FA4DA9" w:rsidRPr="00E55B4E" w:rsidRDefault="00FA4DA9" w:rsidP="00FA4DA9">
      <w:pPr>
        <w:pStyle w:val="NormalWeb"/>
        <w:shd w:val="clear" w:color="auto" w:fill="FFFFFF"/>
        <w:spacing w:after="270"/>
        <w:jc w:val="both"/>
        <w:rPr>
          <w:color w:val="212529"/>
          <w:spacing w:val="-1"/>
        </w:rPr>
      </w:pPr>
      <w:r w:rsidRPr="00E55B4E">
        <w:rPr>
          <w:color w:val="212529"/>
          <w:spacing w:val="-1"/>
        </w:rPr>
        <w:t xml:space="preserve">La intervención de Lagarde era muy esperada en esta ocasión porque el mercado sigue calibrando </w:t>
      </w:r>
      <w:r w:rsidR="007D1F05">
        <w:rPr>
          <w:color w:val="212529"/>
          <w:spacing w:val="-1"/>
        </w:rPr>
        <w:t>-aunque sin nervios-</w:t>
      </w:r>
      <w:r w:rsidRPr="00E55B4E">
        <w:rPr>
          <w:color w:val="212529"/>
          <w:spacing w:val="-1"/>
        </w:rPr>
        <w:t xml:space="preserve"> cómo será la secuencia exacta posterior al reciente anuncio del emisor europeo de que reducirá “ligeramente” las compras de su programa antipandémico: aunque no las adquisiciones de bonos de la ya habitual expansión cuantitativa, ni tampoco los tipos de interés.</w:t>
      </w:r>
    </w:p>
    <w:p w:rsidR="00FA4DA9" w:rsidRPr="00E55B4E" w:rsidRDefault="00FA4DA9" w:rsidP="00FA4DA9">
      <w:pPr>
        <w:pStyle w:val="NormalWeb"/>
        <w:shd w:val="clear" w:color="auto" w:fill="FFFFFF"/>
        <w:spacing w:after="270"/>
        <w:jc w:val="both"/>
        <w:rPr>
          <w:color w:val="212529"/>
          <w:spacing w:val="-1"/>
        </w:rPr>
      </w:pPr>
      <w:r w:rsidRPr="00E55B4E">
        <w:rPr>
          <w:color w:val="212529"/>
          <w:spacing w:val="-1"/>
        </w:rPr>
        <w:t>Y por otro motivo: cuál sería la cintura adaptativa de Fráncfort al escenario poselectoral alemán. Pues bien, la sintonía con las pulsiones socialdemócratas de moda en Berlín tuvo este martes una e</w:t>
      </w:r>
      <w:r>
        <w:rPr>
          <w:color w:val="212529"/>
          <w:spacing w:val="-1"/>
        </w:rPr>
        <w:t>xpresión también muy simbólica.</w:t>
      </w:r>
    </w:p>
    <w:p w:rsidR="00FA4DA9" w:rsidRPr="007D1F05" w:rsidRDefault="00FA4DA9" w:rsidP="00FA4DA9">
      <w:pPr>
        <w:pStyle w:val="NormalWeb"/>
        <w:shd w:val="clear" w:color="auto" w:fill="FFFFFF"/>
        <w:spacing w:after="270"/>
        <w:jc w:val="both"/>
        <w:rPr>
          <w:color w:val="FF0000"/>
          <w:spacing w:val="-1"/>
          <w:u w:val="single"/>
        </w:rPr>
      </w:pPr>
      <w:r w:rsidRPr="007D1F05">
        <w:rPr>
          <w:color w:val="FF0000"/>
          <w:spacing w:val="-1"/>
          <w:u w:val="single"/>
        </w:rPr>
        <w:t>A sa</w:t>
      </w:r>
      <w:r w:rsidR="007D1F05" w:rsidRPr="007D1F05">
        <w:rPr>
          <w:color w:val="FF0000"/>
          <w:spacing w:val="-1"/>
          <w:u w:val="single"/>
        </w:rPr>
        <w:t>ber, una referencia de Lagarde -aunque puramente literaria-</w:t>
      </w:r>
      <w:r w:rsidRPr="007D1F05">
        <w:rPr>
          <w:color w:val="FF0000"/>
          <w:spacing w:val="-1"/>
          <w:u w:val="single"/>
        </w:rPr>
        <w:t xml:space="preserve"> a John Maynard Keynes, un blasfemo para el ordoliberalismo alemán que cultivaron los rivales del gran economista inglés, doctrina que nutre la mochila intelectual del Bundesbank, el acérrimo partidario de las recetas restrictivas, tanto en tiempos de crecimiento como de recesión.</w:t>
      </w:r>
    </w:p>
    <w:p w:rsidR="00FA4DA9" w:rsidRPr="007D1F05" w:rsidRDefault="00FA4DA9" w:rsidP="00FA4DA9">
      <w:pPr>
        <w:pStyle w:val="NormalWeb"/>
        <w:shd w:val="clear" w:color="auto" w:fill="FFFFFF"/>
        <w:spacing w:after="270"/>
        <w:jc w:val="both"/>
        <w:rPr>
          <w:color w:val="FF0000"/>
          <w:spacing w:val="-1"/>
          <w:u w:val="single"/>
        </w:rPr>
      </w:pPr>
      <w:r w:rsidRPr="007D1F05">
        <w:rPr>
          <w:color w:val="FF0000"/>
          <w:spacing w:val="-1"/>
          <w:u w:val="single"/>
        </w:rPr>
        <w:t>A diferencia de otras ocasiones, la presidenta realizó pocas y nimias concesiones a los halcones, muy inquietos por la inflación. Y reiteró en media docena de ocasiones su apuesta por la estrategia expansiva que fraguan y apoyan las palomas, preocupadas por la economía y el empleo.</w:t>
      </w:r>
    </w:p>
    <w:p w:rsidR="00FA4DA9" w:rsidRPr="007D1F05" w:rsidRDefault="00FA4DA9" w:rsidP="00FA4DA9">
      <w:pPr>
        <w:pStyle w:val="NormalWeb"/>
        <w:shd w:val="clear" w:color="auto" w:fill="FFFFFF"/>
        <w:spacing w:after="270"/>
        <w:jc w:val="both"/>
        <w:rPr>
          <w:b/>
          <w:color w:val="FF0000"/>
          <w:spacing w:val="-1"/>
          <w:u w:val="single"/>
        </w:rPr>
      </w:pPr>
      <w:r w:rsidRPr="007D1F05">
        <w:rPr>
          <w:b/>
          <w:color w:val="FF0000"/>
          <w:spacing w:val="-1"/>
          <w:u w:val="single"/>
        </w:rPr>
        <w:t>“Lo que estamos viviendo ahora es principalmente una fase de inflación temporal vinculada a la reapertura” de la economía tras lo peor de la crisis, dijo como base de su argumento. Y que por tanto, todavía es necesaria “una postura de política monetaria acomodaticia para salir de la pandemia de manera segura y llevar la inflación de forma sostenible al 2%”.</w:t>
      </w:r>
    </w:p>
    <w:p w:rsidR="00FA4DA9" w:rsidRPr="007D1F05" w:rsidRDefault="00FA4DA9" w:rsidP="00FA4DA9">
      <w:pPr>
        <w:pStyle w:val="NormalWeb"/>
        <w:shd w:val="clear" w:color="auto" w:fill="FFFFFF"/>
        <w:spacing w:after="270"/>
        <w:jc w:val="both"/>
        <w:rPr>
          <w:color w:val="FF0000"/>
          <w:spacing w:val="-1"/>
          <w:u w:val="single"/>
        </w:rPr>
      </w:pPr>
      <w:r w:rsidRPr="007D1F05">
        <w:rPr>
          <w:color w:val="FF0000"/>
          <w:spacing w:val="-1"/>
          <w:u w:val="single"/>
        </w:rPr>
        <w:t>Dicho de otra manera. “Por el momento no vemos ninguna señal de que el aumento de los precios esté alcanzando una amplia base transversal a toda la economía”; los salarios no exageran y no hay “sobrerreacción” (volatilidad) de tipos: en suma: “Esperamos que la inflación suba desde el 1,5% en 2023 al 2% y se estabilice ahí en los siguientes cinco años”.</w:t>
      </w:r>
    </w:p>
    <w:p w:rsidR="00FA4DA9" w:rsidRPr="007D1F05" w:rsidRDefault="00FA4DA9" w:rsidP="00FA4DA9">
      <w:pPr>
        <w:pStyle w:val="NormalWeb"/>
        <w:shd w:val="clear" w:color="auto" w:fill="FFFFFF"/>
        <w:spacing w:after="270"/>
        <w:jc w:val="both"/>
        <w:rPr>
          <w:color w:val="FF0000"/>
          <w:spacing w:val="-1"/>
          <w:u w:val="single"/>
        </w:rPr>
      </w:pPr>
      <w:r w:rsidRPr="007D1F05">
        <w:rPr>
          <w:color w:val="FF0000"/>
          <w:spacing w:val="-1"/>
          <w:u w:val="single"/>
        </w:rPr>
        <w:lastRenderedPageBreak/>
        <w:t>Así que “la política mo</w:t>
      </w:r>
      <w:r w:rsidR="007D1F05" w:rsidRPr="007D1F05">
        <w:rPr>
          <w:color w:val="FF0000"/>
          <w:spacing w:val="-1"/>
          <w:u w:val="single"/>
        </w:rPr>
        <w:t>netaria” debe “mirar a través” -o sea, sin dañarse de frente-</w:t>
      </w:r>
      <w:r w:rsidRPr="007D1F05">
        <w:rPr>
          <w:color w:val="FF0000"/>
          <w:spacing w:val="-1"/>
          <w:u w:val="single"/>
        </w:rPr>
        <w:t xml:space="preserve"> de la inflación generada por la oferta (recuperación, impacto del crecimiento asiático), mientras sus expectativas “permanezcan ancladas”.</w:t>
      </w:r>
    </w:p>
    <w:p w:rsidR="00FA4DA9" w:rsidRPr="007D1F05" w:rsidRDefault="00FA4DA9" w:rsidP="00FA4DA9">
      <w:pPr>
        <w:pStyle w:val="NormalWeb"/>
        <w:shd w:val="clear" w:color="auto" w:fill="FFFFFF"/>
        <w:spacing w:after="270"/>
        <w:jc w:val="both"/>
        <w:rPr>
          <w:color w:val="FF0000"/>
          <w:spacing w:val="-1"/>
          <w:u w:val="single"/>
        </w:rPr>
      </w:pPr>
      <w:r w:rsidRPr="007D1F05">
        <w:rPr>
          <w:color w:val="FF0000"/>
          <w:spacing w:val="-1"/>
          <w:u w:val="single"/>
        </w:rPr>
        <w:t>Por si eso no bastase, lo formuló en una tercera versión: “El reto clave es no sobrerreaccionar” a los shocks que “no se sostendrán a medio plazo”. O en una cuarta: “Nuestra política monetaria continuará proporcionando las condiciones necesarias para nutrir la recuperación”.</w:t>
      </w:r>
    </w:p>
    <w:p w:rsidR="00FA4DA9" w:rsidRPr="007D1F05" w:rsidRDefault="00FA4DA9" w:rsidP="00FA4DA9">
      <w:pPr>
        <w:pStyle w:val="NormalWeb"/>
        <w:shd w:val="clear" w:color="auto" w:fill="FFFFFF"/>
        <w:spacing w:after="270"/>
        <w:jc w:val="both"/>
        <w:rPr>
          <w:color w:val="FF0000"/>
          <w:spacing w:val="-1"/>
          <w:u w:val="single"/>
        </w:rPr>
      </w:pPr>
      <w:r w:rsidRPr="007D1F05">
        <w:rPr>
          <w:color w:val="FF0000"/>
          <w:spacing w:val="-1"/>
          <w:u w:val="single"/>
        </w:rPr>
        <w:t>Todavía por quinta vez: “Por nuestra parte, la política monetaria está comprometida a preservar las condiciones financieras favorables para todos los sectores” durante lo que quede de pandemia. “Y una vez esta se acerque a su fin, nuestra orientación de tipos de interés, igual que de compras de bonos, garantizará que apoyen el objetivo de alcanzar, a su tiempo, nuestro objetivo a medio plazo del 2%” de la inflación.</w:t>
      </w:r>
    </w:p>
    <w:p w:rsidR="00FA4DA9" w:rsidRPr="007D1F05" w:rsidRDefault="00FA4DA9" w:rsidP="00FA4DA9">
      <w:pPr>
        <w:pStyle w:val="NormalWeb"/>
        <w:shd w:val="clear" w:color="auto" w:fill="FFFFFF"/>
        <w:spacing w:after="270"/>
        <w:jc w:val="both"/>
        <w:rPr>
          <w:color w:val="FF0000"/>
          <w:spacing w:val="-1"/>
          <w:u w:val="single"/>
        </w:rPr>
      </w:pPr>
      <w:r w:rsidRPr="007D1F05">
        <w:rPr>
          <w:color w:val="FF0000"/>
          <w:spacing w:val="-1"/>
          <w:u w:val="single"/>
        </w:rPr>
        <w:t>Sexta y última insistencia: “La política monetaria debe mantener su objetivo de dirigir la economía con seguridad más allá de la emergencia pandém</w:t>
      </w:r>
      <w:r w:rsidR="007D1F05" w:rsidRPr="007D1F05">
        <w:rPr>
          <w:color w:val="FF0000"/>
          <w:spacing w:val="-1"/>
          <w:u w:val="single"/>
        </w:rPr>
        <w:t>ica y llevarnos a la inflación -</w:t>
      </w:r>
      <w:r w:rsidRPr="007D1F05">
        <w:rPr>
          <w:color w:val="FF0000"/>
          <w:spacing w:val="-1"/>
          <w:u w:val="single"/>
        </w:rPr>
        <w:t>sostenibl</w:t>
      </w:r>
      <w:r w:rsidR="007D1F05" w:rsidRPr="007D1F05">
        <w:rPr>
          <w:color w:val="FF0000"/>
          <w:spacing w:val="-1"/>
          <w:u w:val="single"/>
        </w:rPr>
        <w:t xml:space="preserve">e- </w:t>
      </w:r>
      <w:r w:rsidRPr="007D1F05">
        <w:rPr>
          <w:color w:val="FF0000"/>
          <w:spacing w:val="-1"/>
          <w:u w:val="single"/>
        </w:rPr>
        <w:t>de nuestro objetivo, el 2%”.</w:t>
      </w:r>
    </w:p>
    <w:p w:rsidR="003F0083" w:rsidRDefault="00FA4DA9" w:rsidP="00FA4DA9">
      <w:pPr>
        <w:pStyle w:val="NormalWeb"/>
        <w:shd w:val="clear" w:color="auto" w:fill="FFFFFF"/>
        <w:spacing w:after="270"/>
        <w:jc w:val="both"/>
        <w:rPr>
          <w:color w:val="212529"/>
          <w:spacing w:val="-1"/>
        </w:rPr>
      </w:pPr>
      <w:r w:rsidRPr="00E55B4E">
        <w:rPr>
          <w:color w:val="212529"/>
          <w:spacing w:val="-1"/>
        </w:rPr>
        <w:t>Una de las principales sesiones de la jornada se dedicó precisamente al Futur</w:t>
      </w:r>
      <w:r w:rsidR="007D1F05">
        <w:rPr>
          <w:color w:val="212529"/>
          <w:spacing w:val="-1"/>
        </w:rPr>
        <w:t>o de la inflación. La guio -</w:t>
      </w:r>
      <w:r w:rsidRPr="00E55B4E">
        <w:rPr>
          <w:color w:val="212529"/>
          <w:spacing w:val="-1"/>
        </w:rPr>
        <w:t>otro g</w:t>
      </w:r>
      <w:r w:rsidR="007D1F05">
        <w:rPr>
          <w:color w:val="212529"/>
          <w:spacing w:val="-1"/>
        </w:rPr>
        <w:t>uiño significativo e incluyente-</w:t>
      </w:r>
      <w:r w:rsidRPr="00E55B4E">
        <w:rPr>
          <w:color w:val="212529"/>
          <w:spacing w:val="-1"/>
        </w:rPr>
        <w:t xml:space="preserve"> la consejera ejecutiva alemana, Isabel Schnabel, una apreciable académica, más abierta que los halcones y m</w:t>
      </w:r>
      <w:r>
        <w:rPr>
          <w:color w:val="212529"/>
          <w:spacing w:val="-1"/>
        </w:rPr>
        <w:t>enos ambiciosa que las palomas.</w:t>
      </w:r>
      <w:r w:rsidR="009D56CE">
        <w:rPr>
          <w:color w:val="212529"/>
          <w:spacing w:val="-1"/>
        </w:rPr>
        <w:t xml:space="preserve"> </w:t>
      </w:r>
    </w:p>
    <w:p w:rsidR="003F0083" w:rsidRDefault="00FA4DA9" w:rsidP="00FA4DA9">
      <w:pPr>
        <w:pStyle w:val="NormalWeb"/>
        <w:shd w:val="clear" w:color="auto" w:fill="FFFFFF"/>
        <w:spacing w:after="270"/>
        <w:jc w:val="both"/>
        <w:rPr>
          <w:color w:val="212529"/>
          <w:spacing w:val="-1"/>
        </w:rPr>
      </w:pPr>
      <w:r w:rsidRPr="00E55B4E">
        <w:rPr>
          <w:color w:val="212529"/>
          <w:spacing w:val="-1"/>
        </w:rPr>
        <w:t>En ese debate, la economista jefa del FMI, Gita Gopinath, coincidió con la orientación del BCE según la que, tras un repunte en 2022, hacia 2024 la inflación se situará algo por debajo del 2%. Entre otras razones porque el g</w:t>
      </w:r>
      <w:r w:rsidR="009D56CE">
        <w:rPr>
          <w:color w:val="212529"/>
          <w:spacing w:val="-1"/>
        </w:rPr>
        <w:t>rueso del alza de precios de EE</w:t>
      </w:r>
      <w:r w:rsidRPr="00E55B4E">
        <w:rPr>
          <w:color w:val="212529"/>
          <w:spacing w:val="-1"/>
        </w:rPr>
        <w:t>UU pende</w:t>
      </w:r>
      <w:r>
        <w:rPr>
          <w:color w:val="212529"/>
          <w:spacing w:val="-1"/>
        </w:rPr>
        <w:t xml:space="preserve"> de un sector, el transporte.</w:t>
      </w:r>
      <w:r w:rsidR="009D56CE">
        <w:rPr>
          <w:color w:val="212529"/>
          <w:spacing w:val="-1"/>
        </w:rPr>
        <w:t xml:space="preserve"> </w:t>
      </w:r>
    </w:p>
    <w:p w:rsidR="003F0083" w:rsidRDefault="00FA4DA9" w:rsidP="00FA4DA9">
      <w:pPr>
        <w:pStyle w:val="NormalWeb"/>
        <w:shd w:val="clear" w:color="auto" w:fill="FFFFFF"/>
        <w:spacing w:after="270"/>
        <w:jc w:val="both"/>
        <w:rPr>
          <w:color w:val="212529"/>
          <w:spacing w:val="-1"/>
        </w:rPr>
      </w:pPr>
      <w:r w:rsidRPr="00E55B4E">
        <w:rPr>
          <w:color w:val="212529"/>
          <w:spacing w:val="-1"/>
        </w:rPr>
        <w:t>Mientras que el veterano profesor de la London School, Charles Goodhart, la situó algo por encima, como consecuencia de la tensión entre fenómenos contrarios: la apertura china, bajista; el envejecimiento occidental, presiona</w:t>
      </w:r>
      <w:r>
        <w:rPr>
          <w:color w:val="212529"/>
          <w:spacing w:val="-1"/>
        </w:rPr>
        <w:t>ndo al alza los precios.</w:t>
      </w:r>
      <w:r w:rsidR="009D56CE">
        <w:rPr>
          <w:color w:val="212529"/>
          <w:spacing w:val="-1"/>
        </w:rPr>
        <w:t xml:space="preserve"> </w:t>
      </w:r>
    </w:p>
    <w:p w:rsidR="00FA4DA9" w:rsidRPr="00805CF0" w:rsidRDefault="00FA4DA9" w:rsidP="00FA4DA9">
      <w:pPr>
        <w:pStyle w:val="NormalWeb"/>
        <w:shd w:val="clear" w:color="auto" w:fill="FFFFFF"/>
        <w:spacing w:after="270"/>
        <w:jc w:val="both"/>
        <w:rPr>
          <w:color w:val="212529"/>
          <w:spacing w:val="-1"/>
        </w:rPr>
      </w:pPr>
      <w:r w:rsidRPr="00E55B4E">
        <w:rPr>
          <w:color w:val="212529"/>
          <w:spacing w:val="-1"/>
        </w:rPr>
        <w:t>Y el profesor italiano Francesco Lippi regaló el colofón optimista al inferir que si la inflación se ha contenido en los 20 años de historia del BCE, “a consecuencia de una buena política monetaria”, si esta continúa, “cabe esperar los mismos resultados”. Muchos cruzarán los dedos.</w:t>
      </w:r>
    </w:p>
    <w:p w:rsidR="00FA4DA9" w:rsidRPr="005214A2" w:rsidRDefault="00FA4DA9" w:rsidP="00FA4DA9">
      <w:pPr>
        <w:pStyle w:val="NormalWeb"/>
        <w:shd w:val="clear" w:color="auto" w:fill="FFFFFF"/>
        <w:spacing w:after="270"/>
        <w:jc w:val="both"/>
        <w:rPr>
          <w:color w:val="212529"/>
          <w:spacing w:val="-1"/>
        </w:rPr>
      </w:pPr>
      <w:r>
        <w:rPr>
          <w:color w:val="212529"/>
          <w:spacing w:val="-1"/>
        </w:rPr>
        <w:t xml:space="preserve">- </w:t>
      </w:r>
      <w:r w:rsidR="009D56CE">
        <w:rPr>
          <w:color w:val="212529"/>
          <w:spacing w:val="-1"/>
          <w:u w:val="single"/>
        </w:rPr>
        <w:t>Los “halcones”</w:t>
      </w:r>
      <w:r w:rsidRPr="00E55B4E">
        <w:rPr>
          <w:color w:val="212529"/>
          <w:spacing w:val="-1"/>
          <w:u w:val="single"/>
        </w:rPr>
        <w:t xml:space="preserve"> creen que las previsiones de inflación del BCE podrían quedarse cortas</w:t>
      </w:r>
      <w:r>
        <w:rPr>
          <w:color w:val="212529"/>
          <w:spacing w:val="-1"/>
        </w:rPr>
        <w:t xml:space="preserve"> (El País - </w:t>
      </w:r>
      <w:r w:rsidRPr="00E55B4E">
        <w:rPr>
          <w:b/>
          <w:color w:val="212529"/>
          <w:spacing w:val="-1"/>
        </w:rPr>
        <w:t>8/10/21</w:t>
      </w:r>
      <w:r>
        <w:rPr>
          <w:color w:val="212529"/>
          <w:spacing w:val="-1"/>
        </w:rPr>
        <w:t>)</w:t>
      </w:r>
    </w:p>
    <w:p w:rsidR="00FA4DA9" w:rsidRPr="005214A2" w:rsidRDefault="00FA4DA9" w:rsidP="00FA4DA9">
      <w:pPr>
        <w:pStyle w:val="NormalWeb"/>
        <w:shd w:val="clear" w:color="auto" w:fill="FFFFFF"/>
        <w:spacing w:after="270"/>
        <w:jc w:val="both"/>
        <w:rPr>
          <w:color w:val="212529"/>
          <w:spacing w:val="-1"/>
        </w:rPr>
      </w:pPr>
      <w:r>
        <w:rPr>
          <w:color w:val="212529"/>
          <w:spacing w:val="-1"/>
        </w:rPr>
        <w:t xml:space="preserve">(Por </w:t>
      </w:r>
      <w:r w:rsidRPr="005214A2">
        <w:rPr>
          <w:color w:val="212529"/>
          <w:spacing w:val="-1"/>
        </w:rPr>
        <w:t>Lluís Pellicer</w:t>
      </w:r>
      <w:r>
        <w:rPr>
          <w:color w:val="212529"/>
          <w:spacing w:val="-1"/>
        </w:rPr>
        <w:t>)</w:t>
      </w:r>
    </w:p>
    <w:p w:rsidR="00FA4DA9" w:rsidRPr="009D56CE" w:rsidRDefault="00FA4DA9" w:rsidP="00FA4DA9">
      <w:pPr>
        <w:pStyle w:val="NormalWeb"/>
        <w:shd w:val="clear" w:color="auto" w:fill="FFFFFF"/>
        <w:spacing w:after="270"/>
        <w:jc w:val="both"/>
        <w:rPr>
          <w:color w:val="FF0000"/>
          <w:spacing w:val="-1"/>
          <w:u w:val="single"/>
        </w:rPr>
      </w:pPr>
      <w:r w:rsidRPr="005214A2">
        <w:rPr>
          <w:color w:val="212529"/>
          <w:spacing w:val="-1"/>
        </w:rPr>
        <w:t>El reto de conciliar a halcones y palomas se antoja como uno de los mayores retos de la presidenta del Banco Central Europeo (BCE), Christine Lagarde, para la recta final del año.</w:t>
      </w:r>
      <w:r w:rsidR="009D56CE">
        <w:rPr>
          <w:color w:val="212529"/>
          <w:spacing w:val="-1"/>
        </w:rPr>
        <w:t xml:space="preserve"> </w:t>
      </w:r>
      <w:r w:rsidRPr="005214A2">
        <w:rPr>
          <w:color w:val="212529"/>
          <w:spacing w:val="-1"/>
        </w:rPr>
        <w:t xml:space="preserve">Sobre todo ante un escenario de creciente inflación y en los que empiezan a apreciarse algunos vientos de cara a la recuperación. Según revelan las actas de la reunión del último Consejo de Gobierno, algunos miembros de la institución expresaron entonces su preocupación por el alza de precios e incluso hablaron que podría avecinarse un “cambio de régimen”. </w:t>
      </w:r>
      <w:r w:rsidRPr="009D56CE">
        <w:rPr>
          <w:color w:val="FF0000"/>
          <w:spacing w:val="-1"/>
          <w:u w:val="single"/>
        </w:rPr>
        <w:t xml:space="preserve">A pesar de que el BCE cree que la inflación tiene un carácter temporal, los banqueros advirtieron de que los “riesgos al alza” deben ser controlados y comunicados con sumo cuidado y afirmaron que las proyecciones para 2023 podían quedarse cortas. Algunos miembros, además, plantearon una </w:t>
      </w:r>
      <w:r w:rsidRPr="009D56CE">
        <w:rPr>
          <w:color w:val="FF0000"/>
          <w:spacing w:val="-1"/>
          <w:u w:val="single"/>
        </w:rPr>
        <w:lastRenderedPageBreak/>
        <w:t>mayor reducción del ritmo de compras de deuda pública, lo cual fue rechazado por otros colegas que consideraron que el mercado podía interpretar que la institución enfilaba una política monetaria más dura.</w:t>
      </w:r>
    </w:p>
    <w:p w:rsidR="00FA4DA9" w:rsidRPr="005214A2" w:rsidRDefault="00FA4DA9" w:rsidP="00FA4DA9">
      <w:pPr>
        <w:pStyle w:val="NormalWeb"/>
        <w:shd w:val="clear" w:color="auto" w:fill="FFFFFF"/>
        <w:spacing w:after="270"/>
        <w:jc w:val="both"/>
        <w:rPr>
          <w:color w:val="212529"/>
          <w:spacing w:val="-1"/>
        </w:rPr>
      </w:pPr>
      <w:r w:rsidRPr="005214A2">
        <w:rPr>
          <w:color w:val="212529"/>
          <w:spacing w:val="-1"/>
        </w:rPr>
        <w:t xml:space="preserve">El de septiembre debía ser solo un consejo de transición, puesto que los mercados tienen la puesta vista en diciembre. Para entonces, Lagarde debe decidir cuál será el futuro del programa de emergencia contra la pandemia (PEPP, por sus siglas en inglés), que tiene fecha de vencimiento en marzo de 2022 o, en cualquier caso, hasta que no escampe la crisis derivada de la pandemia. </w:t>
      </w:r>
      <w:r w:rsidRPr="009D56CE">
        <w:rPr>
          <w:color w:val="FF0000"/>
          <w:spacing w:val="-1"/>
          <w:u w:val="single"/>
        </w:rPr>
        <w:t>La banquera central decidió empezar a moderar el ritmo de compras, hasta septiembre de 80.000 millones de euros mensuales, pero negó que esa decisión constituyera ninguna retirada de estímulos. En su lugar, dijo que los estaba “recalibrando”.</w:t>
      </w:r>
    </w:p>
    <w:p w:rsidR="00FA4DA9" w:rsidRPr="005214A2" w:rsidRDefault="00FA4DA9" w:rsidP="00FA4DA9">
      <w:pPr>
        <w:pStyle w:val="NormalWeb"/>
        <w:shd w:val="clear" w:color="auto" w:fill="FFFFFF"/>
        <w:spacing w:after="270"/>
        <w:jc w:val="both"/>
        <w:rPr>
          <w:color w:val="212529"/>
          <w:spacing w:val="-1"/>
        </w:rPr>
      </w:pPr>
      <w:r w:rsidRPr="005214A2">
        <w:rPr>
          <w:color w:val="212529"/>
          <w:spacing w:val="-1"/>
        </w:rPr>
        <w:t xml:space="preserve">En ese momento, los banqueros sabían que la inflación de la zona euro en agosto había sido del 3% y, con la subida de los precios de la energía, intuían que el dato de septiembre se encaminaba al 3,4%, el más elevado de los últimos 13 años. O que Alemania, siempre en guardia ante el alza de precios, vería </w:t>
      </w:r>
      <w:r>
        <w:rPr>
          <w:color w:val="212529"/>
          <w:spacing w:val="-1"/>
        </w:rPr>
        <w:t>la tasa más elevada desde 1992.</w:t>
      </w:r>
    </w:p>
    <w:p w:rsidR="00FA4DA9" w:rsidRPr="009D56CE" w:rsidRDefault="00FA4DA9" w:rsidP="00FA4DA9">
      <w:pPr>
        <w:pStyle w:val="NormalWeb"/>
        <w:shd w:val="clear" w:color="auto" w:fill="FFFFFF"/>
        <w:spacing w:after="270"/>
        <w:jc w:val="both"/>
        <w:rPr>
          <w:color w:val="FF0000"/>
          <w:spacing w:val="-1"/>
          <w:u w:val="single"/>
        </w:rPr>
      </w:pPr>
      <w:r w:rsidRPr="009D56CE">
        <w:rPr>
          <w:color w:val="FF0000"/>
          <w:spacing w:val="-1"/>
          <w:u w:val="single"/>
        </w:rPr>
        <w:t>Los economistas del BCE revisaron la inflación al alza, situándola en el 2,2% en 2021; en el 1,7% en 2022, y en el 1,5% en 2023. Según las actas de la reunión del consejo de los días 8 y 9 de septiembre publicadas este martes, los banqueros asintieron con las proyecciones y, “en general”, con que el aumento de los precios era temporal. Sin embargo, los más ortodoxos sí dejaron constancia de que había más incertidumbre en la posibilidad de que ese shock persistiera, de que las perspectivas para 2023 eran más difíciles de prever y que, por ello, esta podía ser superior a la augurada. “En este contexto, también se expresó la opinión de que la proyección de referencia para la inflación en 2023 era demasiado baja”, añaden las actas.</w:t>
      </w:r>
    </w:p>
    <w:p w:rsidR="00FA4DA9" w:rsidRPr="005214A2" w:rsidRDefault="00FA4DA9" w:rsidP="00FA4DA9">
      <w:pPr>
        <w:pStyle w:val="NormalWeb"/>
        <w:shd w:val="clear" w:color="auto" w:fill="FFFFFF"/>
        <w:spacing w:after="270"/>
        <w:jc w:val="both"/>
        <w:rPr>
          <w:color w:val="212529"/>
          <w:spacing w:val="-1"/>
        </w:rPr>
      </w:pPr>
      <w:r w:rsidRPr="005214A2">
        <w:rPr>
          <w:color w:val="212529"/>
          <w:spacing w:val="-1"/>
        </w:rPr>
        <w:t>Los miembros del Consejo estuvieron de acuerdo en la decisión final sobre la reducción de las compras de deudas. Sin embargo, algunos halcones pusieron sobre la mesa que la rebaja que se lleva a cabo bajo el paraguas del PEPP debería ser mayor. “Se argumentó que una aplicación simétrica del marco del PEEP implicará una reducción más sustancial del ritmo de compras, también debido a los posibles efectos colaterales de un elevado ritmo de compras”, recogen las actas. Otros miembros, sin embargo, consideraron que eso podía llevar a percepciones erróneas en el mercado. Por ejemplo, que se estaba marcando el rumbo hacia una política monetaria más dura, lo cual podía “endurecer la</w:t>
      </w:r>
      <w:r>
        <w:rPr>
          <w:color w:val="212529"/>
          <w:spacing w:val="-1"/>
        </w:rPr>
        <w:t>s condiciones de financiación”.</w:t>
      </w:r>
    </w:p>
    <w:p w:rsidR="00FA4DA9" w:rsidRDefault="00FA4DA9" w:rsidP="00FA4DA9">
      <w:pPr>
        <w:pStyle w:val="NormalWeb"/>
        <w:shd w:val="clear" w:color="auto" w:fill="FFFFFF"/>
        <w:spacing w:before="0" w:beforeAutospacing="0" w:after="270" w:afterAutospacing="0"/>
        <w:jc w:val="both"/>
        <w:rPr>
          <w:color w:val="212529"/>
          <w:spacing w:val="-1"/>
        </w:rPr>
      </w:pPr>
      <w:r w:rsidRPr="009D56CE">
        <w:rPr>
          <w:b/>
          <w:color w:val="FF0000"/>
          <w:spacing w:val="-1"/>
          <w:u w:val="single"/>
        </w:rPr>
        <w:t>Lagarde anunció en la rueda de prensa posterior al Consejo que en diciembre se tomará una decisión sobre el PEPP, aunque fue enérgica al señalar que no iba a retirar todavía los estímulos</w:t>
      </w:r>
      <w:r w:rsidRPr="005214A2">
        <w:rPr>
          <w:color w:val="212529"/>
          <w:spacing w:val="-1"/>
        </w:rPr>
        <w:t>. Los analistas dan por hecho que la banquera decidirá aumentar el programa convencional de compras de deuda (APP, por sus siglas en inglés) si finalmente la institución empieza a replegar velas. El economista senior de Capital Economics para Europa, Jack Allen-Reynolds, destacó que el BCE cada vez está más inseguro sobre las perspectivas de inflación. “El relato de la reunión del BCE de septiembre reveló que muchos políticos creían que la inflación podría permanecer más alta durante más tiempo de lo que muestran las proyecciones del banco”, sostuvo.</w:t>
      </w:r>
    </w:p>
    <w:p w:rsidR="006A3B06" w:rsidRPr="00207516" w:rsidRDefault="006A3B06" w:rsidP="006A3B06">
      <w:pPr>
        <w:shd w:val="clear" w:color="auto" w:fill="FFFFFF"/>
        <w:spacing w:before="100" w:beforeAutospacing="1" w:after="100" w:afterAutospacing="1" w:line="240" w:lineRule="auto"/>
        <w:jc w:val="both"/>
        <w:rPr>
          <w:rFonts w:ascii="Times New Roman" w:hAnsi="Times New Roman" w:cs="Times New Roman"/>
          <w:sz w:val="24"/>
          <w:szCs w:val="24"/>
        </w:rPr>
      </w:pPr>
      <w:r w:rsidRPr="00207516">
        <w:rPr>
          <w:rFonts w:ascii="Times New Roman" w:hAnsi="Times New Roman" w:cs="Times New Roman"/>
          <w:sz w:val="24"/>
          <w:szCs w:val="24"/>
        </w:rPr>
        <w:t xml:space="preserve">- </w:t>
      </w:r>
      <w:r w:rsidR="005B490A">
        <w:rPr>
          <w:rFonts w:ascii="Times New Roman" w:hAnsi="Times New Roman" w:cs="Times New Roman"/>
          <w:sz w:val="24"/>
          <w:szCs w:val="24"/>
          <w:u w:val="single"/>
        </w:rPr>
        <w:t>Lagarde: “</w:t>
      </w:r>
      <w:r w:rsidRPr="00207516">
        <w:rPr>
          <w:rFonts w:ascii="Times New Roman" w:hAnsi="Times New Roman" w:cs="Times New Roman"/>
          <w:sz w:val="24"/>
          <w:szCs w:val="24"/>
          <w:u w:val="single"/>
        </w:rPr>
        <w:t>La inflación seguirá subiendo pero decaerá en 202</w:t>
      </w:r>
      <w:r w:rsidR="005B490A">
        <w:rPr>
          <w:rFonts w:ascii="Times New Roman" w:hAnsi="Times New Roman" w:cs="Times New Roman"/>
          <w:sz w:val="24"/>
          <w:szCs w:val="24"/>
          <w:u w:val="single"/>
        </w:rPr>
        <w:t>2. Nuestro análisis es correcto”</w:t>
      </w:r>
      <w:r w:rsidRPr="00207516">
        <w:rPr>
          <w:rFonts w:ascii="Times New Roman" w:hAnsi="Times New Roman" w:cs="Times New Roman"/>
          <w:sz w:val="24"/>
          <w:szCs w:val="24"/>
        </w:rPr>
        <w:t xml:space="preserve"> (Cinco Días - </w:t>
      </w:r>
      <w:r w:rsidRPr="00207516">
        <w:rPr>
          <w:rFonts w:ascii="Times New Roman" w:hAnsi="Times New Roman" w:cs="Times New Roman"/>
          <w:b/>
          <w:sz w:val="24"/>
          <w:szCs w:val="24"/>
        </w:rPr>
        <w:t>28/10/21</w:t>
      </w:r>
      <w:r w:rsidRPr="00207516">
        <w:rPr>
          <w:rFonts w:ascii="Times New Roman" w:hAnsi="Times New Roman" w:cs="Times New Roman"/>
          <w:sz w:val="24"/>
          <w:szCs w:val="24"/>
        </w:rPr>
        <w:t>)</w:t>
      </w:r>
    </w:p>
    <w:p w:rsidR="006A3B06" w:rsidRPr="00A10001" w:rsidRDefault="006A3B06" w:rsidP="006A3B06">
      <w:pPr>
        <w:shd w:val="clear" w:color="auto" w:fill="FFFFFF"/>
        <w:spacing w:before="100" w:beforeAutospacing="1" w:after="100" w:afterAutospacing="1" w:line="240" w:lineRule="auto"/>
        <w:jc w:val="both"/>
        <w:rPr>
          <w:rFonts w:ascii="Times New Roman" w:hAnsi="Times New Roman" w:cs="Times New Roman"/>
          <w:color w:val="FF0000"/>
          <w:sz w:val="24"/>
          <w:szCs w:val="24"/>
        </w:rPr>
      </w:pPr>
      <w:r w:rsidRPr="00A10001">
        <w:rPr>
          <w:rFonts w:ascii="Times New Roman" w:hAnsi="Times New Roman" w:cs="Times New Roman"/>
          <w:color w:val="FF0000"/>
          <w:sz w:val="24"/>
          <w:szCs w:val="24"/>
        </w:rPr>
        <w:t>El BCE mantiene sin cambios su política pese al alza persistente de los precios, más duradera de lo previsto por el banco central</w:t>
      </w:r>
    </w:p>
    <w:p w:rsidR="006A3B06" w:rsidRPr="00A10001" w:rsidRDefault="006A3B06" w:rsidP="006A3B06">
      <w:pPr>
        <w:shd w:val="clear" w:color="auto" w:fill="FFFFFF"/>
        <w:spacing w:before="100" w:beforeAutospacing="1" w:after="100" w:afterAutospacing="1" w:line="240" w:lineRule="auto"/>
        <w:jc w:val="both"/>
        <w:rPr>
          <w:rFonts w:ascii="Times New Roman" w:hAnsi="Times New Roman" w:cs="Times New Roman"/>
          <w:color w:val="FF0000"/>
          <w:sz w:val="24"/>
          <w:szCs w:val="24"/>
        </w:rPr>
      </w:pPr>
      <w:r w:rsidRPr="00A10001">
        <w:rPr>
          <w:rFonts w:ascii="Times New Roman" w:hAnsi="Times New Roman" w:cs="Times New Roman"/>
          <w:color w:val="FF0000"/>
          <w:sz w:val="24"/>
          <w:szCs w:val="24"/>
        </w:rPr>
        <w:lastRenderedPageBreak/>
        <w:t>Lagarde confirma que el PEPP finalizará en marzo de 2022 y que en diciembre se debatirá el escenario tras el fin de ese programa</w:t>
      </w:r>
    </w:p>
    <w:p w:rsidR="006A3B06" w:rsidRPr="00207516" w:rsidRDefault="006A3B06" w:rsidP="006A3B06">
      <w:pPr>
        <w:shd w:val="clear" w:color="auto" w:fill="FFFFFF"/>
        <w:spacing w:before="100" w:beforeAutospacing="1" w:after="100" w:afterAutospacing="1" w:line="240" w:lineRule="auto"/>
        <w:jc w:val="both"/>
        <w:rPr>
          <w:rFonts w:ascii="Times New Roman" w:hAnsi="Times New Roman" w:cs="Times New Roman"/>
          <w:sz w:val="24"/>
          <w:szCs w:val="24"/>
        </w:rPr>
      </w:pPr>
      <w:r w:rsidRPr="00207516">
        <w:rPr>
          <w:rFonts w:ascii="Times New Roman" w:hAnsi="Times New Roman" w:cs="Times New Roman"/>
          <w:sz w:val="24"/>
          <w:szCs w:val="24"/>
        </w:rPr>
        <w:t>(Por Nuria Salobral)</w:t>
      </w:r>
    </w:p>
    <w:p w:rsidR="006A3B06" w:rsidRPr="00207516" w:rsidRDefault="006A3B06" w:rsidP="006A3B06">
      <w:pPr>
        <w:shd w:val="clear" w:color="auto" w:fill="FFFFFF"/>
        <w:spacing w:before="100" w:beforeAutospacing="1" w:after="100" w:afterAutospacing="1" w:line="240" w:lineRule="auto"/>
        <w:jc w:val="both"/>
        <w:rPr>
          <w:rFonts w:ascii="Times New Roman" w:hAnsi="Times New Roman" w:cs="Times New Roman"/>
          <w:sz w:val="24"/>
          <w:szCs w:val="24"/>
        </w:rPr>
      </w:pPr>
      <w:r w:rsidRPr="00A10001">
        <w:rPr>
          <w:rFonts w:ascii="Times New Roman" w:hAnsi="Times New Roman" w:cs="Times New Roman"/>
          <w:color w:val="FF0000"/>
          <w:sz w:val="24"/>
          <w:szCs w:val="24"/>
          <w:u w:val="single"/>
        </w:rPr>
        <w:t xml:space="preserve"> “Hoy solo hemos hablado de tres cosas: i</w:t>
      </w:r>
      <w:r>
        <w:rPr>
          <w:rFonts w:ascii="Times New Roman" w:hAnsi="Times New Roman" w:cs="Times New Roman"/>
          <w:color w:val="FF0000"/>
          <w:sz w:val="24"/>
          <w:szCs w:val="24"/>
          <w:u w:val="single"/>
        </w:rPr>
        <w:t>nflación, inflación e inflación”</w:t>
      </w:r>
      <w:r w:rsidRPr="00A10001">
        <w:rPr>
          <w:rFonts w:ascii="Times New Roman" w:hAnsi="Times New Roman" w:cs="Times New Roman"/>
          <w:color w:val="FF0000"/>
          <w:sz w:val="24"/>
          <w:szCs w:val="24"/>
          <w:u w:val="single"/>
        </w:rPr>
        <w:t>, ha asegurado la presidenta del BCE, Christine Lagarde al término de la reunión celebrada por el Consejo de Gobierno de la institución, que ha decidido dejar sin cambios su política monetaria</w:t>
      </w:r>
      <w:r w:rsidRPr="00207516">
        <w:rPr>
          <w:rFonts w:ascii="Times New Roman" w:hAnsi="Times New Roman" w:cs="Times New Roman"/>
          <w:sz w:val="24"/>
          <w:szCs w:val="24"/>
        </w:rPr>
        <w:t xml:space="preserve">. La inflación se ha convertido de hecho en la gran protagonista del contexto económico actual en la zona euro y en el mercado crece el nerviosismo ante un alza del IPC que excede el nivel que el BCE considera su meta de estabilidad de precios.  </w:t>
      </w:r>
    </w:p>
    <w:p w:rsidR="006A3B06" w:rsidRPr="00207516" w:rsidRDefault="006A3B06" w:rsidP="006A3B06">
      <w:pPr>
        <w:shd w:val="clear" w:color="auto" w:fill="FFFFFF"/>
        <w:spacing w:before="100" w:beforeAutospacing="1" w:after="100" w:afterAutospacing="1" w:line="240" w:lineRule="auto"/>
        <w:jc w:val="both"/>
        <w:rPr>
          <w:rFonts w:ascii="Times New Roman" w:hAnsi="Times New Roman" w:cs="Times New Roman"/>
          <w:sz w:val="24"/>
          <w:szCs w:val="24"/>
        </w:rPr>
      </w:pPr>
      <w:r w:rsidRPr="00207516">
        <w:rPr>
          <w:rFonts w:ascii="Times New Roman" w:hAnsi="Times New Roman" w:cs="Times New Roman"/>
          <w:sz w:val="24"/>
          <w:szCs w:val="24"/>
        </w:rPr>
        <w:t xml:space="preserve">Las rentabilidades de los bonos descuentan un endurecimiento de la política monetaria para el próximo año, con el bono alemán en máximos de mayo, ante lo que </w:t>
      </w:r>
      <w:r w:rsidRPr="00A10001">
        <w:rPr>
          <w:rFonts w:ascii="Times New Roman" w:hAnsi="Times New Roman" w:cs="Times New Roman"/>
          <w:color w:val="FF0000"/>
          <w:sz w:val="24"/>
          <w:szCs w:val="24"/>
          <w:u w:val="single"/>
        </w:rPr>
        <w:t>Christine Lagarde se ha esforzado hoy por defender la validez del análisis de la institución, que insiste en que el alza de la inflación será transitoria y remitirá en 2022.</w:t>
      </w:r>
      <w:r w:rsidRPr="00207516">
        <w:rPr>
          <w:rFonts w:ascii="Times New Roman" w:hAnsi="Times New Roman" w:cs="Times New Roman"/>
          <w:sz w:val="24"/>
          <w:szCs w:val="24"/>
        </w:rPr>
        <w:t xml:space="preserve"> </w:t>
      </w:r>
      <w:r w:rsidRPr="00A10001">
        <w:rPr>
          <w:rFonts w:ascii="Times New Roman" w:hAnsi="Times New Roman" w:cs="Times New Roman"/>
          <w:sz w:val="24"/>
          <w:szCs w:val="24"/>
          <w:u w:val="single"/>
        </w:rPr>
        <w:t>El mercado ha reaccionado con incredulidad y las rentabilidades de los bonos han subido con fuerza</w:t>
      </w:r>
      <w:r w:rsidRPr="00207516">
        <w:rPr>
          <w:rFonts w:ascii="Times New Roman" w:hAnsi="Times New Roman" w:cs="Times New Roman"/>
          <w:sz w:val="24"/>
          <w:szCs w:val="24"/>
        </w:rPr>
        <w:t>, también ante la confirmación de Lagarde de que el plan de compras antipandemia finalizará sin más dilación en marzo de 2022 y sin que se haya debatido hoy el escenario posterior.</w:t>
      </w:r>
    </w:p>
    <w:p w:rsidR="006A3B06" w:rsidRPr="00A10001" w:rsidRDefault="006A3B06" w:rsidP="006A3B06">
      <w:pPr>
        <w:shd w:val="clear" w:color="auto" w:fill="FFFFFF"/>
        <w:spacing w:before="100" w:beforeAutospacing="1" w:after="100" w:afterAutospacing="1" w:line="240" w:lineRule="auto"/>
        <w:jc w:val="both"/>
        <w:rPr>
          <w:rFonts w:ascii="Times New Roman" w:hAnsi="Times New Roman" w:cs="Times New Roman"/>
          <w:color w:val="FF0000"/>
          <w:sz w:val="24"/>
          <w:szCs w:val="24"/>
          <w:u w:val="single"/>
        </w:rPr>
      </w:pPr>
      <w:r w:rsidRPr="00A10001">
        <w:rPr>
          <w:rFonts w:ascii="Times New Roman" w:hAnsi="Times New Roman" w:cs="Times New Roman"/>
          <w:color w:val="FF0000"/>
          <w:sz w:val="24"/>
          <w:szCs w:val="24"/>
          <w:u w:val="single"/>
        </w:rPr>
        <w:t>Pero la presidenta del BCE también ha lanzado el mensaje de que la zona euro está muy lejos de haber alcanzado un entorno de inflación que permita una subida de tipos, a diferencia de otras economías como la de</w:t>
      </w:r>
      <w:r>
        <w:rPr>
          <w:rFonts w:ascii="Times New Roman" w:hAnsi="Times New Roman" w:cs="Times New Roman"/>
          <w:color w:val="FF0000"/>
          <w:sz w:val="24"/>
          <w:szCs w:val="24"/>
          <w:u w:val="single"/>
        </w:rPr>
        <w:t xml:space="preserve"> Estados Unidos o Reino Unido. “</w:t>
      </w:r>
      <w:r w:rsidRPr="00A10001">
        <w:rPr>
          <w:rFonts w:ascii="Times New Roman" w:hAnsi="Times New Roman" w:cs="Times New Roman"/>
          <w:color w:val="FF0000"/>
          <w:sz w:val="24"/>
          <w:szCs w:val="24"/>
          <w:u w:val="single"/>
        </w:rPr>
        <w:t>Las comparaciones son odiosas, porque no estamos hablando de economías iguales, cuyas perspectivas son distintas, lo que jus</w:t>
      </w:r>
      <w:r>
        <w:rPr>
          <w:rFonts w:ascii="Times New Roman" w:hAnsi="Times New Roman" w:cs="Times New Roman"/>
          <w:color w:val="FF0000"/>
          <w:sz w:val="24"/>
          <w:szCs w:val="24"/>
          <w:u w:val="single"/>
        </w:rPr>
        <w:t>tifica aproximaciones distintas”</w:t>
      </w:r>
      <w:r w:rsidRPr="00A10001">
        <w:rPr>
          <w:rFonts w:ascii="Times New Roman" w:hAnsi="Times New Roman" w:cs="Times New Roman"/>
          <w:color w:val="FF0000"/>
          <w:sz w:val="24"/>
          <w:szCs w:val="24"/>
          <w:u w:val="single"/>
        </w:rPr>
        <w:t>, ha defendido Lagarde. Para una subida de tipos en la zona euro, según ha explicado, la inflación se tendría que situar en un nivel del 2% en un horizonte de medio plazo de forma duradera, con la expectativa de permanecer ahí al menos tres años, y la tasa subyacente también debería presentar un horizonte al alza.</w:t>
      </w:r>
    </w:p>
    <w:p w:rsidR="006A3B06" w:rsidRPr="00A10001" w:rsidRDefault="006A3B06" w:rsidP="006A3B06">
      <w:pPr>
        <w:shd w:val="clear" w:color="auto" w:fill="FFFFFF"/>
        <w:spacing w:before="100" w:beforeAutospacing="1" w:after="100" w:afterAutospacing="1" w:line="240" w:lineRule="auto"/>
        <w:jc w:val="both"/>
        <w:rPr>
          <w:rFonts w:ascii="Times New Roman" w:hAnsi="Times New Roman" w:cs="Times New Roman"/>
          <w:color w:val="FF0000"/>
          <w:sz w:val="24"/>
          <w:szCs w:val="24"/>
          <w:u w:val="single"/>
        </w:rPr>
      </w:pPr>
      <w:r w:rsidRPr="00A10001">
        <w:rPr>
          <w:rFonts w:ascii="Times New Roman" w:hAnsi="Times New Roman" w:cs="Times New Roman"/>
          <w:color w:val="FF0000"/>
          <w:sz w:val="24"/>
          <w:szCs w:val="24"/>
          <w:u w:val="single"/>
        </w:rPr>
        <w:t>En sus previsiones a medio plazo, el BCE mantiene por ahora que el IPC en la zona euro se habrá situado en 2023 apenas en el 1,5%, una ve</w:t>
      </w:r>
      <w:r>
        <w:rPr>
          <w:rFonts w:ascii="Times New Roman" w:hAnsi="Times New Roman" w:cs="Times New Roman"/>
          <w:color w:val="FF0000"/>
          <w:sz w:val="24"/>
          <w:szCs w:val="24"/>
          <w:u w:val="single"/>
        </w:rPr>
        <w:t>z superado el repunte actual.  “</w:t>
      </w:r>
      <w:r w:rsidRPr="00A10001">
        <w:rPr>
          <w:rFonts w:ascii="Times New Roman" w:hAnsi="Times New Roman" w:cs="Times New Roman"/>
          <w:color w:val="FF0000"/>
          <w:sz w:val="24"/>
          <w:szCs w:val="24"/>
          <w:u w:val="single"/>
        </w:rPr>
        <w:t>No me corresponde a mí decir si los mercados se están adelantando a sí mismos (al apostar por subidas a finales del próximo año), pero nuestro análisis sugiere que las condiciones no se</w:t>
      </w:r>
      <w:r>
        <w:rPr>
          <w:rFonts w:ascii="Times New Roman" w:hAnsi="Times New Roman" w:cs="Times New Roman"/>
          <w:color w:val="FF0000"/>
          <w:sz w:val="24"/>
          <w:szCs w:val="24"/>
          <w:u w:val="single"/>
        </w:rPr>
        <w:t xml:space="preserve"> cumplirán durante algún tiempo”</w:t>
      </w:r>
      <w:r w:rsidRPr="00A10001">
        <w:rPr>
          <w:rFonts w:ascii="Times New Roman" w:hAnsi="Times New Roman" w:cs="Times New Roman"/>
          <w:color w:val="FF0000"/>
          <w:sz w:val="24"/>
          <w:szCs w:val="24"/>
          <w:u w:val="single"/>
        </w:rPr>
        <w:t>, ha advertido la presidenta del BCE.</w:t>
      </w:r>
    </w:p>
    <w:p w:rsidR="006A3B06" w:rsidRPr="00A10001" w:rsidRDefault="006A3B06" w:rsidP="006A3B06">
      <w:pPr>
        <w:shd w:val="clear" w:color="auto" w:fill="FFFFFF"/>
        <w:spacing w:before="100" w:beforeAutospacing="1" w:after="100" w:afterAutospacing="1" w:line="240" w:lineRule="auto"/>
        <w:jc w:val="both"/>
        <w:rPr>
          <w:rFonts w:ascii="Times New Roman" w:hAnsi="Times New Roman" w:cs="Times New Roman"/>
          <w:color w:val="FF0000"/>
          <w:sz w:val="24"/>
          <w:szCs w:val="24"/>
          <w:u w:val="single"/>
        </w:rPr>
      </w:pPr>
      <w:r w:rsidRPr="00A10001">
        <w:rPr>
          <w:rFonts w:ascii="Times New Roman" w:hAnsi="Times New Roman" w:cs="Times New Roman"/>
          <w:color w:val="FF0000"/>
          <w:sz w:val="24"/>
          <w:szCs w:val="24"/>
          <w:u w:val="single"/>
        </w:rPr>
        <w:t>En rueda de prensa, Christine Lagarde, ha señalado que la inflación seguirá subiendo en la zona euro en los próximos meses, más de lo esperado por la institución, pero aflojará el próximo año</w:t>
      </w:r>
      <w:r w:rsidRPr="00207516">
        <w:rPr>
          <w:rFonts w:ascii="Times New Roman" w:hAnsi="Times New Roman" w:cs="Times New Roman"/>
          <w:sz w:val="24"/>
          <w:szCs w:val="24"/>
        </w:rPr>
        <w:t>. En septiembre, los precios crecieron en la zona euro el 3,4% y Lagarde prevé que aumenten aún más en lo que queda de 2021. Pero los actuales elementos que presionan al alza, la energía, los problemas de suministro debidos a la rápida recuperación económica y el fin del recorte del IVA de Alemania (que provoca un</w:t>
      </w:r>
      <w:r>
        <w:rPr>
          <w:rFonts w:ascii="Times New Roman" w:hAnsi="Times New Roman" w:cs="Times New Roman"/>
          <w:sz w:val="24"/>
          <w:szCs w:val="24"/>
        </w:rPr>
        <w:t>a</w:t>
      </w:r>
      <w:r w:rsidRPr="00207516">
        <w:rPr>
          <w:rFonts w:ascii="Times New Roman" w:hAnsi="Times New Roman" w:cs="Times New Roman"/>
          <w:sz w:val="24"/>
          <w:szCs w:val="24"/>
        </w:rPr>
        <w:t xml:space="preserve"> mayor alza en la comparativa interanual), perderán peso en 2022. </w:t>
      </w:r>
      <w:r>
        <w:rPr>
          <w:rFonts w:ascii="Times New Roman" w:hAnsi="Times New Roman" w:cs="Times New Roman"/>
          <w:color w:val="FF0000"/>
          <w:sz w:val="24"/>
          <w:szCs w:val="24"/>
          <w:u w:val="single"/>
        </w:rPr>
        <w:t>“</w:t>
      </w:r>
      <w:r w:rsidRPr="00A10001">
        <w:rPr>
          <w:rFonts w:ascii="Times New Roman" w:hAnsi="Times New Roman" w:cs="Times New Roman"/>
          <w:color w:val="FF0000"/>
          <w:sz w:val="24"/>
          <w:szCs w:val="24"/>
          <w:u w:val="single"/>
        </w:rPr>
        <w:t>Hemos debatido mucho y hecho un gran análisis. Y creemos que nuestro análisis de que la inflaci</w:t>
      </w:r>
      <w:r>
        <w:rPr>
          <w:rFonts w:ascii="Times New Roman" w:hAnsi="Times New Roman" w:cs="Times New Roman"/>
          <w:color w:val="FF0000"/>
          <w:sz w:val="24"/>
          <w:szCs w:val="24"/>
          <w:u w:val="single"/>
        </w:rPr>
        <w:t>ón será transitoria es correcto”</w:t>
      </w:r>
      <w:r w:rsidRPr="00A10001">
        <w:rPr>
          <w:rFonts w:ascii="Times New Roman" w:hAnsi="Times New Roman" w:cs="Times New Roman"/>
          <w:color w:val="FF0000"/>
          <w:sz w:val="24"/>
          <w:szCs w:val="24"/>
          <w:u w:val="single"/>
        </w:rPr>
        <w:t>, ha defendido Lagarde. Sí ha reconoci</w:t>
      </w:r>
      <w:r>
        <w:rPr>
          <w:rFonts w:ascii="Times New Roman" w:hAnsi="Times New Roman" w:cs="Times New Roman"/>
          <w:color w:val="FF0000"/>
          <w:sz w:val="24"/>
          <w:szCs w:val="24"/>
          <w:u w:val="single"/>
        </w:rPr>
        <w:t>do en todo caso que la energía “es el principal riesgo”</w:t>
      </w:r>
      <w:r w:rsidRPr="00A10001">
        <w:rPr>
          <w:rFonts w:ascii="Times New Roman" w:hAnsi="Times New Roman" w:cs="Times New Roman"/>
          <w:color w:val="FF0000"/>
          <w:sz w:val="24"/>
          <w:szCs w:val="24"/>
          <w:u w:val="single"/>
        </w:rPr>
        <w:t xml:space="preserve"> y ha señal</w:t>
      </w:r>
      <w:r>
        <w:rPr>
          <w:rFonts w:ascii="Times New Roman" w:hAnsi="Times New Roman" w:cs="Times New Roman"/>
          <w:color w:val="FF0000"/>
          <w:sz w:val="24"/>
          <w:szCs w:val="24"/>
          <w:u w:val="single"/>
        </w:rPr>
        <w:t>ado que si continuara subiendo “</w:t>
      </w:r>
      <w:r w:rsidRPr="00A10001">
        <w:rPr>
          <w:rFonts w:ascii="Times New Roman" w:hAnsi="Times New Roman" w:cs="Times New Roman"/>
          <w:color w:val="FF0000"/>
          <w:sz w:val="24"/>
          <w:szCs w:val="24"/>
          <w:u w:val="single"/>
        </w:rPr>
        <w:t xml:space="preserve">podría suponer </w:t>
      </w:r>
      <w:r>
        <w:rPr>
          <w:rFonts w:ascii="Times New Roman" w:hAnsi="Times New Roman" w:cs="Times New Roman"/>
          <w:color w:val="FF0000"/>
          <w:sz w:val="24"/>
          <w:szCs w:val="24"/>
          <w:u w:val="single"/>
        </w:rPr>
        <w:t>un freno para la recuperación”</w:t>
      </w:r>
      <w:r w:rsidRPr="00A10001">
        <w:rPr>
          <w:rFonts w:ascii="Times New Roman" w:hAnsi="Times New Roman" w:cs="Times New Roman"/>
          <w:color w:val="FF0000"/>
          <w:sz w:val="24"/>
          <w:szCs w:val="24"/>
          <w:u w:val="single"/>
        </w:rPr>
        <w:t>.</w:t>
      </w:r>
    </w:p>
    <w:p w:rsidR="006A3B06" w:rsidRPr="00207516" w:rsidRDefault="006A3B06" w:rsidP="006A3B06">
      <w:pPr>
        <w:shd w:val="clear" w:color="auto" w:fill="FFFFFF"/>
        <w:spacing w:before="100" w:beforeAutospacing="1" w:after="100" w:afterAutospacing="1" w:line="240" w:lineRule="auto"/>
        <w:jc w:val="both"/>
        <w:rPr>
          <w:rFonts w:ascii="Times New Roman" w:hAnsi="Times New Roman" w:cs="Times New Roman"/>
          <w:sz w:val="24"/>
          <w:szCs w:val="24"/>
        </w:rPr>
      </w:pPr>
      <w:r w:rsidRPr="00207516">
        <w:rPr>
          <w:rFonts w:ascii="Times New Roman" w:hAnsi="Times New Roman" w:cs="Times New Roman"/>
          <w:sz w:val="24"/>
          <w:szCs w:val="24"/>
        </w:rPr>
        <w:t>Para ING, “el BCE por fin ha despertado a la realidad de la inflación. Sigue previendo un período transitorio de elevada inflación pero ha hecho un análisis mucho más equilibrado, allanando el camino para una mayor reducción en las compras de deuda en diciembre”.</w:t>
      </w:r>
    </w:p>
    <w:p w:rsidR="006A3B06" w:rsidRPr="00A10001" w:rsidRDefault="006A3B06" w:rsidP="006A3B06">
      <w:pPr>
        <w:shd w:val="clear" w:color="auto" w:fill="FFFFFF"/>
        <w:spacing w:before="100" w:beforeAutospacing="1" w:after="100" w:afterAutospacing="1" w:line="240" w:lineRule="auto"/>
        <w:jc w:val="both"/>
        <w:rPr>
          <w:rFonts w:ascii="Times New Roman" w:hAnsi="Times New Roman" w:cs="Times New Roman"/>
          <w:color w:val="FF0000"/>
          <w:sz w:val="24"/>
          <w:szCs w:val="24"/>
          <w:u w:val="single"/>
        </w:rPr>
      </w:pPr>
      <w:r w:rsidRPr="00A10001">
        <w:rPr>
          <w:rFonts w:ascii="Times New Roman" w:hAnsi="Times New Roman" w:cs="Times New Roman"/>
          <w:sz w:val="24"/>
          <w:szCs w:val="24"/>
          <w:u w:val="single"/>
        </w:rPr>
        <w:lastRenderedPageBreak/>
        <w:t>El BCE está ante la encrucijada de unos precios desbocados, cuya duración en el tiempo aún es incierta, y de un crecimiento económico que se espera para este año menor al previsto inicialmente</w:t>
      </w:r>
      <w:r w:rsidRPr="00207516">
        <w:rPr>
          <w:rFonts w:ascii="Times New Roman" w:hAnsi="Times New Roman" w:cs="Times New Roman"/>
          <w:sz w:val="24"/>
          <w:szCs w:val="24"/>
        </w:rPr>
        <w:t xml:space="preserve">. Pero Lagarde ha defendido que las condiciones de financiación de la zona euro siguen siendo favorables y ha señalado que la recuperación de la economía en la zona euro continúa con fuerza. </w:t>
      </w:r>
      <w:r>
        <w:rPr>
          <w:rFonts w:ascii="Times New Roman" w:hAnsi="Times New Roman" w:cs="Times New Roman"/>
          <w:color w:val="FF0000"/>
          <w:sz w:val="24"/>
          <w:szCs w:val="24"/>
          <w:u w:val="single"/>
        </w:rPr>
        <w:t>“</w:t>
      </w:r>
      <w:r w:rsidRPr="00A10001">
        <w:rPr>
          <w:rFonts w:ascii="Times New Roman" w:hAnsi="Times New Roman" w:cs="Times New Roman"/>
          <w:color w:val="FF0000"/>
          <w:sz w:val="24"/>
          <w:szCs w:val="24"/>
          <w:u w:val="single"/>
        </w:rPr>
        <w:t xml:space="preserve">De ninguna manera hay estanflación, </w:t>
      </w:r>
      <w:r>
        <w:rPr>
          <w:rFonts w:ascii="Times New Roman" w:hAnsi="Times New Roman" w:cs="Times New Roman"/>
          <w:color w:val="FF0000"/>
          <w:sz w:val="24"/>
          <w:szCs w:val="24"/>
          <w:u w:val="single"/>
        </w:rPr>
        <w:t>tenemos una fuerte recuperación”</w:t>
      </w:r>
      <w:r w:rsidRPr="00A10001">
        <w:rPr>
          <w:rFonts w:ascii="Times New Roman" w:hAnsi="Times New Roman" w:cs="Times New Roman"/>
          <w:color w:val="FF0000"/>
          <w:sz w:val="24"/>
          <w:szCs w:val="24"/>
          <w:u w:val="single"/>
        </w:rPr>
        <w:t>, ha zanjado con vehemencia Lagarde.</w:t>
      </w:r>
    </w:p>
    <w:p w:rsidR="006A3B06" w:rsidRPr="00207516" w:rsidRDefault="006A3B06" w:rsidP="006A3B06">
      <w:pPr>
        <w:shd w:val="clear" w:color="auto" w:fill="FFFFFF"/>
        <w:spacing w:before="100" w:beforeAutospacing="1" w:after="100" w:afterAutospacing="1" w:line="240" w:lineRule="auto"/>
        <w:jc w:val="both"/>
        <w:rPr>
          <w:rFonts w:ascii="Times New Roman" w:hAnsi="Times New Roman" w:cs="Times New Roman"/>
          <w:sz w:val="24"/>
          <w:szCs w:val="24"/>
        </w:rPr>
      </w:pPr>
      <w:r w:rsidRPr="00A10001">
        <w:rPr>
          <w:rFonts w:ascii="Times New Roman" w:hAnsi="Times New Roman" w:cs="Times New Roman"/>
          <w:color w:val="FF0000"/>
          <w:sz w:val="24"/>
          <w:szCs w:val="24"/>
          <w:u w:val="single"/>
        </w:rPr>
        <w:t>El BCE se aferra a un diagnóstico en el que el año próximo se habrán resuelto los act</w:t>
      </w:r>
      <w:r>
        <w:rPr>
          <w:rFonts w:ascii="Times New Roman" w:hAnsi="Times New Roman" w:cs="Times New Roman"/>
          <w:color w:val="FF0000"/>
          <w:sz w:val="24"/>
          <w:szCs w:val="24"/>
          <w:u w:val="single"/>
        </w:rPr>
        <w:t>uales problemas de suministro -“</w:t>
      </w:r>
      <w:r w:rsidRPr="00A10001">
        <w:rPr>
          <w:rFonts w:ascii="Times New Roman" w:hAnsi="Times New Roman" w:cs="Times New Roman"/>
          <w:color w:val="FF0000"/>
          <w:sz w:val="24"/>
          <w:szCs w:val="24"/>
          <w:u w:val="single"/>
        </w:rPr>
        <w:t>a</w:t>
      </w:r>
      <w:r>
        <w:rPr>
          <w:rFonts w:ascii="Times New Roman" w:hAnsi="Times New Roman" w:cs="Times New Roman"/>
          <w:color w:val="FF0000"/>
          <w:sz w:val="24"/>
          <w:szCs w:val="24"/>
          <w:u w:val="single"/>
        </w:rPr>
        <w:t>unque no en el primer trimestre”</w:t>
      </w:r>
      <w:r w:rsidRPr="00A10001">
        <w:rPr>
          <w:rFonts w:ascii="Times New Roman" w:hAnsi="Times New Roman" w:cs="Times New Roman"/>
          <w:color w:val="FF0000"/>
          <w:sz w:val="24"/>
          <w:szCs w:val="24"/>
          <w:u w:val="single"/>
        </w:rPr>
        <w:t>, ha advertido Lagarde- y en el que los precios se relajarán, sin ver motivos para modificar ni una coma de su política monetaria</w:t>
      </w:r>
      <w:r w:rsidRPr="00207516">
        <w:rPr>
          <w:rFonts w:ascii="Times New Roman" w:hAnsi="Times New Roman" w:cs="Times New Roman"/>
          <w:sz w:val="24"/>
          <w:szCs w:val="24"/>
        </w:rPr>
        <w:t>. De hecho, ha insistido en su decisión de septiembre, de rebajar el ritmo de las compras de deuda ligeramente frente a lo adquirido en el segundo y tercer trimestre del año, y ha confirmado que el plan de compras antipandemia finalizará en marzo de 2022, según lo previ</w:t>
      </w:r>
      <w:r>
        <w:rPr>
          <w:rFonts w:ascii="Times New Roman" w:hAnsi="Times New Roman" w:cs="Times New Roman"/>
          <w:sz w:val="24"/>
          <w:szCs w:val="24"/>
        </w:rPr>
        <w:t>sto. “</w:t>
      </w:r>
      <w:r w:rsidRPr="00207516">
        <w:rPr>
          <w:rFonts w:ascii="Times New Roman" w:hAnsi="Times New Roman" w:cs="Times New Roman"/>
          <w:sz w:val="24"/>
          <w:szCs w:val="24"/>
        </w:rPr>
        <w:t>Lo que vaya a pasar después lo debatiremos en di</w:t>
      </w:r>
      <w:r>
        <w:rPr>
          <w:rFonts w:ascii="Times New Roman" w:hAnsi="Times New Roman" w:cs="Times New Roman"/>
          <w:sz w:val="24"/>
          <w:szCs w:val="24"/>
        </w:rPr>
        <w:t>ciembre”</w:t>
      </w:r>
      <w:r w:rsidRPr="00207516">
        <w:rPr>
          <w:rFonts w:ascii="Times New Roman" w:hAnsi="Times New Roman" w:cs="Times New Roman"/>
          <w:sz w:val="24"/>
          <w:szCs w:val="24"/>
        </w:rPr>
        <w:t xml:space="preserve">, ha avanzado Lagarde. </w:t>
      </w:r>
    </w:p>
    <w:p w:rsidR="006A3B06" w:rsidRPr="00207516" w:rsidRDefault="006A3B06" w:rsidP="006A3B06">
      <w:pPr>
        <w:shd w:val="clear" w:color="auto" w:fill="FFFFFF"/>
        <w:spacing w:before="100" w:beforeAutospacing="1" w:after="100" w:afterAutospacing="1" w:line="240" w:lineRule="auto"/>
        <w:jc w:val="both"/>
        <w:rPr>
          <w:rFonts w:ascii="Times New Roman" w:hAnsi="Times New Roman" w:cs="Times New Roman"/>
          <w:sz w:val="24"/>
          <w:szCs w:val="24"/>
        </w:rPr>
      </w:pPr>
      <w:r w:rsidRPr="00207516">
        <w:rPr>
          <w:rFonts w:ascii="Times New Roman" w:hAnsi="Times New Roman" w:cs="Times New Roman"/>
          <w:sz w:val="24"/>
          <w:szCs w:val="24"/>
        </w:rPr>
        <w:t>La cita del próximo mes será por tanto de gran calado, el momento de planificar un repliegue de estímulos que no cree inestabilidad financiera y no dañe las óptimas condiciones de financiación actuales en ausencia de las compras del programa PEPP, que rondan los 70.000 millones de euros al mes. El BCE estaría tanteando la opción de crear una herramienta preventiva ante futuras crisis con la flexibilidad de ese plan antipandemia lanzado en marzo de 2020 y que ha sido su principal medida para combatir la crisis.</w:t>
      </w:r>
    </w:p>
    <w:p w:rsidR="006A3B06" w:rsidRDefault="006A3B06" w:rsidP="006A3B06">
      <w:pPr>
        <w:shd w:val="clear" w:color="auto" w:fill="FFFFFF"/>
        <w:spacing w:before="100" w:beforeAutospacing="1" w:after="100" w:afterAutospacing="1" w:line="240" w:lineRule="auto"/>
        <w:jc w:val="both"/>
        <w:rPr>
          <w:rFonts w:ascii="Times New Roman" w:hAnsi="Times New Roman" w:cs="Times New Roman"/>
          <w:sz w:val="24"/>
          <w:szCs w:val="24"/>
        </w:rPr>
      </w:pPr>
      <w:r w:rsidRPr="00207516">
        <w:rPr>
          <w:rFonts w:ascii="Times New Roman" w:hAnsi="Times New Roman" w:cs="Times New Roman"/>
          <w:sz w:val="24"/>
          <w:szCs w:val="24"/>
        </w:rPr>
        <w:t xml:space="preserve">Lagarde también se ha mostrado partidaria de </w:t>
      </w:r>
      <w:r>
        <w:rPr>
          <w:rFonts w:ascii="Times New Roman" w:hAnsi="Times New Roman" w:cs="Times New Roman"/>
          <w:sz w:val="24"/>
          <w:szCs w:val="24"/>
        </w:rPr>
        <w:t>acometer medidas que eviten el “efecto acantilado”</w:t>
      </w:r>
      <w:r w:rsidRPr="00207516">
        <w:rPr>
          <w:rFonts w:ascii="Times New Roman" w:hAnsi="Times New Roman" w:cs="Times New Roman"/>
          <w:sz w:val="24"/>
          <w:szCs w:val="24"/>
        </w:rPr>
        <w:t xml:space="preserve"> a consecuencia de la finalización en diciembre de las subastas TLTRO III, lo que sugiere la activación de nuevas rondas de liquidez barata para la banca, aunque previsiblemente con peores condiciones.</w:t>
      </w:r>
    </w:p>
    <w:p w:rsidR="00ED7B0E" w:rsidRPr="00ED7B0E" w:rsidRDefault="00ED7B0E" w:rsidP="00ED7B0E">
      <w:pPr>
        <w:spacing w:line="240" w:lineRule="auto"/>
        <w:jc w:val="both"/>
        <w:rPr>
          <w:rFonts w:ascii="Times New Roman" w:hAnsi="Times New Roman" w:cs="Times New Roman"/>
          <w:b/>
          <w:sz w:val="24"/>
          <w:szCs w:val="24"/>
        </w:rPr>
      </w:pPr>
      <w:r w:rsidRPr="00ED7B0E">
        <w:rPr>
          <w:rFonts w:ascii="Times New Roman" w:hAnsi="Times New Roman" w:cs="Times New Roman"/>
          <w:b/>
          <w:sz w:val="24"/>
          <w:szCs w:val="24"/>
        </w:rPr>
        <w:t>Nota</w:t>
      </w:r>
      <w:r>
        <w:rPr>
          <w:rFonts w:ascii="Times New Roman" w:hAnsi="Times New Roman" w:cs="Times New Roman"/>
          <w:b/>
          <w:sz w:val="24"/>
          <w:szCs w:val="24"/>
        </w:rPr>
        <w:t xml:space="preserve"> (octubre 2021): </w:t>
      </w:r>
      <w:r w:rsidRPr="00ED7B0E">
        <w:rPr>
          <w:rFonts w:ascii="Times New Roman" w:hAnsi="Times New Roman" w:cs="Times New Roman"/>
          <w:b/>
          <w:sz w:val="24"/>
          <w:szCs w:val="24"/>
        </w:rPr>
        <w:t>La inflación no es un problema pasajero: hay señales de persistencia y agravamiento</w:t>
      </w:r>
      <w:r w:rsidR="0038435F">
        <w:rPr>
          <w:rFonts w:ascii="Times New Roman" w:hAnsi="Times New Roman" w:cs="Times New Roman"/>
          <w:b/>
          <w:sz w:val="24"/>
          <w:szCs w:val="24"/>
        </w:rPr>
        <w:t>.</w:t>
      </w:r>
      <w:r>
        <w:rPr>
          <w:rFonts w:ascii="Times New Roman" w:hAnsi="Times New Roman" w:cs="Times New Roman"/>
          <w:b/>
          <w:sz w:val="24"/>
          <w:szCs w:val="24"/>
        </w:rPr>
        <w:t xml:space="preserve"> </w:t>
      </w:r>
    </w:p>
    <w:p w:rsidR="00ED7B0E" w:rsidRPr="00ED7B0E" w:rsidRDefault="00ED7B0E" w:rsidP="00ED7B0E">
      <w:pPr>
        <w:spacing w:line="240" w:lineRule="auto"/>
        <w:jc w:val="both"/>
        <w:rPr>
          <w:rFonts w:ascii="Times New Roman" w:hAnsi="Times New Roman" w:cs="Times New Roman"/>
          <w:b/>
          <w:sz w:val="24"/>
          <w:szCs w:val="24"/>
        </w:rPr>
      </w:pPr>
      <w:r w:rsidRPr="00ED7B0E">
        <w:rPr>
          <w:rFonts w:ascii="Times New Roman" w:hAnsi="Times New Roman" w:cs="Times New Roman"/>
          <w:b/>
          <w:sz w:val="24"/>
          <w:szCs w:val="24"/>
        </w:rPr>
        <w:t>La evolución al alza que están experimentando los precios, con un IPC que ya crece por encima del 5% en tasa anual, se está convirtiendo en un factor adicional de vulnerabilidad para la economía. Estos niveles de inflación provocarán pérdidas de cientos de miles de millones de euros o dólares, entre las familias y las empre</w:t>
      </w:r>
      <w:r>
        <w:rPr>
          <w:rFonts w:ascii="Times New Roman" w:hAnsi="Times New Roman" w:cs="Times New Roman"/>
          <w:b/>
          <w:sz w:val="24"/>
          <w:szCs w:val="24"/>
        </w:rPr>
        <w:t>sas de la Unión Europea</w:t>
      </w:r>
      <w:r w:rsidRPr="00ED7B0E">
        <w:rPr>
          <w:rFonts w:ascii="Times New Roman" w:hAnsi="Times New Roman" w:cs="Times New Roman"/>
          <w:b/>
          <w:sz w:val="24"/>
          <w:szCs w:val="24"/>
        </w:rPr>
        <w:t xml:space="preserve"> y</w:t>
      </w:r>
      <w:r w:rsidR="00566FFD">
        <w:rPr>
          <w:rFonts w:ascii="Times New Roman" w:hAnsi="Times New Roman" w:cs="Times New Roman"/>
          <w:b/>
          <w:sz w:val="24"/>
          <w:szCs w:val="24"/>
        </w:rPr>
        <w:t xml:space="preserve"> de</w:t>
      </w:r>
      <w:r w:rsidRPr="00ED7B0E">
        <w:rPr>
          <w:rFonts w:ascii="Times New Roman" w:hAnsi="Times New Roman" w:cs="Times New Roman"/>
          <w:b/>
          <w:sz w:val="24"/>
          <w:szCs w:val="24"/>
        </w:rPr>
        <w:t xml:space="preserve"> </w:t>
      </w:r>
      <w:r>
        <w:rPr>
          <w:rFonts w:ascii="Times New Roman" w:hAnsi="Times New Roman" w:cs="Times New Roman"/>
          <w:b/>
          <w:sz w:val="24"/>
          <w:szCs w:val="24"/>
        </w:rPr>
        <w:t>los Estados Unidos</w:t>
      </w:r>
      <w:r w:rsidRPr="00ED7B0E">
        <w:rPr>
          <w:rFonts w:ascii="Times New Roman" w:hAnsi="Times New Roman" w:cs="Times New Roman"/>
          <w:b/>
          <w:sz w:val="24"/>
          <w:szCs w:val="24"/>
        </w:rPr>
        <w:t xml:space="preserve">. </w:t>
      </w:r>
    </w:p>
    <w:p w:rsidR="00ED7B0E" w:rsidRPr="002115A6" w:rsidRDefault="00ED7B0E" w:rsidP="00ED7B0E">
      <w:pPr>
        <w:spacing w:line="240" w:lineRule="auto"/>
        <w:jc w:val="both"/>
        <w:rPr>
          <w:rFonts w:ascii="Times New Roman" w:hAnsi="Times New Roman" w:cs="Times New Roman"/>
          <w:b/>
          <w:sz w:val="24"/>
          <w:szCs w:val="24"/>
        </w:rPr>
      </w:pPr>
      <w:r w:rsidRPr="002115A6">
        <w:rPr>
          <w:rFonts w:ascii="Times New Roman" w:hAnsi="Times New Roman" w:cs="Times New Roman"/>
          <w:b/>
          <w:sz w:val="24"/>
          <w:szCs w:val="24"/>
        </w:rPr>
        <w:t>Pero, ¿estamos ante un fenómeno puntual o el repunte de los precios ha venido para quedarse? Con la boca pequeña, los últimos informes de algunos</w:t>
      </w:r>
      <w:r w:rsidR="00566FFD">
        <w:rPr>
          <w:rFonts w:ascii="Times New Roman" w:hAnsi="Times New Roman" w:cs="Times New Roman"/>
          <w:b/>
          <w:sz w:val="24"/>
          <w:szCs w:val="24"/>
        </w:rPr>
        <w:t xml:space="preserve"> institutos de estudios económicos (¿socios del silencio?), </w:t>
      </w:r>
      <w:r w:rsidRPr="002115A6">
        <w:rPr>
          <w:rFonts w:ascii="Times New Roman" w:hAnsi="Times New Roman" w:cs="Times New Roman"/>
          <w:b/>
          <w:sz w:val="24"/>
          <w:szCs w:val="24"/>
        </w:rPr>
        <w:t>reconocen que aunque “hay dudas sobre lo que suce</w:t>
      </w:r>
      <w:r w:rsidR="002115A6" w:rsidRPr="002115A6">
        <w:rPr>
          <w:rFonts w:ascii="Times New Roman" w:hAnsi="Times New Roman" w:cs="Times New Roman"/>
          <w:b/>
          <w:sz w:val="24"/>
          <w:szCs w:val="24"/>
        </w:rPr>
        <w:t>derá en los próximos trimestres”… “</w:t>
      </w:r>
      <w:r w:rsidRPr="002115A6">
        <w:rPr>
          <w:rFonts w:ascii="Times New Roman" w:hAnsi="Times New Roman" w:cs="Times New Roman"/>
          <w:b/>
          <w:sz w:val="24"/>
          <w:szCs w:val="24"/>
        </w:rPr>
        <w:t>hay un riesgo real de que este fenómeno</w:t>
      </w:r>
      <w:r w:rsidR="002115A6" w:rsidRPr="002115A6">
        <w:rPr>
          <w:rFonts w:ascii="Times New Roman" w:hAnsi="Times New Roman" w:cs="Times New Roman"/>
          <w:b/>
          <w:sz w:val="24"/>
          <w:szCs w:val="24"/>
        </w:rPr>
        <w:t xml:space="preserve"> se vuelva en algo más duradero”</w:t>
      </w:r>
      <w:r w:rsidRPr="002115A6">
        <w:rPr>
          <w:rFonts w:ascii="Times New Roman" w:hAnsi="Times New Roman" w:cs="Times New Roman"/>
          <w:b/>
          <w:sz w:val="24"/>
          <w:szCs w:val="24"/>
        </w:rPr>
        <w:t>.</w:t>
      </w:r>
    </w:p>
    <w:p w:rsidR="00ED7B0E" w:rsidRPr="002115A6" w:rsidRDefault="002115A6" w:rsidP="00ED7B0E">
      <w:pPr>
        <w:spacing w:line="240" w:lineRule="auto"/>
        <w:jc w:val="both"/>
        <w:rPr>
          <w:rFonts w:ascii="Times New Roman" w:hAnsi="Times New Roman" w:cs="Times New Roman"/>
          <w:b/>
          <w:sz w:val="24"/>
          <w:szCs w:val="24"/>
        </w:rPr>
      </w:pPr>
      <w:r w:rsidRPr="002115A6">
        <w:rPr>
          <w:rFonts w:ascii="Times New Roman" w:hAnsi="Times New Roman" w:cs="Times New Roman"/>
          <w:b/>
          <w:sz w:val="24"/>
          <w:szCs w:val="24"/>
        </w:rPr>
        <w:t xml:space="preserve">En mi opinión, </w:t>
      </w:r>
      <w:r w:rsidR="00ED7B0E" w:rsidRPr="002115A6">
        <w:rPr>
          <w:rFonts w:ascii="Times New Roman" w:hAnsi="Times New Roman" w:cs="Times New Roman"/>
          <w:b/>
          <w:sz w:val="24"/>
          <w:szCs w:val="24"/>
        </w:rPr>
        <w:t>el repunte de la inflación no es un fenómeno puntual que se va a corregir de manera natural, sino que tienes raíces más profundas que sugieren su persist</w:t>
      </w:r>
      <w:r w:rsidRPr="002115A6">
        <w:rPr>
          <w:rFonts w:ascii="Times New Roman" w:hAnsi="Times New Roman" w:cs="Times New Roman"/>
          <w:b/>
          <w:sz w:val="24"/>
          <w:szCs w:val="24"/>
        </w:rPr>
        <w:t>encia e incluso su agravamiento</w:t>
      </w:r>
      <w:r w:rsidR="00ED7B0E" w:rsidRPr="002115A6">
        <w:rPr>
          <w:rFonts w:ascii="Times New Roman" w:hAnsi="Times New Roman" w:cs="Times New Roman"/>
          <w:b/>
          <w:sz w:val="24"/>
          <w:szCs w:val="24"/>
        </w:rPr>
        <w:t>.</w:t>
      </w:r>
    </w:p>
    <w:p w:rsidR="00ED7B0E" w:rsidRPr="002115A6" w:rsidRDefault="00ED7B0E" w:rsidP="00ED7B0E">
      <w:pPr>
        <w:spacing w:line="240" w:lineRule="auto"/>
        <w:jc w:val="both"/>
        <w:rPr>
          <w:rFonts w:ascii="Times New Roman" w:hAnsi="Times New Roman" w:cs="Times New Roman"/>
          <w:b/>
          <w:sz w:val="24"/>
          <w:szCs w:val="24"/>
        </w:rPr>
      </w:pPr>
      <w:r w:rsidRPr="002115A6">
        <w:rPr>
          <w:rFonts w:ascii="Times New Roman" w:hAnsi="Times New Roman" w:cs="Times New Roman"/>
          <w:b/>
          <w:sz w:val="24"/>
          <w:szCs w:val="24"/>
        </w:rPr>
        <w:t>La situación a medio y largo plazo se antoja más complicada e invita a pensar que estamos solo viendo el com</w:t>
      </w:r>
      <w:r w:rsidR="002115A6" w:rsidRPr="002115A6">
        <w:rPr>
          <w:rFonts w:ascii="Times New Roman" w:hAnsi="Times New Roman" w:cs="Times New Roman"/>
          <w:b/>
          <w:sz w:val="24"/>
          <w:szCs w:val="24"/>
        </w:rPr>
        <w:t xml:space="preserve">ienzo del problema, puesto que </w:t>
      </w:r>
      <w:r w:rsidRPr="002115A6">
        <w:rPr>
          <w:rFonts w:ascii="Times New Roman" w:hAnsi="Times New Roman" w:cs="Times New Roman"/>
          <w:b/>
          <w:sz w:val="24"/>
          <w:szCs w:val="24"/>
        </w:rPr>
        <w:t>es muy factible la generación de efectos de segunda ronda muy perniciosos, que resultarían en una inflación más</w:t>
      </w:r>
      <w:r w:rsidR="002115A6" w:rsidRPr="002115A6">
        <w:rPr>
          <w:rFonts w:ascii="Times New Roman" w:hAnsi="Times New Roman" w:cs="Times New Roman"/>
          <w:b/>
          <w:sz w:val="24"/>
          <w:szCs w:val="24"/>
        </w:rPr>
        <w:t xml:space="preserve"> alta y un crecimiento más bajo</w:t>
      </w:r>
      <w:r w:rsidRPr="002115A6">
        <w:rPr>
          <w:rFonts w:ascii="Times New Roman" w:hAnsi="Times New Roman" w:cs="Times New Roman"/>
          <w:b/>
          <w:sz w:val="24"/>
          <w:szCs w:val="24"/>
        </w:rPr>
        <w:t>.</w:t>
      </w:r>
    </w:p>
    <w:p w:rsidR="009D56CE" w:rsidRDefault="003F0083" w:rsidP="00FA4DA9">
      <w:pPr>
        <w:pStyle w:val="NormalWeb"/>
        <w:shd w:val="clear" w:color="auto" w:fill="FFFFFF"/>
        <w:spacing w:before="0" w:beforeAutospacing="0" w:after="270" w:afterAutospacing="0"/>
        <w:jc w:val="both"/>
        <w:rPr>
          <w:b/>
          <w:color w:val="212529"/>
          <w:spacing w:val="-1"/>
        </w:rPr>
      </w:pPr>
      <w:r w:rsidRPr="009D56CE">
        <w:rPr>
          <w:b/>
          <w:color w:val="212529"/>
          <w:spacing w:val="-1"/>
        </w:rPr>
        <w:lastRenderedPageBreak/>
        <w:t>- Canción triste de Jackson Hole</w:t>
      </w:r>
    </w:p>
    <w:p w:rsidR="006971ED" w:rsidRPr="006B1F0A" w:rsidRDefault="006971ED" w:rsidP="00FA4DA9">
      <w:pPr>
        <w:pStyle w:val="NormalWeb"/>
        <w:shd w:val="clear" w:color="auto" w:fill="FFFFFF"/>
        <w:spacing w:before="0" w:beforeAutospacing="0" w:after="270" w:afterAutospacing="0"/>
        <w:jc w:val="both"/>
        <w:rPr>
          <w:b/>
          <w:color w:val="212529"/>
          <w:spacing w:val="-1"/>
        </w:rPr>
      </w:pPr>
      <w:r>
        <w:rPr>
          <w:noProof/>
        </w:rPr>
        <w:drawing>
          <wp:inline distT="0" distB="0" distL="0" distR="0" wp14:anchorId="5ACD7F29" wp14:editId="189441A8">
            <wp:extent cx="5727159" cy="3086100"/>
            <wp:effectExtent l="0" t="0" r="6985" b="0"/>
            <wp:docPr id="348" name="Imagen 348" descr="El toro de Wall Street y la niña: ¿quién es la joven que enfrenta a la  famosa escultura? - VI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l toro de Wall Street y la niña: ¿quién es la joven que enfrenta a la  famosa escultura? - VIX"/>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5731510" cy="3088444"/>
                    </a:xfrm>
                    <a:prstGeom prst="rect">
                      <a:avLst/>
                    </a:prstGeom>
                    <a:noFill/>
                    <a:ln>
                      <a:noFill/>
                    </a:ln>
                  </pic:spPr>
                </pic:pic>
              </a:graphicData>
            </a:graphic>
          </wp:inline>
        </w:drawing>
      </w:r>
    </w:p>
    <w:p w:rsidR="00FA4DA9" w:rsidRPr="00136353" w:rsidRDefault="00FA4DA9" w:rsidP="00FA4DA9">
      <w:pPr>
        <w:spacing w:line="240" w:lineRule="auto"/>
        <w:jc w:val="both"/>
        <w:rPr>
          <w:rFonts w:ascii="Times New Roman" w:hAnsi="Times New Roman" w:cs="Times New Roman"/>
          <w:spacing w:val="-1"/>
          <w:sz w:val="24"/>
          <w:szCs w:val="24"/>
          <w:shd w:val="clear" w:color="auto" w:fill="FFFFFF"/>
        </w:rPr>
      </w:pPr>
      <w:r w:rsidRPr="00136353">
        <w:rPr>
          <w:rFonts w:ascii="Times New Roman" w:hAnsi="Times New Roman" w:cs="Times New Roman"/>
          <w:spacing w:val="-1"/>
          <w:sz w:val="24"/>
          <w:szCs w:val="24"/>
          <w:shd w:val="clear" w:color="auto" w:fill="FFFFFF"/>
        </w:rPr>
        <w:t xml:space="preserve">El “metaverso” de la FED y el BCE (y otros bancos centrales, de los países ricos): la creación de un mundo monetario virtual compartido, al que se accede utilizando dispositivos de realidad virtual y aumentada. Una metáfora del mundo real: dejar de ser el guardián del dinero, para transformarse en el constructor </w:t>
      </w:r>
      <w:r w:rsidRPr="00136353">
        <w:rPr>
          <w:rFonts w:ascii="Times New Roman" w:hAnsi="Times New Roman" w:cs="Times New Roman"/>
          <w:bCs/>
          <w:spacing w:val="-1"/>
          <w:sz w:val="24"/>
          <w:szCs w:val="24"/>
          <w:shd w:val="clear" w:color="auto" w:fill="FFFFFF"/>
        </w:rPr>
        <w:t>de un espacio monetario virtual</w:t>
      </w:r>
      <w:r w:rsidRPr="00136353">
        <w:rPr>
          <w:rFonts w:ascii="Times New Roman" w:hAnsi="Times New Roman" w:cs="Times New Roman"/>
          <w:spacing w:val="-1"/>
          <w:sz w:val="24"/>
          <w:szCs w:val="24"/>
          <w:shd w:val="clear" w:color="auto" w:fill="FFFFFF"/>
        </w:rPr>
        <w:t xml:space="preserve">, basado en las nuevas tecnologías. </w:t>
      </w:r>
    </w:p>
    <w:p w:rsidR="00FA4DA9" w:rsidRPr="00136353" w:rsidRDefault="00FA4DA9" w:rsidP="00FA4DA9">
      <w:pPr>
        <w:spacing w:line="240" w:lineRule="auto"/>
        <w:jc w:val="both"/>
        <w:rPr>
          <w:rFonts w:ascii="Times New Roman" w:hAnsi="Times New Roman" w:cs="Times New Roman"/>
          <w:spacing w:val="-1"/>
          <w:sz w:val="24"/>
          <w:szCs w:val="24"/>
          <w:shd w:val="clear" w:color="auto" w:fill="FFFFFF"/>
        </w:rPr>
      </w:pPr>
      <w:r w:rsidRPr="00136353">
        <w:rPr>
          <w:rFonts w:ascii="Times New Roman" w:hAnsi="Times New Roman" w:cs="Times New Roman"/>
          <w:spacing w:val="-1"/>
          <w:sz w:val="24"/>
          <w:szCs w:val="24"/>
          <w:shd w:val="clear" w:color="auto" w:fill="FFFFFF"/>
        </w:rPr>
        <w:t>Un “parque de atracciones”, donde nunca faltará el dinero, para seguir “entretenido” (abducido, anestesiado, atontado). Una “economía de casino”, dónde continúe ganando la banca, pero con crédito ilimitado para los ludópatas… cambiando el dinero real (con límite y respaldo), por unos billetes impresos para la ocasión (sin límite, ni respaldo)… “Cambiar” los medios de pago (legales), por “drogas alucinógenas” (dinero falso</w:t>
      </w:r>
      <w:r w:rsidR="00C642B8">
        <w:rPr>
          <w:rFonts w:ascii="Times New Roman" w:hAnsi="Times New Roman" w:cs="Times New Roman"/>
          <w:spacing w:val="-1"/>
          <w:sz w:val="24"/>
          <w:szCs w:val="24"/>
          <w:shd w:val="clear" w:color="auto" w:fill="FFFFFF"/>
        </w:rPr>
        <w:t>, gas de la risa</w:t>
      </w:r>
      <w:r w:rsidRPr="00136353">
        <w:rPr>
          <w:rFonts w:ascii="Times New Roman" w:hAnsi="Times New Roman" w:cs="Times New Roman"/>
          <w:spacing w:val="-1"/>
          <w:sz w:val="24"/>
          <w:szCs w:val="24"/>
          <w:shd w:val="clear" w:color="auto" w:fill="FFFFFF"/>
        </w:rPr>
        <w:t>)… “para qu</w:t>
      </w:r>
      <w:r w:rsidR="00C642B8">
        <w:rPr>
          <w:rFonts w:ascii="Times New Roman" w:hAnsi="Times New Roman" w:cs="Times New Roman"/>
          <w:spacing w:val="-1"/>
          <w:sz w:val="24"/>
          <w:szCs w:val="24"/>
          <w:shd w:val="clear" w:color="auto" w:fill="FFFFFF"/>
        </w:rPr>
        <w:t>e nada cambie” (mismos ricos</w:t>
      </w:r>
      <w:r w:rsidRPr="00136353">
        <w:rPr>
          <w:rFonts w:ascii="Times New Roman" w:hAnsi="Times New Roman" w:cs="Times New Roman"/>
          <w:spacing w:val="-1"/>
          <w:sz w:val="24"/>
          <w:szCs w:val="24"/>
          <w:shd w:val="clear" w:color="auto" w:fill="FFFFFF"/>
        </w:rPr>
        <w:t>)… “para que todo siga igual” (mismos poderosos).</w:t>
      </w:r>
    </w:p>
    <w:p w:rsidR="00FA4DA9" w:rsidRDefault="00FA4DA9" w:rsidP="00FA4DA9">
      <w:pPr>
        <w:spacing w:line="240" w:lineRule="auto"/>
        <w:jc w:val="both"/>
        <w:rPr>
          <w:rFonts w:ascii="Times New Roman" w:hAnsi="Times New Roman" w:cs="Times New Roman"/>
          <w:sz w:val="24"/>
          <w:szCs w:val="24"/>
        </w:rPr>
      </w:pPr>
      <w:r w:rsidRPr="00136353">
        <w:rPr>
          <w:rFonts w:ascii="Times New Roman" w:hAnsi="Times New Roman" w:cs="Times New Roman"/>
          <w:spacing w:val="-1"/>
          <w:sz w:val="24"/>
          <w:szCs w:val="24"/>
          <w:shd w:val="clear" w:color="auto" w:fill="FFFFFF"/>
        </w:rPr>
        <w:t>A las resultas, los presidentes de los bancos cen</w:t>
      </w:r>
      <w:r w:rsidR="00136353">
        <w:rPr>
          <w:rFonts w:ascii="Times New Roman" w:hAnsi="Times New Roman" w:cs="Times New Roman"/>
          <w:spacing w:val="-1"/>
          <w:sz w:val="24"/>
          <w:szCs w:val="24"/>
          <w:shd w:val="clear" w:color="auto" w:fill="FFFFFF"/>
        </w:rPr>
        <w:t>trales (de los países avanzados;</w:t>
      </w:r>
      <w:r w:rsidRPr="00136353">
        <w:rPr>
          <w:rFonts w:ascii="Times New Roman" w:hAnsi="Times New Roman" w:cs="Times New Roman"/>
          <w:spacing w:val="-1"/>
          <w:sz w:val="24"/>
          <w:szCs w:val="24"/>
          <w:shd w:val="clear" w:color="auto" w:fill="FFFFFF"/>
        </w:rPr>
        <w:t xml:space="preserve"> de los otros, va de suyo) han devenido en el triste papel de unos vasallos que algunas veces (cada vez, menos) ejercen de ciudadanos </w:t>
      </w:r>
      <w:r w:rsidRPr="00136353">
        <w:rPr>
          <w:rFonts w:ascii="Times New Roman" w:hAnsi="Times New Roman" w:cs="Times New Roman"/>
          <w:sz w:val="24"/>
          <w:szCs w:val="24"/>
          <w:shd w:val="clear" w:color="auto" w:fill="FFFFFF"/>
        </w:rPr>
        <w:t xml:space="preserve"> independientes. </w:t>
      </w:r>
      <w:r w:rsidR="002115A6">
        <w:rPr>
          <w:rFonts w:ascii="Times New Roman" w:hAnsi="Times New Roman" w:cs="Times New Roman"/>
          <w:sz w:val="24"/>
          <w:szCs w:val="24"/>
          <w:shd w:val="clear" w:color="auto" w:fill="FFFFFF"/>
        </w:rPr>
        <w:t>Aunque la “institución” permanece, los que “están al mando” se c</w:t>
      </w:r>
      <w:r w:rsidR="00C642B8">
        <w:rPr>
          <w:rFonts w:ascii="Times New Roman" w:hAnsi="Times New Roman" w:cs="Times New Roman"/>
          <w:sz w:val="24"/>
          <w:szCs w:val="24"/>
          <w:shd w:val="clear" w:color="auto" w:fill="FFFFFF"/>
        </w:rPr>
        <w:t>o</w:t>
      </w:r>
      <w:r w:rsidR="002115A6">
        <w:rPr>
          <w:rFonts w:ascii="Times New Roman" w:hAnsi="Times New Roman" w:cs="Times New Roman"/>
          <w:sz w:val="24"/>
          <w:szCs w:val="24"/>
          <w:shd w:val="clear" w:color="auto" w:fill="FFFFFF"/>
        </w:rPr>
        <w:t>mportan como “a</w:t>
      </w:r>
      <w:r w:rsidRPr="00136353">
        <w:rPr>
          <w:rFonts w:ascii="Times New Roman" w:hAnsi="Times New Roman" w:cs="Times New Roman"/>
          <w:sz w:val="24"/>
          <w:szCs w:val="24"/>
          <w:shd w:val="clear" w:color="auto" w:fill="FFFFFF"/>
        </w:rPr>
        <w:t xml:space="preserve">lfombrillas de baño”, “felpudos”, o meros “agradadores”, del </w:t>
      </w:r>
      <w:r w:rsidR="002115A6">
        <w:rPr>
          <w:rFonts w:ascii="Times New Roman" w:hAnsi="Times New Roman" w:cs="Times New Roman"/>
          <w:sz w:val="24"/>
          <w:szCs w:val="24"/>
          <w:shd w:val="clear" w:color="auto" w:fill="FFFFFF"/>
        </w:rPr>
        <w:t>“</w:t>
      </w:r>
      <w:r w:rsidRPr="00136353">
        <w:rPr>
          <w:rFonts w:ascii="Times New Roman" w:hAnsi="Times New Roman" w:cs="Times New Roman"/>
          <w:sz w:val="24"/>
          <w:szCs w:val="24"/>
          <w:shd w:val="clear" w:color="auto" w:fill="FFFFFF"/>
        </w:rPr>
        <w:t>establishment</w:t>
      </w:r>
      <w:r w:rsidR="002115A6">
        <w:rPr>
          <w:rFonts w:ascii="Times New Roman" w:hAnsi="Times New Roman" w:cs="Times New Roman"/>
          <w:sz w:val="24"/>
          <w:szCs w:val="24"/>
          <w:shd w:val="clear" w:color="auto" w:fill="FFFFFF"/>
        </w:rPr>
        <w:t>”</w:t>
      </w:r>
      <w:r w:rsidRPr="00136353">
        <w:rPr>
          <w:rFonts w:ascii="Times New Roman" w:hAnsi="Times New Roman" w:cs="Times New Roman"/>
          <w:sz w:val="24"/>
          <w:szCs w:val="24"/>
          <w:shd w:val="clear" w:color="auto" w:fill="FFFFFF"/>
        </w:rPr>
        <w:t xml:space="preserve"> (</w:t>
      </w:r>
      <w:r w:rsidR="002115A6">
        <w:rPr>
          <w:rFonts w:ascii="Times New Roman" w:hAnsi="Times New Roman" w:cs="Times New Roman"/>
          <w:sz w:val="24"/>
          <w:szCs w:val="24"/>
          <w:shd w:val="clear" w:color="auto" w:fill="FFFFFF"/>
        </w:rPr>
        <w:t>los “</w:t>
      </w:r>
      <w:r w:rsidRPr="00136353">
        <w:rPr>
          <w:rFonts w:ascii="Times New Roman" w:hAnsi="Times New Roman" w:cs="Times New Roman"/>
          <w:sz w:val="24"/>
          <w:szCs w:val="24"/>
          <w:shd w:val="clear" w:color="auto" w:fill="FFFFFF"/>
        </w:rPr>
        <w:t>amos del universo</w:t>
      </w:r>
      <w:r w:rsidR="002115A6">
        <w:rPr>
          <w:rFonts w:ascii="Times New Roman" w:hAnsi="Times New Roman" w:cs="Times New Roman"/>
          <w:sz w:val="24"/>
          <w:szCs w:val="24"/>
          <w:shd w:val="clear" w:color="auto" w:fill="FFFFFF"/>
        </w:rPr>
        <w:t>”</w:t>
      </w:r>
      <w:r w:rsidRPr="00136353">
        <w:rPr>
          <w:rFonts w:ascii="Times New Roman" w:hAnsi="Times New Roman" w:cs="Times New Roman"/>
          <w:sz w:val="24"/>
          <w:szCs w:val="24"/>
          <w:shd w:val="clear" w:color="auto" w:fill="FFFFFF"/>
        </w:rPr>
        <w:t>).</w:t>
      </w:r>
      <w:r w:rsidR="002115A6">
        <w:rPr>
          <w:rFonts w:ascii="Times New Roman" w:hAnsi="Times New Roman" w:cs="Times New Roman"/>
          <w:sz w:val="24"/>
          <w:szCs w:val="24"/>
        </w:rPr>
        <w:t xml:space="preserve"> Y lo demás</w:t>
      </w:r>
      <w:r w:rsidR="00516AEA">
        <w:rPr>
          <w:rFonts w:ascii="Times New Roman" w:hAnsi="Times New Roman" w:cs="Times New Roman"/>
          <w:sz w:val="24"/>
          <w:szCs w:val="24"/>
        </w:rPr>
        <w:t>,</w:t>
      </w:r>
      <w:r w:rsidR="00C642B8">
        <w:rPr>
          <w:rFonts w:ascii="Times New Roman" w:hAnsi="Times New Roman" w:cs="Times New Roman"/>
          <w:sz w:val="24"/>
          <w:szCs w:val="24"/>
        </w:rPr>
        <w:t xml:space="preserve"> es “puro cuento”: meta-verso (relato).</w:t>
      </w:r>
    </w:p>
    <w:p w:rsidR="00CA26E5" w:rsidRDefault="00C642B8"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No puedo certificar</w:t>
      </w:r>
      <w:r w:rsidR="00CA26E5">
        <w:rPr>
          <w:rFonts w:ascii="Times New Roman" w:hAnsi="Times New Roman" w:cs="Times New Roman"/>
          <w:sz w:val="24"/>
          <w:szCs w:val="24"/>
        </w:rPr>
        <w:t xml:space="preserve"> cuanto es</w:t>
      </w:r>
      <w:r>
        <w:rPr>
          <w:rFonts w:ascii="Times New Roman" w:hAnsi="Times New Roman" w:cs="Times New Roman"/>
          <w:sz w:val="24"/>
          <w:szCs w:val="24"/>
        </w:rPr>
        <w:t xml:space="preserve"> por</w:t>
      </w:r>
      <w:r w:rsidR="00CA26E5">
        <w:rPr>
          <w:rFonts w:ascii="Times New Roman" w:hAnsi="Times New Roman" w:cs="Times New Roman"/>
          <w:sz w:val="24"/>
          <w:szCs w:val="24"/>
        </w:rPr>
        <w:t xml:space="preserve"> ignorancia, insolvencia intelectual, </w:t>
      </w:r>
      <w:r w:rsidR="00023998">
        <w:rPr>
          <w:rFonts w:ascii="Times New Roman" w:hAnsi="Times New Roman" w:cs="Times New Roman"/>
          <w:sz w:val="24"/>
          <w:szCs w:val="24"/>
        </w:rPr>
        <w:t>cobardía</w:t>
      </w:r>
      <w:r w:rsidR="00CA26E5">
        <w:rPr>
          <w:rFonts w:ascii="Times New Roman" w:hAnsi="Times New Roman" w:cs="Times New Roman"/>
          <w:sz w:val="24"/>
          <w:szCs w:val="24"/>
        </w:rPr>
        <w:t>, co</w:t>
      </w:r>
      <w:r>
        <w:rPr>
          <w:rFonts w:ascii="Times New Roman" w:hAnsi="Times New Roman" w:cs="Times New Roman"/>
          <w:sz w:val="24"/>
          <w:szCs w:val="24"/>
        </w:rPr>
        <w:t>nnivencia, corrupción, doblez</w:t>
      </w:r>
      <w:r w:rsidR="00CA26E5">
        <w:rPr>
          <w:rFonts w:ascii="Times New Roman" w:hAnsi="Times New Roman" w:cs="Times New Roman"/>
          <w:sz w:val="24"/>
          <w:szCs w:val="24"/>
        </w:rPr>
        <w:t>, o fragilidad moral. Posiblemente, sea</w:t>
      </w:r>
      <w:r>
        <w:rPr>
          <w:rFonts w:ascii="Times New Roman" w:hAnsi="Times New Roman" w:cs="Times New Roman"/>
          <w:sz w:val="24"/>
          <w:szCs w:val="24"/>
        </w:rPr>
        <w:t xml:space="preserve"> por</w:t>
      </w:r>
      <w:r w:rsidR="00CA26E5">
        <w:rPr>
          <w:rFonts w:ascii="Times New Roman" w:hAnsi="Times New Roman" w:cs="Times New Roman"/>
          <w:sz w:val="24"/>
          <w:szCs w:val="24"/>
        </w:rPr>
        <w:t xml:space="preserve"> todo eso, y algo más.  </w:t>
      </w:r>
    </w:p>
    <w:p w:rsidR="0066255C" w:rsidRDefault="0066255C"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 estos “personajillos” no se les puede reconocer liderazgo, hijo del valor y nieto del talento. Po eso “callan” y “otorgan”. Pero no son idiotas, aunque no sean de fiar. Saben a </w:t>
      </w:r>
      <w:r w:rsidR="00023998">
        <w:rPr>
          <w:rFonts w:ascii="Times New Roman" w:hAnsi="Times New Roman" w:cs="Times New Roman"/>
          <w:sz w:val="24"/>
          <w:szCs w:val="24"/>
        </w:rPr>
        <w:t>quién</w:t>
      </w:r>
      <w:r>
        <w:rPr>
          <w:rFonts w:ascii="Times New Roman" w:hAnsi="Times New Roman" w:cs="Times New Roman"/>
          <w:sz w:val="24"/>
          <w:szCs w:val="24"/>
        </w:rPr>
        <w:t xml:space="preserve"> sirven, y están seguros que cobrarán el servicio prestado.</w:t>
      </w:r>
    </w:p>
    <w:p w:rsidR="0066255C" w:rsidRDefault="0066255C"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Para eso están las “puertas gir</w:t>
      </w:r>
      <w:r w:rsidR="00C642B8">
        <w:rPr>
          <w:rFonts w:ascii="Times New Roman" w:hAnsi="Times New Roman" w:cs="Times New Roman"/>
          <w:sz w:val="24"/>
          <w:szCs w:val="24"/>
        </w:rPr>
        <w:t>atorias”, que aseguran el paso del sector público</w:t>
      </w:r>
      <w:r w:rsidR="0038435F">
        <w:rPr>
          <w:rFonts w:ascii="Times New Roman" w:hAnsi="Times New Roman" w:cs="Times New Roman"/>
          <w:sz w:val="24"/>
          <w:szCs w:val="24"/>
        </w:rPr>
        <w:t xml:space="preserve"> al privado: </w:t>
      </w:r>
      <w:r>
        <w:rPr>
          <w:rFonts w:ascii="Times New Roman" w:hAnsi="Times New Roman" w:cs="Times New Roman"/>
          <w:sz w:val="24"/>
          <w:szCs w:val="24"/>
        </w:rPr>
        <w:t xml:space="preserve">consejos </w:t>
      </w:r>
      <w:r w:rsidR="00C642B8">
        <w:rPr>
          <w:rFonts w:ascii="Times New Roman" w:hAnsi="Times New Roman" w:cs="Times New Roman"/>
          <w:sz w:val="24"/>
          <w:szCs w:val="24"/>
        </w:rPr>
        <w:t>de administración de las compañías</w:t>
      </w:r>
      <w:r>
        <w:rPr>
          <w:rFonts w:ascii="Times New Roman" w:hAnsi="Times New Roman" w:cs="Times New Roman"/>
          <w:sz w:val="24"/>
          <w:szCs w:val="24"/>
        </w:rPr>
        <w:t xml:space="preserve"> multina</w:t>
      </w:r>
      <w:r w:rsidR="00C642B8">
        <w:rPr>
          <w:rFonts w:ascii="Times New Roman" w:hAnsi="Times New Roman" w:cs="Times New Roman"/>
          <w:sz w:val="24"/>
          <w:szCs w:val="24"/>
        </w:rPr>
        <w:t>cionales,</w:t>
      </w:r>
      <w:r w:rsidR="0038435F">
        <w:rPr>
          <w:rFonts w:ascii="Times New Roman" w:hAnsi="Times New Roman" w:cs="Times New Roman"/>
          <w:sz w:val="24"/>
          <w:szCs w:val="24"/>
        </w:rPr>
        <w:t xml:space="preserve"> </w:t>
      </w:r>
      <w:r w:rsidR="005F2C31">
        <w:rPr>
          <w:rFonts w:ascii="Times New Roman" w:hAnsi="Times New Roman" w:cs="Times New Roman"/>
          <w:sz w:val="24"/>
          <w:szCs w:val="24"/>
        </w:rPr>
        <w:t>“lobbies” internacionales,</w:t>
      </w:r>
      <w:r w:rsidR="00C642B8">
        <w:rPr>
          <w:rFonts w:ascii="Times New Roman" w:hAnsi="Times New Roman" w:cs="Times New Roman"/>
          <w:sz w:val="24"/>
          <w:szCs w:val="24"/>
        </w:rPr>
        <w:t xml:space="preserve"> </w:t>
      </w:r>
      <w:r>
        <w:rPr>
          <w:rFonts w:ascii="Times New Roman" w:hAnsi="Times New Roman" w:cs="Times New Roman"/>
          <w:sz w:val="24"/>
          <w:szCs w:val="24"/>
        </w:rPr>
        <w:t xml:space="preserve"> </w:t>
      </w:r>
      <w:r w:rsidR="00C642B8">
        <w:rPr>
          <w:rFonts w:ascii="Times New Roman" w:hAnsi="Times New Roman" w:cs="Times New Roman"/>
          <w:sz w:val="24"/>
          <w:szCs w:val="24"/>
        </w:rPr>
        <w:t xml:space="preserve">cátedras de las “Ivy League”, </w:t>
      </w:r>
      <w:r>
        <w:rPr>
          <w:rFonts w:ascii="Times New Roman" w:hAnsi="Times New Roman" w:cs="Times New Roman"/>
          <w:sz w:val="24"/>
          <w:szCs w:val="24"/>
        </w:rPr>
        <w:t>circuitos</w:t>
      </w:r>
      <w:r w:rsidR="0038435F">
        <w:rPr>
          <w:rFonts w:ascii="Times New Roman" w:hAnsi="Times New Roman" w:cs="Times New Roman"/>
          <w:sz w:val="24"/>
          <w:szCs w:val="24"/>
        </w:rPr>
        <w:t xml:space="preserve"> de conferencias de primer nivel (donde se desperdicia el conocimiento, pero se ganan suculentos honorarios y se cultivan amistades provechosas)</w:t>
      </w:r>
      <w:r>
        <w:rPr>
          <w:rFonts w:ascii="Times New Roman" w:hAnsi="Times New Roman" w:cs="Times New Roman"/>
          <w:sz w:val="24"/>
          <w:szCs w:val="24"/>
        </w:rPr>
        <w:t xml:space="preserve">, sin olvidar los libros de </w:t>
      </w:r>
      <w:r w:rsidR="005F2C31">
        <w:rPr>
          <w:rFonts w:ascii="Times New Roman" w:hAnsi="Times New Roman" w:cs="Times New Roman"/>
          <w:sz w:val="24"/>
          <w:szCs w:val="24"/>
        </w:rPr>
        <w:t>“</w:t>
      </w:r>
      <w:r>
        <w:rPr>
          <w:rFonts w:ascii="Times New Roman" w:hAnsi="Times New Roman" w:cs="Times New Roman"/>
          <w:sz w:val="24"/>
          <w:szCs w:val="24"/>
        </w:rPr>
        <w:t>memorias</w:t>
      </w:r>
      <w:r w:rsidR="005F2C31">
        <w:rPr>
          <w:rFonts w:ascii="Times New Roman" w:hAnsi="Times New Roman" w:cs="Times New Roman"/>
          <w:sz w:val="24"/>
          <w:szCs w:val="24"/>
        </w:rPr>
        <w:t>”, con anticipos millonarios.</w:t>
      </w:r>
    </w:p>
    <w:p w:rsidR="00516AEA" w:rsidRPr="00F41E84" w:rsidRDefault="00516AEA" w:rsidP="00FA4DA9">
      <w:pPr>
        <w:spacing w:line="240" w:lineRule="auto"/>
        <w:jc w:val="both"/>
        <w:rPr>
          <w:rFonts w:ascii="Times New Roman" w:hAnsi="Times New Roman" w:cs="Times New Roman"/>
          <w:sz w:val="24"/>
          <w:szCs w:val="24"/>
          <w:u w:val="single"/>
        </w:rPr>
      </w:pPr>
      <w:r w:rsidRPr="00F41E84">
        <w:rPr>
          <w:rFonts w:ascii="Times New Roman" w:hAnsi="Times New Roman" w:cs="Times New Roman"/>
          <w:sz w:val="24"/>
          <w:szCs w:val="24"/>
          <w:u w:val="single"/>
        </w:rPr>
        <w:lastRenderedPageBreak/>
        <w:t>Los bancos centrales al borde del círculo pernicioso</w:t>
      </w:r>
    </w:p>
    <w:p w:rsidR="00516AEA" w:rsidRDefault="00516AEA"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Cuanto más próximos al acantilado inflacionario están, más enganchados a los </w:t>
      </w:r>
      <w:r w:rsidR="00977069">
        <w:rPr>
          <w:rFonts w:ascii="Times New Roman" w:hAnsi="Times New Roman" w:cs="Times New Roman"/>
          <w:sz w:val="24"/>
          <w:szCs w:val="24"/>
        </w:rPr>
        <w:t>“</w:t>
      </w:r>
      <w:r>
        <w:rPr>
          <w:rFonts w:ascii="Times New Roman" w:hAnsi="Times New Roman" w:cs="Times New Roman"/>
          <w:sz w:val="24"/>
          <w:szCs w:val="24"/>
        </w:rPr>
        <w:t>máximos</w:t>
      </w:r>
      <w:r w:rsidR="00977069">
        <w:rPr>
          <w:rFonts w:ascii="Times New Roman" w:hAnsi="Times New Roman" w:cs="Times New Roman"/>
          <w:sz w:val="24"/>
          <w:szCs w:val="24"/>
        </w:rPr>
        <w:t>”</w:t>
      </w:r>
      <w:r>
        <w:rPr>
          <w:rFonts w:ascii="Times New Roman" w:hAnsi="Times New Roman" w:cs="Times New Roman"/>
          <w:sz w:val="24"/>
          <w:szCs w:val="24"/>
        </w:rPr>
        <w:t xml:space="preserve"> (de la bolsa) permanecen. </w:t>
      </w:r>
      <w:r w:rsidR="00977069">
        <w:rPr>
          <w:rFonts w:ascii="Times New Roman" w:hAnsi="Times New Roman" w:cs="Times New Roman"/>
          <w:sz w:val="24"/>
          <w:szCs w:val="24"/>
        </w:rPr>
        <w:t>Solo</w:t>
      </w:r>
      <w:r w:rsidR="00B561F5">
        <w:rPr>
          <w:rFonts w:ascii="Times New Roman" w:hAnsi="Times New Roman" w:cs="Times New Roman"/>
          <w:sz w:val="24"/>
          <w:szCs w:val="24"/>
        </w:rPr>
        <w:t xml:space="preserve"> parecen</w:t>
      </w:r>
      <w:r w:rsidR="00977069">
        <w:rPr>
          <w:rFonts w:ascii="Times New Roman" w:hAnsi="Times New Roman" w:cs="Times New Roman"/>
          <w:sz w:val="24"/>
          <w:szCs w:val="24"/>
        </w:rPr>
        <w:t xml:space="preserve"> </w:t>
      </w:r>
      <w:r w:rsidR="005F2C31">
        <w:rPr>
          <w:rFonts w:ascii="Times New Roman" w:hAnsi="Times New Roman" w:cs="Times New Roman"/>
          <w:sz w:val="24"/>
          <w:szCs w:val="24"/>
        </w:rPr>
        <w:t>esta</w:t>
      </w:r>
      <w:r w:rsidR="00B561F5">
        <w:rPr>
          <w:rFonts w:ascii="Times New Roman" w:hAnsi="Times New Roman" w:cs="Times New Roman"/>
          <w:sz w:val="24"/>
          <w:szCs w:val="24"/>
        </w:rPr>
        <w:t>r</w:t>
      </w:r>
      <w:r w:rsidR="00977069">
        <w:rPr>
          <w:rFonts w:ascii="Times New Roman" w:hAnsi="Times New Roman" w:cs="Times New Roman"/>
          <w:sz w:val="24"/>
          <w:szCs w:val="24"/>
        </w:rPr>
        <w:t xml:space="preserve"> interesados en mantener “dopados” a los mercados. Las consecuencias se aceptan, como “daños colaterales” o “efectos coyunturales”. </w:t>
      </w:r>
    </w:p>
    <w:p w:rsidR="0066255C" w:rsidRDefault="00516AEA"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Hoy (octubre 2021), el auténtico problema “sistémico”</w:t>
      </w:r>
      <w:r w:rsidR="0066255C">
        <w:rPr>
          <w:rFonts w:ascii="Times New Roman" w:hAnsi="Times New Roman" w:cs="Times New Roman"/>
          <w:sz w:val="24"/>
          <w:szCs w:val="24"/>
        </w:rPr>
        <w:t>,</w:t>
      </w:r>
      <w:r>
        <w:rPr>
          <w:rFonts w:ascii="Times New Roman" w:hAnsi="Times New Roman" w:cs="Times New Roman"/>
          <w:sz w:val="24"/>
          <w:szCs w:val="24"/>
        </w:rPr>
        <w:t xml:space="preserve"> no es la banca</w:t>
      </w:r>
      <w:r w:rsidR="00977069">
        <w:rPr>
          <w:rFonts w:ascii="Times New Roman" w:hAnsi="Times New Roman" w:cs="Times New Roman"/>
          <w:sz w:val="24"/>
          <w:szCs w:val="24"/>
        </w:rPr>
        <w:t xml:space="preserve"> (re</w:t>
      </w:r>
      <w:r w:rsidR="005F2C31">
        <w:rPr>
          <w:rFonts w:ascii="Times New Roman" w:hAnsi="Times New Roman" w:cs="Times New Roman"/>
          <w:sz w:val="24"/>
          <w:szCs w:val="24"/>
        </w:rPr>
        <w:t>scatada, y sostenida</w:t>
      </w:r>
      <w:r w:rsidR="00977069">
        <w:rPr>
          <w:rFonts w:ascii="Times New Roman" w:hAnsi="Times New Roman" w:cs="Times New Roman"/>
          <w:sz w:val="24"/>
          <w:szCs w:val="24"/>
        </w:rPr>
        <w:t>, desde el</w:t>
      </w:r>
      <w:r>
        <w:rPr>
          <w:rFonts w:ascii="Times New Roman" w:hAnsi="Times New Roman" w:cs="Times New Roman"/>
          <w:sz w:val="24"/>
          <w:szCs w:val="24"/>
        </w:rPr>
        <w:t xml:space="preserve"> año 2008), ni las consecuencias económicas de la suspensión de actividades por la pandemia del Covid-19 (desde 2020, en adelante), ni el costo de la energía</w:t>
      </w:r>
      <w:r w:rsidR="00977069">
        <w:rPr>
          <w:rFonts w:ascii="Times New Roman" w:hAnsi="Times New Roman" w:cs="Times New Roman"/>
          <w:sz w:val="24"/>
          <w:szCs w:val="24"/>
        </w:rPr>
        <w:t>, ni la escases de mat</w:t>
      </w:r>
      <w:r w:rsidR="00B561F5">
        <w:rPr>
          <w:rFonts w:ascii="Times New Roman" w:hAnsi="Times New Roman" w:cs="Times New Roman"/>
          <w:sz w:val="24"/>
          <w:szCs w:val="24"/>
        </w:rPr>
        <w:t>e</w:t>
      </w:r>
      <w:r w:rsidR="00977069">
        <w:rPr>
          <w:rFonts w:ascii="Times New Roman" w:hAnsi="Times New Roman" w:cs="Times New Roman"/>
          <w:sz w:val="24"/>
          <w:szCs w:val="24"/>
        </w:rPr>
        <w:t>rias primas, ni la disponibilidad de transportes, ni la falta de contenedores, ni el riesgo de las criptodivisas, ni la banca en la sombra</w:t>
      </w:r>
      <w:r w:rsidR="005F2C31">
        <w:rPr>
          <w:rFonts w:ascii="Times New Roman" w:hAnsi="Times New Roman" w:cs="Times New Roman"/>
          <w:sz w:val="24"/>
          <w:szCs w:val="24"/>
        </w:rPr>
        <w:t>, ni el déficit fiscal</w:t>
      </w:r>
      <w:r w:rsidR="0066255C">
        <w:rPr>
          <w:rFonts w:ascii="Times New Roman" w:hAnsi="Times New Roman" w:cs="Times New Roman"/>
          <w:sz w:val="24"/>
          <w:szCs w:val="24"/>
        </w:rPr>
        <w:t xml:space="preserve">, ni el sobre endeudamiento (público y privado), ni la demora en la </w:t>
      </w:r>
      <w:r w:rsidR="00023998">
        <w:rPr>
          <w:rFonts w:ascii="Times New Roman" w:hAnsi="Times New Roman" w:cs="Times New Roman"/>
          <w:sz w:val="24"/>
          <w:szCs w:val="24"/>
        </w:rPr>
        <w:t>recuperación</w:t>
      </w:r>
      <w:r w:rsidR="00534CE8">
        <w:rPr>
          <w:rFonts w:ascii="Times New Roman" w:hAnsi="Times New Roman" w:cs="Times New Roman"/>
          <w:sz w:val="24"/>
          <w:szCs w:val="24"/>
        </w:rPr>
        <w:t xml:space="preserve"> económica, ni la desigualdad social</w:t>
      </w:r>
      <w:r w:rsidR="0066255C">
        <w:rPr>
          <w:rFonts w:ascii="Times New Roman" w:hAnsi="Times New Roman" w:cs="Times New Roman"/>
          <w:sz w:val="24"/>
          <w:szCs w:val="24"/>
        </w:rPr>
        <w:t>, ni el desempleo…</w:t>
      </w:r>
      <w:r w:rsidR="00534CE8">
        <w:rPr>
          <w:rFonts w:ascii="Times New Roman" w:hAnsi="Times New Roman" w:cs="Times New Roman"/>
          <w:sz w:val="24"/>
          <w:szCs w:val="24"/>
        </w:rPr>
        <w:t xml:space="preserve"> (</w:t>
      </w:r>
      <w:r w:rsidR="0066255C">
        <w:rPr>
          <w:rFonts w:ascii="Times New Roman" w:hAnsi="Times New Roman" w:cs="Times New Roman"/>
          <w:sz w:val="24"/>
          <w:szCs w:val="24"/>
        </w:rPr>
        <w:t>la lista</w:t>
      </w:r>
      <w:r w:rsidR="005F2C31">
        <w:rPr>
          <w:rFonts w:ascii="Times New Roman" w:hAnsi="Times New Roman" w:cs="Times New Roman"/>
          <w:sz w:val="24"/>
          <w:szCs w:val="24"/>
        </w:rPr>
        <w:t>, podría</w:t>
      </w:r>
      <w:r w:rsidR="00534CE8">
        <w:rPr>
          <w:rFonts w:ascii="Times New Roman" w:hAnsi="Times New Roman" w:cs="Times New Roman"/>
          <w:sz w:val="24"/>
          <w:szCs w:val="24"/>
        </w:rPr>
        <w:t xml:space="preserve"> seguir</w:t>
      </w:r>
      <w:r w:rsidR="0066255C">
        <w:rPr>
          <w:rFonts w:ascii="Times New Roman" w:hAnsi="Times New Roman" w:cs="Times New Roman"/>
          <w:sz w:val="24"/>
          <w:szCs w:val="24"/>
        </w:rPr>
        <w:t xml:space="preserve">), sino, el </w:t>
      </w:r>
      <w:r w:rsidR="005F2C31">
        <w:rPr>
          <w:rFonts w:ascii="Times New Roman" w:hAnsi="Times New Roman" w:cs="Times New Roman"/>
          <w:sz w:val="24"/>
          <w:szCs w:val="24"/>
        </w:rPr>
        <w:t>“</w:t>
      </w:r>
      <w:r w:rsidR="0066255C">
        <w:rPr>
          <w:rFonts w:ascii="Times New Roman" w:hAnsi="Times New Roman" w:cs="Times New Roman"/>
          <w:sz w:val="24"/>
          <w:szCs w:val="24"/>
        </w:rPr>
        <w:t>riesgo inflacionario</w:t>
      </w:r>
      <w:r w:rsidR="005F2C31">
        <w:rPr>
          <w:rFonts w:ascii="Times New Roman" w:hAnsi="Times New Roman" w:cs="Times New Roman"/>
          <w:sz w:val="24"/>
          <w:szCs w:val="24"/>
        </w:rPr>
        <w:t>”</w:t>
      </w:r>
      <w:r w:rsidR="0066255C">
        <w:rPr>
          <w:rFonts w:ascii="Times New Roman" w:hAnsi="Times New Roman" w:cs="Times New Roman"/>
          <w:sz w:val="24"/>
          <w:szCs w:val="24"/>
        </w:rPr>
        <w:t>.</w:t>
      </w:r>
    </w:p>
    <w:p w:rsidR="00B561F5" w:rsidRPr="00F41E84" w:rsidRDefault="00B561F5" w:rsidP="00FA4DA9">
      <w:pPr>
        <w:spacing w:line="240" w:lineRule="auto"/>
        <w:jc w:val="both"/>
        <w:rPr>
          <w:rFonts w:ascii="Times New Roman" w:hAnsi="Times New Roman" w:cs="Times New Roman"/>
          <w:sz w:val="24"/>
          <w:szCs w:val="24"/>
          <w:u w:val="single"/>
        </w:rPr>
      </w:pPr>
      <w:r w:rsidRPr="00F41E84">
        <w:rPr>
          <w:rFonts w:ascii="Times New Roman" w:hAnsi="Times New Roman" w:cs="Times New Roman"/>
          <w:sz w:val="24"/>
          <w:szCs w:val="24"/>
          <w:u w:val="single"/>
        </w:rPr>
        <w:t>El dinero “moderno”</w:t>
      </w:r>
      <w:r w:rsidR="00F41E84">
        <w:rPr>
          <w:rFonts w:ascii="Times New Roman" w:hAnsi="Times New Roman" w:cs="Times New Roman"/>
          <w:sz w:val="24"/>
          <w:szCs w:val="24"/>
          <w:u w:val="single"/>
        </w:rPr>
        <w:t>:</w:t>
      </w:r>
      <w:r w:rsidRPr="00F41E84">
        <w:rPr>
          <w:rFonts w:ascii="Times New Roman" w:hAnsi="Times New Roman" w:cs="Times New Roman"/>
          <w:sz w:val="24"/>
          <w:szCs w:val="24"/>
          <w:u w:val="single"/>
        </w:rPr>
        <w:t xml:space="preserve"> la crónica de un desastre anunciado (el viaje de los bancos centrales a la “nube” inflacionaria)</w:t>
      </w:r>
      <w:r w:rsidR="00977069" w:rsidRPr="00F41E84">
        <w:rPr>
          <w:rFonts w:ascii="Times New Roman" w:hAnsi="Times New Roman" w:cs="Times New Roman"/>
          <w:sz w:val="24"/>
          <w:szCs w:val="24"/>
          <w:u w:val="single"/>
        </w:rPr>
        <w:t xml:space="preserve"> </w:t>
      </w:r>
    </w:p>
    <w:p w:rsidR="00516AEA" w:rsidRDefault="00C00D32"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Los que</w:t>
      </w:r>
      <w:r w:rsidR="005F2C31">
        <w:rPr>
          <w:rFonts w:ascii="Times New Roman" w:hAnsi="Times New Roman" w:cs="Times New Roman"/>
          <w:sz w:val="24"/>
          <w:szCs w:val="24"/>
        </w:rPr>
        <w:t xml:space="preserve"> “doparon” los mercados</w:t>
      </w:r>
      <w:r w:rsidR="00B561F5">
        <w:rPr>
          <w:rFonts w:ascii="Times New Roman" w:hAnsi="Times New Roman" w:cs="Times New Roman"/>
          <w:sz w:val="24"/>
          <w:szCs w:val="24"/>
        </w:rPr>
        <w:t xml:space="preserve"> </w:t>
      </w:r>
      <w:r w:rsidR="005F2C31">
        <w:rPr>
          <w:rFonts w:ascii="Times New Roman" w:hAnsi="Times New Roman" w:cs="Times New Roman"/>
          <w:sz w:val="24"/>
          <w:szCs w:val="24"/>
        </w:rPr>
        <w:t>(</w:t>
      </w:r>
      <w:r w:rsidR="00B561F5">
        <w:rPr>
          <w:rFonts w:ascii="Times New Roman" w:hAnsi="Times New Roman" w:cs="Times New Roman"/>
          <w:sz w:val="24"/>
          <w:szCs w:val="24"/>
        </w:rPr>
        <w:t xml:space="preserve">especulación </w:t>
      </w:r>
      <w:r w:rsidR="005F2C31">
        <w:rPr>
          <w:rFonts w:ascii="Times New Roman" w:hAnsi="Times New Roman" w:cs="Times New Roman"/>
          <w:sz w:val="24"/>
          <w:szCs w:val="24"/>
        </w:rPr>
        <w:t>bursátil)</w:t>
      </w:r>
      <w:r>
        <w:rPr>
          <w:rFonts w:ascii="Times New Roman" w:hAnsi="Times New Roman" w:cs="Times New Roman"/>
          <w:sz w:val="24"/>
          <w:szCs w:val="24"/>
        </w:rPr>
        <w:t>, como unos auténticos yonquis del dinero fácil, serán los mismos que tendrán que ingresar la economía en la clínica de desintoxicación, provocando</w:t>
      </w:r>
      <w:r w:rsidR="00B561F5">
        <w:rPr>
          <w:rFonts w:ascii="Times New Roman" w:hAnsi="Times New Roman" w:cs="Times New Roman"/>
          <w:sz w:val="24"/>
          <w:szCs w:val="24"/>
        </w:rPr>
        <w:t xml:space="preserve"> una recesión (para frenar</w:t>
      </w:r>
      <w:r w:rsidR="005F2C31">
        <w:rPr>
          <w:rFonts w:ascii="Times New Roman" w:hAnsi="Times New Roman" w:cs="Times New Roman"/>
          <w:sz w:val="24"/>
          <w:szCs w:val="24"/>
        </w:rPr>
        <w:t xml:space="preserve"> la</w:t>
      </w:r>
      <w:r w:rsidR="00B561F5">
        <w:rPr>
          <w:rFonts w:ascii="Times New Roman" w:hAnsi="Times New Roman" w:cs="Times New Roman"/>
          <w:sz w:val="24"/>
          <w:szCs w:val="24"/>
        </w:rPr>
        <w:t xml:space="preserve"> inflac</w:t>
      </w:r>
      <w:r w:rsidR="005F2C31">
        <w:rPr>
          <w:rFonts w:ascii="Times New Roman" w:hAnsi="Times New Roman" w:cs="Times New Roman"/>
          <w:sz w:val="24"/>
          <w:szCs w:val="24"/>
        </w:rPr>
        <w:t>ión, que ellos mismos propiciaron</w:t>
      </w:r>
      <w:r w:rsidR="00B561F5">
        <w:rPr>
          <w:rFonts w:ascii="Times New Roman" w:hAnsi="Times New Roman" w:cs="Times New Roman"/>
          <w:sz w:val="24"/>
          <w:szCs w:val="24"/>
        </w:rPr>
        <w:t>)</w:t>
      </w:r>
      <w:r w:rsidR="005F2C31">
        <w:rPr>
          <w:rFonts w:ascii="Times New Roman" w:hAnsi="Times New Roman" w:cs="Times New Roman"/>
          <w:sz w:val="24"/>
          <w:szCs w:val="24"/>
        </w:rPr>
        <w:t xml:space="preserve">. </w:t>
      </w:r>
      <w:r>
        <w:rPr>
          <w:rFonts w:ascii="Times New Roman" w:hAnsi="Times New Roman" w:cs="Times New Roman"/>
          <w:sz w:val="24"/>
          <w:szCs w:val="24"/>
        </w:rPr>
        <w:t>¿Pirómanos arrepentidos?</w:t>
      </w:r>
      <w:r w:rsidR="002812F0">
        <w:rPr>
          <w:rFonts w:ascii="Times New Roman" w:hAnsi="Times New Roman" w:cs="Times New Roman"/>
          <w:sz w:val="24"/>
          <w:szCs w:val="24"/>
        </w:rPr>
        <w:t xml:space="preserve"> ¿Bomberos de último recurso?</w:t>
      </w:r>
      <w:r>
        <w:rPr>
          <w:rFonts w:ascii="Times New Roman" w:hAnsi="Times New Roman" w:cs="Times New Roman"/>
          <w:sz w:val="24"/>
          <w:szCs w:val="24"/>
        </w:rPr>
        <w:t xml:space="preserve"> ¿Serán capaces de mirar hacia atrás, para no cometer</w:t>
      </w:r>
      <w:r w:rsidR="002812F0">
        <w:rPr>
          <w:rFonts w:ascii="Times New Roman" w:hAnsi="Times New Roman" w:cs="Times New Roman"/>
          <w:sz w:val="24"/>
          <w:szCs w:val="24"/>
        </w:rPr>
        <w:t xml:space="preserve"> (los mismos)</w:t>
      </w:r>
      <w:r>
        <w:rPr>
          <w:rFonts w:ascii="Times New Roman" w:hAnsi="Times New Roman" w:cs="Times New Roman"/>
          <w:sz w:val="24"/>
          <w:szCs w:val="24"/>
        </w:rPr>
        <w:t xml:space="preserve"> errores de previsión?</w:t>
      </w:r>
      <w:r w:rsidR="005F2C31">
        <w:rPr>
          <w:rFonts w:ascii="Times New Roman" w:hAnsi="Times New Roman" w:cs="Times New Roman"/>
          <w:sz w:val="24"/>
          <w:szCs w:val="24"/>
        </w:rPr>
        <w:t xml:space="preserve">  </w:t>
      </w:r>
      <w:r w:rsidR="00516AEA">
        <w:rPr>
          <w:rFonts w:ascii="Times New Roman" w:hAnsi="Times New Roman" w:cs="Times New Roman"/>
          <w:sz w:val="24"/>
          <w:szCs w:val="24"/>
        </w:rPr>
        <w:t xml:space="preserve"> </w:t>
      </w:r>
    </w:p>
    <w:p w:rsidR="00B561F5" w:rsidRDefault="00F41E84"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Un escenario imaginario (por algo se empieza): </w:t>
      </w:r>
      <w:r w:rsidR="00B561F5">
        <w:rPr>
          <w:rFonts w:ascii="Times New Roman" w:hAnsi="Times New Roman" w:cs="Times New Roman"/>
          <w:sz w:val="24"/>
          <w:szCs w:val="24"/>
        </w:rPr>
        <w:t>¿</w:t>
      </w:r>
      <w:r>
        <w:rPr>
          <w:rFonts w:ascii="Times New Roman" w:hAnsi="Times New Roman" w:cs="Times New Roman"/>
          <w:sz w:val="24"/>
          <w:szCs w:val="24"/>
        </w:rPr>
        <w:t>q</w:t>
      </w:r>
      <w:r w:rsidR="00B561F5">
        <w:rPr>
          <w:rFonts w:ascii="Times New Roman" w:hAnsi="Times New Roman" w:cs="Times New Roman"/>
          <w:sz w:val="24"/>
          <w:szCs w:val="24"/>
        </w:rPr>
        <w:t>ué tal, si van empezando a limitar la “asistencia” que el Banc</w:t>
      </w:r>
      <w:r w:rsidR="00023998">
        <w:rPr>
          <w:rFonts w:ascii="Times New Roman" w:hAnsi="Times New Roman" w:cs="Times New Roman"/>
          <w:sz w:val="24"/>
          <w:szCs w:val="24"/>
        </w:rPr>
        <w:t>o Central puede otorgar al Tesor</w:t>
      </w:r>
      <w:r w:rsidR="00B561F5">
        <w:rPr>
          <w:rFonts w:ascii="Times New Roman" w:hAnsi="Times New Roman" w:cs="Times New Roman"/>
          <w:sz w:val="24"/>
          <w:szCs w:val="24"/>
        </w:rPr>
        <w:t>o</w:t>
      </w:r>
      <w:r>
        <w:rPr>
          <w:rFonts w:ascii="Times New Roman" w:hAnsi="Times New Roman" w:cs="Times New Roman"/>
          <w:sz w:val="24"/>
          <w:szCs w:val="24"/>
        </w:rPr>
        <w:t xml:space="preserve"> (al 30%, por ejemplo)? ¿q</w:t>
      </w:r>
      <w:r w:rsidR="00B561F5">
        <w:rPr>
          <w:rFonts w:ascii="Times New Roman" w:hAnsi="Times New Roman" w:cs="Times New Roman"/>
          <w:sz w:val="24"/>
          <w:szCs w:val="24"/>
        </w:rPr>
        <w:t>ué tal, si promueven el compromiso</w:t>
      </w:r>
      <w:r w:rsidR="002812F0">
        <w:rPr>
          <w:rFonts w:ascii="Times New Roman" w:hAnsi="Times New Roman" w:cs="Times New Roman"/>
          <w:sz w:val="24"/>
          <w:szCs w:val="24"/>
        </w:rPr>
        <w:t xml:space="preserve"> de reducir el déficit fiscal (a</w:t>
      </w:r>
      <w:r w:rsidR="00B561F5">
        <w:rPr>
          <w:rFonts w:ascii="Times New Roman" w:hAnsi="Times New Roman" w:cs="Times New Roman"/>
          <w:sz w:val="24"/>
          <w:szCs w:val="24"/>
        </w:rPr>
        <w:t>l 3%, por ejemplo)</w:t>
      </w:r>
      <w:r w:rsidR="002812F0">
        <w:rPr>
          <w:rFonts w:ascii="Times New Roman" w:hAnsi="Times New Roman" w:cs="Times New Roman"/>
          <w:sz w:val="24"/>
          <w:szCs w:val="24"/>
        </w:rPr>
        <w:t>?</w:t>
      </w:r>
      <w:r>
        <w:rPr>
          <w:rFonts w:ascii="Times New Roman" w:hAnsi="Times New Roman" w:cs="Times New Roman"/>
          <w:sz w:val="24"/>
          <w:szCs w:val="24"/>
        </w:rPr>
        <w:t xml:space="preserve"> ¿qué tal</w:t>
      </w:r>
      <w:r w:rsidR="000F3952">
        <w:rPr>
          <w:rFonts w:ascii="Times New Roman" w:hAnsi="Times New Roman" w:cs="Times New Roman"/>
          <w:sz w:val="24"/>
          <w:szCs w:val="24"/>
        </w:rPr>
        <w:t>,</w:t>
      </w:r>
      <w:r>
        <w:rPr>
          <w:rFonts w:ascii="Times New Roman" w:hAnsi="Times New Roman" w:cs="Times New Roman"/>
          <w:sz w:val="24"/>
          <w:szCs w:val="24"/>
        </w:rPr>
        <w:t xml:space="preserve"> si eliminan la posibilidad de invertir en acciones, u otros productos financieros, con recursos</w:t>
      </w:r>
      <w:r w:rsidR="002812F0">
        <w:rPr>
          <w:rFonts w:ascii="Times New Roman" w:hAnsi="Times New Roman" w:cs="Times New Roman"/>
          <w:sz w:val="24"/>
          <w:szCs w:val="24"/>
        </w:rPr>
        <w:t xml:space="preserve"> ajenos (préstamos)</w:t>
      </w:r>
      <w:r>
        <w:rPr>
          <w:rFonts w:ascii="Times New Roman" w:hAnsi="Times New Roman" w:cs="Times New Roman"/>
          <w:sz w:val="24"/>
          <w:szCs w:val="24"/>
        </w:rPr>
        <w:t>?</w:t>
      </w:r>
      <w:r w:rsidR="00534CE8">
        <w:rPr>
          <w:rFonts w:ascii="Times New Roman" w:hAnsi="Times New Roman" w:cs="Times New Roman"/>
          <w:sz w:val="24"/>
          <w:szCs w:val="24"/>
        </w:rPr>
        <w:t xml:space="preserve"> ¿qué tal</w:t>
      </w:r>
      <w:r w:rsidR="000F3952">
        <w:rPr>
          <w:rFonts w:ascii="Times New Roman" w:hAnsi="Times New Roman" w:cs="Times New Roman"/>
          <w:sz w:val="24"/>
          <w:szCs w:val="24"/>
        </w:rPr>
        <w:t>,</w:t>
      </w:r>
      <w:r w:rsidR="00534CE8">
        <w:rPr>
          <w:rFonts w:ascii="Times New Roman" w:hAnsi="Times New Roman" w:cs="Times New Roman"/>
          <w:sz w:val="24"/>
          <w:szCs w:val="24"/>
        </w:rPr>
        <w:t xml:space="preserve"> si suben las tasas de interés? ¿qué tal</w:t>
      </w:r>
      <w:r w:rsidR="000F3952">
        <w:rPr>
          <w:rFonts w:ascii="Times New Roman" w:hAnsi="Times New Roman" w:cs="Times New Roman"/>
          <w:sz w:val="24"/>
          <w:szCs w:val="24"/>
        </w:rPr>
        <w:t>,</w:t>
      </w:r>
      <w:r w:rsidR="00534CE8">
        <w:rPr>
          <w:rFonts w:ascii="Times New Roman" w:hAnsi="Times New Roman" w:cs="Times New Roman"/>
          <w:sz w:val="24"/>
          <w:szCs w:val="24"/>
        </w:rPr>
        <w:t xml:space="preserve"> si priman el ahorro?...</w:t>
      </w:r>
    </w:p>
    <w:p w:rsidR="00CA26E5" w:rsidRDefault="00CA26E5"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Esto no es un pronóstico… Esto es solo un escenario imaginario… </w:t>
      </w:r>
    </w:p>
    <w:p w:rsidR="00F41E84" w:rsidRDefault="00F41E84"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¿Convalidarían los gobiernos</w:t>
      </w:r>
      <w:r w:rsidR="00E5317D">
        <w:rPr>
          <w:rFonts w:ascii="Times New Roman" w:hAnsi="Times New Roman" w:cs="Times New Roman"/>
          <w:sz w:val="24"/>
          <w:szCs w:val="24"/>
        </w:rPr>
        <w:t xml:space="preserve"> (populistas</w:t>
      </w:r>
      <w:r w:rsidR="002812F0">
        <w:rPr>
          <w:rFonts w:ascii="Times New Roman" w:hAnsi="Times New Roman" w:cs="Times New Roman"/>
          <w:sz w:val="24"/>
          <w:szCs w:val="24"/>
        </w:rPr>
        <w:t xml:space="preserve"> o “progres”</w:t>
      </w:r>
      <w:r w:rsidR="00E5317D">
        <w:rPr>
          <w:rFonts w:ascii="Times New Roman" w:hAnsi="Times New Roman" w:cs="Times New Roman"/>
          <w:sz w:val="24"/>
          <w:szCs w:val="24"/>
        </w:rPr>
        <w:t>)</w:t>
      </w:r>
      <w:r>
        <w:rPr>
          <w:rFonts w:ascii="Times New Roman" w:hAnsi="Times New Roman" w:cs="Times New Roman"/>
          <w:sz w:val="24"/>
          <w:szCs w:val="24"/>
        </w:rPr>
        <w:t xml:space="preserve"> un “ajuste” de tal dimensión? ¿cuánto caería la bolsa? ¿cuánto se reduciría el precio de las materias primas? ¿a cuánto cotizaría el bitcoin? ¿cuánto capital de las “big tech” se evaporaría? </w:t>
      </w:r>
    </w:p>
    <w:p w:rsidR="00F41E84" w:rsidRDefault="00F41E84"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¿Se animarían los “soldaditos” de los bancos centrales a tomar estas medidas (o similares)?</w:t>
      </w:r>
    </w:p>
    <w:p w:rsidR="00F41E84" w:rsidRDefault="00F41E84"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¡That is the question!</w:t>
      </w:r>
    </w:p>
    <w:p w:rsidR="002812F0" w:rsidRDefault="002812F0"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¿Puede el tiempo borrar la memoria?</w:t>
      </w:r>
    </w:p>
    <w:p w:rsidR="002812F0" w:rsidRDefault="002812F0"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Desafiar la inflación, es como desafiar la muerte.</w:t>
      </w:r>
    </w:p>
    <w:p w:rsidR="002812F0" w:rsidRDefault="002812F0"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Es importante “interpretar” el pasado, para “comprender” el futuro.</w:t>
      </w:r>
    </w:p>
    <w:p w:rsidR="002812F0" w:rsidRDefault="007C57FC" w:rsidP="00FA4DA9">
      <w:pPr>
        <w:spacing w:line="240" w:lineRule="auto"/>
        <w:jc w:val="both"/>
        <w:rPr>
          <w:rFonts w:ascii="Times New Roman" w:hAnsi="Times New Roman" w:cs="Times New Roman"/>
          <w:sz w:val="24"/>
          <w:szCs w:val="24"/>
        </w:rPr>
      </w:pPr>
      <w:r>
        <w:rPr>
          <w:rFonts w:ascii="Times New Roman" w:hAnsi="Times New Roman" w:cs="Times New Roman"/>
          <w:sz w:val="24"/>
          <w:szCs w:val="24"/>
        </w:rPr>
        <w:t>Puedo entender</w:t>
      </w:r>
      <w:r w:rsidR="002812F0">
        <w:rPr>
          <w:rFonts w:ascii="Times New Roman" w:hAnsi="Times New Roman" w:cs="Times New Roman"/>
          <w:sz w:val="24"/>
          <w:szCs w:val="24"/>
        </w:rPr>
        <w:t xml:space="preserve"> que a los banqueros centrales de los países avanzados</w:t>
      </w:r>
      <w:r>
        <w:rPr>
          <w:rFonts w:ascii="Times New Roman" w:hAnsi="Times New Roman" w:cs="Times New Roman"/>
          <w:sz w:val="24"/>
          <w:szCs w:val="24"/>
        </w:rPr>
        <w:t xml:space="preserve"> (fatuos, arrogantes,</w:t>
      </w:r>
      <w:r w:rsidR="002812F0">
        <w:rPr>
          <w:rFonts w:ascii="Times New Roman" w:hAnsi="Times New Roman" w:cs="Times New Roman"/>
          <w:sz w:val="24"/>
          <w:szCs w:val="24"/>
        </w:rPr>
        <w:t xml:space="preserve"> </w:t>
      </w:r>
      <w:r>
        <w:rPr>
          <w:rFonts w:ascii="Times New Roman" w:hAnsi="Times New Roman" w:cs="Times New Roman"/>
          <w:sz w:val="24"/>
          <w:szCs w:val="24"/>
        </w:rPr>
        <w:t>y vanidosos</w:t>
      </w:r>
      <w:r w:rsidR="002812F0">
        <w:rPr>
          <w:rFonts w:ascii="Times New Roman" w:hAnsi="Times New Roman" w:cs="Times New Roman"/>
          <w:sz w:val="24"/>
          <w:szCs w:val="24"/>
        </w:rPr>
        <w:t>)</w:t>
      </w:r>
      <w:r>
        <w:rPr>
          <w:rFonts w:ascii="Times New Roman" w:hAnsi="Times New Roman" w:cs="Times New Roman"/>
          <w:sz w:val="24"/>
          <w:szCs w:val="24"/>
        </w:rPr>
        <w:t>, les parezca,</w:t>
      </w:r>
      <w:r w:rsidR="002812F0">
        <w:rPr>
          <w:rFonts w:ascii="Times New Roman" w:hAnsi="Times New Roman" w:cs="Times New Roman"/>
          <w:sz w:val="24"/>
          <w:szCs w:val="24"/>
        </w:rPr>
        <w:t xml:space="preserve"> </w:t>
      </w:r>
      <w:r>
        <w:rPr>
          <w:rFonts w:ascii="Times New Roman" w:hAnsi="Times New Roman" w:cs="Times New Roman"/>
          <w:sz w:val="24"/>
          <w:szCs w:val="24"/>
        </w:rPr>
        <w:t>lejana e irrepetible, la historia de la inflación en Argentina.</w:t>
      </w:r>
      <w:r w:rsidR="002812F0">
        <w:rPr>
          <w:rFonts w:ascii="Times New Roman" w:hAnsi="Times New Roman" w:cs="Times New Roman"/>
          <w:sz w:val="24"/>
          <w:szCs w:val="24"/>
        </w:rPr>
        <w:t xml:space="preserve"> </w:t>
      </w:r>
    </w:p>
    <w:p w:rsidR="007C57FC" w:rsidRDefault="007C57FC" w:rsidP="007C57FC">
      <w:pPr>
        <w:spacing w:line="240" w:lineRule="auto"/>
        <w:jc w:val="both"/>
        <w:rPr>
          <w:rFonts w:ascii="Times New Roman" w:hAnsi="Times New Roman" w:cs="Times New Roman"/>
          <w:sz w:val="24"/>
          <w:szCs w:val="24"/>
        </w:rPr>
      </w:pPr>
      <w:r>
        <w:rPr>
          <w:rFonts w:ascii="Times New Roman" w:hAnsi="Times New Roman" w:cs="Times New Roman"/>
          <w:sz w:val="24"/>
          <w:szCs w:val="24"/>
        </w:rPr>
        <w:t>Puedo entender que a los banqueros centrales de los países avanzados (fatuos, arrogantes, y vanidos</w:t>
      </w:r>
      <w:r w:rsidR="00023998">
        <w:rPr>
          <w:rFonts w:ascii="Times New Roman" w:hAnsi="Times New Roman" w:cs="Times New Roman"/>
          <w:sz w:val="24"/>
          <w:szCs w:val="24"/>
        </w:rPr>
        <w:t>os), les parezca, exótica y ter</w:t>
      </w:r>
      <w:r>
        <w:rPr>
          <w:rFonts w:ascii="Times New Roman" w:hAnsi="Times New Roman" w:cs="Times New Roman"/>
          <w:sz w:val="24"/>
          <w:szCs w:val="24"/>
        </w:rPr>
        <w:t xml:space="preserve">cermundista, la historia de la inflación en Zimbabue. </w:t>
      </w:r>
    </w:p>
    <w:p w:rsidR="005B4F7C" w:rsidRDefault="007C57FC" w:rsidP="007C57FC">
      <w:pPr>
        <w:spacing w:line="240" w:lineRule="auto"/>
        <w:jc w:val="both"/>
        <w:rPr>
          <w:rFonts w:ascii="Times New Roman" w:hAnsi="Times New Roman" w:cs="Times New Roman"/>
          <w:sz w:val="24"/>
          <w:szCs w:val="24"/>
        </w:rPr>
      </w:pPr>
      <w:r>
        <w:rPr>
          <w:rFonts w:ascii="Times New Roman" w:hAnsi="Times New Roman" w:cs="Times New Roman"/>
          <w:sz w:val="24"/>
          <w:szCs w:val="24"/>
        </w:rPr>
        <w:t>Pero la historia de la inflación en Alemania</w:t>
      </w:r>
      <w:r w:rsidR="00C217BE">
        <w:rPr>
          <w:rFonts w:ascii="Times New Roman" w:hAnsi="Times New Roman" w:cs="Times New Roman"/>
          <w:sz w:val="24"/>
          <w:szCs w:val="24"/>
        </w:rPr>
        <w:t>,</w:t>
      </w:r>
      <w:r>
        <w:rPr>
          <w:rFonts w:ascii="Times New Roman" w:hAnsi="Times New Roman" w:cs="Times New Roman"/>
          <w:sz w:val="24"/>
          <w:szCs w:val="24"/>
        </w:rPr>
        <w:t xml:space="preserve"> es cercana, dramática y…</w:t>
      </w:r>
      <w:r w:rsidR="00C217BE">
        <w:rPr>
          <w:rFonts w:ascii="Times New Roman" w:hAnsi="Times New Roman" w:cs="Times New Roman"/>
          <w:sz w:val="24"/>
          <w:szCs w:val="24"/>
        </w:rPr>
        <w:t xml:space="preserve"> </w:t>
      </w:r>
      <w:r w:rsidR="005B4F7C">
        <w:rPr>
          <w:rFonts w:ascii="Times New Roman" w:hAnsi="Times New Roman" w:cs="Times New Roman"/>
          <w:sz w:val="24"/>
          <w:szCs w:val="24"/>
        </w:rPr>
        <w:t>“</w:t>
      </w:r>
      <w:r w:rsidR="00C217BE">
        <w:rPr>
          <w:rFonts w:ascii="Times New Roman" w:hAnsi="Times New Roman" w:cs="Times New Roman"/>
          <w:sz w:val="24"/>
          <w:szCs w:val="24"/>
        </w:rPr>
        <w:t>repetible</w:t>
      </w:r>
      <w:r w:rsidR="005B4F7C">
        <w:rPr>
          <w:rFonts w:ascii="Times New Roman" w:hAnsi="Times New Roman" w:cs="Times New Roman"/>
          <w:sz w:val="24"/>
          <w:szCs w:val="24"/>
        </w:rPr>
        <w:t>”</w:t>
      </w:r>
      <w:r w:rsidR="00C217BE">
        <w:rPr>
          <w:rFonts w:ascii="Times New Roman" w:hAnsi="Times New Roman" w:cs="Times New Roman"/>
          <w:sz w:val="24"/>
          <w:szCs w:val="24"/>
        </w:rPr>
        <w:t>.</w:t>
      </w:r>
    </w:p>
    <w:p w:rsidR="007C57FC" w:rsidRDefault="005B4F7C" w:rsidP="007C57F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Para algunos “ciegos voluntarios”… un pequeño recordatorio, de las </w:t>
      </w:r>
      <w:r w:rsidR="00023998">
        <w:rPr>
          <w:rFonts w:ascii="Times New Roman" w:hAnsi="Times New Roman" w:cs="Times New Roman"/>
          <w:sz w:val="24"/>
          <w:szCs w:val="24"/>
        </w:rPr>
        <w:t>circunstancias</w:t>
      </w:r>
      <w:r>
        <w:rPr>
          <w:rFonts w:ascii="Times New Roman" w:hAnsi="Times New Roman" w:cs="Times New Roman"/>
          <w:sz w:val="24"/>
          <w:szCs w:val="24"/>
        </w:rPr>
        <w:t xml:space="preserve"> vividas:</w:t>
      </w:r>
    </w:p>
    <w:p w:rsidR="00C217BE" w:rsidRDefault="00C217BE" w:rsidP="007C57FC">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7411321D" wp14:editId="52BC7879">
            <wp:extent cx="5729056" cy="2654300"/>
            <wp:effectExtent l="0" t="0" r="5080" b="0"/>
            <wp:docPr id="16" name="Imagen 16" descr="Foto: Billete alemán de 100 billones de marcos acuñado en 1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oto: Billete alemán de 100 billones de marcos acuñado en 1924"/>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5731510" cy="2655437"/>
                    </a:xfrm>
                    <a:prstGeom prst="rect">
                      <a:avLst/>
                    </a:prstGeom>
                    <a:noFill/>
                    <a:ln>
                      <a:noFill/>
                    </a:ln>
                  </pic:spPr>
                </pic:pic>
              </a:graphicData>
            </a:graphic>
          </wp:inline>
        </w:drawing>
      </w:r>
      <w:r w:rsidRPr="00C217BE">
        <w:rPr>
          <w:rFonts w:ascii="Times New Roman" w:hAnsi="Times New Roman" w:cs="Times New Roman"/>
          <w:sz w:val="24"/>
          <w:szCs w:val="24"/>
        </w:rPr>
        <w:t>Un billete de cien billones: el apocalipsis de la hiperinflación alemana de 1923</w:t>
      </w:r>
    </w:p>
    <w:p w:rsidR="00C217BE" w:rsidRDefault="00C217BE" w:rsidP="00C217BE">
      <w:pPr>
        <w:spacing w:line="240" w:lineRule="auto"/>
        <w:jc w:val="both"/>
        <w:rPr>
          <w:rFonts w:ascii="Times New Roman" w:hAnsi="Times New Roman" w:cs="Times New Roman"/>
          <w:sz w:val="24"/>
          <w:szCs w:val="24"/>
        </w:rPr>
      </w:pPr>
      <w:r w:rsidRPr="00C217BE">
        <w:rPr>
          <w:rFonts w:ascii="Times New Roman" w:hAnsi="Times New Roman" w:cs="Times New Roman"/>
          <w:sz w:val="24"/>
          <w:szCs w:val="24"/>
        </w:rPr>
        <w:t>El Reichsbank, desbordado por la situación, llegó a emitir billetes, sin seriar e impresos por una cara de hasta cien mil millones de marcos, justo cuando la prestigiosa moneda alcanzó la alucinante tasa de cambio de cuatro mil doscientos billones de marcos por un dólar estadounidense. En la calle todo devino surrealista. La gente acudía a comprar comida con maletas de billetes por la incesante fluctuación de los precios. Muchos, ante la depauperación monetaria, empapelaban sus casas con ellos, mientras los barrenderos los expulsaban a las cloacas.</w:t>
      </w:r>
      <w:r w:rsidR="005B4F7C">
        <w:rPr>
          <w:rFonts w:ascii="Times New Roman" w:hAnsi="Times New Roman" w:cs="Times New Roman"/>
          <w:sz w:val="24"/>
          <w:szCs w:val="24"/>
        </w:rPr>
        <w:t xml:space="preserve"> (Fuente: </w:t>
      </w:r>
      <w:r w:rsidR="005B4F7C" w:rsidRPr="00EA6A32">
        <w:rPr>
          <w:rFonts w:ascii="Times New Roman" w:hAnsi="Times New Roman" w:cs="Times New Roman"/>
          <w:sz w:val="24"/>
          <w:szCs w:val="24"/>
        </w:rPr>
        <w:t>Jordi Corominas i Julián</w:t>
      </w:r>
      <w:r w:rsidR="005B4F7C">
        <w:rPr>
          <w:rFonts w:ascii="Times New Roman" w:hAnsi="Times New Roman" w:cs="Times New Roman"/>
          <w:sz w:val="24"/>
          <w:szCs w:val="24"/>
        </w:rPr>
        <w:t xml:space="preserve"> - El Confidencial - </w:t>
      </w:r>
      <w:r w:rsidR="005B4F7C" w:rsidRPr="005B4F7C">
        <w:rPr>
          <w:rFonts w:ascii="Times New Roman" w:hAnsi="Times New Roman" w:cs="Times New Roman"/>
          <w:b/>
          <w:sz w:val="24"/>
          <w:szCs w:val="24"/>
        </w:rPr>
        <w:t>31/10/21</w:t>
      </w:r>
      <w:r w:rsidR="005B4F7C">
        <w:rPr>
          <w:rFonts w:ascii="Times New Roman" w:hAnsi="Times New Roman" w:cs="Times New Roman"/>
          <w:sz w:val="24"/>
          <w:szCs w:val="24"/>
        </w:rPr>
        <w:t>)</w:t>
      </w:r>
    </w:p>
    <w:p w:rsidR="00C217BE" w:rsidRPr="00C217BE" w:rsidRDefault="00C217BE" w:rsidP="00C217BE">
      <w:pPr>
        <w:spacing w:line="240" w:lineRule="auto"/>
        <w:jc w:val="both"/>
        <w:rPr>
          <w:rFonts w:ascii="Times New Roman" w:hAnsi="Times New Roman" w:cs="Times New Roman"/>
          <w:sz w:val="24"/>
          <w:szCs w:val="24"/>
        </w:rPr>
      </w:pPr>
      <w:r w:rsidRPr="00C217BE">
        <w:rPr>
          <w:rFonts w:ascii="Times New Roman" w:hAnsi="Times New Roman" w:cs="Times New Roman"/>
          <w:sz w:val="24"/>
          <w:szCs w:val="24"/>
        </w:rPr>
        <w:t>En algunos hogares se arrancaba el tapizado de piel de las sillas para hacer zapatos, usándose las cortinas para vestir a los más pequeños. Muchas familias, otrora pujantes, se conformaban con un trozo de pan negro y té aguado, concediéndose el lujo de comer carne una sola vez por semana.</w:t>
      </w:r>
    </w:p>
    <w:p w:rsidR="00C217BE" w:rsidRPr="00C217BE" w:rsidRDefault="00C217BE" w:rsidP="00C217BE">
      <w:pPr>
        <w:spacing w:line="240" w:lineRule="auto"/>
        <w:jc w:val="both"/>
        <w:rPr>
          <w:rFonts w:ascii="Times New Roman" w:hAnsi="Times New Roman" w:cs="Times New Roman"/>
          <w:sz w:val="24"/>
          <w:szCs w:val="24"/>
        </w:rPr>
      </w:pPr>
      <w:r w:rsidRPr="00C217BE">
        <w:rPr>
          <w:rFonts w:ascii="Times New Roman" w:hAnsi="Times New Roman" w:cs="Times New Roman"/>
          <w:sz w:val="24"/>
          <w:szCs w:val="24"/>
        </w:rPr>
        <w:t>¿Cómo pudo generarse ese marasmo?</w:t>
      </w:r>
    </w:p>
    <w:p w:rsidR="00C217BE" w:rsidRPr="00C217BE" w:rsidRDefault="00C217BE" w:rsidP="00C217BE">
      <w:pPr>
        <w:spacing w:line="240" w:lineRule="auto"/>
        <w:jc w:val="both"/>
        <w:rPr>
          <w:rFonts w:ascii="Times New Roman" w:hAnsi="Times New Roman" w:cs="Times New Roman"/>
          <w:sz w:val="24"/>
          <w:szCs w:val="24"/>
        </w:rPr>
      </w:pPr>
      <w:r w:rsidRPr="00C217BE">
        <w:rPr>
          <w:rFonts w:ascii="Times New Roman" w:hAnsi="Times New Roman" w:cs="Times New Roman"/>
          <w:sz w:val="24"/>
          <w:szCs w:val="24"/>
        </w:rPr>
        <w:t>La senda hacia este abismo se precipitó apenas iniciada la Primera Guerra Mundial. El 4 de agosto de 1914 se aprobaron una serie de leyes que modificaron aspectos trascendentales del sistema monetario y bancario vigente hasta esa fecha. El gobierno recibió la potestad de aumentar a discreción la emisión de moneda, se suspendió el régimen basado en el patrón oro, concediéndose al ejecutivo la facultad de obtener del Reichsbank adelantos mediante el descuento de las letras de Tesorería de corto plazo. El resultado de este paquete supuso un incremento galopante de la deuda pública. La ciudadanía, sin estar sometida al incremento de impuestos, contribuyó a la causa con la adquisición de bonos con la esperanza de encontrar un rápido beneficio ante tantas promesas de un futuro esplendoroso de dominación continental</w:t>
      </w:r>
      <w:r w:rsidR="00836855">
        <w:rPr>
          <w:rFonts w:ascii="Times New Roman" w:hAnsi="Times New Roman" w:cs="Times New Roman"/>
          <w:sz w:val="24"/>
          <w:szCs w:val="24"/>
        </w:rPr>
        <w:t>…</w:t>
      </w:r>
      <w:r w:rsidRPr="00C217BE">
        <w:rPr>
          <w:rFonts w:ascii="Times New Roman" w:hAnsi="Times New Roman" w:cs="Times New Roman"/>
          <w:sz w:val="24"/>
          <w:szCs w:val="24"/>
        </w:rPr>
        <w:t xml:space="preserve"> </w:t>
      </w:r>
    </w:p>
    <w:p w:rsidR="00C217BE" w:rsidRDefault="00836855" w:rsidP="007C57FC">
      <w:pPr>
        <w:spacing w:line="240" w:lineRule="auto"/>
        <w:jc w:val="both"/>
        <w:rPr>
          <w:rFonts w:ascii="Times New Roman" w:hAnsi="Times New Roman" w:cs="Times New Roman"/>
          <w:sz w:val="24"/>
          <w:szCs w:val="24"/>
        </w:rPr>
      </w:pPr>
      <w:r w:rsidRPr="00836855">
        <w:rPr>
          <w:rFonts w:ascii="Times New Roman" w:hAnsi="Times New Roman" w:cs="Times New Roman"/>
          <w:sz w:val="24"/>
          <w:szCs w:val="24"/>
        </w:rPr>
        <w:t>El contexto internacional, la Revolución rusa coleaba en todos los espíritus como una presión proclive a las demandas de los trabajadores, fue otra punta de lanza para agitar el gallinero hacia su demolición. La experiencia de noviembre de 1918 había dado alas al proletariado</w:t>
      </w:r>
      <w:r>
        <w:rPr>
          <w:rFonts w:ascii="Times New Roman" w:hAnsi="Times New Roman" w:cs="Times New Roman"/>
          <w:sz w:val="24"/>
          <w:szCs w:val="24"/>
        </w:rPr>
        <w:t>…</w:t>
      </w:r>
    </w:p>
    <w:p w:rsidR="00836855" w:rsidRDefault="00836855" w:rsidP="007C57FC">
      <w:pPr>
        <w:spacing w:line="240" w:lineRule="auto"/>
        <w:jc w:val="both"/>
        <w:rPr>
          <w:rFonts w:ascii="Times New Roman" w:hAnsi="Times New Roman" w:cs="Times New Roman"/>
          <w:sz w:val="24"/>
          <w:szCs w:val="24"/>
        </w:rPr>
      </w:pPr>
      <w:r w:rsidRPr="00836855">
        <w:rPr>
          <w:rFonts w:ascii="Times New Roman" w:hAnsi="Times New Roman" w:cs="Times New Roman"/>
          <w:sz w:val="24"/>
          <w:szCs w:val="24"/>
        </w:rPr>
        <w:t>Con el país desquiciado, en enero de 1922 la inflación se propulsó al 70% y el cambio del dólar a siete mil quinientos marcos, la máquina de dinero era un placebo contraproducente</w:t>
      </w:r>
      <w:r>
        <w:rPr>
          <w:rFonts w:ascii="Times New Roman" w:hAnsi="Times New Roman" w:cs="Times New Roman"/>
          <w:sz w:val="24"/>
          <w:szCs w:val="24"/>
        </w:rPr>
        <w:t>…</w:t>
      </w:r>
    </w:p>
    <w:p w:rsidR="00836855" w:rsidRDefault="00836855" w:rsidP="00836855">
      <w:pPr>
        <w:spacing w:line="240" w:lineRule="auto"/>
        <w:jc w:val="both"/>
        <w:rPr>
          <w:rFonts w:ascii="Times New Roman" w:hAnsi="Times New Roman" w:cs="Times New Roman"/>
          <w:sz w:val="24"/>
          <w:szCs w:val="24"/>
        </w:rPr>
      </w:pPr>
      <w:r w:rsidRPr="00EA6A32">
        <w:rPr>
          <w:rFonts w:ascii="Times New Roman" w:hAnsi="Times New Roman" w:cs="Times New Roman"/>
          <w:sz w:val="24"/>
          <w:szCs w:val="24"/>
        </w:rPr>
        <w:t>La pasarela hacia el colapso se concretó en ese instante</w:t>
      </w:r>
      <w:r>
        <w:rPr>
          <w:rFonts w:ascii="Times New Roman" w:hAnsi="Times New Roman" w:cs="Times New Roman"/>
          <w:sz w:val="24"/>
          <w:szCs w:val="24"/>
        </w:rPr>
        <w:t>…</w:t>
      </w:r>
    </w:p>
    <w:p w:rsidR="0083060F" w:rsidRDefault="00836855" w:rsidP="0083685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Lo demás es historia: el</w:t>
      </w:r>
      <w:r w:rsidR="0083060F">
        <w:rPr>
          <w:rFonts w:ascii="Times New Roman" w:hAnsi="Times New Roman" w:cs="Times New Roman"/>
          <w:sz w:val="24"/>
          <w:szCs w:val="24"/>
        </w:rPr>
        <w:t xml:space="preserve"> </w:t>
      </w:r>
      <w:r w:rsidR="0083060F" w:rsidRPr="0083060F">
        <w:rPr>
          <w:rFonts w:ascii="Times New Roman" w:hAnsi="Times New Roman" w:cs="Times New Roman"/>
          <w:sz w:val="24"/>
          <w:szCs w:val="24"/>
        </w:rPr>
        <w:t>Partido N</w:t>
      </w:r>
      <w:r w:rsidR="0083060F">
        <w:rPr>
          <w:rFonts w:ascii="Times New Roman" w:hAnsi="Times New Roman" w:cs="Times New Roman"/>
          <w:sz w:val="24"/>
          <w:szCs w:val="24"/>
        </w:rPr>
        <w:t>acionalsocialista Obrero Alemán (1920-1945)</w:t>
      </w:r>
      <w:r>
        <w:rPr>
          <w:rFonts w:ascii="Times New Roman" w:hAnsi="Times New Roman" w:cs="Times New Roman"/>
          <w:sz w:val="24"/>
          <w:szCs w:val="24"/>
        </w:rPr>
        <w:t xml:space="preserve">, </w:t>
      </w:r>
      <w:r w:rsidR="0083060F">
        <w:rPr>
          <w:rFonts w:ascii="Times New Roman" w:hAnsi="Times New Roman" w:cs="Times New Roman"/>
          <w:sz w:val="24"/>
          <w:szCs w:val="24"/>
        </w:rPr>
        <w:t xml:space="preserve">Adolf </w:t>
      </w:r>
      <w:r>
        <w:rPr>
          <w:rFonts w:ascii="Times New Roman" w:hAnsi="Times New Roman" w:cs="Times New Roman"/>
          <w:sz w:val="24"/>
          <w:szCs w:val="24"/>
        </w:rPr>
        <w:t>Hitler</w:t>
      </w:r>
      <w:r w:rsidR="0083060F">
        <w:rPr>
          <w:rFonts w:ascii="Times New Roman" w:hAnsi="Times New Roman" w:cs="Times New Roman"/>
          <w:sz w:val="24"/>
          <w:szCs w:val="24"/>
        </w:rPr>
        <w:t xml:space="preserve"> (canciller 1933)</w:t>
      </w:r>
      <w:r>
        <w:rPr>
          <w:rFonts w:ascii="Times New Roman" w:hAnsi="Times New Roman" w:cs="Times New Roman"/>
          <w:sz w:val="24"/>
          <w:szCs w:val="24"/>
        </w:rPr>
        <w:t>, la Segunda Guerra Mundial</w:t>
      </w:r>
      <w:r w:rsidR="0083060F">
        <w:rPr>
          <w:rFonts w:ascii="Times New Roman" w:hAnsi="Times New Roman" w:cs="Times New Roman"/>
          <w:sz w:val="24"/>
          <w:szCs w:val="24"/>
        </w:rPr>
        <w:t xml:space="preserve"> (1939-1945)</w:t>
      </w:r>
      <w:r>
        <w:rPr>
          <w:rFonts w:ascii="Times New Roman" w:hAnsi="Times New Roman" w:cs="Times New Roman"/>
          <w:sz w:val="24"/>
          <w:szCs w:val="24"/>
        </w:rPr>
        <w:t xml:space="preserve">, la destrucción de Europa, </w:t>
      </w:r>
      <w:r w:rsidR="0083060F">
        <w:rPr>
          <w:rFonts w:ascii="Times New Roman" w:hAnsi="Times New Roman" w:cs="Times New Roman"/>
          <w:sz w:val="24"/>
          <w:szCs w:val="24"/>
        </w:rPr>
        <w:t xml:space="preserve">60 </w:t>
      </w:r>
      <w:r>
        <w:rPr>
          <w:rFonts w:ascii="Times New Roman" w:hAnsi="Times New Roman" w:cs="Times New Roman"/>
          <w:sz w:val="24"/>
          <w:szCs w:val="24"/>
        </w:rPr>
        <w:t xml:space="preserve">millones de muertos, </w:t>
      </w:r>
      <w:r w:rsidR="0083060F">
        <w:rPr>
          <w:rFonts w:ascii="Times New Roman" w:hAnsi="Times New Roman" w:cs="Times New Roman"/>
          <w:sz w:val="24"/>
          <w:szCs w:val="24"/>
        </w:rPr>
        <w:t>exterminación de los judíos europeos (holocausto)</w:t>
      </w:r>
      <w:r>
        <w:rPr>
          <w:rFonts w:ascii="Times New Roman" w:hAnsi="Times New Roman" w:cs="Times New Roman"/>
          <w:sz w:val="24"/>
          <w:szCs w:val="24"/>
        </w:rPr>
        <w:t>…</w:t>
      </w:r>
    </w:p>
    <w:p w:rsidR="0083060F" w:rsidRDefault="0083060F" w:rsidP="00836855">
      <w:pPr>
        <w:spacing w:line="240" w:lineRule="auto"/>
        <w:jc w:val="both"/>
        <w:rPr>
          <w:rFonts w:ascii="Times New Roman" w:hAnsi="Times New Roman" w:cs="Times New Roman"/>
          <w:sz w:val="24"/>
          <w:szCs w:val="24"/>
        </w:rPr>
      </w:pPr>
      <w:r>
        <w:rPr>
          <w:rFonts w:ascii="Times New Roman" w:hAnsi="Times New Roman" w:cs="Times New Roman"/>
          <w:sz w:val="24"/>
          <w:szCs w:val="24"/>
        </w:rPr>
        <w:t>¿Hay alguien</w:t>
      </w:r>
      <w:r w:rsidR="00BB0A24">
        <w:rPr>
          <w:rFonts w:ascii="Times New Roman" w:hAnsi="Times New Roman" w:cs="Times New Roman"/>
          <w:sz w:val="24"/>
          <w:szCs w:val="24"/>
        </w:rPr>
        <w:t xml:space="preserve"> (cuerdo) que esté</w:t>
      </w:r>
      <w:r>
        <w:rPr>
          <w:rFonts w:ascii="Times New Roman" w:hAnsi="Times New Roman" w:cs="Times New Roman"/>
          <w:sz w:val="24"/>
          <w:szCs w:val="24"/>
        </w:rPr>
        <w:t xml:space="preserve"> dispuesto a correr el riesgo de repetir la historia?</w:t>
      </w:r>
    </w:p>
    <w:p w:rsidR="0083060F" w:rsidRDefault="0083060F" w:rsidP="0083685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¿Para qué? ¿Por qué? Y </w:t>
      </w:r>
      <w:r w:rsidR="00BB0A24">
        <w:rPr>
          <w:rFonts w:ascii="Times New Roman" w:hAnsi="Times New Roman" w:cs="Times New Roman"/>
          <w:sz w:val="24"/>
          <w:szCs w:val="24"/>
        </w:rPr>
        <w:t>lo</w:t>
      </w:r>
      <w:r>
        <w:rPr>
          <w:rFonts w:ascii="Times New Roman" w:hAnsi="Times New Roman" w:cs="Times New Roman"/>
          <w:sz w:val="24"/>
          <w:szCs w:val="24"/>
        </w:rPr>
        <w:t xml:space="preserve"> más importante: ¿Para</w:t>
      </w:r>
      <w:r w:rsidR="00BB0A24">
        <w:rPr>
          <w:rFonts w:ascii="Times New Roman" w:hAnsi="Times New Roman" w:cs="Times New Roman"/>
          <w:sz w:val="24"/>
          <w:szCs w:val="24"/>
        </w:rPr>
        <w:t xml:space="preserve"> beneficiar</w:t>
      </w:r>
      <w:r w:rsidR="00566FFD">
        <w:rPr>
          <w:rFonts w:ascii="Times New Roman" w:hAnsi="Times New Roman" w:cs="Times New Roman"/>
          <w:sz w:val="24"/>
          <w:szCs w:val="24"/>
        </w:rPr>
        <w:t>,</w:t>
      </w:r>
      <w:r w:rsidR="00BB0A24">
        <w:rPr>
          <w:rFonts w:ascii="Times New Roman" w:hAnsi="Times New Roman" w:cs="Times New Roman"/>
          <w:sz w:val="24"/>
          <w:szCs w:val="24"/>
        </w:rPr>
        <w:t xml:space="preserve"> a</w:t>
      </w:r>
      <w:r>
        <w:rPr>
          <w:rFonts w:ascii="Times New Roman" w:hAnsi="Times New Roman" w:cs="Times New Roman"/>
          <w:sz w:val="24"/>
          <w:szCs w:val="24"/>
        </w:rPr>
        <w:t xml:space="preserve"> quién?</w:t>
      </w:r>
    </w:p>
    <w:p w:rsidR="00BB0A24" w:rsidRDefault="00566FFD" w:rsidP="0083685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 veces utilizo </w:t>
      </w:r>
      <w:r w:rsidR="00BB0A24">
        <w:rPr>
          <w:rFonts w:ascii="Times New Roman" w:hAnsi="Times New Roman" w:cs="Times New Roman"/>
          <w:sz w:val="24"/>
          <w:szCs w:val="24"/>
        </w:rPr>
        <w:t>fotos (</w:t>
      </w:r>
      <w:r>
        <w:rPr>
          <w:rFonts w:ascii="Times New Roman" w:hAnsi="Times New Roman" w:cs="Times New Roman"/>
          <w:sz w:val="24"/>
          <w:szCs w:val="24"/>
        </w:rPr>
        <w:t>“</w:t>
      </w:r>
      <w:r w:rsidR="00BB0A24">
        <w:rPr>
          <w:rFonts w:ascii="Times New Roman" w:hAnsi="Times New Roman" w:cs="Times New Roman"/>
          <w:sz w:val="24"/>
          <w:szCs w:val="24"/>
        </w:rPr>
        <w:t>que valen más que mil palabras</w:t>
      </w:r>
      <w:r>
        <w:rPr>
          <w:rFonts w:ascii="Times New Roman" w:hAnsi="Times New Roman" w:cs="Times New Roman"/>
          <w:sz w:val="24"/>
          <w:szCs w:val="24"/>
        </w:rPr>
        <w:t>”</w:t>
      </w:r>
      <w:r w:rsidR="00BB0A24">
        <w:rPr>
          <w:rFonts w:ascii="Times New Roman" w:hAnsi="Times New Roman" w:cs="Times New Roman"/>
          <w:sz w:val="24"/>
          <w:szCs w:val="24"/>
        </w:rPr>
        <w:t>) para terminar mis escritos, en este caso, lo voy a hacer con unos gráficos que pueden ayudar a buscar</w:t>
      </w:r>
      <w:r>
        <w:rPr>
          <w:rFonts w:ascii="Times New Roman" w:hAnsi="Times New Roman" w:cs="Times New Roman"/>
          <w:sz w:val="24"/>
          <w:szCs w:val="24"/>
        </w:rPr>
        <w:t xml:space="preserve"> alguna</w:t>
      </w:r>
      <w:r w:rsidR="00BB0A24">
        <w:rPr>
          <w:rFonts w:ascii="Times New Roman" w:hAnsi="Times New Roman" w:cs="Times New Roman"/>
          <w:sz w:val="24"/>
          <w:szCs w:val="24"/>
        </w:rPr>
        <w:t xml:space="preserve"> respuesta:</w:t>
      </w:r>
    </w:p>
    <w:p w:rsidR="00BB0A24" w:rsidRDefault="00BB0A24" w:rsidP="00836855">
      <w:pPr>
        <w:spacing w:line="240" w:lineRule="auto"/>
        <w:jc w:val="both"/>
        <w:rPr>
          <w:rFonts w:ascii="Times New Roman" w:hAnsi="Times New Roman" w:cs="Times New Roman"/>
          <w:sz w:val="24"/>
          <w:szCs w:val="24"/>
        </w:rPr>
      </w:pPr>
      <w:r w:rsidRPr="00CF1E31">
        <w:rPr>
          <w:rFonts w:ascii="Times New Roman" w:hAnsi="Times New Roman" w:cs="Times New Roman"/>
          <w:sz w:val="24"/>
          <w:szCs w:val="24"/>
        </w:rPr>
        <w:t>Seis compañías valen más de</w:t>
      </w:r>
      <w:r>
        <w:rPr>
          <w:rFonts w:ascii="Times New Roman" w:hAnsi="Times New Roman" w:cs="Times New Roman"/>
          <w:sz w:val="24"/>
          <w:szCs w:val="24"/>
        </w:rPr>
        <w:t xml:space="preserve"> un billón de dólares en Bolsa -</w:t>
      </w:r>
      <w:r w:rsidRPr="00CF1E31">
        <w:rPr>
          <w:rFonts w:ascii="Times New Roman" w:hAnsi="Times New Roman" w:cs="Times New Roman"/>
          <w:sz w:val="24"/>
          <w:szCs w:val="24"/>
        </w:rPr>
        <w:t>Microsoft (2,4 billones de dólares), Apple (2,4 billones), Aramco (2,01), Alphabet (1,94</w:t>
      </w:r>
      <w:r>
        <w:rPr>
          <w:rFonts w:ascii="Times New Roman" w:hAnsi="Times New Roman" w:cs="Times New Roman"/>
          <w:sz w:val="24"/>
          <w:szCs w:val="24"/>
        </w:rPr>
        <w:t>), Amazon (1,68) y Tesla (1,09)-</w:t>
      </w:r>
      <w:r w:rsidRPr="00CF1E31">
        <w:rPr>
          <w:rFonts w:ascii="Times New Roman" w:hAnsi="Times New Roman" w:cs="Times New Roman"/>
          <w:sz w:val="24"/>
          <w:szCs w:val="24"/>
        </w:rPr>
        <w:t xml:space="preserve"> y todas ellas tienen el marchamo estadounidense con la excepció</w:t>
      </w:r>
      <w:r>
        <w:rPr>
          <w:rFonts w:ascii="Times New Roman" w:hAnsi="Times New Roman" w:cs="Times New Roman"/>
          <w:sz w:val="24"/>
          <w:szCs w:val="24"/>
        </w:rPr>
        <w:t>n de la petrolera saudí Aramco.</w:t>
      </w:r>
      <w:r w:rsidR="00AB4853">
        <w:rPr>
          <w:rFonts w:ascii="Times New Roman" w:hAnsi="Times New Roman" w:cs="Times New Roman"/>
          <w:sz w:val="24"/>
          <w:szCs w:val="24"/>
        </w:rPr>
        <w:t xml:space="preserve"> (Fuente: </w:t>
      </w:r>
      <w:r w:rsidR="00AB4853" w:rsidRPr="00CF1E31">
        <w:rPr>
          <w:rFonts w:ascii="Times New Roman" w:hAnsi="Times New Roman" w:cs="Times New Roman"/>
          <w:sz w:val="24"/>
          <w:szCs w:val="24"/>
        </w:rPr>
        <w:t>Luis Aparicio</w:t>
      </w:r>
      <w:r w:rsidR="00AB4853">
        <w:rPr>
          <w:rFonts w:ascii="Times New Roman" w:hAnsi="Times New Roman" w:cs="Times New Roman"/>
          <w:sz w:val="24"/>
          <w:szCs w:val="24"/>
        </w:rPr>
        <w:t xml:space="preserve"> - Cinco Días - </w:t>
      </w:r>
      <w:r w:rsidR="00AB4853" w:rsidRPr="00AB4853">
        <w:rPr>
          <w:rFonts w:ascii="Times New Roman" w:hAnsi="Times New Roman" w:cs="Times New Roman"/>
          <w:b/>
          <w:sz w:val="24"/>
          <w:szCs w:val="24"/>
        </w:rPr>
        <w:t>1/11/21</w:t>
      </w:r>
      <w:r w:rsidR="00AB4853">
        <w:rPr>
          <w:rFonts w:ascii="Times New Roman" w:hAnsi="Times New Roman" w:cs="Times New Roman"/>
          <w:sz w:val="24"/>
          <w:szCs w:val="24"/>
        </w:rPr>
        <w:t>)</w:t>
      </w:r>
    </w:p>
    <w:p w:rsidR="009D7535" w:rsidRDefault="009D7535" w:rsidP="00836855">
      <w:pPr>
        <w:spacing w:line="240" w:lineRule="auto"/>
        <w:jc w:val="both"/>
        <w:rPr>
          <w:rFonts w:ascii="Times New Roman" w:hAnsi="Times New Roman" w:cs="Times New Roman"/>
          <w:sz w:val="24"/>
          <w:szCs w:val="24"/>
        </w:rPr>
      </w:pPr>
    </w:p>
    <w:p w:rsidR="005B4F7C" w:rsidRDefault="00BB0A24" w:rsidP="00836855">
      <w:pPr>
        <w:spacing w:line="240" w:lineRule="auto"/>
        <w:jc w:val="both"/>
        <w:rPr>
          <w:rFonts w:ascii="Times New Roman" w:hAnsi="Times New Roman" w:cs="Times New Roman"/>
          <w:sz w:val="24"/>
          <w:szCs w:val="24"/>
        </w:rPr>
      </w:pPr>
      <w:r>
        <w:rPr>
          <w:noProof/>
          <w:lang w:eastAsia="es-ES"/>
        </w:rPr>
        <w:drawing>
          <wp:inline distT="0" distB="0" distL="0" distR="0" wp14:anchorId="6691303D" wp14:editId="6AF48779">
            <wp:extent cx="5731510" cy="2781300"/>
            <wp:effectExtent l="0" t="0" r="2540" b="0"/>
            <wp:docPr id="18" name="Imagen 18" descr="Ap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Apple"/>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5731510" cy="2781300"/>
                    </a:xfrm>
                    <a:prstGeom prst="rect">
                      <a:avLst/>
                    </a:prstGeom>
                    <a:noFill/>
                    <a:ln>
                      <a:noFill/>
                    </a:ln>
                  </pic:spPr>
                </pic:pic>
              </a:graphicData>
            </a:graphic>
          </wp:inline>
        </w:drawing>
      </w:r>
    </w:p>
    <w:p w:rsidR="00BB0A24" w:rsidRDefault="00BB0A24" w:rsidP="00836855">
      <w:pPr>
        <w:spacing w:line="240" w:lineRule="auto"/>
        <w:jc w:val="both"/>
        <w:rPr>
          <w:rFonts w:ascii="Times New Roman" w:hAnsi="Times New Roman" w:cs="Times New Roman"/>
          <w:sz w:val="24"/>
          <w:szCs w:val="24"/>
        </w:rPr>
      </w:pPr>
      <w:r>
        <w:rPr>
          <w:noProof/>
          <w:lang w:eastAsia="es-ES"/>
        </w:rPr>
        <w:drawing>
          <wp:inline distT="0" distB="0" distL="0" distR="0" wp14:anchorId="6E43A648" wp14:editId="344EF9F0">
            <wp:extent cx="5731510" cy="2813050"/>
            <wp:effectExtent l="0" t="0" r="2540" b="6350"/>
            <wp:docPr id="22" name="Imagen 22" descr="Microso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Microsoft"/>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5731510" cy="2813050"/>
                    </a:xfrm>
                    <a:prstGeom prst="rect">
                      <a:avLst/>
                    </a:prstGeom>
                    <a:noFill/>
                    <a:ln>
                      <a:noFill/>
                    </a:ln>
                  </pic:spPr>
                </pic:pic>
              </a:graphicData>
            </a:graphic>
          </wp:inline>
        </w:drawing>
      </w:r>
    </w:p>
    <w:p w:rsidR="005B4F7C" w:rsidRDefault="005B4F7C" w:rsidP="00836855">
      <w:pPr>
        <w:spacing w:line="240" w:lineRule="auto"/>
        <w:jc w:val="both"/>
        <w:rPr>
          <w:rFonts w:ascii="Times New Roman" w:hAnsi="Times New Roman" w:cs="Times New Roman"/>
          <w:sz w:val="24"/>
          <w:szCs w:val="24"/>
        </w:rPr>
      </w:pPr>
    </w:p>
    <w:p w:rsidR="005B4F7C" w:rsidRDefault="00BB0A24" w:rsidP="00836855">
      <w:pPr>
        <w:spacing w:line="240" w:lineRule="auto"/>
        <w:jc w:val="both"/>
        <w:rPr>
          <w:rFonts w:ascii="Times New Roman" w:hAnsi="Times New Roman" w:cs="Times New Roman"/>
          <w:sz w:val="24"/>
          <w:szCs w:val="24"/>
        </w:rPr>
      </w:pPr>
      <w:r>
        <w:rPr>
          <w:noProof/>
          <w:lang w:eastAsia="es-ES"/>
        </w:rPr>
        <w:drawing>
          <wp:inline distT="0" distB="0" distL="0" distR="0" wp14:anchorId="3DD3CCF7" wp14:editId="016AF634">
            <wp:extent cx="5731510" cy="2921000"/>
            <wp:effectExtent l="0" t="0" r="2540" b="0"/>
            <wp:docPr id="29" name="Imagen 29" descr="Alphab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Alphabet"/>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5731510" cy="2921000"/>
                    </a:xfrm>
                    <a:prstGeom prst="rect">
                      <a:avLst/>
                    </a:prstGeom>
                    <a:noFill/>
                    <a:ln>
                      <a:noFill/>
                    </a:ln>
                  </pic:spPr>
                </pic:pic>
              </a:graphicData>
            </a:graphic>
          </wp:inline>
        </w:drawing>
      </w:r>
    </w:p>
    <w:p w:rsidR="005B4F7C" w:rsidRDefault="00BB0A24" w:rsidP="00836855">
      <w:pPr>
        <w:spacing w:line="240" w:lineRule="auto"/>
        <w:jc w:val="both"/>
        <w:rPr>
          <w:rFonts w:ascii="Times New Roman" w:hAnsi="Times New Roman" w:cs="Times New Roman"/>
          <w:sz w:val="24"/>
          <w:szCs w:val="24"/>
        </w:rPr>
      </w:pPr>
      <w:r>
        <w:rPr>
          <w:noProof/>
          <w:lang w:eastAsia="es-ES"/>
        </w:rPr>
        <w:drawing>
          <wp:inline distT="0" distB="0" distL="0" distR="0" wp14:anchorId="672A1DDD" wp14:editId="55C89D5F">
            <wp:extent cx="5731510" cy="2622550"/>
            <wp:effectExtent l="0" t="0" r="2540" b="6350"/>
            <wp:docPr id="42" name="Imagen 42" descr="Amaz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Amazon"/>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5731510" cy="2622550"/>
                    </a:xfrm>
                    <a:prstGeom prst="rect">
                      <a:avLst/>
                    </a:prstGeom>
                    <a:noFill/>
                    <a:ln>
                      <a:noFill/>
                    </a:ln>
                  </pic:spPr>
                </pic:pic>
              </a:graphicData>
            </a:graphic>
          </wp:inline>
        </w:drawing>
      </w:r>
    </w:p>
    <w:p w:rsidR="005B4F7C" w:rsidRDefault="005B4F7C" w:rsidP="00836855">
      <w:pPr>
        <w:spacing w:line="240" w:lineRule="auto"/>
        <w:jc w:val="both"/>
        <w:rPr>
          <w:rFonts w:ascii="Times New Roman" w:hAnsi="Times New Roman" w:cs="Times New Roman"/>
          <w:sz w:val="24"/>
          <w:szCs w:val="24"/>
        </w:rPr>
      </w:pPr>
      <w:r>
        <w:rPr>
          <w:noProof/>
          <w:lang w:eastAsia="es-ES"/>
        </w:rPr>
        <w:drawing>
          <wp:inline distT="0" distB="0" distL="0" distR="0" wp14:anchorId="6365AFDA" wp14:editId="4F18334F">
            <wp:extent cx="5731510" cy="2641600"/>
            <wp:effectExtent l="0" t="0" r="2540" b="6350"/>
            <wp:docPr id="61" name="Imagen 61" descr="Tes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Tesla"/>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5731510" cy="2641600"/>
                    </a:xfrm>
                    <a:prstGeom prst="rect">
                      <a:avLst/>
                    </a:prstGeom>
                    <a:noFill/>
                    <a:ln>
                      <a:noFill/>
                    </a:ln>
                  </pic:spPr>
                </pic:pic>
              </a:graphicData>
            </a:graphic>
          </wp:inline>
        </w:drawing>
      </w:r>
    </w:p>
    <w:p w:rsidR="005B4F7C" w:rsidRDefault="005B4F7C" w:rsidP="00836855">
      <w:pPr>
        <w:spacing w:line="240" w:lineRule="auto"/>
        <w:jc w:val="both"/>
        <w:rPr>
          <w:rFonts w:ascii="Times New Roman" w:hAnsi="Times New Roman" w:cs="Times New Roman"/>
          <w:sz w:val="24"/>
          <w:szCs w:val="24"/>
        </w:rPr>
      </w:pPr>
      <w:r w:rsidRPr="00CF1E31">
        <w:rPr>
          <w:rFonts w:ascii="Times New Roman" w:hAnsi="Times New Roman" w:cs="Times New Roman"/>
          <w:sz w:val="24"/>
          <w:szCs w:val="24"/>
        </w:rPr>
        <w:lastRenderedPageBreak/>
        <w:t>¿Es posible que una compañía con un PER (número de veces que el precio contiene el beneficio por acción) de casi 340 veces siga siendo una opción de compra? Pues parece que sí, que sea pura magia de su polémico creador Elon Musk.</w:t>
      </w:r>
    </w:p>
    <w:p w:rsidR="004414B2" w:rsidRDefault="004414B2" w:rsidP="00836855">
      <w:pPr>
        <w:spacing w:line="240" w:lineRule="auto"/>
        <w:jc w:val="both"/>
        <w:rPr>
          <w:rFonts w:ascii="Times New Roman" w:hAnsi="Times New Roman" w:cs="Times New Roman"/>
          <w:sz w:val="24"/>
          <w:szCs w:val="24"/>
        </w:rPr>
      </w:pPr>
      <w:r w:rsidRPr="00CF1E31">
        <w:rPr>
          <w:rFonts w:ascii="Times New Roman" w:hAnsi="Times New Roman" w:cs="Times New Roman"/>
          <w:sz w:val="24"/>
          <w:szCs w:val="24"/>
        </w:rPr>
        <w:t>En total capitalizan 11,5 billones de dólares, una cifra descomunal que solo es superada por el Producto Interior Bruto de Estados Unidos, que alcanzó los 20,94 billones en el pandémico 2020 o los 14,7 billones de China. La capitalización agregada de estas seis compañías se sitúa como el equivalente de la tercera economía del mundo, muy por delante de Japón con un PIB de 5 billones de dólares o los 3,8 billon</w:t>
      </w:r>
      <w:r w:rsidR="009D7535">
        <w:rPr>
          <w:rFonts w:ascii="Times New Roman" w:hAnsi="Times New Roman" w:cs="Times New Roman"/>
          <w:sz w:val="24"/>
          <w:szCs w:val="24"/>
        </w:rPr>
        <w:t>es de Alemania.</w:t>
      </w:r>
    </w:p>
    <w:p w:rsidR="005B4F7C" w:rsidRPr="00CF1E31" w:rsidRDefault="005B4F7C" w:rsidP="005B4F7C">
      <w:pPr>
        <w:spacing w:line="240" w:lineRule="auto"/>
        <w:jc w:val="both"/>
        <w:rPr>
          <w:rFonts w:ascii="Times New Roman" w:hAnsi="Times New Roman" w:cs="Times New Roman"/>
          <w:sz w:val="24"/>
          <w:szCs w:val="24"/>
        </w:rPr>
      </w:pPr>
      <w:r w:rsidRPr="00CF1E31">
        <w:rPr>
          <w:rFonts w:ascii="Times New Roman" w:hAnsi="Times New Roman" w:cs="Times New Roman"/>
          <w:sz w:val="24"/>
          <w:szCs w:val="24"/>
        </w:rPr>
        <w:t>La comparación de este selecto grupo de empresas con las respectivas Bolsas de los países citados también es desoladora. Tras Wall Street, que incorpora estos cíclopes, el índice Topix japonés ofrece un valor bursátil de 3,9 billones de dólares y el EuroStoxx50 se queda rezagado en los 3,6 billones, justo el doble que el CAC parisino y algo más que el Dax alemán. El conjunto de la Bolsa española con Inditex como buque bandera capitaliza 1,076 billones de dólares y lleva más de una década anclado en esas cif</w:t>
      </w:r>
      <w:r>
        <w:rPr>
          <w:rFonts w:ascii="Times New Roman" w:hAnsi="Times New Roman" w:cs="Times New Roman"/>
          <w:sz w:val="24"/>
          <w:szCs w:val="24"/>
        </w:rPr>
        <w:t>ras.</w:t>
      </w:r>
    </w:p>
    <w:p w:rsidR="005B4F7C" w:rsidRDefault="005B4F7C" w:rsidP="005B4F7C">
      <w:pPr>
        <w:spacing w:line="240" w:lineRule="auto"/>
        <w:jc w:val="both"/>
        <w:rPr>
          <w:rFonts w:ascii="Times New Roman" w:hAnsi="Times New Roman" w:cs="Times New Roman"/>
          <w:sz w:val="24"/>
          <w:szCs w:val="24"/>
        </w:rPr>
      </w:pPr>
      <w:r w:rsidRPr="00CF1E31">
        <w:rPr>
          <w:rFonts w:ascii="Times New Roman" w:hAnsi="Times New Roman" w:cs="Times New Roman"/>
          <w:sz w:val="24"/>
          <w:szCs w:val="24"/>
        </w:rPr>
        <w:t>Los gigantes de Wall Street que dominan la tecnología, las redes sociales y la publicidad se presentan para muchos como un Gran Hermano orweliano, con un poder inversor imparable y siempre bajo la continua sospecha del oligopolio, con prácticas contrarias a la competencia. Un éxito y control de sus parcelas de actividad que también se reflejan en unos beneficios brutales, que comparten con millones de accionistas. También las cifras de trabajadores son difíciles de concebir. A modo de ejemplo, Amazon podría terminar este último trimestre del año</w:t>
      </w:r>
      <w:r w:rsidR="00F251C3">
        <w:rPr>
          <w:rFonts w:ascii="Times New Roman" w:hAnsi="Times New Roman" w:cs="Times New Roman"/>
          <w:sz w:val="24"/>
          <w:szCs w:val="24"/>
        </w:rPr>
        <w:t xml:space="preserve"> (2021)</w:t>
      </w:r>
      <w:r w:rsidRPr="00CF1E31">
        <w:rPr>
          <w:rFonts w:ascii="Times New Roman" w:hAnsi="Times New Roman" w:cs="Times New Roman"/>
          <w:sz w:val="24"/>
          <w:szCs w:val="24"/>
        </w:rPr>
        <w:t xml:space="preserve"> contratando a 1,4 millones de trabajadores.</w:t>
      </w:r>
    </w:p>
    <w:p w:rsidR="00AB4853" w:rsidRDefault="00F251C3" w:rsidP="005B4F7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Una última </w:t>
      </w:r>
      <w:r w:rsidR="00AB4853">
        <w:rPr>
          <w:rFonts w:ascii="Times New Roman" w:hAnsi="Times New Roman" w:cs="Times New Roman"/>
          <w:sz w:val="24"/>
          <w:szCs w:val="24"/>
        </w:rPr>
        <w:t>foto, y una pregunta: ¿Uste</w:t>
      </w:r>
      <w:r w:rsidR="00566FFD">
        <w:rPr>
          <w:rFonts w:ascii="Times New Roman" w:hAnsi="Times New Roman" w:cs="Times New Roman"/>
          <w:sz w:val="24"/>
          <w:szCs w:val="24"/>
        </w:rPr>
        <w:t>des creen que alguno de estos “halcones”</w:t>
      </w:r>
      <w:r w:rsidR="003D4F45">
        <w:rPr>
          <w:rFonts w:ascii="Times New Roman" w:hAnsi="Times New Roman" w:cs="Times New Roman"/>
          <w:sz w:val="24"/>
          <w:szCs w:val="24"/>
        </w:rPr>
        <w:t>,</w:t>
      </w:r>
      <w:r w:rsidR="00566FFD">
        <w:rPr>
          <w:rFonts w:ascii="Times New Roman" w:hAnsi="Times New Roman" w:cs="Times New Roman"/>
          <w:sz w:val="24"/>
          <w:szCs w:val="24"/>
        </w:rPr>
        <w:t xml:space="preserve"> será capaz de “accionar el freno de emergencia</w:t>
      </w:r>
      <w:r w:rsidR="003D4F45">
        <w:rPr>
          <w:rFonts w:ascii="Times New Roman" w:hAnsi="Times New Roman" w:cs="Times New Roman"/>
          <w:sz w:val="24"/>
          <w:szCs w:val="24"/>
        </w:rPr>
        <w:t>”</w:t>
      </w:r>
      <w:r w:rsidR="00AB4853">
        <w:rPr>
          <w:rFonts w:ascii="Times New Roman" w:hAnsi="Times New Roman" w:cs="Times New Roman"/>
          <w:sz w:val="24"/>
          <w:szCs w:val="24"/>
        </w:rPr>
        <w:t>?</w:t>
      </w:r>
      <w:r w:rsidR="003D4F45">
        <w:rPr>
          <w:rFonts w:ascii="Times New Roman" w:hAnsi="Times New Roman" w:cs="Times New Roman"/>
          <w:sz w:val="24"/>
          <w:szCs w:val="24"/>
        </w:rPr>
        <w:t xml:space="preserve"> Yo, tampoco…</w:t>
      </w:r>
    </w:p>
    <w:p w:rsidR="005B4F7C" w:rsidRDefault="005B4F7C" w:rsidP="005B4F7C">
      <w:pPr>
        <w:spacing w:line="240" w:lineRule="auto"/>
        <w:jc w:val="both"/>
        <w:rPr>
          <w:rFonts w:ascii="Times New Roman" w:hAnsi="Times New Roman" w:cs="Times New Roman"/>
          <w:sz w:val="24"/>
          <w:szCs w:val="24"/>
        </w:rPr>
      </w:pPr>
      <w:r>
        <w:rPr>
          <w:noProof/>
          <w:lang w:eastAsia="es-ES"/>
        </w:rPr>
        <w:drawing>
          <wp:inline distT="0" distB="0" distL="0" distR="0" wp14:anchorId="68BFECAF" wp14:editId="25E7ECF0">
            <wp:extent cx="5695949" cy="3765550"/>
            <wp:effectExtent l="0" t="0" r="635" b="6350"/>
            <wp:docPr id="73" name="Imagen 73" descr="https://phantom-expansion.unidadeditorial.es/a091058fc02b3f3aaa1d00a89307ef94/crop/10x0/2048x1359/resize/828/f/jpg/assets/multimedia/imagenes/2021/10/31/16357089323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phantom-expansion.unidadeditorial.es/a091058fc02b3f3aaa1d00a89307ef94/crop/10x0/2048x1359/resize/828/f/jpg/assets/multimedia/imagenes/2021/10/31/16357089323101.jpg"/>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5693427" cy="3763883"/>
                    </a:xfrm>
                    <a:prstGeom prst="rect">
                      <a:avLst/>
                    </a:prstGeom>
                    <a:noFill/>
                    <a:ln>
                      <a:noFill/>
                    </a:ln>
                  </pic:spPr>
                </pic:pic>
              </a:graphicData>
            </a:graphic>
          </wp:inline>
        </w:drawing>
      </w:r>
      <w:r>
        <w:rPr>
          <w:rFonts w:ascii="Times New Roman" w:hAnsi="Times New Roman" w:cs="Times New Roman"/>
          <w:sz w:val="24"/>
          <w:szCs w:val="24"/>
        </w:rPr>
        <w:t xml:space="preserve">La “decadencia” de Occidente: la “infantilización” de los líderes, arrojando monedas en la Fontana di Trevi, durante la reunión del G-20 en Roma - </w:t>
      </w:r>
      <w:r w:rsidRPr="00CF79D9">
        <w:rPr>
          <w:rFonts w:ascii="Times New Roman" w:hAnsi="Times New Roman" w:cs="Times New Roman"/>
          <w:b/>
          <w:sz w:val="24"/>
          <w:szCs w:val="24"/>
        </w:rPr>
        <w:t>31/10/21</w:t>
      </w:r>
      <w:r>
        <w:rPr>
          <w:rFonts w:ascii="Times New Roman" w:hAnsi="Times New Roman" w:cs="Times New Roman"/>
          <w:sz w:val="24"/>
          <w:szCs w:val="24"/>
        </w:rPr>
        <w:t>)</w:t>
      </w:r>
    </w:p>
    <w:p w:rsidR="00A848E5" w:rsidRPr="00D85EC1" w:rsidRDefault="00A848E5" w:rsidP="00A848E5">
      <w:pPr>
        <w:spacing w:line="240" w:lineRule="auto"/>
        <w:jc w:val="both"/>
        <w:rPr>
          <w:rFonts w:ascii="Times New Roman" w:hAnsi="Times New Roman" w:cs="Times New Roman"/>
          <w:sz w:val="24"/>
          <w:szCs w:val="24"/>
        </w:rPr>
      </w:pPr>
      <w:r w:rsidRPr="00D85EC1">
        <w:rPr>
          <w:rFonts w:ascii="Times New Roman" w:hAnsi="Times New Roman" w:cs="Times New Roman"/>
          <w:sz w:val="24"/>
          <w:szCs w:val="24"/>
        </w:rPr>
        <w:lastRenderedPageBreak/>
        <w:t>Después de tantos errores cometidos por los bancos centrales de los países avanzados, deberían aceptar que una política monetaria expansiva, donde el crédito es barato, pero ahorrar no vale la pena, que beneficia el negocio</w:t>
      </w:r>
      <w:r w:rsidR="00F251C3" w:rsidRPr="00D85EC1">
        <w:rPr>
          <w:rFonts w:ascii="Times New Roman" w:hAnsi="Times New Roman" w:cs="Times New Roman"/>
          <w:sz w:val="24"/>
          <w:szCs w:val="24"/>
        </w:rPr>
        <w:t xml:space="preserve"> especulativo,</w:t>
      </w:r>
      <w:r w:rsidRPr="00D85EC1">
        <w:rPr>
          <w:rFonts w:ascii="Times New Roman" w:hAnsi="Times New Roman" w:cs="Times New Roman"/>
          <w:sz w:val="24"/>
          <w:szCs w:val="24"/>
        </w:rPr>
        <w:t xml:space="preserve"> del entretenimiento, </w:t>
      </w:r>
      <w:r w:rsidR="00F251C3" w:rsidRPr="00D85EC1">
        <w:rPr>
          <w:rFonts w:ascii="Times New Roman" w:hAnsi="Times New Roman" w:cs="Times New Roman"/>
          <w:sz w:val="24"/>
          <w:szCs w:val="24"/>
        </w:rPr>
        <w:t>d</w:t>
      </w:r>
      <w:r w:rsidRPr="00D85EC1">
        <w:rPr>
          <w:rFonts w:ascii="Times New Roman" w:hAnsi="Times New Roman" w:cs="Times New Roman"/>
          <w:sz w:val="24"/>
          <w:szCs w:val="24"/>
        </w:rPr>
        <w:t xml:space="preserve">el tráfico de datos, </w:t>
      </w:r>
      <w:r w:rsidR="00F251C3" w:rsidRPr="00D85EC1">
        <w:rPr>
          <w:rFonts w:ascii="Times New Roman" w:hAnsi="Times New Roman" w:cs="Times New Roman"/>
          <w:sz w:val="24"/>
          <w:szCs w:val="24"/>
        </w:rPr>
        <w:t>d</w:t>
      </w:r>
      <w:r w:rsidRPr="00D85EC1">
        <w:rPr>
          <w:rFonts w:ascii="Times New Roman" w:hAnsi="Times New Roman" w:cs="Times New Roman"/>
          <w:sz w:val="24"/>
          <w:szCs w:val="24"/>
        </w:rPr>
        <w:t xml:space="preserve">el espionaje, y </w:t>
      </w:r>
      <w:r w:rsidR="00F251C3" w:rsidRPr="00D85EC1">
        <w:rPr>
          <w:rFonts w:ascii="Times New Roman" w:hAnsi="Times New Roman" w:cs="Times New Roman"/>
          <w:sz w:val="24"/>
          <w:szCs w:val="24"/>
        </w:rPr>
        <w:t xml:space="preserve">de </w:t>
      </w:r>
      <w:r w:rsidRPr="00D85EC1">
        <w:rPr>
          <w:rFonts w:ascii="Times New Roman" w:hAnsi="Times New Roman" w:cs="Times New Roman"/>
          <w:sz w:val="24"/>
          <w:szCs w:val="24"/>
        </w:rPr>
        <w:t>la manipulación de los consumidores, termina por hacer crecer el miedo, la pérdida de confianza, y la desafección, entre la población.</w:t>
      </w:r>
    </w:p>
    <w:p w:rsidR="00A848E5" w:rsidRPr="00D85EC1" w:rsidRDefault="00A848E5" w:rsidP="00A848E5">
      <w:pPr>
        <w:spacing w:line="240" w:lineRule="auto"/>
        <w:jc w:val="both"/>
        <w:rPr>
          <w:rFonts w:ascii="Times New Roman" w:hAnsi="Times New Roman" w:cs="Times New Roman"/>
          <w:sz w:val="24"/>
          <w:szCs w:val="24"/>
        </w:rPr>
      </w:pPr>
      <w:r w:rsidRPr="00D85EC1">
        <w:rPr>
          <w:rFonts w:ascii="Times New Roman" w:hAnsi="Times New Roman" w:cs="Times New Roman"/>
          <w:sz w:val="24"/>
          <w:szCs w:val="24"/>
        </w:rPr>
        <w:t xml:space="preserve">Parece que la anestesia de las redes sociales, y otras plataformas, que se aprovechan de la </w:t>
      </w:r>
      <w:r w:rsidR="00F251C3" w:rsidRPr="00D85EC1">
        <w:rPr>
          <w:rFonts w:ascii="Times New Roman" w:hAnsi="Times New Roman" w:cs="Times New Roman"/>
          <w:sz w:val="24"/>
          <w:szCs w:val="24"/>
        </w:rPr>
        <w:t>“</w:t>
      </w:r>
      <w:r w:rsidRPr="00D85EC1">
        <w:rPr>
          <w:rFonts w:ascii="Times New Roman" w:hAnsi="Times New Roman" w:cs="Times New Roman"/>
          <w:sz w:val="24"/>
          <w:szCs w:val="24"/>
        </w:rPr>
        <w:t>miseria</w:t>
      </w:r>
      <w:r w:rsidR="00F251C3" w:rsidRPr="00D85EC1">
        <w:rPr>
          <w:rFonts w:ascii="Times New Roman" w:hAnsi="Times New Roman" w:cs="Times New Roman"/>
          <w:sz w:val="24"/>
          <w:szCs w:val="24"/>
        </w:rPr>
        <w:t>”</w:t>
      </w:r>
      <w:r w:rsidRPr="00D85EC1">
        <w:rPr>
          <w:rFonts w:ascii="Times New Roman" w:hAnsi="Times New Roman" w:cs="Times New Roman"/>
          <w:sz w:val="24"/>
          <w:szCs w:val="24"/>
        </w:rPr>
        <w:t xml:space="preserve"> de los unos (c</w:t>
      </w:r>
      <w:r w:rsidR="00F251C3" w:rsidRPr="00D85EC1">
        <w:rPr>
          <w:rFonts w:ascii="Times New Roman" w:hAnsi="Times New Roman" w:cs="Times New Roman"/>
          <w:sz w:val="24"/>
          <w:szCs w:val="24"/>
        </w:rPr>
        <w:t>hoferes de Uber, riders de Glovo</w:t>
      </w:r>
      <w:r w:rsidRPr="00D85EC1">
        <w:rPr>
          <w:rFonts w:ascii="Times New Roman" w:hAnsi="Times New Roman" w:cs="Times New Roman"/>
          <w:sz w:val="24"/>
          <w:szCs w:val="24"/>
        </w:rPr>
        <w:t xml:space="preserve">), para halagar la </w:t>
      </w:r>
      <w:r w:rsidR="00F251C3" w:rsidRPr="00D85EC1">
        <w:rPr>
          <w:rFonts w:ascii="Times New Roman" w:hAnsi="Times New Roman" w:cs="Times New Roman"/>
          <w:sz w:val="24"/>
          <w:szCs w:val="24"/>
        </w:rPr>
        <w:t>“</w:t>
      </w:r>
      <w:r w:rsidRPr="00D85EC1">
        <w:rPr>
          <w:rFonts w:ascii="Times New Roman" w:hAnsi="Times New Roman" w:cs="Times New Roman"/>
          <w:sz w:val="24"/>
          <w:szCs w:val="24"/>
        </w:rPr>
        <w:t>avaricia</w:t>
      </w:r>
      <w:r w:rsidR="00F251C3" w:rsidRPr="00D85EC1">
        <w:rPr>
          <w:rFonts w:ascii="Times New Roman" w:hAnsi="Times New Roman" w:cs="Times New Roman"/>
          <w:sz w:val="24"/>
          <w:szCs w:val="24"/>
        </w:rPr>
        <w:t>”</w:t>
      </w:r>
      <w:r w:rsidRPr="00D85EC1">
        <w:rPr>
          <w:rFonts w:ascii="Times New Roman" w:hAnsi="Times New Roman" w:cs="Times New Roman"/>
          <w:sz w:val="24"/>
          <w:szCs w:val="24"/>
        </w:rPr>
        <w:t xml:space="preserve"> de los otros </w:t>
      </w:r>
      <w:r w:rsidR="00B94EB0" w:rsidRPr="00D85EC1">
        <w:rPr>
          <w:rFonts w:ascii="Times New Roman" w:hAnsi="Times New Roman" w:cs="Times New Roman"/>
          <w:sz w:val="24"/>
          <w:szCs w:val="24"/>
        </w:rPr>
        <w:t>(</w:t>
      </w:r>
      <w:r w:rsidRPr="00D85EC1">
        <w:rPr>
          <w:rFonts w:ascii="Times New Roman" w:hAnsi="Times New Roman" w:cs="Times New Roman"/>
          <w:sz w:val="24"/>
          <w:szCs w:val="24"/>
        </w:rPr>
        <w:t>compradores de Amazon), no va a alcanzar</w:t>
      </w:r>
      <w:r w:rsidR="00B94EB0" w:rsidRPr="00D85EC1">
        <w:rPr>
          <w:rFonts w:ascii="Times New Roman" w:hAnsi="Times New Roman" w:cs="Times New Roman"/>
          <w:sz w:val="24"/>
          <w:szCs w:val="24"/>
        </w:rPr>
        <w:t>,</w:t>
      </w:r>
      <w:r w:rsidRPr="00D85EC1">
        <w:rPr>
          <w:rFonts w:ascii="Times New Roman" w:hAnsi="Times New Roman" w:cs="Times New Roman"/>
          <w:sz w:val="24"/>
          <w:szCs w:val="24"/>
        </w:rPr>
        <w:t xml:space="preserve"> para seguir “arreando la manada” (abduciendo, engañando,</w:t>
      </w:r>
      <w:r w:rsidR="00F251C3" w:rsidRPr="00D85EC1">
        <w:rPr>
          <w:rFonts w:ascii="Times New Roman" w:hAnsi="Times New Roman" w:cs="Times New Roman"/>
          <w:sz w:val="24"/>
          <w:szCs w:val="24"/>
        </w:rPr>
        <w:t xml:space="preserve"> intoxicando, espiando</w:t>
      </w:r>
      <w:r w:rsidR="00C54D08" w:rsidRPr="00D85EC1">
        <w:rPr>
          <w:rFonts w:ascii="Times New Roman" w:hAnsi="Times New Roman" w:cs="Times New Roman"/>
          <w:sz w:val="24"/>
          <w:szCs w:val="24"/>
        </w:rPr>
        <w:t>, manipulando,</w:t>
      </w:r>
      <w:r w:rsidRPr="00D85EC1">
        <w:rPr>
          <w:rFonts w:ascii="Times New Roman" w:hAnsi="Times New Roman" w:cs="Times New Roman"/>
          <w:sz w:val="24"/>
          <w:szCs w:val="24"/>
        </w:rPr>
        <w:t xml:space="preserve"> pastoreando… al ciudadano).  </w:t>
      </w:r>
    </w:p>
    <w:p w:rsidR="00A848E5" w:rsidRPr="00D85EC1" w:rsidRDefault="00CF35FD" w:rsidP="00A848E5">
      <w:pPr>
        <w:spacing w:line="240" w:lineRule="auto"/>
        <w:jc w:val="both"/>
        <w:rPr>
          <w:rFonts w:ascii="Times New Roman" w:hAnsi="Times New Roman" w:cs="Times New Roman"/>
          <w:sz w:val="24"/>
          <w:szCs w:val="24"/>
        </w:rPr>
      </w:pPr>
      <w:r w:rsidRPr="00D85EC1">
        <w:rPr>
          <w:rFonts w:ascii="Times New Roman" w:hAnsi="Times New Roman" w:cs="Times New Roman"/>
          <w:sz w:val="24"/>
          <w:szCs w:val="24"/>
        </w:rPr>
        <w:t>E</w:t>
      </w:r>
      <w:r w:rsidR="00A848E5" w:rsidRPr="00D85EC1">
        <w:rPr>
          <w:rFonts w:ascii="Times New Roman" w:hAnsi="Times New Roman" w:cs="Times New Roman"/>
          <w:sz w:val="24"/>
          <w:szCs w:val="24"/>
        </w:rPr>
        <w:t>l tsunami de la inflación se va a llevar a todos por delante, dejando a los “títeres” de la Fed y el BCE (que no son los únicos, pero sí los principales, culpables de la misma) al borde del abismo económico, y moral. Entonces, se acabará el tiempo de la “patada adelante”, el “mero ilusionismo”, la “palabrería inútil”</w:t>
      </w:r>
      <w:r w:rsidRPr="00D85EC1">
        <w:rPr>
          <w:rFonts w:ascii="Times New Roman" w:hAnsi="Times New Roman" w:cs="Times New Roman"/>
          <w:sz w:val="24"/>
          <w:szCs w:val="24"/>
        </w:rPr>
        <w:t>…</w:t>
      </w:r>
      <w:r w:rsidR="00A848E5" w:rsidRPr="00D85EC1">
        <w:rPr>
          <w:rFonts w:ascii="Times New Roman" w:hAnsi="Times New Roman" w:cs="Times New Roman"/>
          <w:sz w:val="24"/>
          <w:szCs w:val="24"/>
        </w:rPr>
        <w:t xml:space="preserve"> Y comenzará la otra parte de la historia: un ataque de “urgencias” (demostrando dónde han quedado los pronósticos de los -sobrevalorados- “agradadores” de los mercados).</w:t>
      </w:r>
      <w:r w:rsidRPr="00D85EC1">
        <w:rPr>
          <w:rFonts w:ascii="Times New Roman" w:hAnsi="Times New Roman" w:cs="Times New Roman"/>
          <w:sz w:val="24"/>
          <w:szCs w:val="24"/>
        </w:rPr>
        <w:t xml:space="preserve"> Después de tamaño fracaso, sería de esperar que, al menos, no siguieran</w:t>
      </w:r>
      <w:r w:rsidR="00A848E5" w:rsidRPr="00D85EC1">
        <w:rPr>
          <w:rFonts w:ascii="Times New Roman" w:hAnsi="Times New Roman" w:cs="Times New Roman"/>
          <w:sz w:val="24"/>
          <w:szCs w:val="24"/>
        </w:rPr>
        <w:t xml:space="preserve"> al mando, los mismos </w:t>
      </w:r>
      <w:r w:rsidR="00C54D08" w:rsidRPr="00D85EC1">
        <w:rPr>
          <w:rFonts w:ascii="Times New Roman" w:hAnsi="Times New Roman" w:cs="Times New Roman"/>
          <w:sz w:val="24"/>
          <w:szCs w:val="24"/>
        </w:rPr>
        <w:t>“</w:t>
      </w:r>
      <w:r w:rsidR="00A848E5" w:rsidRPr="00D85EC1">
        <w:rPr>
          <w:rFonts w:ascii="Times New Roman" w:hAnsi="Times New Roman" w:cs="Times New Roman"/>
          <w:sz w:val="24"/>
          <w:szCs w:val="24"/>
        </w:rPr>
        <w:t>mariscales de la derrota</w:t>
      </w:r>
      <w:r w:rsidR="00C54D08" w:rsidRPr="00D85EC1">
        <w:rPr>
          <w:rFonts w:ascii="Times New Roman" w:hAnsi="Times New Roman" w:cs="Times New Roman"/>
          <w:sz w:val="24"/>
          <w:szCs w:val="24"/>
        </w:rPr>
        <w:t>”</w:t>
      </w:r>
      <w:r w:rsidR="00A848E5" w:rsidRPr="00D85EC1">
        <w:rPr>
          <w:rFonts w:ascii="Times New Roman" w:hAnsi="Times New Roman" w:cs="Times New Roman"/>
          <w:sz w:val="24"/>
          <w:szCs w:val="24"/>
        </w:rPr>
        <w:t>.</w:t>
      </w:r>
    </w:p>
    <w:p w:rsidR="00A848E5" w:rsidRPr="00D85EC1" w:rsidRDefault="00A848E5" w:rsidP="00A848E5">
      <w:pPr>
        <w:spacing w:line="240" w:lineRule="auto"/>
        <w:jc w:val="both"/>
        <w:rPr>
          <w:rFonts w:ascii="Times New Roman" w:hAnsi="Times New Roman" w:cs="Times New Roman"/>
          <w:sz w:val="24"/>
          <w:szCs w:val="24"/>
          <w:u w:val="single"/>
        </w:rPr>
      </w:pPr>
      <w:r w:rsidRPr="00D85EC1">
        <w:rPr>
          <w:rFonts w:ascii="Times New Roman" w:hAnsi="Times New Roman" w:cs="Times New Roman"/>
          <w:sz w:val="24"/>
          <w:szCs w:val="24"/>
          <w:u w:val="single"/>
        </w:rPr>
        <w:t>(</w:t>
      </w:r>
      <w:r w:rsidRPr="00D85EC1">
        <w:rPr>
          <w:rFonts w:ascii="Times New Roman" w:hAnsi="Times New Roman" w:cs="Times New Roman"/>
          <w:b/>
          <w:sz w:val="24"/>
          <w:szCs w:val="24"/>
          <w:u w:val="single"/>
        </w:rPr>
        <w:t>3/11/21</w:t>
      </w:r>
      <w:r w:rsidR="00CF35FD" w:rsidRPr="00D85EC1">
        <w:rPr>
          <w:rFonts w:ascii="Times New Roman" w:hAnsi="Times New Roman" w:cs="Times New Roman"/>
          <w:sz w:val="24"/>
          <w:szCs w:val="24"/>
          <w:u w:val="single"/>
        </w:rPr>
        <w:t>) Powell reitera</w:t>
      </w:r>
      <w:r w:rsidR="005B7ABA">
        <w:rPr>
          <w:rFonts w:ascii="Times New Roman" w:hAnsi="Times New Roman" w:cs="Times New Roman"/>
          <w:sz w:val="24"/>
          <w:szCs w:val="24"/>
          <w:u w:val="single"/>
        </w:rPr>
        <w:t xml:space="preserve"> el “metaverso” (un “taper-tantrum</w:t>
      </w:r>
      <w:r w:rsidRPr="00D85EC1">
        <w:rPr>
          <w:rFonts w:ascii="Times New Roman" w:hAnsi="Times New Roman" w:cs="Times New Roman"/>
          <w:sz w:val="24"/>
          <w:szCs w:val="24"/>
          <w:u w:val="single"/>
        </w:rPr>
        <w:t>”, que se queda en “tupperware”)</w:t>
      </w:r>
    </w:p>
    <w:p w:rsidR="00A848E5" w:rsidRPr="00D85EC1" w:rsidRDefault="00A848E5" w:rsidP="00A848E5">
      <w:pPr>
        <w:spacing w:line="240" w:lineRule="auto"/>
        <w:jc w:val="both"/>
        <w:rPr>
          <w:rFonts w:ascii="Times New Roman" w:hAnsi="Times New Roman" w:cs="Times New Roman"/>
          <w:sz w:val="24"/>
          <w:szCs w:val="24"/>
        </w:rPr>
      </w:pPr>
      <w:r w:rsidRPr="00D85EC1">
        <w:rPr>
          <w:rFonts w:ascii="Times New Roman" w:hAnsi="Times New Roman" w:cs="Times New Roman"/>
          <w:sz w:val="24"/>
          <w:szCs w:val="24"/>
        </w:rPr>
        <w:t>La Reserva Federal de EEUU no está dispuesta a decepcionar a los inversores. No va a “retirar la ponchera”. Quiere que “siga la fiesta”, en Wall Street y Silicon Valley.</w:t>
      </w:r>
    </w:p>
    <w:p w:rsidR="00A848E5" w:rsidRPr="00D85EC1" w:rsidRDefault="00A848E5" w:rsidP="00A848E5">
      <w:pPr>
        <w:spacing w:line="240" w:lineRule="auto"/>
        <w:jc w:val="both"/>
        <w:rPr>
          <w:rFonts w:ascii="Times New Roman" w:hAnsi="Times New Roman" w:cs="Times New Roman"/>
          <w:sz w:val="24"/>
          <w:szCs w:val="24"/>
        </w:rPr>
      </w:pPr>
      <w:r w:rsidRPr="00D85EC1">
        <w:rPr>
          <w:rFonts w:ascii="Times New Roman" w:hAnsi="Times New Roman" w:cs="Times New Roman"/>
          <w:sz w:val="24"/>
          <w:szCs w:val="24"/>
        </w:rPr>
        <w:t>Después de varios meses de especulaciones, la Fed no ha querido dejar lugar a dudas y ha detallado la manera en la aplicará el “tapering”. Como ya adelantó Jerome Powell en la reunión de septiembre (2021), el objetivo es que el actual programa de flexibilización cuantitativa llegue a su fin a mediados del próximo año. A partir de entonces los miembros de la institución empezarán a estudiar qué sucede con los tipos de interés. Las tasas continúan ancladas en la horquilla del 0-0,25% desde marzo de 2020.</w:t>
      </w:r>
    </w:p>
    <w:p w:rsidR="00A848E5" w:rsidRPr="00D85EC1" w:rsidRDefault="00A848E5" w:rsidP="00A848E5">
      <w:pPr>
        <w:spacing w:line="240" w:lineRule="auto"/>
        <w:jc w:val="both"/>
        <w:rPr>
          <w:rFonts w:ascii="Times New Roman" w:hAnsi="Times New Roman" w:cs="Times New Roman"/>
          <w:sz w:val="24"/>
          <w:szCs w:val="24"/>
        </w:rPr>
      </w:pPr>
      <w:r w:rsidRPr="00D85EC1">
        <w:rPr>
          <w:rFonts w:ascii="Times New Roman" w:hAnsi="Times New Roman" w:cs="Times New Roman"/>
          <w:sz w:val="24"/>
          <w:szCs w:val="24"/>
        </w:rPr>
        <w:t>En la rueda de prensa Powell reiteró que serán pacientes. Reducir las tenencias de activos “no implica ninguna señal directa con respecto a nuestra política de tipos”.</w:t>
      </w:r>
    </w:p>
    <w:p w:rsidR="00A848E5" w:rsidRPr="00D85EC1" w:rsidRDefault="00A848E5" w:rsidP="00A848E5">
      <w:pPr>
        <w:spacing w:line="240" w:lineRule="auto"/>
        <w:jc w:val="both"/>
        <w:rPr>
          <w:rFonts w:ascii="Times New Roman" w:hAnsi="Times New Roman" w:cs="Times New Roman"/>
          <w:sz w:val="24"/>
          <w:szCs w:val="24"/>
        </w:rPr>
      </w:pPr>
      <w:r w:rsidRPr="00D85EC1">
        <w:rPr>
          <w:rFonts w:ascii="Times New Roman" w:hAnsi="Times New Roman" w:cs="Times New Roman"/>
          <w:sz w:val="24"/>
          <w:szCs w:val="24"/>
        </w:rPr>
        <w:t>Hasta la fecha las últimas estimaciones adelantaban a 2023 la primera alza de los tipos, un escenario que los operadores de mercado esperan que se produzca en 2022, ejercicio para el cual prevén dos incrementos de 25 puntos básicos.</w:t>
      </w:r>
    </w:p>
    <w:p w:rsidR="00A848E5" w:rsidRPr="00D85EC1" w:rsidRDefault="00A848E5" w:rsidP="00A848E5">
      <w:pPr>
        <w:spacing w:line="240" w:lineRule="auto"/>
        <w:jc w:val="both"/>
        <w:rPr>
          <w:rFonts w:ascii="Times New Roman" w:hAnsi="Times New Roman" w:cs="Times New Roman"/>
          <w:sz w:val="24"/>
          <w:szCs w:val="24"/>
        </w:rPr>
      </w:pPr>
      <w:r w:rsidRPr="00D85EC1">
        <w:rPr>
          <w:rFonts w:ascii="Times New Roman" w:hAnsi="Times New Roman" w:cs="Times New Roman"/>
          <w:sz w:val="24"/>
          <w:szCs w:val="24"/>
        </w:rPr>
        <w:t>En el análisis macroeconómico la institución modificó el lenguaje que emplea para describir el alza de la inflación. Como ya hiciera una semana antes la presidenta del BCE, la Fed ha reconocido que los precios altos podrían persistir más tiempo de lo inicialmente previsto. No obstante, no tiene prisa y reiteró su objetivo de inflación media del 2%. Es decir, periodos de precios bajos se compensarán con otros en los que la tasa supere esta barrera sin que esto derive en una subida de los tipos.</w:t>
      </w:r>
    </w:p>
    <w:p w:rsidR="00A848E5" w:rsidRPr="00D85EC1" w:rsidRDefault="00A848E5" w:rsidP="00A848E5">
      <w:pPr>
        <w:spacing w:line="240" w:lineRule="auto"/>
        <w:jc w:val="both"/>
        <w:rPr>
          <w:rFonts w:ascii="Times New Roman" w:hAnsi="Times New Roman" w:cs="Times New Roman"/>
          <w:sz w:val="24"/>
          <w:szCs w:val="24"/>
        </w:rPr>
      </w:pPr>
      <w:r w:rsidRPr="00D85EC1">
        <w:rPr>
          <w:rFonts w:ascii="Times New Roman" w:hAnsi="Times New Roman" w:cs="Times New Roman"/>
          <w:sz w:val="24"/>
          <w:szCs w:val="24"/>
        </w:rPr>
        <w:t>Efecto en la inflación. “No vemos aumentos preocupantes en los salarios y no esperamos que surjan”, reconoció Powell ante la probabilidad de efectos de segunda ronda en la subida de la inflación.</w:t>
      </w:r>
    </w:p>
    <w:p w:rsidR="00A848E5" w:rsidRPr="00D85EC1" w:rsidRDefault="00A848E5" w:rsidP="00A848E5">
      <w:pPr>
        <w:spacing w:line="240" w:lineRule="auto"/>
        <w:jc w:val="both"/>
        <w:rPr>
          <w:rFonts w:ascii="Times New Roman" w:hAnsi="Times New Roman" w:cs="Times New Roman"/>
          <w:sz w:val="24"/>
          <w:szCs w:val="24"/>
        </w:rPr>
      </w:pPr>
      <w:r w:rsidRPr="00D85EC1">
        <w:rPr>
          <w:rFonts w:ascii="Times New Roman" w:hAnsi="Times New Roman" w:cs="Times New Roman"/>
          <w:sz w:val="24"/>
          <w:szCs w:val="24"/>
        </w:rPr>
        <w:t xml:space="preserve">Mientras la política de la Fed, opta por seguir “dopando” a los mercados, alentar la especulación (de Wall Street y Silicon Valley), la deuda pública, el déficit fiscal, el despilfarro oficial, manteniendo el proceso de represión financiera (tasas de interés cero o negativas, penalización del ahorro), mientras aumenta el riesgo inflacionario de manera </w:t>
      </w:r>
      <w:r w:rsidRPr="00D85EC1">
        <w:rPr>
          <w:rFonts w:ascii="Times New Roman" w:hAnsi="Times New Roman" w:cs="Times New Roman"/>
          <w:sz w:val="24"/>
          <w:szCs w:val="24"/>
        </w:rPr>
        <w:lastRenderedPageBreak/>
        <w:t>inquietante (de primera ronda, segunda ronda, y… “lo que te rondaré morena”)… a Jerome Powell (para finalizar la rueda de prensa), solo le faltó agregar: “Sic transit gloria mundi”.</w:t>
      </w:r>
    </w:p>
    <w:p w:rsidR="00A848E5" w:rsidRPr="00D85EC1" w:rsidRDefault="00A848E5" w:rsidP="00A848E5">
      <w:pPr>
        <w:spacing w:line="240" w:lineRule="auto"/>
        <w:jc w:val="both"/>
        <w:rPr>
          <w:rFonts w:ascii="Times New Roman" w:hAnsi="Times New Roman" w:cs="Times New Roman"/>
          <w:sz w:val="24"/>
          <w:szCs w:val="24"/>
        </w:rPr>
      </w:pPr>
      <w:r w:rsidRPr="00D85EC1">
        <w:rPr>
          <w:rFonts w:ascii="Times New Roman" w:hAnsi="Times New Roman" w:cs="Times New Roman"/>
          <w:sz w:val="24"/>
          <w:szCs w:val="24"/>
        </w:rPr>
        <w:t>Felices y agradecidos, Mark Zuckerberg (Facebook o Meta ¿dona?), Tim Cook (Apple), Jeff Bezos (Amazon), Reed Hastings (Netflix), Satya Nasella (Microsoft), o Bill Gates (el que quiere que comamos pasto, en vez de carne) y Elon Musk (Tesla), siguen de baile, mientras la orquesta del Titanic, entona la música de: “E la nave va”. (Gracias Fellini, por la “metáfora”.)</w:t>
      </w:r>
    </w:p>
    <w:p w:rsidR="00D85EC1" w:rsidRPr="00D85EC1" w:rsidRDefault="00CF35FD" w:rsidP="00D85EC1">
      <w:pPr>
        <w:spacing w:line="240" w:lineRule="auto"/>
        <w:jc w:val="both"/>
        <w:rPr>
          <w:rFonts w:ascii="Times New Roman" w:hAnsi="Times New Roman" w:cs="Times New Roman"/>
          <w:sz w:val="24"/>
          <w:szCs w:val="24"/>
        </w:rPr>
      </w:pPr>
      <w:r w:rsidRPr="00511F1F">
        <w:rPr>
          <w:rFonts w:ascii="Times New Roman" w:hAnsi="Times New Roman" w:cs="Times New Roman"/>
          <w:b/>
          <w:sz w:val="24"/>
          <w:szCs w:val="24"/>
        </w:rPr>
        <w:t>Nota</w:t>
      </w:r>
      <w:r w:rsidR="00D85EC1" w:rsidRPr="00511F1F">
        <w:rPr>
          <w:rFonts w:ascii="Times New Roman" w:hAnsi="Times New Roman" w:cs="Times New Roman"/>
          <w:b/>
          <w:sz w:val="24"/>
          <w:szCs w:val="24"/>
        </w:rPr>
        <w:t xml:space="preserve"> I</w:t>
      </w:r>
      <w:r w:rsidR="00D85EC1" w:rsidRPr="00D85EC1">
        <w:rPr>
          <w:rFonts w:ascii="Times New Roman" w:hAnsi="Times New Roman" w:cs="Times New Roman"/>
          <w:sz w:val="24"/>
          <w:szCs w:val="24"/>
        </w:rPr>
        <w:t xml:space="preserve">: </w:t>
      </w:r>
      <w:r w:rsidRPr="00D85EC1">
        <w:rPr>
          <w:rFonts w:ascii="Times New Roman" w:hAnsi="Times New Roman" w:cs="Times New Roman"/>
          <w:sz w:val="24"/>
          <w:szCs w:val="24"/>
        </w:rPr>
        <w:t xml:space="preserve">Tampoco </w:t>
      </w:r>
      <w:r w:rsidR="00D85EC1" w:rsidRPr="00D85EC1">
        <w:rPr>
          <w:rFonts w:ascii="Times New Roman" w:hAnsi="Times New Roman" w:cs="Times New Roman"/>
          <w:sz w:val="24"/>
          <w:szCs w:val="24"/>
        </w:rPr>
        <w:t xml:space="preserve">la presidenta del BCE Christine Lagarde, quiere ser menos (en el despropósito), y ha vuelto a insistir en que no tiene prisa por subir los tipos de interés a pesar del fuerte repunte de la inflación y de la elevada expectativa que hay en el mercado para un alza en el próximo año. En un acto en Lisboa, Lagarde ha señalado que es “muy improbable” que el año próximo se den las condiciones necesarias para abordar una subida de tipos. Y esa mención más concreta de una fecha en el tiempo ha servido para dar la convicción necesaria a su mensaje a ojos de los inversores. </w:t>
      </w:r>
    </w:p>
    <w:p w:rsidR="00D85EC1" w:rsidRPr="00D85EC1" w:rsidRDefault="00D85EC1" w:rsidP="00D85EC1">
      <w:pPr>
        <w:spacing w:line="240" w:lineRule="auto"/>
        <w:jc w:val="both"/>
        <w:rPr>
          <w:rFonts w:ascii="Times New Roman" w:hAnsi="Times New Roman" w:cs="Times New Roman"/>
          <w:sz w:val="24"/>
          <w:szCs w:val="24"/>
        </w:rPr>
      </w:pPr>
      <w:r w:rsidRPr="00D85EC1">
        <w:rPr>
          <w:rFonts w:ascii="Times New Roman" w:hAnsi="Times New Roman" w:cs="Times New Roman"/>
          <w:sz w:val="24"/>
          <w:szCs w:val="24"/>
        </w:rPr>
        <w:t xml:space="preserve">Sin entrar en plazos temporales, Lagarde ya descartó un alza de tipos en la reunión del Consejo de Gobierno de la institución de la semana pasada. Explicó entonces que para subir tipos en la zona euro, la inflación se tendría que situar en un nivel del 2% en un horizonte de medio plazo de forma duradera, con la expectativa de permanecer ahí al menos tres años, y la tasa subyacente también debería presentar un horizonte al alza.  “A pesar del actual repunte de la inflación, la perspectiva para la inflación en el medio plazo permanece muy baja y por tanto es muy improbable que esas tres condiciones se dieran en el próximo año”, ha señalado hoy la presidenta del BCE. (Cinco Días - </w:t>
      </w:r>
      <w:r w:rsidRPr="00D85EC1">
        <w:rPr>
          <w:rFonts w:ascii="Times New Roman" w:hAnsi="Times New Roman" w:cs="Times New Roman"/>
          <w:b/>
          <w:sz w:val="24"/>
          <w:szCs w:val="24"/>
        </w:rPr>
        <w:t>3/11/21</w:t>
      </w:r>
      <w:r w:rsidRPr="00D85EC1">
        <w:rPr>
          <w:rFonts w:ascii="Times New Roman" w:hAnsi="Times New Roman" w:cs="Times New Roman"/>
          <w:sz w:val="24"/>
          <w:szCs w:val="24"/>
        </w:rPr>
        <w:t>)</w:t>
      </w:r>
    </w:p>
    <w:p w:rsidR="00D85EC1" w:rsidRPr="00D85EC1" w:rsidRDefault="00D85EC1" w:rsidP="00D85EC1">
      <w:pPr>
        <w:spacing w:line="240" w:lineRule="auto"/>
        <w:jc w:val="both"/>
        <w:rPr>
          <w:rFonts w:ascii="Times New Roman" w:hAnsi="Times New Roman" w:cs="Times New Roman"/>
          <w:sz w:val="24"/>
          <w:szCs w:val="24"/>
        </w:rPr>
      </w:pPr>
      <w:r w:rsidRPr="00511F1F">
        <w:rPr>
          <w:rFonts w:ascii="Times New Roman" w:hAnsi="Times New Roman" w:cs="Times New Roman"/>
          <w:b/>
          <w:sz w:val="24"/>
          <w:szCs w:val="24"/>
        </w:rPr>
        <w:t>Nota II</w:t>
      </w:r>
      <w:r w:rsidRPr="00D85EC1">
        <w:rPr>
          <w:rFonts w:ascii="Times New Roman" w:hAnsi="Times New Roman" w:cs="Times New Roman"/>
          <w:sz w:val="24"/>
          <w:szCs w:val="24"/>
        </w:rPr>
        <w:t>: El banco central británico anticipa que la inflación interanual podría subir en noviembre hasta alrededor del 4,5% y mantenerse cerca de ese nivel durante el invierno para escalar a un máximo de alrededor del 5% en abril de 2022, materialmente por encima de las anteriores previsiones de la entidad.</w:t>
      </w:r>
    </w:p>
    <w:p w:rsidR="00D85EC1" w:rsidRPr="00D85EC1" w:rsidRDefault="00D85EC1" w:rsidP="00D85EC1">
      <w:pPr>
        <w:spacing w:line="240" w:lineRule="auto"/>
        <w:jc w:val="both"/>
        <w:rPr>
          <w:rFonts w:ascii="Times New Roman" w:hAnsi="Times New Roman" w:cs="Times New Roman"/>
          <w:sz w:val="24"/>
          <w:szCs w:val="24"/>
        </w:rPr>
      </w:pPr>
      <w:r w:rsidRPr="00D85EC1">
        <w:rPr>
          <w:rFonts w:ascii="Times New Roman" w:hAnsi="Times New Roman" w:cs="Times New Roman"/>
          <w:sz w:val="24"/>
          <w:szCs w:val="24"/>
        </w:rPr>
        <w:t>Sin embargo, el Banco de Inglaterra confía en que la presión al alza sobre la inflación “se disipe con el tiempo”, a medida que disminuyan las interrupciones de la oferta, se reequilibre la demanda global y los precios de la energía dejen de subir, lo que dará como resultado un sustancial retroceso de la inflación en la segunda mitad de 2022.</w:t>
      </w:r>
    </w:p>
    <w:p w:rsidR="00D85EC1" w:rsidRPr="00D85EC1" w:rsidRDefault="00D85EC1" w:rsidP="00D85EC1">
      <w:pPr>
        <w:spacing w:line="240" w:lineRule="auto"/>
        <w:jc w:val="both"/>
        <w:rPr>
          <w:rFonts w:ascii="Times New Roman" w:hAnsi="Times New Roman" w:cs="Times New Roman"/>
          <w:sz w:val="24"/>
          <w:szCs w:val="24"/>
        </w:rPr>
      </w:pPr>
      <w:r w:rsidRPr="00D85EC1">
        <w:rPr>
          <w:rFonts w:ascii="Times New Roman" w:hAnsi="Times New Roman" w:cs="Times New Roman"/>
          <w:sz w:val="24"/>
          <w:szCs w:val="24"/>
        </w:rPr>
        <w:t xml:space="preserve">Y por ello, el Comité de Política Monetaria del Banco de Inglaterra ha decidido por mayoría mantener el tipo de interés de referencia para sus operaciones en el mínimo histórico del 0,1%, según ha anunciado la institución, que ha mantenido también sin cambios el volumen de sus programas de compra en 895.000 millones de libras (1,06 billones de euros), a pesar de la aceleración de la inflación y del comienzo del “tapering” por parte de la Reserva Federal de Estados Unidos. (Cinco Días - </w:t>
      </w:r>
      <w:r w:rsidRPr="00D85EC1">
        <w:rPr>
          <w:rFonts w:ascii="Times New Roman" w:hAnsi="Times New Roman" w:cs="Times New Roman"/>
          <w:b/>
          <w:sz w:val="24"/>
          <w:szCs w:val="24"/>
        </w:rPr>
        <w:t>4/11/21</w:t>
      </w:r>
      <w:r w:rsidRPr="00D85EC1">
        <w:rPr>
          <w:rFonts w:ascii="Times New Roman" w:hAnsi="Times New Roman" w:cs="Times New Roman"/>
          <w:sz w:val="24"/>
          <w:szCs w:val="24"/>
        </w:rPr>
        <w:t>)</w:t>
      </w:r>
    </w:p>
    <w:p w:rsidR="00D85EC1" w:rsidRDefault="009633DE" w:rsidP="00D85EC1">
      <w:pPr>
        <w:spacing w:line="240" w:lineRule="auto"/>
        <w:jc w:val="both"/>
        <w:rPr>
          <w:rFonts w:ascii="Times New Roman" w:hAnsi="Times New Roman" w:cs="Times New Roman"/>
          <w:sz w:val="24"/>
          <w:szCs w:val="24"/>
          <w:u w:val="single"/>
        </w:rPr>
      </w:pPr>
      <w:r w:rsidRPr="009633DE">
        <w:rPr>
          <w:rFonts w:ascii="Times New Roman" w:hAnsi="Times New Roman" w:cs="Times New Roman"/>
          <w:sz w:val="24"/>
          <w:szCs w:val="24"/>
          <w:u w:val="single"/>
        </w:rPr>
        <w:t>Lo peor de la guerra contra la inflación es que no hay posguerra</w:t>
      </w:r>
    </w:p>
    <w:p w:rsidR="009633DE" w:rsidRDefault="009633DE" w:rsidP="00D85EC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Espero (y deseo) que el desprecio por el conocimiento, y la ignorancia como virtud, demostrada por los bancos centrales (de los países ricos), no pasen a ser </w:t>
      </w:r>
      <w:r w:rsidR="006B037E">
        <w:rPr>
          <w:rFonts w:ascii="Times New Roman" w:hAnsi="Times New Roman" w:cs="Times New Roman"/>
          <w:sz w:val="24"/>
          <w:szCs w:val="24"/>
        </w:rPr>
        <w:t>“</w:t>
      </w:r>
      <w:r>
        <w:rPr>
          <w:rFonts w:ascii="Times New Roman" w:hAnsi="Times New Roman" w:cs="Times New Roman"/>
          <w:sz w:val="24"/>
          <w:szCs w:val="24"/>
        </w:rPr>
        <w:t>política de estado</w:t>
      </w:r>
      <w:r w:rsidR="006B037E">
        <w:rPr>
          <w:rFonts w:ascii="Times New Roman" w:hAnsi="Times New Roman" w:cs="Times New Roman"/>
          <w:sz w:val="24"/>
          <w:szCs w:val="24"/>
        </w:rPr>
        <w:t>”</w:t>
      </w:r>
      <w:r>
        <w:rPr>
          <w:rFonts w:ascii="Times New Roman" w:hAnsi="Times New Roman" w:cs="Times New Roman"/>
          <w:sz w:val="24"/>
          <w:szCs w:val="24"/>
        </w:rPr>
        <w:t>.</w:t>
      </w:r>
    </w:p>
    <w:p w:rsidR="009633DE" w:rsidRDefault="009633DE" w:rsidP="00D85EC1">
      <w:pPr>
        <w:spacing w:line="240" w:lineRule="auto"/>
        <w:jc w:val="both"/>
        <w:rPr>
          <w:rFonts w:ascii="Times New Roman" w:hAnsi="Times New Roman" w:cs="Times New Roman"/>
          <w:sz w:val="24"/>
          <w:szCs w:val="24"/>
        </w:rPr>
      </w:pPr>
      <w:r>
        <w:rPr>
          <w:rFonts w:ascii="Times New Roman" w:hAnsi="Times New Roman" w:cs="Times New Roman"/>
          <w:sz w:val="24"/>
          <w:szCs w:val="24"/>
        </w:rPr>
        <w:t>Su obstinación y su fracaso (con indolencia criminal), están causando un daño incalculable a los p</w:t>
      </w:r>
      <w:r w:rsidR="006B037E">
        <w:rPr>
          <w:rFonts w:ascii="Times New Roman" w:hAnsi="Times New Roman" w:cs="Times New Roman"/>
          <w:sz w:val="24"/>
          <w:szCs w:val="24"/>
        </w:rPr>
        <w:t>aíses avanzados (por su mediación</w:t>
      </w:r>
      <w:r>
        <w:rPr>
          <w:rFonts w:ascii="Times New Roman" w:hAnsi="Times New Roman" w:cs="Times New Roman"/>
          <w:sz w:val="24"/>
          <w:szCs w:val="24"/>
        </w:rPr>
        <w:t>, ahora, en vías de subdesarrollo). Ante una inflación disparada, estos banqueros “acomodaticios”</w:t>
      </w:r>
      <w:r w:rsidR="00BC079E">
        <w:rPr>
          <w:rFonts w:ascii="Times New Roman" w:hAnsi="Times New Roman" w:cs="Times New Roman"/>
          <w:sz w:val="24"/>
          <w:szCs w:val="24"/>
        </w:rPr>
        <w:t xml:space="preserve">, insisten, en </w:t>
      </w:r>
      <w:r>
        <w:rPr>
          <w:rFonts w:ascii="Times New Roman" w:hAnsi="Times New Roman" w:cs="Times New Roman"/>
          <w:sz w:val="24"/>
          <w:szCs w:val="24"/>
        </w:rPr>
        <w:t>“no bajarse del tren todavía”</w:t>
      </w:r>
      <w:r w:rsidR="00BC079E">
        <w:rPr>
          <w:rFonts w:ascii="Times New Roman" w:hAnsi="Times New Roman" w:cs="Times New Roman"/>
          <w:sz w:val="24"/>
          <w:szCs w:val="24"/>
        </w:rPr>
        <w:t>.</w:t>
      </w:r>
    </w:p>
    <w:p w:rsidR="00BC079E" w:rsidRDefault="00BC079E" w:rsidP="00D85EC1">
      <w:pPr>
        <w:spacing w:line="240" w:lineRule="auto"/>
        <w:jc w:val="both"/>
        <w:rPr>
          <w:rFonts w:ascii="Times New Roman" w:hAnsi="Times New Roman" w:cs="Times New Roman"/>
          <w:sz w:val="24"/>
          <w:szCs w:val="24"/>
        </w:rPr>
      </w:pPr>
      <w:r>
        <w:rPr>
          <w:rFonts w:ascii="Times New Roman" w:hAnsi="Times New Roman" w:cs="Times New Roman"/>
          <w:sz w:val="24"/>
          <w:szCs w:val="24"/>
        </w:rPr>
        <w:t>¿Podemos atribuirlo a una crisis de talento, error, negligencia, necedad, vanidad, fatuidad, arrogancia,  connivencia, corrupción...</w:t>
      </w:r>
      <w:r w:rsidR="006B037E">
        <w:rPr>
          <w:rFonts w:ascii="Times New Roman" w:hAnsi="Times New Roman" w:cs="Times New Roman"/>
          <w:sz w:val="24"/>
          <w:szCs w:val="24"/>
        </w:rPr>
        <w:t xml:space="preserve"> o</w:t>
      </w:r>
      <w:r w:rsidR="00324F4A">
        <w:rPr>
          <w:rFonts w:ascii="Times New Roman" w:hAnsi="Times New Roman" w:cs="Times New Roman"/>
          <w:sz w:val="24"/>
          <w:szCs w:val="24"/>
        </w:rPr>
        <w:t xml:space="preserve"> solo,</w:t>
      </w:r>
      <w:r w:rsidR="006B037E">
        <w:rPr>
          <w:rFonts w:ascii="Times New Roman" w:hAnsi="Times New Roman" w:cs="Times New Roman"/>
          <w:sz w:val="24"/>
          <w:szCs w:val="24"/>
        </w:rPr>
        <w:t xml:space="preserve"> genuflexos</w:t>
      </w:r>
      <w:r>
        <w:rPr>
          <w:rFonts w:ascii="Times New Roman" w:hAnsi="Times New Roman" w:cs="Times New Roman"/>
          <w:sz w:val="24"/>
          <w:szCs w:val="24"/>
        </w:rPr>
        <w:t xml:space="preserve"> actos de servidumbre y </w:t>
      </w:r>
      <w:r w:rsidR="006B037E">
        <w:rPr>
          <w:rFonts w:ascii="Times New Roman" w:hAnsi="Times New Roman" w:cs="Times New Roman"/>
          <w:sz w:val="24"/>
          <w:szCs w:val="24"/>
        </w:rPr>
        <w:t>adulación?</w:t>
      </w:r>
      <w:r>
        <w:rPr>
          <w:rFonts w:ascii="Times New Roman" w:hAnsi="Times New Roman" w:cs="Times New Roman"/>
          <w:sz w:val="24"/>
          <w:szCs w:val="24"/>
        </w:rPr>
        <w:t xml:space="preserve">  </w:t>
      </w:r>
    </w:p>
    <w:p w:rsidR="00A848E5" w:rsidRPr="00D85EC1" w:rsidRDefault="00A848E5" w:rsidP="00A848E5">
      <w:pPr>
        <w:spacing w:line="240" w:lineRule="auto"/>
        <w:jc w:val="both"/>
        <w:rPr>
          <w:rFonts w:ascii="Times New Roman" w:hAnsi="Times New Roman" w:cs="Times New Roman"/>
          <w:sz w:val="24"/>
          <w:szCs w:val="24"/>
        </w:rPr>
      </w:pPr>
      <w:r w:rsidRPr="00511F1F">
        <w:rPr>
          <w:rFonts w:ascii="Times New Roman" w:hAnsi="Times New Roman" w:cs="Times New Roman"/>
          <w:b/>
          <w:sz w:val="24"/>
          <w:szCs w:val="24"/>
        </w:rPr>
        <w:lastRenderedPageBreak/>
        <w:t>Nota I</w:t>
      </w:r>
      <w:r w:rsidR="00D85EC1" w:rsidRPr="00511F1F">
        <w:rPr>
          <w:rFonts w:ascii="Times New Roman" w:hAnsi="Times New Roman" w:cs="Times New Roman"/>
          <w:b/>
          <w:sz w:val="24"/>
          <w:szCs w:val="24"/>
        </w:rPr>
        <w:t>II</w:t>
      </w:r>
      <w:r w:rsidRPr="00D85EC1">
        <w:rPr>
          <w:rFonts w:ascii="Times New Roman" w:hAnsi="Times New Roman" w:cs="Times New Roman"/>
          <w:sz w:val="24"/>
          <w:szCs w:val="24"/>
        </w:rPr>
        <w:t>: Les ruego que sepan disculpar algún adjetivo de más, alguna expresión excesiva</w:t>
      </w:r>
      <w:r w:rsidR="00B94EB0" w:rsidRPr="00D85EC1">
        <w:rPr>
          <w:rFonts w:ascii="Times New Roman" w:hAnsi="Times New Roman" w:cs="Times New Roman"/>
          <w:sz w:val="24"/>
          <w:szCs w:val="24"/>
        </w:rPr>
        <w:t>,</w:t>
      </w:r>
      <w:r w:rsidR="00A52A91" w:rsidRPr="00D85EC1">
        <w:rPr>
          <w:rFonts w:ascii="Times New Roman" w:hAnsi="Times New Roman" w:cs="Times New Roman"/>
          <w:sz w:val="24"/>
          <w:szCs w:val="24"/>
        </w:rPr>
        <w:t xml:space="preserve"> o algún recuerdo magnificado</w:t>
      </w:r>
      <w:r w:rsidRPr="00D85EC1">
        <w:rPr>
          <w:rFonts w:ascii="Times New Roman" w:hAnsi="Times New Roman" w:cs="Times New Roman"/>
          <w:sz w:val="24"/>
          <w:szCs w:val="24"/>
        </w:rPr>
        <w:t>. En la premura del tiempo que se me escapa, no siempre lo logro.</w:t>
      </w:r>
    </w:p>
    <w:p w:rsidR="00A848E5" w:rsidRPr="00D85EC1" w:rsidRDefault="00A848E5" w:rsidP="00A848E5">
      <w:pPr>
        <w:spacing w:line="240" w:lineRule="auto"/>
        <w:jc w:val="both"/>
        <w:rPr>
          <w:rFonts w:ascii="Times New Roman" w:hAnsi="Times New Roman" w:cs="Times New Roman"/>
          <w:sz w:val="24"/>
          <w:szCs w:val="24"/>
        </w:rPr>
      </w:pPr>
      <w:r w:rsidRPr="00D85EC1">
        <w:rPr>
          <w:rFonts w:ascii="Times New Roman" w:hAnsi="Times New Roman" w:cs="Times New Roman"/>
          <w:sz w:val="24"/>
          <w:szCs w:val="24"/>
        </w:rPr>
        <w:t>Espero que este Paper resulte estimulante para los lectores, y les inspire para continuar esta labor de recoger las crónicas del tiempo inclemente que nos ha tocado vivir</w:t>
      </w:r>
      <w:r w:rsidR="00B94EB0" w:rsidRPr="00D85EC1">
        <w:rPr>
          <w:rFonts w:ascii="Times New Roman" w:hAnsi="Times New Roman" w:cs="Times New Roman"/>
          <w:sz w:val="24"/>
          <w:szCs w:val="24"/>
        </w:rPr>
        <w:t>.</w:t>
      </w:r>
    </w:p>
    <w:p w:rsidR="006B037E" w:rsidRDefault="006B037E" w:rsidP="00A848E5">
      <w:pPr>
        <w:spacing w:line="240" w:lineRule="auto"/>
        <w:jc w:val="both"/>
        <w:rPr>
          <w:rFonts w:ascii="Times New Roman" w:hAnsi="Times New Roman" w:cs="Times New Roman"/>
          <w:sz w:val="24"/>
          <w:szCs w:val="24"/>
        </w:rPr>
      </w:pPr>
      <w:r>
        <w:rPr>
          <w:rFonts w:ascii="Times New Roman" w:hAnsi="Times New Roman" w:cs="Times New Roman"/>
          <w:sz w:val="24"/>
          <w:szCs w:val="24"/>
        </w:rPr>
        <w:t>Hoy por hoy (4</w:t>
      </w:r>
      <w:r w:rsidR="00B94EB0" w:rsidRPr="00D85EC1">
        <w:rPr>
          <w:rFonts w:ascii="Times New Roman" w:hAnsi="Times New Roman" w:cs="Times New Roman"/>
          <w:sz w:val="24"/>
          <w:szCs w:val="24"/>
        </w:rPr>
        <w:t xml:space="preserve">/11/21), la “transitoriedad” de la inflación (que postulan los bancos centrales de los países avanzados) es más una cuestión de </w:t>
      </w:r>
      <w:r w:rsidR="00023998" w:rsidRPr="00D85EC1">
        <w:rPr>
          <w:rFonts w:ascii="Times New Roman" w:hAnsi="Times New Roman" w:cs="Times New Roman"/>
          <w:sz w:val="24"/>
          <w:szCs w:val="24"/>
        </w:rPr>
        <w:t>fe</w:t>
      </w:r>
      <w:r w:rsidR="00B94EB0" w:rsidRPr="00D85EC1">
        <w:rPr>
          <w:rFonts w:ascii="Times New Roman" w:hAnsi="Times New Roman" w:cs="Times New Roman"/>
          <w:sz w:val="24"/>
          <w:szCs w:val="24"/>
        </w:rPr>
        <w:t xml:space="preserve">, que de razón. </w:t>
      </w:r>
      <w:r>
        <w:rPr>
          <w:rFonts w:ascii="Times New Roman" w:hAnsi="Times New Roman" w:cs="Times New Roman"/>
          <w:sz w:val="24"/>
          <w:szCs w:val="24"/>
        </w:rPr>
        <w:t>Una proc</w:t>
      </w:r>
      <w:r w:rsidR="00023998">
        <w:rPr>
          <w:rFonts w:ascii="Times New Roman" w:hAnsi="Times New Roman" w:cs="Times New Roman"/>
          <w:sz w:val="24"/>
          <w:szCs w:val="24"/>
        </w:rPr>
        <w:t>r</w:t>
      </w:r>
      <w:r>
        <w:rPr>
          <w:rFonts w:ascii="Times New Roman" w:hAnsi="Times New Roman" w:cs="Times New Roman"/>
          <w:sz w:val="24"/>
          <w:szCs w:val="24"/>
        </w:rPr>
        <w:t xml:space="preserve">astinación frívola e irresponsable: </w:t>
      </w:r>
      <w:r w:rsidR="00F251C3" w:rsidRPr="00D85EC1">
        <w:rPr>
          <w:rFonts w:ascii="Times New Roman" w:hAnsi="Times New Roman" w:cs="Times New Roman"/>
          <w:sz w:val="24"/>
          <w:szCs w:val="24"/>
        </w:rPr>
        <w:t>“</w:t>
      </w:r>
      <w:r>
        <w:rPr>
          <w:rFonts w:ascii="Times New Roman" w:hAnsi="Times New Roman" w:cs="Times New Roman"/>
          <w:sz w:val="24"/>
          <w:szCs w:val="24"/>
        </w:rPr>
        <w:t>a</w:t>
      </w:r>
      <w:r w:rsidR="00B94EB0" w:rsidRPr="00D85EC1">
        <w:rPr>
          <w:rFonts w:ascii="Times New Roman" w:hAnsi="Times New Roman" w:cs="Times New Roman"/>
          <w:sz w:val="24"/>
          <w:szCs w:val="24"/>
        </w:rPr>
        <w:t>manecerá y veremos</w:t>
      </w:r>
      <w:r w:rsidR="00F251C3" w:rsidRPr="00D85EC1">
        <w:rPr>
          <w:rFonts w:ascii="Times New Roman" w:hAnsi="Times New Roman" w:cs="Times New Roman"/>
          <w:sz w:val="24"/>
          <w:szCs w:val="24"/>
        </w:rPr>
        <w:t>”</w:t>
      </w:r>
      <w:r w:rsidR="00B94EB0" w:rsidRPr="00D85EC1">
        <w:rPr>
          <w:rFonts w:ascii="Times New Roman" w:hAnsi="Times New Roman" w:cs="Times New Roman"/>
          <w:sz w:val="24"/>
          <w:szCs w:val="24"/>
        </w:rPr>
        <w:t>…</w:t>
      </w:r>
    </w:p>
    <w:p w:rsidR="00C54D08" w:rsidRPr="006B037E" w:rsidRDefault="00C54D08" w:rsidP="00A848E5">
      <w:pPr>
        <w:spacing w:line="240" w:lineRule="auto"/>
        <w:jc w:val="both"/>
        <w:rPr>
          <w:rFonts w:ascii="Times New Roman" w:hAnsi="Times New Roman" w:cs="Times New Roman"/>
          <w:sz w:val="24"/>
          <w:szCs w:val="24"/>
        </w:rPr>
      </w:pPr>
      <w:r w:rsidRPr="00D85EC1">
        <w:rPr>
          <w:rFonts w:ascii="Times New Roman" w:hAnsi="Times New Roman" w:cs="Times New Roman"/>
          <w:sz w:val="24"/>
          <w:szCs w:val="24"/>
          <w:u w:val="single"/>
        </w:rPr>
        <w:t>Conozco  esa canción</w:t>
      </w:r>
      <w:r w:rsidR="00B94EB0" w:rsidRPr="00D85EC1">
        <w:rPr>
          <w:rFonts w:ascii="Times New Roman" w:hAnsi="Times New Roman" w:cs="Times New Roman"/>
          <w:sz w:val="24"/>
          <w:szCs w:val="24"/>
          <w:u w:val="single"/>
        </w:rPr>
        <w:t xml:space="preserve"> </w:t>
      </w:r>
      <w:r w:rsidR="00FA3CFC" w:rsidRPr="00D85EC1">
        <w:rPr>
          <w:rFonts w:ascii="Times New Roman" w:hAnsi="Times New Roman" w:cs="Times New Roman"/>
          <w:sz w:val="24"/>
          <w:szCs w:val="24"/>
          <w:u w:val="single"/>
        </w:rPr>
        <w:t>(del baúl de los recuerdos)</w:t>
      </w:r>
    </w:p>
    <w:p w:rsidR="00B94EB0" w:rsidRDefault="00C54D08" w:rsidP="00A848E5">
      <w:pPr>
        <w:spacing w:line="240" w:lineRule="auto"/>
        <w:jc w:val="both"/>
        <w:rPr>
          <w:rFonts w:ascii="Times New Roman" w:hAnsi="Times New Roman" w:cs="Times New Roman"/>
          <w:sz w:val="24"/>
          <w:szCs w:val="24"/>
        </w:rPr>
      </w:pPr>
      <w:r w:rsidRPr="00D85EC1">
        <w:rPr>
          <w:rFonts w:ascii="Times New Roman" w:hAnsi="Times New Roman" w:cs="Times New Roman"/>
          <w:sz w:val="24"/>
          <w:szCs w:val="24"/>
        </w:rPr>
        <w:t>Que fluya el dinero, ya lo limpiaremos más tarde</w:t>
      </w:r>
      <w:r w:rsidR="00B94EB0" w:rsidRPr="00D85EC1">
        <w:rPr>
          <w:rFonts w:ascii="Times New Roman" w:hAnsi="Times New Roman" w:cs="Times New Roman"/>
          <w:sz w:val="24"/>
          <w:szCs w:val="24"/>
        </w:rPr>
        <w:t>…</w:t>
      </w:r>
      <w:r w:rsidRPr="00D85EC1">
        <w:rPr>
          <w:rFonts w:ascii="Times New Roman" w:hAnsi="Times New Roman" w:cs="Times New Roman"/>
          <w:sz w:val="24"/>
          <w:szCs w:val="24"/>
        </w:rPr>
        <w:t xml:space="preserve"> (Greenspan)</w:t>
      </w:r>
    </w:p>
    <w:p w:rsidR="004414B2" w:rsidRDefault="004414B2" w:rsidP="004414B2">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“Es necesario tener cuidado al reformular las reglas y las prácticas que ya no son suficientes para afrontar la reciente ola de escándalos de Wall Street…los legisladores deben evitar provocar “daños colaterales”…</w:t>
      </w:r>
      <w:r>
        <w:rPr>
          <w:rFonts w:ascii="Times New Roman" w:hAnsi="Times New Roman" w:cs="Times New Roman"/>
          <w:sz w:val="24"/>
          <w:szCs w:val="24"/>
        </w:rPr>
        <w:t xml:space="preserve"> </w:t>
      </w:r>
      <w:r w:rsidRPr="00713EE5">
        <w:rPr>
          <w:rFonts w:ascii="Times New Roman" w:hAnsi="Times New Roman" w:cs="Times New Roman"/>
          <w:sz w:val="24"/>
          <w:szCs w:val="24"/>
        </w:rPr>
        <w:t>Algunas prácticas y reglas han perdido su utilidad y requieren ser actualizadas. Pero al hacerlo debemos ser cuidadosos y no erosionar el paradigma que ha gobernado voluntaria y efectivamente las operaciones”…</w:t>
      </w:r>
      <w:r>
        <w:rPr>
          <w:rFonts w:ascii="Times New Roman" w:hAnsi="Times New Roman" w:cs="Times New Roman"/>
          <w:sz w:val="24"/>
          <w:szCs w:val="24"/>
        </w:rPr>
        <w:t xml:space="preserve"> (Greenspan)</w:t>
      </w:r>
    </w:p>
    <w:p w:rsidR="004414B2" w:rsidRDefault="004414B2" w:rsidP="004414B2">
      <w:pPr>
        <w:spacing w:line="240" w:lineRule="auto"/>
        <w:jc w:val="both"/>
        <w:rPr>
          <w:rFonts w:ascii="Times New Roman" w:hAnsi="Times New Roman" w:cs="Times New Roman"/>
          <w:sz w:val="24"/>
          <w:szCs w:val="24"/>
        </w:rPr>
      </w:pPr>
      <w:r w:rsidRPr="00713EE5">
        <w:rPr>
          <w:rFonts w:ascii="Times New Roman" w:hAnsi="Times New Roman" w:cs="Times New Roman"/>
          <w:sz w:val="24"/>
          <w:szCs w:val="24"/>
        </w:rPr>
        <w:t>“Dedico mucho tiempo a tratar de esquivar las preguntas y me preocupa terriblemente que pueda terminar siendo demasiado claro”</w:t>
      </w:r>
      <w:r>
        <w:rPr>
          <w:rFonts w:ascii="Times New Roman" w:hAnsi="Times New Roman" w:cs="Times New Roman"/>
          <w:sz w:val="24"/>
          <w:szCs w:val="24"/>
        </w:rPr>
        <w:t>… (Greenspan)</w:t>
      </w:r>
    </w:p>
    <w:p w:rsidR="004414B2" w:rsidRDefault="004414B2" w:rsidP="004414B2">
      <w:pPr>
        <w:spacing w:line="240" w:lineRule="auto"/>
        <w:jc w:val="both"/>
        <w:rPr>
          <w:rFonts w:ascii="Times New Roman" w:hAnsi="Times New Roman" w:cs="Times New Roman"/>
          <w:sz w:val="24"/>
          <w:szCs w:val="24"/>
        </w:rPr>
      </w:pPr>
      <w:r w:rsidRPr="00814E69">
        <w:rPr>
          <w:rFonts w:ascii="Times New Roman" w:hAnsi="Times New Roman" w:cs="Times New Roman"/>
          <w:sz w:val="24"/>
          <w:szCs w:val="24"/>
        </w:rPr>
        <w:t>Greenspan (ex Fed) admite que sólo entendió el problema de las hipotecas hacia el “fin de 2005”…</w:t>
      </w:r>
    </w:p>
    <w:p w:rsidR="004414B2" w:rsidRDefault="004414B2" w:rsidP="004414B2">
      <w:pPr>
        <w:spacing w:line="240" w:lineRule="auto"/>
        <w:jc w:val="both"/>
        <w:rPr>
          <w:rFonts w:ascii="Times New Roman" w:hAnsi="Times New Roman" w:cs="Times New Roman"/>
          <w:sz w:val="24"/>
          <w:szCs w:val="24"/>
        </w:rPr>
      </w:pPr>
      <w:r w:rsidRPr="00814E69">
        <w:rPr>
          <w:rFonts w:ascii="Times New Roman" w:hAnsi="Times New Roman" w:cs="Times New Roman"/>
          <w:sz w:val="24"/>
          <w:szCs w:val="24"/>
        </w:rPr>
        <w:t>“La labor del prestamista de último recurso ante una debacle está plagada de ambigüedades y dilemas. (...) En estas circunstancias, más que una ciencia la intervención se convierte en un arte”.</w:t>
      </w:r>
      <w:r>
        <w:rPr>
          <w:rFonts w:ascii="Times New Roman" w:hAnsi="Times New Roman" w:cs="Times New Roman"/>
          <w:sz w:val="24"/>
          <w:szCs w:val="24"/>
        </w:rPr>
        <w:t xml:space="preserve"> (Bernanke)</w:t>
      </w:r>
    </w:p>
    <w:p w:rsidR="004414B2" w:rsidRDefault="004414B2" w:rsidP="004414B2">
      <w:pPr>
        <w:spacing w:line="240" w:lineRule="auto"/>
        <w:jc w:val="both"/>
        <w:rPr>
          <w:rFonts w:ascii="Times New Roman" w:hAnsi="Times New Roman" w:cs="Times New Roman"/>
          <w:sz w:val="24"/>
          <w:szCs w:val="24"/>
        </w:rPr>
      </w:pPr>
      <w:r>
        <w:rPr>
          <w:rFonts w:ascii="Times New Roman" w:hAnsi="Times New Roman" w:cs="Times New Roman"/>
          <w:sz w:val="24"/>
          <w:szCs w:val="24"/>
        </w:rPr>
        <w:t>“L</w:t>
      </w:r>
      <w:r w:rsidRPr="00814E69">
        <w:rPr>
          <w:rFonts w:ascii="Times New Roman" w:hAnsi="Times New Roman" w:cs="Times New Roman"/>
          <w:sz w:val="24"/>
          <w:szCs w:val="24"/>
        </w:rPr>
        <w:t>a inyección de liquidez al mercado financiero por parte de la Fed no procede del “dinero de los impuestos”, aclara Bernanke. “Los bancos tiene cuentas abiertas con la Fed, al igual que usted tiene una cuenta en una banco comercial. De este modo, para prestar créditos a un banco, nosotros simplemente usamos el ordenador (apunte contable) para aumentar el tamaño de la cuenta que ellos (los bancos) tienen con la Fed”. Algo “muy similar” a la impresión de dinero, admite.</w:t>
      </w:r>
    </w:p>
    <w:p w:rsidR="004414B2" w:rsidRDefault="00C54D08" w:rsidP="00C54D08">
      <w:pPr>
        <w:spacing w:line="240" w:lineRule="auto"/>
        <w:jc w:val="both"/>
        <w:rPr>
          <w:rFonts w:ascii="Times New Roman" w:hAnsi="Times New Roman" w:cs="Times New Roman"/>
          <w:sz w:val="24"/>
          <w:szCs w:val="24"/>
        </w:rPr>
      </w:pPr>
      <w:r w:rsidRPr="00D85EC1">
        <w:rPr>
          <w:rFonts w:ascii="Times New Roman" w:hAnsi="Times New Roman" w:cs="Times New Roman"/>
          <w:sz w:val="24"/>
          <w:szCs w:val="24"/>
        </w:rPr>
        <w:t xml:space="preserve">En una entrevista, el periodista Scott Pelley pregunta lo siguiente: “¿Ha estado imprimiendo dinero?”. “Bueno, efectivamente”, afirma Bernanke. “Tenemos que hacerlo porque nuestra economía está muy débil y la inflación es muy baja”, indica. “Cuando la economía comience a recuperarse será el momento de abandonar esos programas, subir los tipos de interés y asegurarnos de que la recuperación no implique inflación”… (Bernanke) </w:t>
      </w:r>
    </w:p>
    <w:p w:rsidR="004414B2" w:rsidRPr="00F71B11" w:rsidRDefault="004414B2" w:rsidP="004414B2">
      <w:pPr>
        <w:pStyle w:val="NormalWeb"/>
        <w:jc w:val="both"/>
      </w:pPr>
      <w:r>
        <w:t xml:space="preserve">La mejor “perla” de Bernanke retrata toda su política monetaria y se encuentra en su discurso del 21 de noviembre de 2002.  Entonces aseguró </w:t>
      </w:r>
      <w:r w:rsidRPr="00F71B11">
        <w:t>que “El Gobierno de Estados Unidos tiene una tecnología llamada imprenta (hoy en día su equivalente tecnológico) que permite producir todos los dólares que se deseen a ningún coste”.</w:t>
      </w:r>
    </w:p>
    <w:p w:rsidR="00AF4A07" w:rsidRPr="004414B2" w:rsidRDefault="00B94EB0" w:rsidP="00C54D08">
      <w:pPr>
        <w:spacing w:line="240" w:lineRule="auto"/>
        <w:jc w:val="both"/>
        <w:rPr>
          <w:rFonts w:ascii="Times New Roman" w:hAnsi="Times New Roman" w:cs="Times New Roman"/>
          <w:sz w:val="24"/>
          <w:szCs w:val="24"/>
        </w:rPr>
      </w:pPr>
      <w:r w:rsidRPr="00D85EC1">
        <w:rPr>
          <w:rFonts w:ascii="Times New Roman" w:hAnsi="Times New Roman" w:cs="Times New Roman"/>
          <w:sz w:val="24"/>
          <w:szCs w:val="24"/>
        </w:rPr>
        <w:t xml:space="preserve"> </w:t>
      </w:r>
      <w:r w:rsidR="00AF4A07" w:rsidRPr="00AF4A07">
        <w:rPr>
          <w:rFonts w:ascii="Times New Roman" w:hAnsi="Times New Roman" w:cs="Times New Roman"/>
          <w:sz w:val="24"/>
          <w:szCs w:val="24"/>
          <w:u w:val="single"/>
        </w:rPr>
        <w:t>Entonces… pasa lo que pasa (no</w:t>
      </w:r>
      <w:r w:rsidR="004035EF">
        <w:rPr>
          <w:rFonts w:ascii="Times New Roman" w:hAnsi="Times New Roman" w:cs="Times New Roman"/>
          <w:sz w:val="24"/>
          <w:szCs w:val="24"/>
          <w:u w:val="single"/>
        </w:rPr>
        <w:t xml:space="preserve"> hemos aprendido</w:t>
      </w:r>
      <w:r w:rsidR="00AF4A07" w:rsidRPr="00AF4A07">
        <w:rPr>
          <w:rFonts w:ascii="Times New Roman" w:hAnsi="Times New Roman" w:cs="Times New Roman"/>
          <w:sz w:val="24"/>
          <w:szCs w:val="24"/>
          <w:u w:val="single"/>
        </w:rPr>
        <w:t xml:space="preserve"> nada)</w:t>
      </w:r>
    </w:p>
    <w:p w:rsidR="00FA3CFC" w:rsidRDefault="00FA3CFC" w:rsidP="00C54D08">
      <w:pPr>
        <w:spacing w:line="240" w:lineRule="auto"/>
        <w:jc w:val="both"/>
        <w:rPr>
          <w:rFonts w:ascii="Times New Roman" w:hAnsi="Times New Roman" w:cs="Times New Roman"/>
          <w:sz w:val="24"/>
          <w:szCs w:val="24"/>
        </w:rPr>
      </w:pPr>
      <w:r w:rsidRPr="00D85EC1">
        <w:rPr>
          <w:rFonts w:ascii="Times New Roman" w:hAnsi="Times New Roman" w:cs="Times New Roman"/>
          <w:sz w:val="24"/>
          <w:szCs w:val="24"/>
        </w:rPr>
        <w:t xml:space="preserve">“Macroeconomistas influyentes advirtieron que la combinación de una política monetaria altamente acomodaticia, un elevado saldo de ahorro de los hogares, una demanda reprimida y un gasto fiscal masivo aumentaba significativamente el riesgo de inflación. Y, sí, esos </w:t>
      </w:r>
      <w:r w:rsidRPr="00D85EC1">
        <w:rPr>
          <w:rFonts w:ascii="Times New Roman" w:hAnsi="Times New Roman" w:cs="Times New Roman"/>
          <w:sz w:val="24"/>
          <w:szCs w:val="24"/>
        </w:rPr>
        <w:lastRenderedPageBreak/>
        <w:t xml:space="preserve">pronósticos, que parecen cada vez más proféticos, implicaban que un aumento en la demanda agregada, impulsado por un muro de liquidez y precios de activos espumosos, podría superar a la oferta. Pero la duración probable del desequilibrio seguía siendo desconocida, y muchos argumentaron que la inflación y, por extensión, las interrupciones de la oferta, serían “transitorias”… (Michael Spence, premio Nobel de Economía, es profesor emérito de economía y ex decano de la Escuela de Graduados en Negocios de la Universidad de Stanford - Project Syndicate - </w:t>
      </w:r>
      <w:r w:rsidRPr="00D85EC1">
        <w:rPr>
          <w:rFonts w:ascii="Times New Roman" w:hAnsi="Times New Roman" w:cs="Times New Roman"/>
          <w:b/>
          <w:sz w:val="24"/>
          <w:szCs w:val="24"/>
        </w:rPr>
        <w:t>3/11/21</w:t>
      </w:r>
      <w:r w:rsidRPr="00D85EC1">
        <w:rPr>
          <w:rFonts w:ascii="Times New Roman" w:hAnsi="Times New Roman" w:cs="Times New Roman"/>
          <w:sz w:val="24"/>
          <w:szCs w:val="24"/>
        </w:rPr>
        <w:t>)</w:t>
      </w:r>
    </w:p>
    <w:p w:rsidR="00F14030" w:rsidRPr="00F14030" w:rsidRDefault="00F14030" w:rsidP="00F14030">
      <w:pPr>
        <w:spacing w:line="240" w:lineRule="auto"/>
        <w:jc w:val="both"/>
        <w:rPr>
          <w:rFonts w:ascii="Times New Roman" w:hAnsi="Times New Roman" w:cs="Times New Roman"/>
          <w:sz w:val="24"/>
          <w:szCs w:val="24"/>
        </w:rPr>
      </w:pPr>
      <w:r w:rsidRPr="00511F1F">
        <w:rPr>
          <w:rFonts w:ascii="Times New Roman" w:hAnsi="Times New Roman" w:cs="Times New Roman"/>
          <w:b/>
          <w:sz w:val="24"/>
          <w:szCs w:val="24"/>
        </w:rPr>
        <w:t>Nota IV</w:t>
      </w:r>
      <w:r>
        <w:rPr>
          <w:rFonts w:ascii="Times New Roman" w:hAnsi="Times New Roman" w:cs="Times New Roman"/>
          <w:sz w:val="24"/>
          <w:szCs w:val="24"/>
        </w:rPr>
        <w:t xml:space="preserve">: </w:t>
      </w:r>
      <w:r w:rsidRPr="00F14030">
        <w:rPr>
          <w:rFonts w:ascii="Times New Roman" w:hAnsi="Times New Roman" w:cs="Times New Roman"/>
          <w:sz w:val="24"/>
          <w:szCs w:val="24"/>
        </w:rPr>
        <w:t xml:space="preserve">Mientras los “trileros” de la Fed y el BCE, prosiguen con su papel de “cómplices necesarios” del despilfarro del dinero público, negándose a endurecer la política monetaria, o subir los tipos de interés, por temor de frenar la recuperación, relativizando el riesgo inflacionario, más pronto que tarde (si mis presentimientos se tornan certeza), tendrán las dos cosas: inflación descontrolada, y recesión inducida (como mal menor).  Entonces, los banqueros burócratas (desnortados) habrán pedido la honra (por inflación) y los barcos (por recesión). </w:t>
      </w:r>
    </w:p>
    <w:p w:rsidR="00F14030" w:rsidRPr="00F14030" w:rsidRDefault="00F14030" w:rsidP="00F14030">
      <w:pPr>
        <w:spacing w:line="240" w:lineRule="auto"/>
        <w:jc w:val="both"/>
        <w:rPr>
          <w:rFonts w:ascii="Times New Roman" w:hAnsi="Times New Roman" w:cs="Times New Roman"/>
          <w:sz w:val="24"/>
          <w:szCs w:val="24"/>
        </w:rPr>
      </w:pPr>
      <w:r w:rsidRPr="00F14030">
        <w:rPr>
          <w:rFonts w:ascii="Times New Roman" w:hAnsi="Times New Roman" w:cs="Times New Roman"/>
          <w:sz w:val="24"/>
          <w:szCs w:val="24"/>
        </w:rPr>
        <w:t>¿Alguien preguntó por la diferencia entre pasarse y quedarse corto?</w:t>
      </w:r>
    </w:p>
    <w:p w:rsidR="00F14030" w:rsidRDefault="00F14030" w:rsidP="00C54D08">
      <w:pPr>
        <w:spacing w:line="240" w:lineRule="auto"/>
        <w:jc w:val="both"/>
        <w:rPr>
          <w:rFonts w:ascii="Times New Roman" w:hAnsi="Times New Roman" w:cs="Times New Roman"/>
          <w:sz w:val="24"/>
          <w:szCs w:val="24"/>
        </w:rPr>
      </w:pPr>
      <w:r w:rsidRPr="00F14030">
        <w:rPr>
          <w:rFonts w:ascii="Times New Roman" w:hAnsi="Times New Roman" w:cs="Times New Roman"/>
          <w:sz w:val="24"/>
          <w:szCs w:val="24"/>
        </w:rPr>
        <w:t>Se creyeron más listos y sólo fueron más pillos. La lección está clara: “los dioses ciegan a los que quieren perder” (refrán griego)…. Y quieren perder a los que transgreden los principios éticos, económicos, y sociales.</w:t>
      </w:r>
    </w:p>
    <w:p w:rsidR="00082A52" w:rsidRDefault="00082A52" w:rsidP="00C54D08">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Ante l</w:t>
      </w:r>
      <w:r w:rsidRPr="00082A52">
        <w:rPr>
          <w:rFonts w:ascii="Times New Roman" w:hAnsi="Times New Roman" w:cs="Times New Roman"/>
          <w:sz w:val="24"/>
          <w:szCs w:val="24"/>
          <w:u w:val="single"/>
        </w:rPr>
        <w:t>os “autócratas derrochadores”</w:t>
      </w:r>
    </w:p>
    <w:p w:rsidR="00082A52" w:rsidRDefault="00082A52" w:rsidP="00C54D08">
      <w:pPr>
        <w:spacing w:line="240" w:lineRule="auto"/>
        <w:jc w:val="both"/>
        <w:rPr>
          <w:rFonts w:ascii="Times New Roman" w:hAnsi="Times New Roman" w:cs="Times New Roman"/>
          <w:sz w:val="24"/>
          <w:szCs w:val="24"/>
        </w:rPr>
      </w:pPr>
      <w:r w:rsidRPr="00082A52">
        <w:rPr>
          <w:rFonts w:ascii="Times New Roman" w:hAnsi="Times New Roman" w:cs="Times New Roman"/>
          <w:sz w:val="24"/>
          <w:szCs w:val="24"/>
        </w:rPr>
        <w:t>La formulación de políticas económicas y financieras tiende a moverse como un péndulo.</w:t>
      </w:r>
      <w:r>
        <w:rPr>
          <w:rFonts w:ascii="Times New Roman" w:hAnsi="Times New Roman" w:cs="Times New Roman"/>
          <w:sz w:val="24"/>
          <w:szCs w:val="24"/>
        </w:rPr>
        <w:t xml:space="preserve"> En muchas economías avanzadas, después de un período de gasto casi ilimitado (algunas vec</w:t>
      </w:r>
      <w:r w:rsidR="00C458B3">
        <w:rPr>
          <w:rFonts w:ascii="Times New Roman" w:hAnsi="Times New Roman" w:cs="Times New Roman"/>
          <w:sz w:val="24"/>
          <w:szCs w:val="24"/>
        </w:rPr>
        <w:t>es satisfactorio, y muchas otras,</w:t>
      </w:r>
      <w:r>
        <w:rPr>
          <w:rFonts w:ascii="Times New Roman" w:hAnsi="Times New Roman" w:cs="Times New Roman"/>
          <w:sz w:val="24"/>
          <w:szCs w:val="24"/>
        </w:rPr>
        <w:t xml:space="preserve"> demagógico, clientelar</w:t>
      </w:r>
      <w:r w:rsidR="00C458B3">
        <w:rPr>
          <w:rFonts w:ascii="Times New Roman" w:hAnsi="Times New Roman" w:cs="Times New Roman"/>
          <w:sz w:val="24"/>
          <w:szCs w:val="24"/>
        </w:rPr>
        <w:t>,</w:t>
      </w:r>
      <w:r>
        <w:rPr>
          <w:rFonts w:ascii="Times New Roman" w:hAnsi="Times New Roman" w:cs="Times New Roman"/>
          <w:sz w:val="24"/>
          <w:szCs w:val="24"/>
        </w:rPr>
        <w:t xml:space="preserve"> e innecesario)</w:t>
      </w:r>
      <w:r w:rsidR="00C458B3">
        <w:rPr>
          <w:rFonts w:ascii="Times New Roman" w:hAnsi="Times New Roman" w:cs="Times New Roman"/>
          <w:sz w:val="24"/>
          <w:szCs w:val="24"/>
        </w:rPr>
        <w:t>, de la retórica del “se puede”, se comienza a dar</w:t>
      </w:r>
      <w:r w:rsidRPr="00082A52">
        <w:rPr>
          <w:rFonts w:ascii="Times New Roman" w:hAnsi="Times New Roman" w:cs="Times New Roman"/>
          <w:sz w:val="24"/>
          <w:szCs w:val="24"/>
        </w:rPr>
        <w:t xml:space="preserve"> paso a</w:t>
      </w:r>
      <w:r w:rsidR="00C458B3">
        <w:rPr>
          <w:rFonts w:ascii="Times New Roman" w:hAnsi="Times New Roman" w:cs="Times New Roman"/>
          <w:sz w:val="24"/>
          <w:szCs w:val="24"/>
        </w:rPr>
        <w:t xml:space="preserve"> las restricciones y reglas del “no se debe”</w:t>
      </w:r>
      <w:r w:rsidRPr="00082A52">
        <w:rPr>
          <w:rFonts w:ascii="Times New Roman" w:hAnsi="Times New Roman" w:cs="Times New Roman"/>
          <w:sz w:val="24"/>
          <w:szCs w:val="24"/>
        </w:rPr>
        <w:t>. Ah</w:t>
      </w:r>
      <w:r w:rsidR="00C458B3">
        <w:rPr>
          <w:rFonts w:ascii="Times New Roman" w:hAnsi="Times New Roman" w:cs="Times New Roman"/>
          <w:sz w:val="24"/>
          <w:szCs w:val="24"/>
        </w:rPr>
        <w:t>í es donde deberían establecerse los límites y condicionamientos para</w:t>
      </w:r>
      <w:r w:rsidRPr="00082A52">
        <w:rPr>
          <w:rFonts w:ascii="Times New Roman" w:hAnsi="Times New Roman" w:cs="Times New Roman"/>
          <w:sz w:val="24"/>
          <w:szCs w:val="24"/>
        </w:rPr>
        <w:t xml:space="preserve"> la expansión del gobierno.</w:t>
      </w:r>
      <w:r>
        <w:rPr>
          <w:rFonts w:ascii="Times New Roman" w:hAnsi="Times New Roman" w:cs="Times New Roman"/>
          <w:sz w:val="24"/>
          <w:szCs w:val="24"/>
        </w:rPr>
        <w:t xml:space="preserve"> </w:t>
      </w:r>
    </w:p>
    <w:p w:rsidR="00C458B3" w:rsidRPr="00C458B3" w:rsidRDefault="00C458B3" w:rsidP="00C458B3">
      <w:pPr>
        <w:spacing w:line="240" w:lineRule="auto"/>
        <w:jc w:val="both"/>
        <w:rPr>
          <w:rFonts w:ascii="Times New Roman" w:hAnsi="Times New Roman" w:cs="Times New Roman"/>
          <w:sz w:val="24"/>
          <w:szCs w:val="24"/>
        </w:rPr>
      </w:pPr>
      <w:r w:rsidRPr="00C458B3">
        <w:rPr>
          <w:rFonts w:ascii="Times New Roman" w:hAnsi="Times New Roman" w:cs="Times New Roman"/>
          <w:sz w:val="24"/>
          <w:szCs w:val="24"/>
        </w:rPr>
        <w:t>Como respuesta a la pandemia de COVID-19, inicialmente, cualquier monto de gasto público parecía apropiado, de hecho necesario, para mitigar los efectos brutalmente destructivos del cierre. Nadie podía estar en desacuerdo con el diagnóstico económico general, y el gasto de los gobiernos en el desarrollo de vacunas demostró ser excepcionalmente efectivo, produciendo enormes beneficios económicos y previniendo un número incalculable de muertes y costosas hospitalizaciones.</w:t>
      </w:r>
    </w:p>
    <w:p w:rsidR="00C458B3" w:rsidRPr="00C458B3" w:rsidRDefault="00C458B3" w:rsidP="00C458B3">
      <w:pPr>
        <w:spacing w:line="240" w:lineRule="auto"/>
        <w:jc w:val="both"/>
        <w:rPr>
          <w:rFonts w:ascii="Times New Roman" w:hAnsi="Times New Roman" w:cs="Times New Roman"/>
          <w:sz w:val="24"/>
          <w:szCs w:val="24"/>
        </w:rPr>
      </w:pPr>
      <w:r w:rsidRPr="00C458B3">
        <w:rPr>
          <w:rFonts w:ascii="Times New Roman" w:hAnsi="Times New Roman" w:cs="Times New Roman"/>
          <w:sz w:val="24"/>
          <w:szCs w:val="24"/>
        </w:rPr>
        <w:t>La respuesta económica al COVID-19 se asemejó a una movilización para la guerra, creando la impresión de que un empujón con</w:t>
      </w:r>
      <w:r w:rsidR="00D8199C">
        <w:rPr>
          <w:rFonts w:ascii="Times New Roman" w:hAnsi="Times New Roman" w:cs="Times New Roman"/>
          <w:sz w:val="24"/>
          <w:szCs w:val="24"/>
        </w:rPr>
        <w:t>certado, costara lo que costara</w:t>
      </w:r>
      <w:r w:rsidRPr="00C458B3">
        <w:rPr>
          <w:rFonts w:ascii="Times New Roman" w:hAnsi="Times New Roman" w:cs="Times New Roman"/>
          <w:sz w:val="24"/>
          <w:szCs w:val="24"/>
        </w:rPr>
        <w:t>, era todo l</w:t>
      </w:r>
      <w:r w:rsidR="00D8199C">
        <w:rPr>
          <w:rFonts w:ascii="Times New Roman" w:hAnsi="Times New Roman" w:cs="Times New Roman"/>
          <w:sz w:val="24"/>
          <w:szCs w:val="24"/>
        </w:rPr>
        <w:t xml:space="preserve">o que se necesitaba para ganar. </w:t>
      </w:r>
      <w:r w:rsidRPr="00C458B3">
        <w:rPr>
          <w:rFonts w:ascii="Times New Roman" w:hAnsi="Times New Roman" w:cs="Times New Roman"/>
          <w:sz w:val="24"/>
          <w:szCs w:val="24"/>
        </w:rPr>
        <w:t>Pero las guerras son impredecibles y</w:t>
      </w:r>
      <w:r w:rsidR="00D8199C">
        <w:rPr>
          <w:rFonts w:ascii="Times New Roman" w:hAnsi="Times New Roman" w:cs="Times New Roman"/>
          <w:sz w:val="24"/>
          <w:szCs w:val="24"/>
        </w:rPr>
        <w:t xml:space="preserve"> su durac</w:t>
      </w:r>
      <w:r w:rsidR="00AF0D18">
        <w:rPr>
          <w:rFonts w:ascii="Times New Roman" w:hAnsi="Times New Roman" w:cs="Times New Roman"/>
          <w:sz w:val="24"/>
          <w:szCs w:val="24"/>
        </w:rPr>
        <w:t>ión desconocida</w:t>
      </w:r>
      <w:r w:rsidR="00D8199C">
        <w:rPr>
          <w:rFonts w:ascii="Times New Roman" w:hAnsi="Times New Roman" w:cs="Times New Roman"/>
          <w:sz w:val="24"/>
          <w:szCs w:val="24"/>
        </w:rPr>
        <w:t xml:space="preserve">. </w:t>
      </w:r>
      <w:r w:rsidRPr="00C458B3">
        <w:rPr>
          <w:rFonts w:ascii="Times New Roman" w:hAnsi="Times New Roman" w:cs="Times New Roman"/>
          <w:sz w:val="24"/>
          <w:szCs w:val="24"/>
        </w:rPr>
        <w:t>Las guerras, como los virus, pueden seguir y seguir, planteando pregunta</w:t>
      </w:r>
      <w:r w:rsidR="00AF0D18">
        <w:rPr>
          <w:rFonts w:ascii="Times New Roman" w:hAnsi="Times New Roman" w:cs="Times New Roman"/>
          <w:sz w:val="24"/>
          <w:szCs w:val="24"/>
        </w:rPr>
        <w:t xml:space="preserve">s sobre todas las deudas </w:t>
      </w:r>
      <w:r w:rsidRPr="00C458B3">
        <w:rPr>
          <w:rFonts w:ascii="Times New Roman" w:hAnsi="Times New Roman" w:cs="Times New Roman"/>
          <w:sz w:val="24"/>
          <w:szCs w:val="24"/>
        </w:rPr>
        <w:t>que se ha</w:t>
      </w:r>
      <w:r w:rsidR="00AF0D18">
        <w:rPr>
          <w:rFonts w:ascii="Times New Roman" w:hAnsi="Times New Roman" w:cs="Times New Roman"/>
          <w:sz w:val="24"/>
          <w:szCs w:val="24"/>
        </w:rPr>
        <w:t>n contraído. ¿Se podrán</w:t>
      </w:r>
      <w:r w:rsidRPr="00C458B3">
        <w:rPr>
          <w:rFonts w:ascii="Times New Roman" w:hAnsi="Times New Roman" w:cs="Times New Roman"/>
          <w:sz w:val="24"/>
          <w:szCs w:val="24"/>
        </w:rPr>
        <w:t xml:space="preserve"> reembolsar alguna vez?</w:t>
      </w:r>
    </w:p>
    <w:p w:rsidR="00C458B3" w:rsidRPr="00C458B3" w:rsidRDefault="00C458B3" w:rsidP="00C458B3">
      <w:pPr>
        <w:spacing w:line="240" w:lineRule="auto"/>
        <w:jc w:val="both"/>
        <w:rPr>
          <w:rFonts w:ascii="Times New Roman" w:hAnsi="Times New Roman" w:cs="Times New Roman"/>
          <w:sz w:val="24"/>
          <w:szCs w:val="24"/>
        </w:rPr>
      </w:pPr>
      <w:r w:rsidRPr="00C458B3">
        <w:rPr>
          <w:rFonts w:ascii="Times New Roman" w:hAnsi="Times New Roman" w:cs="Times New Roman"/>
          <w:sz w:val="24"/>
          <w:szCs w:val="24"/>
        </w:rPr>
        <w:t>Las guerras y las pandemias también suelen presentar ejemplos espectaculares de malgasto. La actividad derrochadora frente a la incertidumbre es inevitable. Pero también lo es la eventual comprensión de que no hubo almuerzo gratis: gastar en el esfuerzo de guerra excluye otras inversiones útiles.</w:t>
      </w:r>
    </w:p>
    <w:p w:rsidR="00082A52" w:rsidRDefault="00082A52" w:rsidP="00082A52">
      <w:pPr>
        <w:spacing w:line="240" w:lineRule="auto"/>
        <w:jc w:val="both"/>
        <w:rPr>
          <w:rFonts w:ascii="Times New Roman" w:hAnsi="Times New Roman" w:cs="Times New Roman"/>
          <w:sz w:val="24"/>
          <w:szCs w:val="24"/>
        </w:rPr>
      </w:pPr>
      <w:r w:rsidRPr="00CC6252">
        <w:rPr>
          <w:rFonts w:ascii="Times New Roman" w:hAnsi="Times New Roman" w:cs="Times New Roman"/>
          <w:sz w:val="24"/>
          <w:szCs w:val="24"/>
        </w:rPr>
        <w:t>Las soluciones requieren medidas precisas y presupuestadas. Ante un desafío</w:t>
      </w:r>
      <w:r w:rsidR="00D8199C">
        <w:rPr>
          <w:rFonts w:ascii="Times New Roman" w:hAnsi="Times New Roman" w:cs="Times New Roman"/>
          <w:sz w:val="24"/>
          <w:szCs w:val="24"/>
        </w:rPr>
        <w:t xml:space="preserve"> tan</w:t>
      </w:r>
      <w:r w:rsidRPr="00CC6252">
        <w:rPr>
          <w:rFonts w:ascii="Times New Roman" w:hAnsi="Times New Roman" w:cs="Times New Roman"/>
          <w:sz w:val="24"/>
          <w:szCs w:val="24"/>
        </w:rPr>
        <w:t xml:space="preserve"> colosal, no hay nada peor que desperdiciar recursos es</w:t>
      </w:r>
      <w:r>
        <w:rPr>
          <w:rFonts w:ascii="Times New Roman" w:hAnsi="Times New Roman" w:cs="Times New Roman"/>
          <w:sz w:val="24"/>
          <w:szCs w:val="24"/>
        </w:rPr>
        <w:t>casos</w:t>
      </w:r>
      <w:r w:rsidR="00AF0D18">
        <w:rPr>
          <w:rFonts w:ascii="Times New Roman" w:hAnsi="Times New Roman" w:cs="Times New Roman"/>
          <w:sz w:val="24"/>
          <w:szCs w:val="24"/>
        </w:rPr>
        <w:t>,</w:t>
      </w:r>
      <w:r>
        <w:rPr>
          <w:rFonts w:ascii="Times New Roman" w:hAnsi="Times New Roman" w:cs="Times New Roman"/>
          <w:sz w:val="24"/>
          <w:szCs w:val="24"/>
        </w:rPr>
        <w:t xml:space="preserve"> o gastar solo por gastar.</w:t>
      </w:r>
      <w:r w:rsidR="00D8199C">
        <w:rPr>
          <w:rFonts w:ascii="Times New Roman" w:hAnsi="Times New Roman" w:cs="Times New Roman"/>
          <w:sz w:val="24"/>
          <w:szCs w:val="24"/>
        </w:rPr>
        <w:t xml:space="preserve"> </w:t>
      </w:r>
      <w:r w:rsidRPr="00CC6252">
        <w:rPr>
          <w:rFonts w:ascii="Times New Roman" w:hAnsi="Times New Roman" w:cs="Times New Roman"/>
          <w:sz w:val="24"/>
          <w:szCs w:val="24"/>
        </w:rPr>
        <w:t xml:space="preserve">La pregunta, entonces, no </w:t>
      </w:r>
      <w:r w:rsidR="00D8199C">
        <w:rPr>
          <w:rFonts w:ascii="Times New Roman" w:hAnsi="Times New Roman" w:cs="Times New Roman"/>
          <w:sz w:val="24"/>
          <w:szCs w:val="24"/>
        </w:rPr>
        <w:t>es cuánto dinero hay que agregar</w:t>
      </w:r>
      <w:r w:rsidRPr="00CC6252">
        <w:rPr>
          <w:rFonts w:ascii="Times New Roman" w:hAnsi="Times New Roman" w:cs="Times New Roman"/>
          <w:sz w:val="24"/>
          <w:szCs w:val="24"/>
        </w:rPr>
        <w:t>, sino cómo se puede gastar mejor el dinero</w:t>
      </w:r>
      <w:r w:rsidR="00D8199C">
        <w:rPr>
          <w:rFonts w:ascii="Times New Roman" w:hAnsi="Times New Roman" w:cs="Times New Roman"/>
          <w:sz w:val="24"/>
          <w:szCs w:val="24"/>
        </w:rPr>
        <w:t xml:space="preserve"> disponible, para asegurar el futuro económico, y social. Ante el riesgo inflacionario es necesario (imprescindible) practicar una mayor frugalidad</w:t>
      </w:r>
      <w:r w:rsidR="00AF0D18">
        <w:rPr>
          <w:rFonts w:ascii="Times New Roman" w:hAnsi="Times New Roman" w:cs="Times New Roman"/>
          <w:sz w:val="24"/>
          <w:szCs w:val="24"/>
        </w:rPr>
        <w:t>, menor</w:t>
      </w:r>
      <w:r w:rsidR="00D8199C">
        <w:rPr>
          <w:rFonts w:ascii="Times New Roman" w:hAnsi="Times New Roman" w:cs="Times New Roman"/>
          <w:sz w:val="24"/>
          <w:szCs w:val="24"/>
        </w:rPr>
        <w:t xml:space="preserve"> derroche y estricto control.</w:t>
      </w:r>
    </w:p>
    <w:p w:rsidR="004035EF" w:rsidRPr="0047143C" w:rsidRDefault="004035EF" w:rsidP="004035EF">
      <w:pPr>
        <w:spacing w:line="240" w:lineRule="auto"/>
        <w:jc w:val="both"/>
        <w:rPr>
          <w:rFonts w:ascii="Times New Roman" w:hAnsi="Times New Roman" w:cs="Times New Roman"/>
          <w:sz w:val="24"/>
          <w:szCs w:val="24"/>
        </w:rPr>
      </w:pPr>
      <w:r w:rsidRPr="0047143C">
        <w:rPr>
          <w:rFonts w:ascii="Times New Roman" w:hAnsi="Times New Roman" w:cs="Times New Roman"/>
          <w:sz w:val="24"/>
          <w:szCs w:val="24"/>
        </w:rPr>
        <w:lastRenderedPageBreak/>
        <w:t>La inflación es un cáncer para la actividad económica, pues introduce un elemento que no aporta nada positivo, al encarecerla, la hace menos competitiva y puede crear un círculo vicioso que lastre el desarrollo económico durante</w:t>
      </w:r>
      <w:r w:rsidR="0047143C" w:rsidRPr="0047143C">
        <w:rPr>
          <w:rFonts w:ascii="Times New Roman" w:hAnsi="Times New Roman" w:cs="Times New Roman"/>
          <w:sz w:val="24"/>
          <w:szCs w:val="24"/>
        </w:rPr>
        <w:t xml:space="preserve"> mucho</w:t>
      </w:r>
      <w:r w:rsidRPr="0047143C">
        <w:rPr>
          <w:rFonts w:ascii="Times New Roman" w:hAnsi="Times New Roman" w:cs="Times New Roman"/>
          <w:sz w:val="24"/>
          <w:szCs w:val="24"/>
        </w:rPr>
        <w:t xml:space="preserve"> tiempo. Los bancos centrales, en especial la Reserva Federal (Fed) y el Banco Central Europeo (BCE), insisten en que este repunte de la inflación será pasajero. No obstante, si hasta hace unos meses el cambio a una política monetaria contractiva parecía lejano, ahora ya se dejan oír algunas voces en dichos bancos emisores que abren la puerta a un endurecimiento de su política monetaria. </w:t>
      </w:r>
    </w:p>
    <w:p w:rsidR="004035EF" w:rsidRPr="0047143C" w:rsidRDefault="004035EF" w:rsidP="004035EF">
      <w:pPr>
        <w:spacing w:line="240" w:lineRule="auto"/>
        <w:jc w:val="both"/>
        <w:rPr>
          <w:rFonts w:ascii="Times New Roman" w:hAnsi="Times New Roman" w:cs="Times New Roman"/>
          <w:sz w:val="24"/>
          <w:szCs w:val="24"/>
        </w:rPr>
      </w:pPr>
      <w:r w:rsidRPr="0047143C">
        <w:rPr>
          <w:rFonts w:ascii="Times New Roman" w:hAnsi="Times New Roman" w:cs="Times New Roman"/>
          <w:sz w:val="24"/>
          <w:szCs w:val="24"/>
        </w:rPr>
        <w:t>La inflación es un fenómeno monetario (o principalmente, monetario -si no hay dinero para convalidar el aumento de los precios, la demanda se retrae, y la oferta debe bajar su</w:t>
      </w:r>
      <w:r w:rsidR="0047143C" w:rsidRPr="0047143C">
        <w:rPr>
          <w:rFonts w:ascii="Times New Roman" w:hAnsi="Times New Roman" w:cs="Times New Roman"/>
          <w:sz w:val="24"/>
          <w:szCs w:val="24"/>
        </w:rPr>
        <w:t>s precios para</w:t>
      </w:r>
      <w:r w:rsidRPr="0047143C">
        <w:rPr>
          <w:rFonts w:ascii="Times New Roman" w:hAnsi="Times New Roman" w:cs="Times New Roman"/>
          <w:sz w:val="24"/>
          <w:szCs w:val="24"/>
        </w:rPr>
        <w:t xml:space="preserve"> vender la mercancía-) y, si sube, se debe a que se financian con más masa monetaria los cuellos de botella y se introducen rigideces artificiales en los mercados, porque, de no ser así, cuando los precios subiesen en un sector o actividad, bajarían en otros.</w:t>
      </w:r>
    </w:p>
    <w:p w:rsidR="004353C7" w:rsidRPr="0047143C" w:rsidRDefault="004035EF" w:rsidP="004035EF">
      <w:pPr>
        <w:spacing w:line="240" w:lineRule="auto"/>
        <w:jc w:val="both"/>
        <w:rPr>
          <w:rFonts w:ascii="Times New Roman" w:hAnsi="Times New Roman" w:cs="Times New Roman"/>
          <w:sz w:val="24"/>
          <w:szCs w:val="24"/>
        </w:rPr>
      </w:pPr>
      <w:r w:rsidRPr="0047143C">
        <w:rPr>
          <w:rFonts w:ascii="Times New Roman" w:hAnsi="Times New Roman" w:cs="Times New Roman"/>
          <w:sz w:val="24"/>
          <w:szCs w:val="24"/>
        </w:rPr>
        <w:t>Se hace imprescindible seguir de cerca la inflación, no olvidar</w:t>
      </w:r>
      <w:r w:rsidR="0047143C" w:rsidRPr="0047143C">
        <w:rPr>
          <w:rFonts w:ascii="Times New Roman" w:hAnsi="Times New Roman" w:cs="Times New Roman"/>
          <w:sz w:val="24"/>
          <w:szCs w:val="24"/>
        </w:rPr>
        <w:t xml:space="preserve"> </w:t>
      </w:r>
      <w:r w:rsidRPr="0047143C">
        <w:rPr>
          <w:rFonts w:ascii="Times New Roman" w:hAnsi="Times New Roman" w:cs="Times New Roman"/>
          <w:sz w:val="24"/>
          <w:szCs w:val="24"/>
        </w:rPr>
        <w:t>que es el principal objetivo de un banco central, y combatirla</w:t>
      </w:r>
      <w:r w:rsidR="0047143C" w:rsidRPr="0047143C">
        <w:rPr>
          <w:rFonts w:ascii="Times New Roman" w:hAnsi="Times New Roman" w:cs="Times New Roman"/>
          <w:sz w:val="24"/>
          <w:szCs w:val="24"/>
        </w:rPr>
        <w:t xml:space="preserve"> de inmediato</w:t>
      </w:r>
      <w:r w:rsidRPr="0047143C">
        <w:rPr>
          <w:rFonts w:ascii="Times New Roman" w:hAnsi="Times New Roman" w:cs="Times New Roman"/>
          <w:sz w:val="24"/>
          <w:szCs w:val="24"/>
        </w:rPr>
        <w:t>, evitando que el alza del corto plazo pueda consolidarse en el medio y largo plazo, volviéndose estructural</w:t>
      </w:r>
      <w:r w:rsidR="00544823" w:rsidRPr="0047143C">
        <w:rPr>
          <w:rFonts w:ascii="Times New Roman" w:hAnsi="Times New Roman" w:cs="Times New Roman"/>
          <w:sz w:val="24"/>
          <w:szCs w:val="24"/>
        </w:rPr>
        <w:t xml:space="preserve">. La inflación </w:t>
      </w:r>
      <w:r w:rsidR="003945B5" w:rsidRPr="0047143C">
        <w:rPr>
          <w:rFonts w:ascii="Times New Roman" w:hAnsi="Times New Roman" w:cs="Times New Roman"/>
          <w:sz w:val="24"/>
          <w:szCs w:val="24"/>
        </w:rPr>
        <w:t>distorsiona</w:t>
      </w:r>
      <w:r w:rsidR="00544823" w:rsidRPr="0047143C">
        <w:rPr>
          <w:rFonts w:ascii="Times New Roman" w:hAnsi="Times New Roman" w:cs="Times New Roman"/>
          <w:sz w:val="24"/>
          <w:szCs w:val="24"/>
        </w:rPr>
        <w:t xml:space="preserve"> e</w:t>
      </w:r>
      <w:r w:rsidRPr="0047143C">
        <w:rPr>
          <w:rFonts w:ascii="Times New Roman" w:hAnsi="Times New Roman" w:cs="Times New Roman"/>
          <w:sz w:val="24"/>
          <w:szCs w:val="24"/>
        </w:rPr>
        <w:t>l valor r</w:t>
      </w:r>
      <w:r w:rsidR="00544823" w:rsidRPr="0047143C">
        <w:rPr>
          <w:rFonts w:ascii="Times New Roman" w:hAnsi="Times New Roman" w:cs="Times New Roman"/>
          <w:sz w:val="24"/>
          <w:szCs w:val="24"/>
        </w:rPr>
        <w:t>eal de los activos, perjudica el</w:t>
      </w:r>
      <w:r w:rsidRPr="0047143C">
        <w:rPr>
          <w:rFonts w:ascii="Times New Roman" w:hAnsi="Times New Roman" w:cs="Times New Roman"/>
          <w:sz w:val="24"/>
          <w:szCs w:val="24"/>
        </w:rPr>
        <w:t xml:space="preserve"> poder adquisitivo, </w:t>
      </w:r>
      <w:r w:rsidR="00544823" w:rsidRPr="0047143C">
        <w:rPr>
          <w:rFonts w:ascii="Times New Roman" w:hAnsi="Times New Roman" w:cs="Times New Roman"/>
          <w:sz w:val="24"/>
          <w:szCs w:val="24"/>
        </w:rPr>
        <w:t xml:space="preserve">y puede </w:t>
      </w:r>
      <w:r w:rsidRPr="0047143C">
        <w:rPr>
          <w:rFonts w:ascii="Times New Roman" w:hAnsi="Times New Roman" w:cs="Times New Roman"/>
          <w:sz w:val="24"/>
          <w:szCs w:val="24"/>
        </w:rPr>
        <w:t>fomenta</w:t>
      </w:r>
      <w:r w:rsidR="00544823" w:rsidRPr="0047143C">
        <w:rPr>
          <w:rFonts w:ascii="Times New Roman" w:hAnsi="Times New Roman" w:cs="Times New Roman"/>
          <w:sz w:val="24"/>
          <w:szCs w:val="24"/>
        </w:rPr>
        <w:t>r</w:t>
      </w:r>
      <w:r w:rsidRPr="0047143C">
        <w:rPr>
          <w:rFonts w:ascii="Times New Roman" w:hAnsi="Times New Roman" w:cs="Times New Roman"/>
          <w:sz w:val="24"/>
          <w:szCs w:val="24"/>
        </w:rPr>
        <w:t xml:space="preserve"> un mayor endeudamiento -por</w:t>
      </w:r>
      <w:r w:rsidR="00544823" w:rsidRPr="0047143C">
        <w:rPr>
          <w:rFonts w:ascii="Times New Roman" w:hAnsi="Times New Roman" w:cs="Times New Roman"/>
          <w:sz w:val="24"/>
          <w:szCs w:val="24"/>
        </w:rPr>
        <w:t xml:space="preserve"> expectativa de</w:t>
      </w:r>
      <w:r w:rsidRPr="0047143C">
        <w:rPr>
          <w:rFonts w:ascii="Times New Roman" w:hAnsi="Times New Roman" w:cs="Times New Roman"/>
          <w:sz w:val="24"/>
          <w:szCs w:val="24"/>
        </w:rPr>
        <w:t xml:space="preserve"> licuación de pasivos-</w:t>
      </w:r>
      <w:r w:rsidR="004353C7" w:rsidRPr="0047143C">
        <w:rPr>
          <w:rFonts w:ascii="Times New Roman" w:hAnsi="Times New Roman" w:cs="Times New Roman"/>
          <w:sz w:val="24"/>
          <w:szCs w:val="24"/>
        </w:rPr>
        <w:t>. Por otra</w:t>
      </w:r>
      <w:r w:rsidR="00544823" w:rsidRPr="0047143C">
        <w:rPr>
          <w:rFonts w:ascii="Times New Roman" w:hAnsi="Times New Roman" w:cs="Times New Roman"/>
          <w:sz w:val="24"/>
          <w:szCs w:val="24"/>
        </w:rPr>
        <w:t xml:space="preserve"> parte, si se suben los tipos de </w:t>
      </w:r>
      <w:r w:rsidR="0047143C" w:rsidRPr="0047143C">
        <w:rPr>
          <w:rFonts w:ascii="Times New Roman" w:hAnsi="Times New Roman" w:cs="Times New Roman"/>
          <w:sz w:val="24"/>
          <w:szCs w:val="24"/>
        </w:rPr>
        <w:t>interés para poder controlar el aumento</w:t>
      </w:r>
      <w:r w:rsidR="00544823" w:rsidRPr="0047143C">
        <w:rPr>
          <w:rFonts w:ascii="Times New Roman" w:hAnsi="Times New Roman" w:cs="Times New Roman"/>
          <w:sz w:val="24"/>
          <w:szCs w:val="24"/>
        </w:rPr>
        <w:t xml:space="preserve"> de</w:t>
      </w:r>
      <w:r w:rsidR="0047143C" w:rsidRPr="0047143C">
        <w:rPr>
          <w:rFonts w:ascii="Times New Roman" w:hAnsi="Times New Roman" w:cs="Times New Roman"/>
          <w:sz w:val="24"/>
          <w:szCs w:val="24"/>
        </w:rPr>
        <w:t xml:space="preserve"> los</w:t>
      </w:r>
      <w:r w:rsidR="00544823" w:rsidRPr="0047143C">
        <w:rPr>
          <w:rFonts w:ascii="Times New Roman" w:hAnsi="Times New Roman" w:cs="Times New Roman"/>
          <w:sz w:val="24"/>
          <w:szCs w:val="24"/>
        </w:rPr>
        <w:t xml:space="preserve"> precios, se perjudica el gasto </w:t>
      </w:r>
      <w:r w:rsidRPr="0047143C">
        <w:rPr>
          <w:rFonts w:ascii="Times New Roman" w:hAnsi="Times New Roman" w:cs="Times New Roman"/>
          <w:sz w:val="24"/>
          <w:szCs w:val="24"/>
        </w:rPr>
        <w:t>pú</w:t>
      </w:r>
      <w:r w:rsidR="00544823" w:rsidRPr="0047143C">
        <w:rPr>
          <w:rFonts w:ascii="Times New Roman" w:hAnsi="Times New Roman" w:cs="Times New Roman"/>
          <w:sz w:val="24"/>
          <w:szCs w:val="24"/>
        </w:rPr>
        <w:t>blico, al</w:t>
      </w:r>
      <w:r w:rsidRPr="0047143C">
        <w:rPr>
          <w:rFonts w:ascii="Times New Roman" w:hAnsi="Times New Roman" w:cs="Times New Roman"/>
          <w:sz w:val="24"/>
          <w:szCs w:val="24"/>
        </w:rPr>
        <w:t xml:space="preserve"> i</w:t>
      </w:r>
      <w:r w:rsidR="00544823" w:rsidRPr="0047143C">
        <w:rPr>
          <w:rFonts w:ascii="Times New Roman" w:hAnsi="Times New Roman" w:cs="Times New Roman"/>
          <w:sz w:val="24"/>
          <w:szCs w:val="24"/>
        </w:rPr>
        <w:t>ncrementarse el coste de la deuda soberana</w:t>
      </w:r>
      <w:r w:rsidRPr="0047143C">
        <w:rPr>
          <w:rFonts w:ascii="Times New Roman" w:hAnsi="Times New Roman" w:cs="Times New Roman"/>
          <w:sz w:val="24"/>
          <w:szCs w:val="24"/>
        </w:rPr>
        <w:t>,</w:t>
      </w:r>
      <w:r w:rsidR="00544823" w:rsidRPr="0047143C">
        <w:rPr>
          <w:rFonts w:ascii="Times New Roman" w:hAnsi="Times New Roman" w:cs="Times New Roman"/>
          <w:sz w:val="24"/>
          <w:szCs w:val="24"/>
        </w:rPr>
        <w:t xml:space="preserve"> lo que termina generando </w:t>
      </w:r>
      <w:r w:rsidRPr="0047143C">
        <w:rPr>
          <w:rFonts w:ascii="Times New Roman" w:hAnsi="Times New Roman" w:cs="Times New Roman"/>
          <w:sz w:val="24"/>
          <w:szCs w:val="24"/>
        </w:rPr>
        <w:t>una mayor presión tributa</w:t>
      </w:r>
      <w:r w:rsidR="004353C7" w:rsidRPr="0047143C">
        <w:rPr>
          <w:rFonts w:ascii="Times New Roman" w:hAnsi="Times New Roman" w:cs="Times New Roman"/>
          <w:sz w:val="24"/>
          <w:szCs w:val="24"/>
        </w:rPr>
        <w:t xml:space="preserve">ria </w:t>
      </w:r>
      <w:r w:rsidR="0047143C" w:rsidRPr="0047143C">
        <w:rPr>
          <w:rFonts w:ascii="Times New Roman" w:hAnsi="Times New Roman" w:cs="Times New Roman"/>
          <w:sz w:val="24"/>
          <w:szCs w:val="24"/>
        </w:rPr>
        <w:t>sobre</w:t>
      </w:r>
      <w:r w:rsidR="004353C7" w:rsidRPr="0047143C">
        <w:rPr>
          <w:rFonts w:ascii="Times New Roman" w:hAnsi="Times New Roman" w:cs="Times New Roman"/>
          <w:sz w:val="24"/>
          <w:szCs w:val="24"/>
        </w:rPr>
        <w:t xml:space="preserve"> los contribuyentes.</w:t>
      </w:r>
    </w:p>
    <w:p w:rsidR="004035EF" w:rsidRPr="0047143C" w:rsidRDefault="004353C7" w:rsidP="004035EF">
      <w:pPr>
        <w:spacing w:line="240" w:lineRule="auto"/>
        <w:jc w:val="both"/>
        <w:rPr>
          <w:rFonts w:ascii="Times New Roman" w:hAnsi="Times New Roman" w:cs="Times New Roman"/>
          <w:sz w:val="24"/>
          <w:szCs w:val="24"/>
        </w:rPr>
      </w:pPr>
      <w:r w:rsidRPr="0047143C">
        <w:rPr>
          <w:rFonts w:ascii="Times New Roman" w:hAnsi="Times New Roman" w:cs="Times New Roman"/>
          <w:sz w:val="24"/>
          <w:szCs w:val="24"/>
        </w:rPr>
        <w:t>Todo este proceso puede terminar en un</w:t>
      </w:r>
      <w:r w:rsidR="004035EF" w:rsidRPr="0047143C">
        <w:rPr>
          <w:rFonts w:ascii="Times New Roman" w:hAnsi="Times New Roman" w:cs="Times New Roman"/>
          <w:sz w:val="24"/>
          <w:szCs w:val="24"/>
        </w:rPr>
        <w:t xml:space="preserve"> espira</w:t>
      </w:r>
      <w:r w:rsidRPr="0047143C">
        <w:rPr>
          <w:rFonts w:ascii="Times New Roman" w:hAnsi="Times New Roman" w:cs="Times New Roman"/>
          <w:sz w:val="24"/>
          <w:szCs w:val="24"/>
        </w:rPr>
        <w:t xml:space="preserve">l precios-salarios, muy peligroso para la economía, por </w:t>
      </w:r>
      <w:r w:rsidR="004035EF" w:rsidRPr="0047143C">
        <w:rPr>
          <w:rFonts w:ascii="Times New Roman" w:hAnsi="Times New Roman" w:cs="Times New Roman"/>
          <w:sz w:val="24"/>
          <w:szCs w:val="24"/>
        </w:rPr>
        <w:t>lo q</w:t>
      </w:r>
      <w:r w:rsidRPr="0047143C">
        <w:rPr>
          <w:rFonts w:ascii="Times New Roman" w:hAnsi="Times New Roman" w:cs="Times New Roman"/>
          <w:sz w:val="24"/>
          <w:szCs w:val="24"/>
        </w:rPr>
        <w:t>ue hay que intentar disminuirlo rápidamente,</w:t>
      </w:r>
      <w:r w:rsidR="0047143C" w:rsidRPr="0047143C">
        <w:rPr>
          <w:rFonts w:ascii="Times New Roman" w:hAnsi="Times New Roman" w:cs="Times New Roman"/>
          <w:sz w:val="24"/>
          <w:szCs w:val="24"/>
        </w:rPr>
        <w:t xml:space="preserve"> y evitar</w:t>
      </w:r>
      <w:r w:rsidRPr="0047143C">
        <w:rPr>
          <w:rFonts w:ascii="Times New Roman" w:hAnsi="Times New Roman" w:cs="Times New Roman"/>
          <w:sz w:val="24"/>
          <w:szCs w:val="24"/>
        </w:rPr>
        <w:t xml:space="preserve"> </w:t>
      </w:r>
      <w:r w:rsidR="004035EF" w:rsidRPr="0047143C">
        <w:rPr>
          <w:rFonts w:ascii="Times New Roman" w:hAnsi="Times New Roman" w:cs="Times New Roman"/>
          <w:sz w:val="24"/>
          <w:szCs w:val="24"/>
        </w:rPr>
        <w:t>nuevo</w:t>
      </w:r>
      <w:r w:rsidRPr="0047143C">
        <w:rPr>
          <w:rFonts w:ascii="Times New Roman" w:hAnsi="Times New Roman" w:cs="Times New Roman"/>
          <w:sz w:val="24"/>
          <w:szCs w:val="24"/>
        </w:rPr>
        <w:t xml:space="preserve">s </w:t>
      </w:r>
      <w:r w:rsidR="004035EF" w:rsidRPr="0047143C">
        <w:rPr>
          <w:rFonts w:ascii="Times New Roman" w:hAnsi="Times New Roman" w:cs="Times New Roman"/>
          <w:sz w:val="24"/>
          <w:szCs w:val="24"/>
        </w:rPr>
        <w:t>aumento</w:t>
      </w:r>
      <w:r w:rsidRPr="0047143C">
        <w:rPr>
          <w:rFonts w:ascii="Times New Roman" w:hAnsi="Times New Roman" w:cs="Times New Roman"/>
          <w:sz w:val="24"/>
          <w:szCs w:val="24"/>
        </w:rPr>
        <w:t>s de precios y salarios, que afecten el crecimiento, y eleven el desempleo (</w:t>
      </w:r>
      <w:r w:rsidR="004035EF" w:rsidRPr="0047143C">
        <w:rPr>
          <w:rFonts w:ascii="Times New Roman" w:hAnsi="Times New Roman" w:cs="Times New Roman"/>
          <w:sz w:val="24"/>
          <w:szCs w:val="24"/>
        </w:rPr>
        <w:t>estanflación</w:t>
      </w:r>
      <w:r w:rsidRPr="0047143C">
        <w:rPr>
          <w:rFonts w:ascii="Times New Roman" w:hAnsi="Times New Roman" w:cs="Times New Roman"/>
          <w:sz w:val="24"/>
          <w:szCs w:val="24"/>
        </w:rPr>
        <w:t>)</w:t>
      </w:r>
      <w:r w:rsidR="004035EF" w:rsidRPr="0047143C">
        <w:rPr>
          <w:rFonts w:ascii="Times New Roman" w:hAnsi="Times New Roman" w:cs="Times New Roman"/>
          <w:sz w:val="24"/>
          <w:szCs w:val="24"/>
        </w:rPr>
        <w:t>.</w:t>
      </w:r>
    </w:p>
    <w:p w:rsidR="00F14030" w:rsidRDefault="00682525" w:rsidP="00F14030">
      <w:pPr>
        <w:spacing w:line="240" w:lineRule="auto"/>
        <w:jc w:val="both"/>
        <w:rPr>
          <w:rFonts w:ascii="Times New Roman" w:hAnsi="Times New Roman" w:cs="Times New Roman"/>
          <w:b/>
          <w:sz w:val="24"/>
          <w:szCs w:val="24"/>
        </w:rPr>
      </w:pPr>
      <w:r>
        <w:rPr>
          <w:rFonts w:ascii="Times New Roman" w:hAnsi="Times New Roman" w:cs="Times New Roman"/>
          <w:b/>
          <w:sz w:val="24"/>
          <w:szCs w:val="24"/>
        </w:rPr>
        <w:t>Ritornello</w:t>
      </w:r>
      <w:r w:rsidR="00F14030">
        <w:rPr>
          <w:rFonts w:ascii="Times New Roman" w:hAnsi="Times New Roman" w:cs="Times New Roman"/>
          <w:b/>
          <w:sz w:val="24"/>
          <w:szCs w:val="24"/>
        </w:rPr>
        <w:t xml:space="preserve"> (antes que nos borren la memoria): </w:t>
      </w:r>
      <w:r w:rsidR="00F14030" w:rsidRPr="004479EC">
        <w:rPr>
          <w:rFonts w:ascii="Times New Roman" w:hAnsi="Times New Roman" w:cs="Times New Roman"/>
          <w:b/>
          <w:sz w:val="24"/>
          <w:szCs w:val="24"/>
        </w:rPr>
        <w:t>La “tanguedia”</w:t>
      </w:r>
      <w:r w:rsidR="00F14030">
        <w:rPr>
          <w:rFonts w:ascii="Times New Roman" w:hAnsi="Times New Roman" w:cs="Times New Roman"/>
          <w:b/>
          <w:sz w:val="24"/>
          <w:szCs w:val="24"/>
        </w:rPr>
        <w:t xml:space="preserve"> del “peso” argentino (13 ceros: e</w:t>
      </w:r>
      <w:r w:rsidR="00F14030" w:rsidRPr="00E67C4D">
        <w:rPr>
          <w:rFonts w:ascii="Times New Roman" w:hAnsi="Times New Roman" w:cs="Times New Roman"/>
          <w:b/>
          <w:sz w:val="24"/>
          <w:szCs w:val="24"/>
        </w:rPr>
        <w:t>l abrumad</w:t>
      </w:r>
      <w:r w:rsidR="00F14030">
        <w:rPr>
          <w:rFonts w:ascii="Times New Roman" w:hAnsi="Times New Roman" w:cs="Times New Roman"/>
          <w:b/>
          <w:sz w:val="24"/>
          <w:szCs w:val="24"/>
        </w:rPr>
        <w:t xml:space="preserve">or detalle </w:t>
      </w:r>
      <w:r w:rsidR="00F14030" w:rsidRPr="00E67C4D">
        <w:rPr>
          <w:rFonts w:ascii="Times New Roman" w:hAnsi="Times New Roman" w:cs="Times New Roman"/>
          <w:b/>
          <w:sz w:val="24"/>
          <w:szCs w:val="24"/>
        </w:rPr>
        <w:t>qu</w:t>
      </w:r>
      <w:r w:rsidR="00F14030">
        <w:rPr>
          <w:rFonts w:ascii="Times New Roman" w:hAnsi="Times New Roman" w:cs="Times New Roman"/>
          <w:b/>
          <w:sz w:val="24"/>
          <w:szCs w:val="24"/>
        </w:rPr>
        <w:t>e demuestra el fracaso económico)</w:t>
      </w:r>
      <w:r w:rsidR="00F14030" w:rsidRPr="004479EC">
        <w:rPr>
          <w:rFonts w:ascii="Times New Roman" w:hAnsi="Times New Roman" w:cs="Times New Roman"/>
          <w:b/>
          <w:sz w:val="24"/>
          <w:szCs w:val="24"/>
        </w:rPr>
        <w:t xml:space="preserve"> </w:t>
      </w:r>
    </w:p>
    <w:p w:rsidR="004353C7" w:rsidRPr="004479EC" w:rsidRDefault="004353C7" w:rsidP="00F14030">
      <w:pPr>
        <w:spacing w:line="240" w:lineRule="auto"/>
        <w:jc w:val="both"/>
        <w:rPr>
          <w:rFonts w:ascii="Times New Roman" w:hAnsi="Times New Roman" w:cs="Times New Roman"/>
          <w:b/>
          <w:sz w:val="24"/>
          <w:szCs w:val="24"/>
        </w:rPr>
      </w:pPr>
    </w:p>
    <w:p w:rsidR="00F14030" w:rsidRPr="00A853C3" w:rsidRDefault="00F14030" w:rsidP="00F14030">
      <w:pPr>
        <w:spacing w:line="240" w:lineRule="auto"/>
        <w:jc w:val="both"/>
        <w:rPr>
          <w:rFonts w:ascii="Times New Roman" w:hAnsi="Times New Roman" w:cs="Times New Roman"/>
          <w:sz w:val="24"/>
          <w:szCs w:val="24"/>
        </w:rPr>
      </w:pPr>
      <w:r w:rsidRPr="00CE7EF1">
        <w:rPr>
          <w:rFonts w:ascii="Times New Roman" w:hAnsi="Times New Roman" w:cs="Times New Roman"/>
          <w:noProof/>
          <w:sz w:val="24"/>
          <w:szCs w:val="24"/>
          <w:lang w:eastAsia="es-ES"/>
        </w:rPr>
        <w:drawing>
          <wp:inline distT="0" distB="0" distL="0" distR="0" wp14:anchorId="3F1FCE55" wp14:editId="423B7B1B">
            <wp:extent cx="5727276" cy="3397250"/>
            <wp:effectExtent l="0" t="0" r="6985"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3"/>
                    <a:stretch>
                      <a:fillRect/>
                    </a:stretch>
                  </pic:blipFill>
                  <pic:spPr>
                    <a:xfrm>
                      <a:off x="0" y="0"/>
                      <a:ext cx="5731510" cy="3399761"/>
                    </a:xfrm>
                    <a:prstGeom prst="rect">
                      <a:avLst/>
                    </a:prstGeom>
                  </pic:spPr>
                </pic:pic>
              </a:graphicData>
            </a:graphic>
          </wp:inline>
        </w:drawing>
      </w:r>
    </w:p>
    <w:p w:rsidR="00F14030" w:rsidRDefault="00F14030" w:rsidP="00F1403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2021- </w:t>
      </w:r>
      <w:r w:rsidRPr="004479EC">
        <w:rPr>
          <w:rFonts w:ascii="Times New Roman" w:hAnsi="Times New Roman" w:cs="Times New Roman"/>
          <w:sz w:val="24"/>
          <w:szCs w:val="24"/>
        </w:rPr>
        <w:t>La inflación proyectada del año supera el 50% y el piso del próximo ronda el 42. La suba de precios está al tope de las preocupaciones de la población según diversos sondeos de opinión pública.</w:t>
      </w:r>
    </w:p>
    <w:p w:rsidR="00F14030" w:rsidRPr="004479EC" w:rsidRDefault="00F14030" w:rsidP="00F14030">
      <w:pPr>
        <w:spacing w:line="240" w:lineRule="auto"/>
        <w:jc w:val="both"/>
        <w:rPr>
          <w:rFonts w:ascii="Times New Roman" w:hAnsi="Times New Roman" w:cs="Times New Roman"/>
          <w:sz w:val="24"/>
          <w:szCs w:val="24"/>
        </w:rPr>
      </w:pPr>
      <w:r w:rsidRPr="004479EC">
        <w:rPr>
          <w:rFonts w:ascii="Times New Roman" w:hAnsi="Times New Roman" w:cs="Times New Roman"/>
          <w:sz w:val="24"/>
          <w:szCs w:val="24"/>
        </w:rPr>
        <w:t>Los billetes se encogen en la Argentina por la inflación, que les resta poder de compra. Casi todos los economistas asumen que la suba de los precios se debe a que el Estado emite mone</w:t>
      </w:r>
      <w:r w:rsidR="0047143C">
        <w:rPr>
          <w:rFonts w:ascii="Times New Roman" w:hAnsi="Times New Roman" w:cs="Times New Roman"/>
          <w:sz w:val="24"/>
          <w:szCs w:val="24"/>
        </w:rPr>
        <w:t>da para financiar su déficit. En el año 2020</w:t>
      </w:r>
      <w:r w:rsidRPr="004479EC">
        <w:rPr>
          <w:rFonts w:ascii="Times New Roman" w:hAnsi="Times New Roman" w:cs="Times New Roman"/>
          <w:sz w:val="24"/>
          <w:szCs w:val="24"/>
        </w:rPr>
        <w:t>, por ejemplo, se arrojaron a la calle</w:t>
      </w:r>
      <w:r w:rsidR="003945B5">
        <w:rPr>
          <w:rFonts w:ascii="Times New Roman" w:hAnsi="Times New Roman" w:cs="Times New Roman"/>
          <w:sz w:val="24"/>
          <w:szCs w:val="24"/>
        </w:rPr>
        <w:t>,</w:t>
      </w:r>
      <w:r w:rsidRPr="004479EC">
        <w:rPr>
          <w:rFonts w:ascii="Times New Roman" w:hAnsi="Times New Roman" w:cs="Times New Roman"/>
          <w:sz w:val="24"/>
          <w:szCs w:val="24"/>
        </w:rPr>
        <w:t xml:space="preserve"> unos</w:t>
      </w:r>
      <w:r w:rsidR="0047143C">
        <w:rPr>
          <w:rFonts w:ascii="Times New Roman" w:hAnsi="Times New Roman" w:cs="Times New Roman"/>
          <w:sz w:val="24"/>
          <w:szCs w:val="24"/>
        </w:rPr>
        <w:t xml:space="preserve"> </w:t>
      </w:r>
      <w:r w:rsidRPr="004479EC">
        <w:rPr>
          <w:rFonts w:ascii="Times New Roman" w:hAnsi="Times New Roman" w:cs="Times New Roman"/>
          <w:sz w:val="24"/>
          <w:szCs w:val="24"/>
        </w:rPr>
        <w:t xml:space="preserve"> $</w:t>
      </w:r>
      <w:r w:rsidR="0047143C">
        <w:rPr>
          <w:rFonts w:ascii="Times New Roman" w:hAnsi="Times New Roman" w:cs="Times New Roman"/>
          <w:sz w:val="24"/>
          <w:szCs w:val="24"/>
        </w:rPr>
        <w:t xml:space="preserve"> </w:t>
      </w:r>
      <w:r w:rsidRPr="004479EC">
        <w:rPr>
          <w:rFonts w:ascii="Times New Roman" w:hAnsi="Times New Roman" w:cs="Times New Roman"/>
          <w:sz w:val="24"/>
          <w:szCs w:val="24"/>
        </w:rPr>
        <w:t>42.000 por segundo. Y creen que la solución es darle más independencia al Banco Central, una práctica infrecuente en el país.</w:t>
      </w:r>
    </w:p>
    <w:p w:rsidR="00F14030" w:rsidRPr="004479EC" w:rsidRDefault="00F14030" w:rsidP="00F14030">
      <w:pPr>
        <w:spacing w:line="240" w:lineRule="auto"/>
        <w:jc w:val="both"/>
        <w:rPr>
          <w:rFonts w:ascii="Times New Roman" w:hAnsi="Times New Roman" w:cs="Times New Roman"/>
          <w:sz w:val="24"/>
          <w:szCs w:val="24"/>
        </w:rPr>
      </w:pPr>
      <w:r w:rsidRPr="004479EC">
        <w:rPr>
          <w:rFonts w:ascii="Times New Roman" w:hAnsi="Times New Roman" w:cs="Times New Roman"/>
          <w:sz w:val="24"/>
          <w:szCs w:val="24"/>
        </w:rPr>
        <w:t xml:space="preserve">Los números abruman, pero pueden resultar reveladores. Desde la conformación del primer gobierno patrio hasta la proyección en 2021, la inflación estimada habría sido de 7.471.476.468.059.020.000%. Se lee </w:t>
      </w:r>
      <w:r>
        <w:rPr>
          <w:rFonts w:ascii="Times New Roman" w:hAnsi="Times New Roman" w:cs="Times New Roman"/>
          <w:sz w:val="24"/>
          <w:szCs w:val="24"/>
        </w:rPr>
        <w:t>así: 7,41 trillones por ciento.</w:t>
      </w:r>
    </w:p>
    <w:p w:rsidR="00F14030" w:rsidRDefault="00F14030" w:rsidP="00F14030">
      <w:pPr>
        <w:spacing w:line="240" w:lineRule="auto"/>
        <w:jc w:val="both"/>
        <w:rPr>
          <w:rFonts w:ascii="Times New Roman" w:hAnsi="Times New Roman" w:cs="Times New Roman"/>
          <w:sz w:val="24"/>
          <w:szCs w:val="24"/>
        </w:rPr>
      </w:pPr>
      <w:r w:rsidRPr="004479EC">
        <w:rPr>
          <w:rFonts w:ascii="Times New Roman" w:hAnsi="Times New Roman" w:cs="Times New Roman"/>
          <w:sz w:val="24"/>
          <w:szCs w:val="24"/>
        </w:rPr>
        <w:t>“Esto implica un deterioro macroeconómico profundo casi sin parámetro a nivel mundial, que explica la fiebre por la compra del dólar. No es un comportamiento maligno de los argentinos, sino una adaptación al entorno que nos toca vivir”, resume el economista Camilo Tiscornia.</w:t>
      </w:r>
    </w:p>
    <w:p w:rsidR="00F14030" w:rsidRPr="004479EC" w:rsidRDefault="00F14030" w:rsidP="00F14030">
      <w:pPr>
        <w:spacing w:line="240" w:lineRule="auto"/>
        <w:jc w:val="both"/>
        <w:rPr>
          <w:rFonts w:ascii="Times New Roman" w:hAnsi="Times New Roman" w:cs="Times New Roman"/>
          <w:sz w:val="24"/>
          <w:szCs w:val="24"/>
        </w:rPr>
      </w:pPr>
      <w:r w:rsidRPr="004479EC">
        <w:rPr>
          <w:rFonts w:ascii="Times New Roman" w:hAnsi="Times New Roman" w:cs="Times New Roman"/>
          <w:sz w:val="24"/>
          <w:szCs w:val="24"/>
        </w:rPr>
        <w:t>Otros cálculos indican que si se toma como punto de partida 1810 hasta agosto pasado, acumularía 6,45 trillones por ciento, de acuerdo con las cuentas hechas por un grupo de economistas sobre la base de cifras tomadas de la consultora de Orlando Ferreres, el Banco Mundial, el Indec, el Banco Central de Paraguay, la Reserva Feder</w:t>
      </w:r>
      <w:r>
        <w:rPr>
          <w:rFonts w:ascii="Times New Roman" w:hAnsi="Times New Roman" w:cs="Times New Roman"/>
          <w:sz w:val="24"/>
          <w:szCs w:val="24"/>
        </w:rPr>
        <w:t>al de EEUU, Fred e Investing.</w:t>
      </w:r>
    </w:p>
    <w:p w:rsidR="00F14030" w:rsidRDefault="00F14030" w:rsidP="00F14030">
      <w:pPr>
        <w:spacing w:line="240" w:lineRule="auto"/>
        <w:jc w:val="both"/>
        <w:rPr>
          <w:rFonts w:ascii="Times New Roman" w:hAnsi="Times New Roman" w:cs="Times New Roman"/>
          <w:sz w:val="24"/>
          <w:szCs w:val="24"/>
        </w:rPr>
      </w:pPr>
      <w:r w:rsidRPr="004479EC">
        <w:rPr>
          <w:rFonts w:ascii="Times New Roman" w:hAnsi="Times New Roman" w:cs="Times New Roman"/>
          <w:sz w:val="24"/>
          <w:szCs w:val="24"/>
        </w:rPr>
        <w:t>Son números imprecisos, ridículos, inmanejables y casi inútiles más que para mostrar el largo camino que lleva la historia económica destruyendo el valor de su moneda y por qué los argentinos suman generaciones huyendo de su papel autóctono.</w:t>
      </w:r>
    </w:p>
    <w:p w:rsidR="00F14030" w:rsidRPr="004479EC" w:rsidRDefault="00F14030" w:rsidP="00F14030">
      <w:pPr>
        <w:spacing w:line="240" w:lineRule="auto"/>
        <w:jc w:val="both"/>
        <w:rPr>
          <w:rFonts w:ascii="Times New Roman" w:hAnsi="Times New Roman" w:cs="Times New Roman"/>
          <w:sz w:val="24"/>
          <w:szCs w:val="24"/>
        </w:rPr>
      </w:pPr>
      <w:r w:rsidRPr="004479EC">
        <w:rPr>
          <w:rFonts w:ascii="Times New Roman" w:hAnsi="Times New Roman" w:cs="Times New Roman"/>
          <w:sz w:val="24"/>
          <w:szCs w:val="24"/>
        </w:rPr>
        <w:t xml:space="preserve">En el mismo período, la suba de precios en Estados Unidos fue de 2284,90%. En otros términos: la inflación norteamericana en 211 años apenas superó los dos tercios de la Argentina en 1989, cuando la suba de precios alcanzó el 3079%, el </w:t>
      </w:r>
      <w:r>
        <w:rPr>
          <w:rFonts w:ascii="Times New Roman" w:hAnsi="Times New Roman" w:cs="Times New Roman"/>
          <w:sz w:val="24"/>
          <w:szCs w:val="24"/>
        </w:rPr>
        <w:t>peor año del país en ese rubro.</w:t>
      </w:r>
    </w:p>
    <w:p w:rsidR="00F14030" w:rsidRDefault="00F14030" w:rsidP="00F14030">
      <w:pPr>
        <w:spacing w:line="240" w:lineRule="auto"/>
        <w:jc w:val="both"/>
        <w:rPr>
          <w:rFonts w:ascii="Times New Roman" w:hAnsi="Times New Roman" w:cs="Times New Roman"/>
          <w:sz w:val="24"/>
          <w:szCs w:val="24"/>
        </w:rPr>
      </w:pPr>
      <w:r w:rsidRPr="004479EC">
        <w:rPr>
          <w:rFonts w:ascii="Times New Roman" w:hAnsi="Times New Roman" w:cs="Times New Roman"/>
          <w:sz w:val="24"/>
          <w:szCs w:val="24"/>
        </w:rPr>
        <w:t>La Argentina está en niveles récord. Un ejemplo: desde 1960 hasta agosto pasado la suba de precios en P</w:t>
      </w:r>
      <w:r>
        <w:rPr>
          <w:rFonts w:ascii="Times New Roman" w:hAnsi="Times New Roman" w:cs="Times New Roman"/>
          <w:sz w:val="24"/>
          <w:szCs w:val="24"/>
        </w:rPr>
        <w:t>araguay fue de 36.947%, y en EEUU</w:t>
      </w:r>
      <w:r w:rsidRPr="004479EC">
        <w:rPr>
          <w:rFonts w:ascii="Times New Roman" w:hAnsi="Times New Roman" w:cs="Times New Roman"/>
          <w:sz w:val="24"/>
          <w:szCs w:val="24"/>
        </w:rPr>
        <w:t>, de apenas 910%.</w:t>
      </w:r>
    </w:p>
    <w:p w:rsidR="00F14030" w:rsidRPr="00731BDA" w:rsidRDefault="00F14030" w:rsidP="00F14030">
      <w:pPr>
        <w:spacing w:line="240" w:lineRule="auto"/>
        <w:jc w:val="both"/>
        <w:rPr>
          <w:rFonts w:ascii="Times New Roman" w:hAnsi="Times New Roman" w:cs="Times New Roman"/>
          <w:sz w:val="24"/>
          <w:szCs w:val="24"/>
        </w:rPr>
      </w:pPr>
      <w:r w:rsidRPr="004479EC">
        <w:rPr>
          <w:rFonts w:ascii="Times New Roman" w:hAnsi="Times New Roman" w:cs="Times New Roman"/>
          <w:sz w:val="24"/>
          <w:szCs w:val="24"/>
        </w:rPr>
        <w:t>La inflación es de las cosas que mejor envejecen en la Argentina. Pese al paso de los años, sigue intacta, al igual que la preocupación de la sociedad por ella. El último Termómetro Social elaborado por la consultora Opinaia señala que los tres principales problemas de la opinión pública son económicos: inflación, desempleo y pobreza. Pero la suba de precios les gana a todos, incluso a la corrupción y a la inseguridad.</w:t>
      </w:r>
    </w:p>
    <w:p w:rsidR="00F14030" w:rsidRDefault="00F14030" w:rsidP="00F14030">
      <w:pPr>
        <w:spacing w:line="240" w:lineRule="auto"/>
        <w:jc w:val="both"/>
        <w:rPr>
          <w:rFonts w:ascii="Times New Roman" w:hAnsi="Times New Roman" w:cs="Times New Roman"/>
          <w:sz w:val="24"/>
          <w:szCs w:val="24"/>
        </w:rPr>
      </w:pPr>
      <w:r w:rsidRPr="00E67C4D">
        <w:rPr>
          <w:rFonts w:ascii="Times New Roman" w:hAnsi="Times New Roman" w:cs="Times New Roman"/>
          <w:sz w:val="24"/>
          <w:szCs w:val="24"/>
        </w:rPr>
        <w:t xml:space="preserve">(Fuente: La Nación - </w:t>
      </w:r>
      <w:r w:rsidRPr="00E67C4D">
        <w:rPr>
          <w:rFonts w:ascii="Times New Roman" w:hAnsi="Times New Roman" w:cs="Times New Roman"/>
          <w:b/>
          <w:sz w:val="24"/>
          <w:szCs w:val="24"/>
        </w:rPr>
        <w:t>5/11/21</w:t>
      </w:r>
      <w:r w:rsidRPr="00E67C4D">
        <w:rPr>
          <w:rFonts w:ascii="Times New Roman" w:hAnsi="Times New Roman" w:cs="Times New Roman"/>
          <w:sz w:val="24"/>
          <w:szCs w:val="24"/>
        </w:rPr>
        <w:t>)</w:t>
      </w:r>
    </w:p>
    <w:p w:rsidR="00682525" w:rsidRDefault="00215CA9" w:rsidP="00F14030">
      <w:pPr>
        <w:spacing w:line="240" w:lineRule="auto"/>
        <w:jc w:val="both"/>
        <w:rPr>
          <w:rFonts w:ascii="Times New Roman" w:hAnsi="Times New Roman" w:cs="Times New Roman"/>
          <w:sz w:val="24"/>
          <w:szCs w:val="24"/>
        </w:rPr>
      </w:pPr>
      <w:r w:rsidRPr="00511F1F">
        <w:rPr>
          <w:rFonts w:ascii="Times New Roman" w:hAnsi="Times New Roman" w:cs="Times New Roman"/>
          <w:b/>
          <w:sz w:val="24"/>
          <w:szCs w:val="24"/>
        </w:rPr>
        <w:t>Nota</w:t>
      </w:r>
      <w:r w:rsidR="00320D88" w:rsidRPr="00511F1F">
        <w:rPr>
          <w:rFonts w:ascii="Times New Roman" w:hAnsi="Times New Roman" w:cs="Times New Roman"/>
          <w:b/>
          <w:sz w:val="24"/>
          <w:szCs w:val="24"/>
        </w:rPr>
        <w:t xml:space="preserve"> </w:t>
      </w:r>
      <w:r w:rsidRPr="00511F1F">
        <w:rPr>
          <w:rFonts w:ascii="Times New Roman" w:hAnsi="Times New Roman" w:cs="Times New Roman"/>
          <w:b/>
          <w:sz w:val="24"/>
          <w:szCs w:val="24"/>
        </w:rPr>
        <w:t>V</w:t>
      </w:r>
      <w:r>
        <w:rPr>
          <w:rFonts w:ascii="Times New Roman" w:hAnsi="Times New Roman" w:cs="Times New Roman"/>
          <w:sz w:val="24"/>
          <w:szCs w:val="24"/>
        </w:rPr>
        <w:t>: la importancia del tema anterior (</w:t>
      </w:r>
      <w:r w:rsidR="00682525">
        <w:rPr>
          <w:rFonts w:ascii="Times New Roman" w:hAnsi="Times New Roman" w:cs="Times New Roman"/>
          <w:sz w:val="24"/>
          <w:szCs w:val="24"/>
        </w:rPr>
        <w:t>“</w:t>
      </w:r>
      <w:r>
        <w:rPr>
          <w:rFonts w:ascii="Times New Roman" w:hAnsi="Times New Roman" w:cs="Times New Roman"/>
          <w:sz w:val="24"/>
          <w:szCs w:val="24"/>
        </w:rPr>
        <w:t>cuando veas las barbas del vecino</w:t>
      </w:r>
      <w:r w:rsidR="00682525">
        <w:rPr>
          <w:rFonts w:ascii="Times New Roman" w:hAnsi="Times New Roman" w:cs="Times New Roman"/>
          <w:sz w:val="24"/>
          <w:szCs w:val="24"/>
        </w:rPr>
        <w:t>”</w:t>
      </w:r>
      <w:r>
        <w:rPr>
          <w:rFonts w:ascii="Times New Roman" w:hAnsi="Times New Roman" w:cs="Times New Roman"/>
          <w:sz w:val="24"/>
          <w:szCs w:val="24"/>
        </w:rPr>
        <w:t>…), lo haría merecedor de figurar como cierre del Anexo próximo (“los que saben”), para que</w:t>
      </w:r>
      <w:r w:rsidR="00221B01">
        <w:rPr>
          <w:rFonts w:ascii="Times New Roman" w:hAnsi="Times New Roman" w:cs="Times New Roman"/>
          <w:sz w:val="24"/>
          <w:szCs w:val="24"/>
        </w:rPr>
        <w:t xml:space="preserve"> el lector</w:t>
      </w:r>
      <w:r>
        <w:rPr>
          <w:rFonts w:ascii="Times New Roman" w:hAnsi="Times New Roman" w:cs="Times New Roman"/>
          <w:sz w:val="24"/>
          <w:szCs w:val="24"/>
        </w:rPr>
        <w:t xml:space="preserve"> no se olvide</w:t>
      </w:r>
      <w:r w:rsidR="00221B01">
        <w:rPr>
          <w:rFonts w:ascii="Times New Roman" w:hAnsi="Times New Roman" w:cs="Times New Roman"/>
          <w:sz w:val="24"/>
          <w:szCs w:val="24"/>
        </w:rPr>
        <w:t xml:space="preserve"> de</w:t>
      </w:r>
      <w:r>
        <w:rPr>
          <w:rFonts w:ascii="Times New Roman" w:hAnsi="Times New Roman" w:cs="Times New Roman"/>
          <w:sz w:val="24"/>
          <w:szCs w:val="24"/>
        </w:rPr>
        <w:t xml:space="preserve"> lo inolvidab</w:t>
      </w:r>
      <w:r w:rsidR="00221B01">
        <w:rPr>
          <w:rFonts w:ascii="Times New Roman" w:hAnsi="Times New Roman" w:cs="Times New Roman"/>
          <w:sz w:val="24"/>
          <w:szCs w:val="24"/>
        </w:rPr>
        <w:t>le. Pero lo dejo aquí, como “repaso”, “aviso”, o “presagio”, tal vez.</w:t>
      </w:r>
      <w:r>
        <w:rPr>
          <w:rFonts w:ascii="Times New Roman" w:hAnsi="Times New Roman" w:cs="Times New Roman"/>
          <w:sz w:val="24"/>
          <w:szCs w:val="24"/>
        </w:rPr>
        <w:t xml:space="preserve"> </w:t>
      </w:r>
    </w:p>
    <w:p w:rsidR="00221B01" w:rsidRDefault="00682525" w:rsidP="00F14030">
      <w:pPr>
        <w:spacing w:line="240" w:lineRule="auto"/>
        <w:jc w:val="both"/>
        <w:rPr>
          <w:rFonts w:ascii="Times New Roman" w:hAnsi="Times New Roman" w:cs="Times New Roman"/>
          <w:sz w:val="24"/>
          <w:szCs w:val="24"/>
        </w:rPr>
      </w:pPr>
      <w:r>
        <w:rPr>
          <w:rFonts w:ascii="Times New Roman" w:hAnsi="Times New Roman" w:cs="Times New Roman"/>
          <w:sz w:val="24"/>
          <w:szCs w:val="24"/>
        </w:rPr>
        <w:t>Ya que no quiero plantearlo como una “Coda”, si ustedes son piadosos pueden considerarlo una “Obertura”, aunque por la partitura, más valdría considerarla un “</w:t>
      </w:r>
      <w:r w:rsidR="002041E8">
        <w:rPr>
          <w:rFonts w:ascii="Times New Roman" w:hAnsi="Times New Roman" w:cs="Times New Roman"/>
          <w:sz w:val="24"/>
          <w:szCs w:val="24"/>
        </w:rPr>
        <w:t>Ré</w:t>
      </w:r>
      <w:r>
        <w:rPr>
          <w:rFonts w:ascii="Times New Roman" w:hAnsi="Times New Roman" w:cs="Times New Roman"/>
          <w:sz w:val="24"/>
          <w:szCs w:val="24"/>
        </w:rPr>
        <w:t>quiem” o</w:t>
      </w:r>
      <w:r w:rsidR="002041E8">
        <w:rPr>
          <w:rFonts w:ascii="Times New Roman" w:hAnsi="Times New Roman" w:cs="Times New Roman"/>
          <w:sz w:val="24"/>
          <w:szCs w:val="24"/>
        </w:rPr>
        <w:t xml:space="preserve"> mejor un</w:t>
      </w:r>
      <w:r>
        <w:rPr>
          <w:rFonts w:ascii="Times New Roman" w:hAnsi="Times New Roman" w:cs="Times New Roman"/>
          <w:sz w:val="24"/>
          <w:szCs w:val="24"/>
        </w:rPr>
        <w:t xml:space="preserve"> “Responso” (para</w:t>
      </w:r>
      <w:r w:rsidR="002041E8">
        <w:rPr>
          <w:rFonts w:ascii="Times New Roman" w:hAnsi="Times New Roman" w:cs="Times New Roman"/>
          <w:sz w:val="24"/>
          <w:szCs w:val="24"/>
        </w:rPr>
        <w:t xml:space="preserve"> hacerlo más cercano a la auténtica “tanguedia” argentina: “la vergüenza de haber sido y el dolor de ya no ser”</w:t>
      </w:r>
      <w:r w:rsidR="004C6999">
        <w:rPr>
          <w:rFonts w:ascii="Times New Roman" w:hAnsi="Times New Roman" w:cs="Times New Roman"/>
          <w:sz w:val="24"/>
          <w:szCs w:val="24"/>
        </w:rPr>
        <w:t xml:space="preserve"> - de </w:t>
      </w:r>
      <w:r w:rsidR="00852881">
        <w:rPr>
          <w:rFonts w:ascii="Times New Roman" w:hAnsi="Times New Roman" w:cs="Times New Roman"/>
          <w:sz w:val="24"/>
          <w:szCs w:val="24"/>
        </w:rPr>
        <w:t>letra del tango: “Cuesta abajo”</w:t>
      </w:r>
      <w:r w:rsidR="004C6999">
        <w:rPr>
          <w:rFonts w:ascii="Times New Roman" w:hAnsi="Times New Roman" w:cs="Times New Roman"/>
          <w:sz w:val="24"/>
          <w:szCs w:val="24"/>
        </w:rPr>
        <w:t>)</w:t>
      </w:r>
      <w:r w:rsidR="00852881">
        <w:rPr>
          <w:rFonts w:ascii="Times New Roman" w:hAnsi="Times New Roman" w:cs="Times New Roman"/>
          <w:sz w:val="24"/>
          <w:szCs w:val="24"/>
        </w:rPr>
        <w:t>.</w:t>
      </w:r>
      <w:r>
        <w:rPr>
          <w:rFonts w:ascii="Times New Roman" w:hAnsi="Times New Roman" w:cs="Times New Roman"/>
          <w:sz w:val="24"/>
          <w:szCs w:val="24"/>
        </w:rPr>
        <w:t xml:space="preserve"> </w:t>
      </w:r>
      <w:r w:rsidR="00215CA9">
        <w:rPr>
          <w:rFonts w:ascii="Times New Roman" w:hAnsi="Times New Roman" w:cs="Times New Roman"/>
          <w:sz w:val="24"/>
          <w:szCs w:val="24"/>
        </w:rPr>
        <w:t xml:space="preserve"> </w:t>
      </w:r>
    </w:p>
    <w:p w:rsidR="00F55EE6" w:rsidRDefault="00221B01" w:rsidP="00F1403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Perdón por la </w:t>
      </w:r>
      <w:r w:rsidR="00320D88">
        <w:rPr>
          <w:rFonts w:ascii="Times New Roman" w:hAnsi="Times New Roman" w:cs="Times New Roman"/>
          <w:sz w:val="24"/>
          <w:szCs w:val="24"/>
        </w:rPr>
        <w:t>reiteración</w:t>
      </w:r>
      <w:r w:rsidR="00215CA9">
        <w:rPr>
          <w:rFonts w:ascii="Times New Roman" w:hAnsi="Times New Roman" w:cs="Times New Roman"/>
          <w:sz w:val="24"/>
          <w:szCs w:val="24"/>
        </w:rPr>
        <w:t xml:space="preserve">, pero es el </w:t>
      </w:r>
      <w:r>
        <w:rPr>
          <w:rFonts w:ascii="Times New Roman" w:hAnsi="Times New Roman" w:cs="Times New Roman"/>
          <w:sz w:val="24"/>
          <w:szCs w:val="24"/>
        </w:rPr>
        <w:t>“</w:t>
      </w:r>
      <w:r w:rsidR="00215CA9">
        <w:rPr>
          <w:rFonts w:ascii="Times New Roman" w:hAnsi="Times New Roman" w:cs="Times New Roman"/>
          <w:sz w:val="24"/>
          <w:szCs w:val="24"/>
        </w:rPr>
        <w:t>síndrome</w:t>
      </w:r>
      <w:r w:rsidR="002041E8">
        <w:rPr>
          <w:rFonts w:ascii="Times New Roman" w:hAnsi="Times New Roman" w:cs="Times New Roman"/>
          <w:sz w:val="24"/>
          <w:szCs w:val="24"/>
        </w:rPr>
        <w:t xml:space="preserve"> del sobreviviente</w:t>
      </w:r>
      <w:r w:rsidR="00215CA9">
        <w:rPr>
          <w:rFonts w:ascii="Times New Roman" w:hAnsi="Times New Roman" w:cs="Times New Roman"/>
          <w:sz w:val="24"/>
          <w:szCs w:val="24"/>
        </w:rPr>
        <w:t xml:space="preserve"> del holocausto monetario</w:t>
      </w:r>
      <w:r>
        <w:rPr>
          <w:rFonts w:ascii="Times New Roman" w:hAnsi="Times New Roman" w:cs="Times New Roman"/>
          <w:sz w:val="24"/>
          <w:szCs w:val="24"/>
        </w:rPr>
        <w:t>”</w:t>
      </w:r>
      <w:r w:rsidR="00215CA9">
        <w:rPr>
          <w:rFonts w:ascii="Times New Roman" w:hAnsi="Times New Roman" w:cs="Times New Roman"/>
          <w:sz w:val="24"/>
          <w:szCs w:val="24"/>
        </w:rPr>
        <w:t xml:space="preserve"> que padecemos los argentinos desde la cuna, que no</w:t>
      </w:r>
      <w:r>
        <w:rPr>
          <w:rFonts w:ascii="Times New Roman" w:hAnsi="Times New Roman" w:cs="Times New Roman"/>
          <w:sz w:val="24"/>
          <w:szCs w:val="24"/>
        </w:rPr>
        <w:t xml:space="preserve"> puede</w:t>
      </w:r>
      <w:r w:rsidR="00215CA9">
        <w:rPr>
          <w:rFonts w:ascii="Times New Roman" w:hAnsi="Times New Roman" w:cs="Times New Roman"/>
          <w:sz w:val="24"/>
          <w:szCs w:val="24"/>
        </w:rPr>
        <w:t xml:space="preserve"> quita</w:t>
      </w:r>
      <w:r>
        <w:rPr>
          <w:rFonts w:ascii="Times New Roman" w:hAnsi="Times New Roman" w:cs="Times New Roman"/>
          <w:sz w:val="24"/>
          <w:szCs w:val="24"/>
        </w:rPr>
        <w:t>r</w:t>
      </w:r>
      <w:r w:rsidR="00215CA9">
        <w:rPr>
          <w:rFonts w:ascii="Times New Roman" w:hAnsi="Times New Roman" w:cs="Times New Roman"/>
          <w:sz w:val="24"/>
          <w:szCs w:val="24"/>
        </w:rPr>
        <w:t>,</w:t>
      </w:r>
      <w:r>
        <w:rPr>
          <w:rFonts w:ascii="Times New Roman" w:hAnsi="Times New Roman" w:cs="Times New Roman"/>
          <w:sz w:val="24"/>
          <w:szCs w:val="24"/>
        </w:rPr>
        <w:t xml:space="preserve"> ni el exilio</w:t>
      </w:r>
      <w:r w:rsidR="002041E8">
        <w:rPr>
          <w:rFonts w:ascii="Times New Roman" w:hAnsi="Times New Roman" w:cs="Times New Roman"/>
          <w:sz w:val="24"/>
          <w:szCs w:val="24"/>
        </w:rPr>
        <w:t xml:space="preserve"> voluntario</w:t>
      </w:r>
      <w:r>
        <w:rPr>
          <w:rFonts w:ascii="Times New Roman" w:hAnsi="Times New Roman" w:cs="Times New Roman"/>
          <w:sz w:val="24"/>
          <w:szCs w:val="24"/>
        </w:rPr>
        <w:t xml:space="preserve">, ni </w:t>
      </w:r>
      <w:r w:rsidR="002041E8">
        <w:rPr>
          <w:rFonts w:ascii="Times New Roman" w:hAnsi="Times New Roman" w:cs="Times New Roman"/>
          <w:sz w:val="24"/>
          <w:szCs w:val="24"/>
        </w:rPr>
        <w:t>l</w:t>
      </w:r>
      <w:r w:rsidR="002041E8" w:rsidRPr="002041E8">
        <w:rPr>
          <w:rFonts w:ascii="Times New Roman" w:hAnsi="Times New Roman" w:cs="Times New Roman"/>
          <w:sz w:val="24"/>
          <w:szCs w:val="24"/>
        </w:rPr>
        <w:t xml:space="preserve">a terapia electroconvulsiva </w:t>
      </w:r>
      <w:r w:rsidR="002041E8">
        <w:rPr>
          <w:rFonts w:ascii="Times New Roman" w:hAnsi="Times New Roman" w:cs="Times New Roman"/>
          <w:sz w:val="24"/>
          <w:szCs w:val="24"/>
        </w:rPr>
        <w:t>d</w:t>
      </w:r>
      <w:r w:rsidR="00215CA9">
        <w:rPr>
          <w:rFonts w:ascii="Times New Roman" w:hAnsi="Times New Roman" w:cs="Times New Roman"/>
          <w:sz w:val="24"/>
          <w:szCs w:val="24"/>
        </w:rPr>
        <w:t>el psiquiatra,</w:t>
      </w:r>
      <w:r w:rsidR="002041E8">
        <w:rPr>
          <w:rFonts w:ascii="Times New Roman" w:hAnsi="Times New Roman" w:cs="Times New Roman"/>
          <w:sz w:val="24"/>
          <w:szCs w:val="24"/>
        </w:rPr>
        <w:t xml:space="preserve"> ni siquiera los psicólogos que te dicen lo que quieres </w:t>
      </w:r>
      <w:r w:rsidR="00FA1A12">
        <w:rPr>
          <w:rFonts w:ascii="Times New Roman" w:hAnsi="Times New Roman" w:cs="Times New Roman"/>
          <w:sz w:val="24"/>
          <w:szCs w:val="24"/>
        </w:rPr>
        <w:t>oír</w:t>
      </w:r>
      <w:r w:rsidR="002041E8">
        <w:rPr>
          <w:rFonts w:ascii="Times New Roman" w:hAnsi="Times New Roman" w:cs="Times New Roman"/>
          <w:sz w:val="24"/>
          <w:szCs w:val="24"/>
        </w:rPr>
        <w:t>,</w:t>
      </w:r>
      <w:r w:rsidR="00852881">
        <w:rPr>
          <w:rFonts w:ascii="Times New Roman" w:hAnsi="Times New Roman" w:cs="Times New Roman"/>
          <w:sz w:val="24"/>
          <w:szCs w:val="24"/>
        </w:rPr>
        <w:t xml:space="preserve"> o un tratamiento prolongado de</w:t>
      </w:r>
      <w:r w:rsidR="00215CA9">
        <w:rPr>
          <w:rFonts w:ascii="Times New Roman" w:hAnsi="Times New Roman" w:cs="Times New Roman"/>
          <w:sz w:val="24"/>
          <w:szCs w:val="24"/>
        </w:rPr>
        <w:t xml:space="preserve"> Prozac</w:t>
      </w:r>
      <w:r w:rsidR="004C6999">
        <w:rPr>
          <w:rFonts w:ascii="Times New Roman" w:hAnsi="Times New Roman" w:cs="Times New Roman"/>
          <w:sz w:val="24"/>
          <w:szCs w:val="24"/>
        </w:rPr>
        <w:t xml:space="preserve"> (u otros “opiáceos”, milagrosos)</w:t>
      </w:r>
      <w:r w:rsidR="00215CA9">
        <w:rPr>
          <w:rFonts w:ascii="Times New Roman" w:hAnsi="Times New Roman" w:cs="Times New Roman"/>
          <w:sz w:val="24"/>
          <w:szCs w:val="24"/>
        </w:rPr>
        <w:t>…</w:t>
      </w:r>
    </w:p>
    <w:p w:rsidR="00F55EE6" w:rsidRPr="007E760A" w:rsidRDefault="00F55EE6" w:rsidP="00F55EE6">
      <w:pPr>
        <w:spacing w:line="240" w:lineRule="auto"/>
        <w:jc w:val="both"/>
        <w:rPr>
          <w:rFonts w:ascii="Times New Roman" w:hAnsi="Times New Roman" w:cs="Times New Roman"/>
          <w:sz w:val="24"/>
          <w:szCs w:val="24"/>
          <w:u w:val="single"/>
        </w:rPr>
      </w:pPr>
      <w:r w:rsidRPr="007E760A">
        <w:rPr>
          <w:rFonts w:ascii="Times New Roman" w:hAnsi="Times New Roman" w:cs="Times New Roman"/>
          <w:sz w:val="24"/>
          <w:szCs w:val="24"/>
          <w:u w:val="single"/>
        </w:rPr>
        <w:t>Arrogancia del poder, ceguera ante la realidad (la falsa promesa del hombre fuerte)</w:t>
      </w:r>
    </w:p>
    <w:p w:rsidR="00F55EE6" w:rsidRPr="007E760A" w:rsidRDefault="00F55EE6" w:rsidP="00F55EE6">
      <w:pPr>
        <w:spacing w:line="240" w:lineRule="auto"/>
        <w:jc w:val="both"/>
        <w:rPr>
          <w:rFonts w:ascii="Times New Roman" w:hAnsi="Times New Roman" w:cs="Times New Roman"/>
          <w:sz w:val="24"/>
          <w:szCs w:val="24"/>
        </w:rPr>
      </w:pPr>
      <w:r w:rsidRPr="007E760A">
        <w:rPr>
          <w:rFonts w:ascii="Times New Roman" w:hAnsi="Times New Roman" w:cs="Times New Roman"/>
          <w:sz w:val="24"/>
          <w:szCs w:val="24"/>
        </w:rPr>
        <w:t xml:space="preserve">“El poder se confunde con la virtud y tiende a considerarse omnipotente. Una vez imbuido con </w:t>
      </w:r>
      <w:r w:rsidR="00153003">
        <w:rPr>
          <w:rFonts w:ascii="Times New Roman" w:hAnsi="Times New Roman" w:cs="Times New Roman"/>
          <w:sz w:val="24"/>
          <w:szCs w:val="24"/>
        </w:rPr>
        <w:t>la idea de una misión, un país (</w:t>
      </w:r>
      <w:r w:rsidRPr="007E760A">
        <w:rPr>
          <w:rFonts w:ascii="Times New Roman" w:hAnsi="Times New Roman" w:cs="Times New Roman"/>
          <w:sz w:val="24"/>
          <w:szCs w:val="24"/>
        </w:rPr>
        <w:t xml:space="preserve">o </w:t>
      </w:r>
      <w:r w:rsidR="00153003">
        <w:rPr>
          <w:rFonts w:ascii="Times New Roman" w:hAnsi="Times New Roman" w:cs="Times New Roman"/>
          <w:sz w:val="24"/>
          <w:szCs w:val="24"/>
        </w:rPr>
        <w:t>un partido político)</w:t>
      </w:r>
      <w:r w:rsidRPr="007E760A">
        <w:rPr>
          <w:rFonts w:ascii="Times New Roman" w:hAnsi="Times New Roman" w:cs="Times New Roman"/>
          <w:sz w:val="24"/>
          <w:szCs w:val="24"/>
        </w:rPr>
        <w:t xml:space="preserve"> fácilmente asume que tiene los medios y el deber de hacer el trabajo de Dios”. Así escribía a mediados del siglo XX J. William Fullbright, presidente sucesivamente del Comité de Relaciones Exteriores de la Cámara de Representantes y del Senado de Estados Unidos por varios períodos, en un influyente libro: “Arrogancia de poder”.</w:t>
      </w:r>
    </w:p>
    <w:p w:rsidR="00F55EE6" w:rsidRPr="007E760A" w:rsidRDefault="00F55EE6" w:rsidP="00F55EE6">
      <w:pPr>
        <w:spacing w:line="240" w:lineRule="auto"/>
        <w:jc w:val="both"/>
        <w:rPr>
          <w:rFonts w:ascii="Times New Roman" w:hAnsi="Times New Roman" w:cs="Times New Roman"/>
          <w:sz w:val="24"/>
          <w:szCs w:val="24"/>
        </w:rPr>
      </w:pPr>
      <w:r w:rsidRPr="007E760A">
        <w:rPr>
          <w:rFonts w:ascii="Times New Roman" w:hAnsi="Times New Roman" w:cs="Times New Roman"/>
          <w:sz w:val="24"/>
          <w:szCs w:val="24"/>
        </w:rPr>
        <w:t>Estamos viviendo prácticamente al arbitrio de las autoridades y de los funcionarios públicos, quienes tienden a convertirse en los censores de la vida, del pensamiento y de la actuación de los ciudadanos. … La verdad cede su puesto a la mentira, la transparencia a la corrupción, el diálogo a la intolerancia y la convivencia a la anarquía…</w:t>
      </w:r>
    </w:p>
    <w:p w:rsidR="00F55EE6" w:rsidRDefault="00F55EE6" w:rsidP="00F55EE6">
      <w:pPr>
        <w:spacing w:line="240" w:lineRule="auto"/>
        <w:jc w:val="both"/>
        <w:rPr>
          <w:rFonts w:ascii="Times New Roman" w:hAnsi="Times New Roman" w:cs="Times New Roman"/>
          <w:sz w:val="24"/>
          <w:szCs w:val="24"/>
        </w:rPr>
      </w:pPr>
      <w:r w:rsidRPr="007E760A">
        <w:rPr>
          <w:rFonts w:ascii="Times New Roman" w:hAnsi="Times New Roman" w:cs="Times New Roman"/>
          <w:sz w:val="24"/>
          <w:szCs w:val="24"/>
        </w:rPr>
        <w:t>Impedir o retrasar, los “ajustes” económicos necesarios, para evitar la excesiva expansión monetaria, con múltiples argumentos falaces, o proposiciones irracionales, es una medida absurda, que pone en peligro la estabilidad política y social de los países (antes, avanzados), con consecuencias, que pueden llegar a ser fatales para personas, instituciones y bienes.</w:t>
      </w:r>
    </w:p>
    <w:p w:rsidR="00B7251E" w:rsidRDefault="00B7251E" w:rsidP="00F55EE6">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7251E">
        <w:rPr>
          <w:rFonts w:ascii="Times New Roman" w:hAnsi="Times New Roman" w:cs="Times New Roman"/>
          <w:sz w:val="24"/>
          <w:szCs w:val="24"/>
        </w:rPr>
        <w:t>Qué</w:t>
      </w:r>
      <w:r w:rsidR="0068500B">
        <w:rPr>
          <w:rFonts w:ascii="Times New Roman" w:hAnsi="Times New Roman" w:cs="Times New Roman"/>
          <w:sz w:val="24"/>
          <w:szCs w:val="24"/>
        </w:rPr>
        <w:t xml:space="preserve"> pasa cuando pones gente timorata</w:t>
      </w:r>
      <w:r>
        <w:rPr>
          <w:rFonts w:ascii="Times New Roman" w:hAnsi="Times New Roman" w:cs="Times New Roman"/>
          <w:sz w:val="24"/>
          <w:szCs w:val="24"/>
        </w:rPr>
        <w:t xml:space="preserve"> en un entorno de maldad? </w:t>
      </w:r>
    </w:p>
    <w:p w:rsidR="00F55EE6" w:rsidRPr="007E760A" w:rsidRDefault="00F55EE6" w:rsidP="00F55EE6">
      <w:pPr>
        <w:spacing w:line="240" w:lineRule="auto"/>
        <w:jc w:val="both"/>
        <w:rPr>
          <w:rFonts w:ascii="Times New Roman" w:hAnsi="Times New Roman" w:cs="Times New Roman"/>
          <w:sz w:val="24"/>
          <w:szCs w:val="24"/>
        </w:rPr>
      </w:pPr>
      <w:r w:rsidRPr="007E760A">
        <w:rPr>
          <w:rFonts w:ascii="Times New Roman" w:hAnsi="Times New Roman" w:cs="Times New Roman"/>
          <w:sz w:val="24"/>
          <w:szCs w:val="24"/>
        </w:rPr>
        <w:t>¿Cómo luchar contra esta desesperanza aprendida? Nada mejor que con un optimismo aprendido. Hay razones para ello.</w:t>
      </w:r>
    </w:p>
    <w:p w:rsidR="00F55EE6" w:rsidRPr="007E760A" w:rsidRDefault="00F55EE6" w:rsidP="00F55EE6">
      <w:pPr>
        <w:spacing w:line="240" w:lineRule="auto"/>
        <w:jc w:val="both"/>
        <w:rPr>
          <w:rFonts w:ascii="Times New Roman" w:hAnsi="Times New Roman" w:cs="Times New Roman"/>
          <w:sz w:val="24"/>
          <w:szCs w:val="24"/>
        </w:rPr>
      </w:pPr>
      <w:r w:rsidRPr="007E760A">
        <w:rPr>
          <w:rFonts w:ascii="Times New Roman" w:hAnsi="Times New Roman" w:cs="Times New Roman"/>
          <w:sz w:val="24"/>
          <w:szCs w:val="24"/>
        </w:rPr>
        <w:t>Decía Winston Churchill que el político se convierte en estadista cuando comienza a pensar en las próximas generaciones y no en las próximas elecciones.</w:t>
      </w:r>
    </w:p>
    <w:p w:rsidR="00F55EE6" w:rsidRDefault="00F55EE6" w:rsidP="00F55EE6">
      <w:pPr>
        <w:spacing w:line="240" w:lineRule="auto"/>
        <w:jc w:val="both"/>
        <w:rPr>
          <w:rFonts w:ascii="Times New Roman" w:hAnsi="Times New Roman" w:cs="Times New Roman"/>
          <w:sz w:val="24"/>
          <w:szCs w:val="24"/>
        </w:rPr>
      </w:pPr>
      <w:r w:rsidRPr="007E760A">
        <w:rPr>
          <w:rFonts w:ascii="Times New Roman" w:hAnsi="Times New Roman" w:cs="Times New Roman"/>
          <w:sz w:val="24"/>
          <w:szCs w:val="24"/>
        </w:rPr>
        <w:t>Tal vez, los banqueros centrales deberían comenzar a pensar en las próximas generaciones (sociedad) y no, exclusivamente, en el mercado (Wall Street y Silicon Valley).</w:t>
      </w:r>
    </w:p>
    <w:p w:rsidR="00153003" w:rsidRDefault="00153003" w:rsidP="00F55EE6">
      <w:pPr>
        <w:spacing w:line="240" w:lineRule="auto"/>
        <w:jc w:val="both"/>
        <w:rPr>
          <w:rFonts w:ascii="Times New Roman" w:hAnsi="Times New Roman" w:cs="Times New Roman"/>
          <w:sz w:val="24"/>
          <w:szCs w:val="24"/>
        </w:rPr>
      </w:pPr>
      <w:r>
        <w:rPr>
          <w:rFonts w:ascii="Times New Roman" w:hAnsi="Times New Roman" w:cs="Times New Roman"/>
          <w:sz w:val="24"/>
          <w:szCs w:val="24"/>
        </w:rPr>
        <w:t>Tal vez, los banqueros centrales deberían comenzar a “produci</w:t>
      </w:r>
      <w:r w:rsidR="0068500B">
        <w:rPr>
          <w:rFonts w:ascii="Times New Roman" w:hAnsi="Times New Roman" w:cs="Times New Roman"/>
          <w:sz w:val="24"/>
          <w:szCs w:val="24"/>
        </w:rPr>
        <w:t>r” historia, en vez de ser “facilitadores” d</w:t>
      </w:r>
      <w:r>
        <w:rPr>
          <w:rFonts w:ascii="Times New Roman" w:hAnsi="Times New Roman" w:cs="Times New Roman"/>
          <w:sz w:val="24"/>
          <w:szCs w:val="24"/>
        </w:rPr>
        <w:t>el “consumo” de la historia</w:t>
      </w:r>
      <w:r w:rsidR="0068500B">
        <w:rPr>
          <w:rFonts w:ascii="Times New Roman" w:hAnsi="Times New Roman" w:cs="Times New Roman"/>
          <w:sz w:val="24"/>
          <w:szCs w:val="24"/>
        </w:rPr>
        <w:t>, por los “mercados”</w:t>
      </w:r>
      <w:r>
        <w:rPr>
          <w:rFonts w:ascii="Times New Roman" w:hAnsi="Times New Roman" w:cs="Times New Roman"/>
          <w:sz w:val="24"/>
          <w:szCs w:val="24"/>
        </w:rPr>
        <w:t>.</w:t>
      </w:r>
    </w:p>
    <w:p w:rsidR="00A06A8A" w:rsidRPr="007E760A" w:rsidRDefault="00A06A8A" w:rsidP="00F55EE6">
      <w:pPr>
        <w:spacing w:line="240" w:lineRule="auto"/>
        <w:jc w:val="both"/>
        <w:rPr>
          <w:rFonts w:ascii="Times New Roman" w:hAnsi="Times New Roman" w:cs="Times New Roman"/>
          <w:sz w:val="24"/>
          <w:szCs w:val="24"/>
        </w:rPr>
      </w:pPr>
      <w:r>
        <w:rPr>
          <w:rFonts w:ascii="Times New Roman" w:hAnsi="Times New Roman" w:cs="Times New Roman"/>
          <w:sz w:val="24"/>
          <w:szCs w:val="24"/>
        </w:rPr>
        <w:t>Tal</w:t>
      </w:r>
      <w:r w:rsidR="003F41A6">
        <w:rPr>
          <w:rFonts w:ascii="Times New Roman" w:hAnsi="Times New Roman" w:cs="Times New Roman"/>
          <w:sz w:val="24"/>
          <w:szCs w:val="24"/>
        </w:rPr>
        <w:t xml:space="preserve"> vez, los banqueros centrales deberían “deconstruir” la</w:t>
      </w:r>
      <w:r w:rsidRPr="00192BD0">
        <w:rPr>
          <w:rFonts w:ascii="Times New Roman" w:hAnsi="Times New Roman" w:cs="Times New Roman"/>
          <w:sz w:val="24"/>
          <w:szCs w:val="24"/>
        </w:rPr>
        <w:t xml:space="preserve"> creencia demasiado común entre la </w:t>
      </w:r>
      <w:r w:rsidR="003F41A6">
        <w:rPr>
          <w:rFonts w:ascii="Times New Roman" w:hAnsi="Times New Roman" w:cs="Times New Roman"/>
          <w:sz w:val="24"/>
          <w:szCs w:val="24"/>
        </w:rPr>
        <w:t>élite empresarial, “</w:t>
      </w:r>
      <w:r w:rsidRPr="00192BD0">
        <w:rPr>
          <w:rFonts w:ascii="Times New Roman" w:hAnsi="Times New Roman" w:cs="Times New Roman"/>
          <w:sz w:val="24"/>
          <w:szCs w:val="24"/>
        </w:rPr>
        <w:t>que el interés económico propio coincide con el bien global</w:t>
      </w:r>
      <w:r w:rsidR="003F41A6">
        <w:rPr>
          <w:rFonts w:ascii="Times New Roman" w:hAnsi="Times New Roman" w:cs="Times New Roman"/>
          <w:sz w:val="24"/>
          <w:szCs w:val="24"/>
        </w:rPr>
        <w:t>”.</w:t>
      </w:r>
    </w:p>
    <w:p w:rsidR="00F55EE6" w:rsidRPr="007E760A" w:rsidRDefault="00F55EE6" w:rsidP="00F55EE6">
      <w:pPr>
        <w:spacing w:line="240" w:lineRule="auto"/>
        <w:jc w:val="both"/>
        <w:rPr>
          <w:rFonts w:ascii="Times New Roman" w:hAnsi="Times New Roman" w:cs="Times New Roman"/>
          <w:sz w:val="24"/>
          <w:szCs w:val="24"/>
        </w:rPr>
      </w:pPr>
      <w:r w:rsidRPr="007E760A">
        <w:rPr>
          <w:rFonts w:ascii="Times New Roman" w:hAnsi="Times New Roman" w:cs="Times New Roman"/>
          <w:sz w:val="24"/>
          <w:szCs w:val="24"/>
        </w:rPr>
        <w:t>¿Será mucho pedir (aunque resulte, “políticamente incorrecto”)?</w:t>
      </w:r>
    </w:p>
    <w:p w:rsidR="00F55EE6" w:rsidRDefault="00F55EE6" w:rsidP="00F55EE6">
      <w:pPr>
        <w:spacing w:line="240" w:lineRule="auto"/>
        <w:jc w:val="both"/>
        <w:rPr>
          <w:rFonts w:ascii="Times New Roman" w:hAnsi="Times New Roman" w:cs="Times New Roman"/>
          <w:sz w:val="24"/>
          <w:szCs w:val="24"/>
        </w:rPr>
      </w:pPr>
      <w:r>
        <w:rPr>
          <w:rFonts w:ascii="Times New Roman" w:hAnsi="Times New Roman" w:cs="Times New Roman"/>
          <w:sz w:val="24"/>
          <w:szCs w:val="24"/>
        </w:rPr>
        <w:t>Se convencerán por fin los</w:t>
      </w:r>
      <w:r w:rsidRPr="00EF130C">
        <w:rPr>
          <w:rFonts w:ascii="Times New Roman" w:hAnsi="Times New Roman" w:cs="Times New Roman"/>
          <w:sz w:val="24"/>
          <w:szCs w:val="24"/>
        </w:rPr>
        <w:t xml:space="preserve"> presidente</w:t>
      </w:r>
      <w:r>
        <w:rPr>
          <w:rFonts w:ascii="Times New Roman" w:hAnsi="Times New Roman" w:cs="Times New Roman"/>
          <w:sz w:val="24"/>
          <w:szCs w:val="24"/>
        </w:rPr>
        <w:t xml:space="preserve">s de la Fed y del BCE </w:t>
      </w:r>
      <w:r w:rsidRPr="00EF130C">
        <w:rPr>
          <w:rFonts w:ascii="Times New Roman" w:hAnsi="Times New Roman" w:cs="Times New Roman"/>
          <w:sz w:val="24"/>
          <w:szCs w:val="24"/>
        </w:rPr>
        <w:t>que la clave para resolver la crisis</w:t>
      </w:r>
      <w:r>
        <w:rPr>
          <w:rFonts w:ascii="Times New Roman" w:hAnsi="Times New Roman" w:cs="Times New Roman"/>
          <w:sz w:val="24"/>
          <w:szCs w:val="24"/>
        </w:rPr>
        <w:t xml:space="preserve"> inflacionaria</w:t>
      </w:r>
      <w:r w:rsidRPr="00EF130C">
        <w:rPr>
          <w:rFonts w:ascii="Times New Roman" w:hAnsi="Times New Roman" w:cs="Times New Roman"/>
          <w:sz w:val="24"/>
          <w:szCs w:val="24"/>
        </w:rPr>
        <w:t xml:space="preserve"> no son los arriesgados trucos técnicos y financieros, sino una clara demostración de liderazgo</w:t>
      </w:r>
      <w:r>
        <w:rPr>
          <w:rFonts w:ascii="Times New Roman" w:hAnsi="Times New Roman" w:cs="Times New Roman"/>
          <w:sz w:val="24"/>
          <w:szCs w:val="24"/>
        </w:rPr>
        <w:t xml:space="preserve"> (celeridad y determinación)</w:t>
      </w:r>
      <w:r w:rsidRPr="00EF130C">
        <w:rPr>
          <w:rFonts w:ascii="Times New Roman" w:hAnsi="Times New Roman" w:cs="Times New Roman"/>
          <w:sz w:val="24"/>
          <w:szCs w:val="24"/>
        </w:rPr>
        <w:t>.</w:t>
      </w:r>
      <w:r w:rsidR="003B5F23">
        <w:rPr>
          <w:rFonts w:ascii="Times New Roman" w:hAnsi="Times New Roman" w:cs="Times New Roman"/>
          <w:sz w:val="24"/>
          <w:szCs w:val="24"/>
        </w:rPr>
        <w:t xml:space="preserve"> </w:t>
      </w:r>
      <w:r w:rsidR="003B5F23" w:rsidRPr="003B5F23">
        <w:rPr>
          <w:rFonts w:ascii="Times New Roman" w:hAnsi="Times New Roman" w:cs="Times New Roman"/>
          <w:sz w:val="24"/>
          <w:szCs w:val="24"/>
        </w:rPr>
        <w:t>Tendrán capacidad de reacción para no actuar demasiado tarde y, por lo tanto, demasiado repentinamente, lo que no solo será económicamente costoso, sino también políticamente insostenible.</w:t>
      </w:r>
    </w:p>
    <w:p w:rsidR="003B5F23" w:rsidRDefault="00F55EE6" w:rsidP="00F55EE6">
      <w:pPr>
        <w:spacing w:line="240" w:lineRule="auto"/>
        <w:jc w:val="both"/>
        <w:rPr>
          <w:rFonts w:ascii="Times New Roman" w:hAnsi="Times New Roman" w:cs="Times New Roman"/>
          <w:sz w:val="24"/>
          <w:szCs w:val="24"/>
        </w:rPr>
      </w:pPr>
      <w:r>
        <w:rPr>
          <w:rFonts w:ascii="Times New Roman" w:hAnsi="Times New Roman" w:cs="Times New Roman"/>
          <w:sz w:val="24"/>
          <w:szCs w:val="24"/>
        </w:rPr>
        <w:t>Christine Lagarde, dijo en su momento que el “Whatever it takes” de Mario Draghi entraría en los anales como “</w:t>
      </w:r>
      <w:r w:rsidRPr="00186FAA">
        <w:rPr>
          <w:rFonts w:ascii="Times New Roman" w:hAnsi="Times New Roman" w:cs="Times New Roman"/>
          <w:sz w:val="24"/>
          <w:szCs w:val="24"/>
        </w:rPr>
        <w:t>las tres palabras más eficaces en la historia de los ban</w:t>
      </w:r>
      <w:r>
        <w:rPr>
          <w:rFonts w:ascii="Times New Roman" w:hAnsi="Times New Roman" w:cs="Times New Roman"/>
          <w:sz w:val="24"/>
          <w:szCs w:val="24"/>
        </w:rPr>
        <w:t>cos centrales”: qué pasaría si ahora, Powell, o la misma Lagarde, emplearan la misma frase, pero en vez de aplicada a una expansión monetaria sin límite, lo hicieran para combatir la inflación a fondo. “Y creedme: será suficiente” (sic): firmemente comprometido con la estabilidad de precios.</w:t>
      </w:r>
    </w:p>
    <w:p w:rsidR="00F55EE6" w:rsidRPr="003B5F23" w:rsidRDefault="00F55EE6" w:rsidP="00F55EE6">
      <w:pPr>
        <w:spacing w:line="240" w:lineRule="auto"/>
        <w:jc w:val="both"/>
        <w:rPr>
          <w:rFonts w:ascii="Times New Roman" w:hAnsi="Times New Roman" w:cs="Times New Roman"/>
          <w:sz w:val="24"/>
          <w:szCs w:val="24"/>
        </w:rPr>
      </w:pPr>
      <w:r w:rsidRPr="00517082">
        <w:rPr>
          <w:rFonts w:ascii="Times New Roman" w:hAnsi="Times New Roman" w:cs="Times New Roman"/>
          <w:b/>
          <w:sz w:val="24"/>
          <w:szCs w:val="24"/>
        </w:rPr>
        <w:lastRenderedPageBreak/>
        <w:t xml:space="preserve">Mientras se espera el (difícil) proceso de normalización de la política monetaria </w:t>
      </w:r>
    </w:p>
    <w:p w:rsidR="00F55EE6" w:rsidRPr="00776F31" w:rsidRDefault="00F55EE6" w:rsidP="00F55EE6">
      <w:pPr>
        <w:spacing w:line="240" w:lineRule="auto"/>
        <w:jc w:val="both"/>
        <w:rPr>
          <w:rFonts w:ascii="Times New Roman" w:hAnsi="Times New Roman" w:cs="Times New Roman"/>
          <w:sz w:val="24"/>
          <w:szCs w:val="24"/>
          <w:u w:val="single"/>
        </w:rPr>
      </w:pPr>
      <w:r w:rsidRPr="00776F31">
        <w:rPr>
          <w:rFonts w:ascii="Times New Roman" w:hAnsi="Times New Roman" w:cs="Times New Roman"/>
          <w:sz w:val="24"/>
          <w:szCs w:val="24"/>
          <w:u w:val="single"/>
        </w:rPr>
        <w:t>El primer año de las vacunas se salda con ganancias de más del 20% en las Bolsas</w:t>
      </w:r>
    </w:p>
    <w:p w:rsidR="00F55EE6" w:rsidRDefault="00F55EE6" w:rsidP="00F55EE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F5FD1">
        <w:rPr>
          <w:rFonts w:ascii="Times New Roman" w:hAnsi="Times New Roman" w:cs="Times New Roman"/>
          <w:noProof/>
          <w:sz w:val="24"/>
          <w:szCs w:val="24"/>
          <w:lang w:eastAsia="es-ES"/>
        </w:rPr>
        <w:drawing>
          <wp:inline distT="0" distB="0" distL="0" distR="0" wp14:anchorId="0E692D47" wp14:editId="73FAC3E6">
            <wp:extent cx="4927600" cy="3511550"/>
            <wp:effectExtent l="0" t="0" r="6350"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4"/>
                    <a:stretch>
                      <a:fillRect/>
                    </a:stretch>
                  </pic:blipFill>
                  <pic:spPr>
                    <a:xfrm>
                      <a:off x="0" y="0"/>
                      <a:ext cx="4930878" cy="3513886"/>
                    </a:xfrm>
                    <a:prstGeom prst="rect">
                      <a:avLst/>
                    </a:prstGeom>
                  </pic:spPr>
                </pic:pic>
              </a:graphicData>
            </a:graphic>
          </wp:inline>
        </w:drawing>
      </w:r>
    </w:p>
    <w:p w:rsidR="00F55EE6" w:rsidRDefault="00F55EE6" w:rsidP="00F55EE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(Cinco Días - </w:t>
      </w:r>
      <w:r w:rsidRPr="00776F31">
        <w:rPr>
          <w:rFonts w:ascii="Times New Roman" w:hAnsi="Times New Roman" w:cs="Times New Roman"/>
          <w:b/>
          <w:sz w:val="24"/>
          <w:szCs w:val="24"/>
        </w:rPr>
        <w:t>8/11/21</w:t>
      </w:r>
      <w:r>
        <w:rPr>
          <w:rFonts w:ascii="Times New Roman" w:hAnsi="Times New Roman" w:cs="Times New Roman"/>
          <w:sz w:val="24"/>
          <w:szCs w:val="24"/>
        </w:rPr>
        <w:t>)</w:t>
      </w:r>
    </w:p>
    <w:p w:rsidR="00F55EE6" w:rsidRPr="00776F31" w:rsidRDefault="00F55EE6" w:rsidP="00F55EE6">
      <w:pPr>
        <w:spacing w:line="240" w:lineRule="auto"/>
        <w:jc w:val="both"/>
        <w:rPr>
          <w:rFonts w:ascii="Times New Roman" w:hAnsi="Times New Roman" w:cs="Times New Roman"/>
          <w:sz w:val="24"/>
          <w:szCs w:val="24"/>
          <w:u w:val="single"/>
        </w:rPr>
      </w:pPr>
      <w:r w:rsidRPr="00776F31">
        <w:rPr>
          <w:rFonts w:ascii="Times New Roman" w:hAnsi="Times New Roman" w:cs="Times New Roman"/>
          <w:sz w:val="24"/>
          <w:szCs w:val="24"/>
          <w:u w:val="single"/>
        </w:rPr>
        <w:t>Las presiones inflacionistas acechan: máximos de 30 años en EEUU y de 20 en China</w:t>
      </w:r>
    </w:p>
    <w:p w:rsidR="00F55EE6" w:rsidRDefault="00F55EE6" w:rsidP="00F55EE6">
      <w:pPr>
        <w:spacing w:line="240" w:lineRule="auto"/>
        <w:jc w:val="both"/>
        <w:rPr>
          <w:rFonts w:ascii="Times New Roman" w:hAnsi="Times New Roman" w:cs="Times New Roman"/>
          <w:sz w:val="24"/>
          <w:szCs w:val="24"/>
        </w:rPr>
      </w:pPr>
      <w:r w:rsidRPr="00776F31">
        <w:rPr>
          <w:rFonts w:ascii="Times New Roman" w:hAnsi="Times New Roman" w:cs="Times New Roman"/>
          <w:sz w:val="24"/>
          <w:szCs w:val="24"/>
        </w:rPr>
        <w:t>Las presiones inflacionistas sobre el mercado acechan en los próximos días, con la expectativa de que el IPC general de Estados Unidos muestre el mayor crecimiento en los últimos 30 años este miércoles, cerca de un 5%, y con la previsión de que los precios de producción de China aumenten a un ritmo inédito en dos décadas, en torno al 12%, por la escalada de las materias primas, la crisis energética y los cuellos de botella en el comercio mundial.</w:t>
      </w:r>
    </w:p>
    <w:p w:rsidR="00F55EE6" w:rsidRDefault="00F55EE6" w:rsidP="00F55EE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Economista - </w:t>
      </w:r>
      <w:r w:rsidRPr="00776F31">
        <w:rPr>
          <w:rFonts w:ascii="Times New Roman" w:hAnsi="Times New Roman" w:cs="Times New Roman"/>
          <w:b/>
          <w:sz w:val="24"/>
          <w:szCs w:val="24"/>
        </w:rPr>
        <w:t>9/11/21</w:t>
      </w:r>
      <w:r>
        <w:rPr>
          <w:rFonts w:ascii="Times New Roman" w:hAnsi="Times New Roman" w:cs="Times New Roman"/>
          <w:sz w:val="24"/>
          <w:szCs w:val="24"/>
        </w:rPr>
        <w:t>)</w:t>
      </w:r>
    </w:p>
    <w:p w:rsidR="00F55EE6" w:rsidRPr="007E760A" w:rsidRDefault="00F55EE6" w:rsidP="00F55EE6">
      <w:pPr>
        <w:spacing w:line="240" w:lineRule="auto"/>
        <w:jc w:val="both"/>
        <w:rPr>
          <w:rFonts w:ascii="Times New Roman" w:hAnsi="Times New Roman" w:cs="Times New Roman"/>
          <w:b/>
          <w:sz w:val="24"/>
          <w:szCs w:val="24"/>
          <w:shd w:val="clear" w:color="auto" w:fill="FFFFFF"/>
        </w:rPr>
      </w:pPr>
      <w:r w:rsidRPr="007E760A">
        <w:rPr>
          <w:rFonts w:ascii="Times New Roman" w:hAnsi="Times New Roman" w:cs="Times New Roman"/>
          <w:b/>
          <w:sz w:val="24"/>
          <w:szCs w:val="24"/>
          <w:shd w:val="clear" w:color="auto" w:fill="FFFFFF"/>
        </w:rPr>
        <w:t xml:space="preserve">¿Sabrán los bancos centrales ayudar a la economía (real) a salir de la trampa, que ellos mismos le han montado? ¿Serán capaces de recuperar su independencia? ¿Harán bien su trabajo? ¿Podrán? ¿Querrán? ¿Les dejarán?... </w:t>
      </w:r>
    </w:p>
    <w:p w:rsidR="00F55EE6" w:rsidRPr="007E760A" w:rsidRDefault="00F55EE6" w:rsidP="00F55EE6">
      <w:pPr>
        <w:spacing w:line="240" w:lineRule="auto"/>
        <w:jc w:val="both"/>
        <w:rPr>
          <w:rFonts w:ascii="Times New Roman" w:hAnsi="Times New Roman" w:cs="Times New Roman"/>
          <w:b/>
          <w:sz w:val="24"/>
          <w:szCs w:val="24"/>
        </w:rPr>
      </w:pPr>
      <w:r w:rsidRPr="007E760A">
        <w:rPr>
          <w:rFonts w:ascii="Times New Roman" w:hAnsi="Times New Roman" w:cs="Times New Roman"/>
          <w:b/>
          <w:sz w:val="24"/>
          <w:szCs w:val="24"/>
          <w:shd w:val="clear" w:color="auto" w:fill="FFFFFF"/>
        </w:rPr>
        <w:t xml:space="preserve">Hasta donde la vista alcanza, no se muestran muy dispuestos a “retirar la ponchera”…y avisar a los </w:t>
      </w:r>
      <w:r w:rsidR="0068500B">
        <w:rPr>
          <w:rFonts w:ascii="Times New Roman" w:hAnsi="Times New Roman" w:cs="Times New Roman"/>
          <w:b/>
          <w:sz w:val="24"/>
          <w:szCs w:val="24"/>
          <w:shd w:val="clear" w:color="auto" w:fill="FFFFFF"/>
        </w:rPr>
        <w:t>“</w:t>
      </w:r>
      <w:r w:rsidRPr="007E760A">
        <w:rPr>
          <w:rFonts w:ascii="Times New Roman" w:hAnsi="Times New Roman" w:cs="Times New Roman"/>
          <w:b/>
          <w:sz w:val="24"/>
          <w:szCs w:val="24"/>
          <w:shd w:val="clear" w:color="auto" w:fill="FFFFFF"/>
        </w:rPr>
        <w:t>ludópatas</w:t>
      </w:r>
      <w:r w:rsidR="0068500B">
        <w:rPr>
          <w:rFonts w:ascii="Times New Roman" w:hAnsi="Times New Roman" w:cs="Times New Roman"/>
          <w:b/>
          <w:sz w:val="24"/>
          <w:szCs w:val="24"/>
          <w:shd w:val="clear" w:color="auto" w:fill="FFFFFF"/>
        </w:rPr>
        <w:t>”</w:t>
      </w:r>
      <w:r w:rsidRPr="007E760A">
        <w:rPr>
          <w:rFonts w:ascii="Times New Roman" w:hAnsi="Times New Roman" w:cs="Times New Roman"/>
          <w:b/>
          <w:sz w:val="24"/>
          <w:szCs w:val="24"/>
          <w:shd w:val="clear" w:color="auto" w:fill="FFFFFF"/>
        </w:rPr>
        <w:t xml:space="preserve"> de la “economía de casino”, que “se acabó la fiesta”.</w:t>
      </w:r>
    </w:p>
    <w:p w:rsidR="003F0083" w:rsidRPr="00F55EE6" w:rsidRDefault="00822CE1" w:rsidP="00FA4DA9">
      <w:pPr>
        <w:spacing w:line="240" w:lineRule="auto"/>
        <w:jc w:val="both"/>
        <w:rPr>
          <w:rFonts w:ascii="Times New Roman" w:hAnsi="Times New Roman" w:cs="Times New Roman"/>
          <w:sz w:val="24"/>
          <w:szCs w:val="24"/>
        </w:rPr>
      </w:pPr>
      <w:bookmarkStart w:id="0" w:name="_GoBack"/>
      <w:bookmarkEnd w:id="0"/>
      <w:r w:rsidRPr="00511F1F">
        <w:rPr>
          <w:rFonts w:ascii="Times New Roman" w:hAnsi="Times New Roman" w:cs="Times New Roman"/>
          <w:b/>
          <w:sz w:val="24"/>
          <w:szCs w:val="24"/>
          <w:shd w:val="clear" w:color="auto" w:fill="FFFFFF"/>
        </w:rPr>
        <w:t>Nota</w:t>
      </w:r>
      <w:r w:rsidR="00F14030" w:rsidRPr="00511F1F">
        <w:rPr>
          <w:rFonts w:ascii="Times New Roman" w:hAnsi="Times New Roman" w:cs="Times New Roman"/>
          <w:b/>
          <w:sz w:val="24"/>
          <w:szCs w:val="24"/>
          <w:shd w:val="clear" w:color="auto" w:fill="FFFFFF"/>
        </w:rPr>
        <w:t xml:space="preserve"> </w:t>
      </w:r>
      <w:r w:rsidR="00D85EC1" w:rsidRPr="00511F1F">
        <w:rPr>
          <w:rFonts w:ascii="Times New Roman" w:hAnsi="Times New Roman" w:cs="Times New Roman"/>
          <w:b/>
          <w:sz w:val="24"/>
          <w:szCs w:val="24"/>
          <w:shd w:val="clear" w:color="auto" w:fill="FFFFFF"/>
        </w:rPr>
        <w:t>V</w:t>
      </w:r>
      <w:r w:rsidR="00221B01" w:rsidRPr="00511F1F">
        <w:rPr>
          <w:rFonts w:ascii="Times New Roman" w:hAnsi="Times New Roman" w:cs="Times New Roman"/>
          <w:b/>
          <w:sz w:val="24"/>
          <w:szCs w:val="24"/>
          <w:shd w:val="clear" w:color="auto" w:fill="FFFFFF"/>
        </w:rPr>
        <w:t>I</w:t>
      </w:r>
      <w:r w:rsidRPr="00D85EC1">
        <w:rPr>
          <w:rFonts w:ascii="Times New Roman" w:hAnsi="Times New Roman" w:cs="Times New Roman"/>
          <w:sz w:val="24"/>
          <w:szCs w:val="24"/>
          <w:shd w:val="clear" w:color="auto" w:fill="FFFFFF"/>
        </w:rPr>
        <w:t>:</w:t>
      </w:r>
      <w:r w:rsidR="007E760A">
        <w:rPr>
          <w:rFonts w:ascii="Times New Roman" w:hAnsi="Times New Roman" w:cs="Times New Roman"/>
          <w:sz w:val="24"/>
          <w:szCs w:val="24"/>
          <w:shd w:val="clear" w:color="auto" w:fill="FFFFFF"/>
        </w:rPr>
        <w:t xml:space="preserve"> </w:t>
      </w:r>
      <w:r w:rsidR="007E760A">
        <w:rPr>
          <w:rFonts w:ascii="Times New Roman" w:hAnsi="Times New Roman" w:cs="Times New Roman"/>
          <w:sz w:val="24"/>
          <w:szCs w:val="24"/>
        </w:rPr>
        <w:t xml:space="preserve">Con este, “último” TAC del paciente, </w:t>
      </w:r>
      <w:r w:rsidR="0068500B">
        <w:rPr>
          <w:rFonts w:ascii="Times New Roman" w:hAnsi="Times New Roman" w:cs="Times New Roman"/>
          <w:sz w:val="24"/>
          <w:szCs w:val="24"/>
        </w:rPr>
        <w:t>les</w:t>
      </w:r>
      <w:r w:rsidR="007E760A">
        <w:rPr>
          <w:rFonts w:ascii="Times New Roman" w:hAnsi="Times New Roman" w:cs="Times New Roman"/>
          <w:sz w:val="24"/>
          <w:szCs w:val="24"/>
        </w:rPr>
        <w:t xml:space="preserve"> paso los trastos a los “Maestros”. A ver qué “recetan” al enfermo…</w:t>
      </w:r>
      <w:r w:rsidRPr="00D85EC1">
        <w:rPr>
          <w:rFonts w:ascii="Times New Roman" w:hAnsi="Times New Roman" w:cs="Times New Roman"/>
          <w:sz w:val="24"/>
          <w:szCs w:val="24"/>
          <w:shd w:val="clear" w:color="auto" w:fill="FFFFFF"/>
        </w:rPr>
        <w:t xml:space="preserve"> </w:t>
      </w:r>
      <w:r w:rsidR="00877EB6" w:rsidRPr="00D85EC1">
        <w:rPr>
          <w:rFonts w:ascii="Times New Roman" w:hAnsi="Times New Roman" w:cs="Times New Roman"/>
          <w:sz w:val="24"/>
          <w:szCs w:val="24"/>
          <w:shd w:val="clear" w:color="auto" w:fill="FFFFFF"/>
        </w:rPr>
        <w:t>Deseo est</w:t>
      </w:r>
      <w:r w:rsidR="00AE7C58" w:rsidRPr="00D85EC1">
        <w:rPr>
          <w:rFonts w:ascii="Times New Roman" w:hAnsi="Times New Roman" w:cs="Times New Roman"/>
          <w:sz w:val="24"/>
          <w:szCs w:val="24"/>
          <w:shd w:val="clear" w:color="auto" w:fill="FFFFFF"/>
        </w:rPr>
        <w:t>a</w:t>
      </w:r>
      <w:r w:rsidR="0022268B" w:rsidRPr="00D85EC1">
        <w:rPr>
          <w:rFonts w:ascii="Times New Roman" w:hAnsi="Times New Roman" w:cs="Times New Roman"/>
          <w:sz w:val="24"/>
          <w:szCs w:val="24"/>
          <w:shd w:val="clear" w:color="auto" w:fill="FFFFFF"/>
        </w:rPr>
        <w:t>r equivocado en mis premisas</w:t>
      </w:r>
      <w:r w:rsidR="007301BC" w:rsidRPr="00D85EC1">
        <w:rPr>
          <w:rFonts w:ascii="Times New Roman" w:hAnsi="Times New Roman" w:cs="Times New Roman"/>
          <w:sz w:val="24"/>
          <w:szCs w:val="24"/>
          <w:shd w:val="clear" w:color="auto" w:fill="FFFFFF"/>
        </w:rPr>
        <w:t xml:space="preserve"> </w:t>
      </w:r>
      <w:r w:rsidR="00877EB6" w:rsidRPr="00D85EC1">
        <w:rPr>
          <w:rFonts w:ascii="Times New Roman" w:hAnsi="Times New Roman" w:cs="Times New Roman"/>
          <w:sz w:val="24"/>
          <w:szCs w:val="24"/>
          <w:shd w:val="clear" w:color="auto" w:fill="FFFFFF"/>
        </w:rPr>
        <w:t>pero</w:t>
      </w:r>
      <w:r w:rsidR="007301BC" w:rsidRPr="00D85EC1">
        <w:rPr>
          <w:rFonts w:ascii="Times New Roman" w:hAnsi="Times New Roman" w:cs="Times New Roman"/>
          <w:sz w:val="24"/>
          <w:szCs w:val="24"/>
          <w:shd w:val="clear" w:color="auto" w:fill="FFFFFF"/>
        </w:rPr>
        <w:t>,</w:t>
      </w:r>
      <w:r w:rsidR="0022268B" w:rsidRPr="00D85EC1">
        <w:rPr>
          <w:rFonts w:ascii="Times New Roman" w:hAnsi="Times New Roman" w:cs="Times New Roman"/>
          <w:sz w:val="24"/>
          <w:szCs w:val="24"/>
          <w:shd w:val="clear" w:color="auto" w:fill="FFFFFF"/>
        </w:rPr>
        <w:t xml:space="preserve"> tal vez, puedan servir de</w:t>
      </w:r>
      <w:r w:rsidR="00877EB6" w:rsidRPr="00D85EC1">
        <w:rPr>
          <w:rFonts w:ascii="Times New Roman" w:hAnsi="Times New Roman" w:cs="Times New Roman"/>
          <w:sz w:val="24"/>
          <w:szCs w:val="24"/>
          <w:shd w:val="clear" w:color="auto" w:fill="FFFFFF"/>
        </w:rPr>
        <w:t xml:space="preserve"> advertencia. De todo</w:t>
      </w:r>
      <w:r w:rsidR="0022268B" w:rsidRPr="00D85EC1">
        <w:rPr>
          <w:rFonts w:ascii="Times New Roman" w:hAnsi="Times New Roman" w:cs="Times New Roman"/>
          <w:sz w:val="24"/>
          <w:szCs w:val="24"/>
          <w:shd w:val="clear" w:color="auto" w:fill="FFFFFF"/>
        </w:rPr>
        <w:t>s modos, en el siguiente</w:t>
      </w:r>
      <w:r w:rsidR="005B490A" w:rsidRPr="00D85EC1">
        <w:rPr>
          <w:rFonts w:ascii="Times New Roman" w:hAnsi="Times New Roman" w:cs="Times New Roman"/>
          <w:sz w:val="24"/>
          <w:szCs w:val="24"/>
          <w:shd w:val="clear" w:color="auto" w:fill="FFFFFF"/>
        </w:rPr>
        <w:t xml:space="preserve"> </w:t>
      </w:r>
      <w:r w:rsidR="005B490A" w:rsidRPr="00682525">
        <w:rPr>
          <w:rFonts w:ascii="Times New Roman" w:hAnsi="Times New Roman" w:cs="Times New Roman"/>
          <w:b/>
          <w:sz w:val="24"/>
          <w:szCs w:val="24"/>
          <w:shd w:val="clear" w:color="auto" w:fill="FFFFFF"/>
        </w:rPr>
        <w:t>Anexo</w:t>
      </w:r>
      <w:r w:rsidR="00682525">
        <w:rPr>
          <w:rFonts w:ascii="Times New Roman" w:hAnsi="Times New Roman" w:cs="Times New Roman"/>
          <w:b/>
          <w:sz w:val="24"/>
          <w:szCs w:val="24"/>
          <w:shd w:val="clear" w:color="auto" w:fill="FFFFFF"/>
        </w:rPr>
        <w:t xml:space="preserve"> (</w:t>
      </w:r>
      <w:r w:rsidR="00682525" w:rsidRPr="00682525">
        <w:rPr>
          <w:rFonts w:ascii="Times New Roman" w:hAnsi="Times New Roman" w:cs="Times New Roman"/>
          <w:b/>
          <w:sz w:val="24"/>
          <w:szCs w:val="24"/>
          <w:shd w:val="clear" w:color="auto" w:fill="FFFFFF"/>
        </w:rPr>
        <w:t>III</w:t>
      </w:r>
      <w:r w:rsidR="00682525">
        <w:rPr>
          <w:rFonts w:ascii="Times New Roman" w:hAnsi="Times New Roman" w:cs="Times New Roman"/>
          <w:b/>
          <w:sz w:val="24"/>
          <w:szCs w:val="24"/>
          <w:shd w:val="clear" w:color="auto" w:fill="FFFFFF"/>
        </w:rPr>
        <w:t>)</w:t>
      </w:r>
      <w:r w:rsidR="00877EB6" w:rsidRPr="00D85EC1">
        <w:rPr>
          <w:rFonts w:ascii="Times New Roman" w:hAnsi="Times New Roman" w:cs="Times New Roman"/>
          <w:sz w:val="24"/>
          <w:szCs w:val="24"/>
          <w:shd w:val="clear" w:color="auto" w:fill="FFFFFF"/>
        </w:rPr>
        <w:t xml:space="preserve">: </w:t>
      </w:r>
      <w:r w:rsidR="00877EB6" w:rsidRPr="00D85EC1">
        <w:rPr>
          <w:rFonts w:ascii="Times New Roman" w:hAnsi="Times New Roman" w:cs="Times New Roman"/>
          <w:b/>
          <w:sz w:val="24"/>
          <w:szCs w:val="24"/>
          <w:shd w:val="clear" w:color="auto" w:fill="FFFFFF"/>
        </w:rPr>
        <w:t>La opinión de “los que saben”</w:t>
      </w:r>
      <w:r w:rsidR="0022268B" w:rsidRPr="00D85EC1">
        <w:rPr>
          <w:rFonts w:ascii="Times New Roman" w:hAnsi="Times New Roman" w:cs="Times New Roman"/>
          <w:sz w:val="24"/>
          <w:szCs w:val="24"/>
          <w:shd w:val="clear" w:color="auto" w:fill="FFFFFF"/>
        </w:rPr>
        <w:t>, tendrán</w:t>
      </w:r>
      <w:r w:rsidR="00877EB6" w:rsidRPr="00D85EC1">
        <w:rPr>
          <w:rFonts w:ascii="Times New Roman" w:hAnsi="Times New Roman" w:cs="Times New Roman"/>
          <w:sz w:val="24"/>
          <w:szCs w:val="24"/>
          <w:shd w:val="clear" w:color="auto" w:fill="FFFFFF"/>
        </w:rPr>
        <w:t xml:space="preserve"> un panorama más completo (y diverso), sobre el</w:t>
      </w:r>
      <w:r w:rsidR="0022268B" w:rsidRPr="00D85EC1">
        <w:rPr>
          <w:rFonts w:ascii="Times New Roman" w:hAnsi="Times New Roman" w:cs="Times New Roman"/>
          <w:sz w:val="24"/>
          <w:szCs w:val="24"/>
          <w:shd w:val="clear" w:color="auto" w:fill="FFFFFF"/>
        </w:rPr>
        <w:t xml:space="preserve"> nivel de</w:t>
      </w:r>
      <w:r w:rsidR="00877EB6" w:rsidRPr="00D85EC1">
        <w:rPr>
          <w:rFonts w:ascii="Times New Roman" w:hAnsi="Times New Roman" w:cs="Times New Roman"/>
          <w:sz w:val="24"/>
          <w:szCs w:val="24"/>
          <w:shd w:val="clear" w:color="auto" w:fill="FFFFFF"/>
        </w:rPr>
        <w:t xml:space="preserve"> riesgo inflacionario que enfrentamos. </w:t>
      </w:r>
      <w:r w:rsidR="007E760A">
        <w:rPr>
          <w:rFonts w:ascii="Times New Roman" w:hAnsi="Times New Roman" w:cs="Times New Roman"/>
          <w:sz w:val="24"/>
          <w:szCs w:val="24"/>
          <w:shd w:val="clear" w:color="auto" w:fill="FFFFFF"/>
        </w:rPr>
        <w:t>Podrán conocer</w:t>
      </w:r>
      <w:r w:rsidR="00505BA1" w:rsidRPr="00D85EC1">
        <w:rPr>
          <w:rFonts w:ascii="Times New Roman" w:hAnsi="Times New Roman" w:cs="Times New Roman"/>
          <w:sz w:val="24"/>
          <w:szCs w:val="24"/>
          <w:shd w:val="clear" w:color="auto" w:fill="FFFFFF"/>
        </w:rPr>
        <w:t xml:space="preserve"> </w:t>
      </w:r>
      <w:r w:rsidR="007E760A">
        <w:rPr>
          <w:rFonts w:ascii="Times New Roman" w:hAnsi="Times New Roman" w:cs="Times New Roman"/>
          <w:sz w:val="24"/>
          <w:szCs w:val="24"/>
          <w:shd w:val="clear" w:color="auto" w:fill="FFFFFF"/>
        </w:rPr>
        <w:t>la opinión de reverenciadas</w:t>
      </w:r>
      <w:r w:rsidR="00505BA1" w:rsidRPr="00D85EC1">
        <w:rPr>
          <w:rFonts w:ascii="Times New Roman" w:hAnsi="Times New Roman" w:cs="Times New Roman"/>
          <w:sz w:val="24"/>
          <w:szCs w:val="24"/>
          <w:shd w:val="clear" w:color="auto" w:fill="FFFFFF"/>
        </w:rPr>
        <w:t xml:space="preserve"> vacas sagradas,</w:t>
      </w:r>
      <w:r w:rsidR="007E760A">
        <w:rPr>
          <w:rFonts w:ascii="Times New Roman" w:hAnsi="Times New Roman" w:cs="Times New Roman"/>
          <w:sz w:val="24"/>
          <w:szCs w:val="24"/>
          <w:shd w:val="clear" w:color="auto" w:fill="FFFFFF"/>
        </w:rPr>
        <w:t xml:space="preserve"> </w:t>
      </w:r>
      <w:r w:rsidR="0022268B" w:rsidRPr="00D85EC1">
        <w:rPr>
          <w:rFonts w:ascii="Times New Roman" w:hAnsi="Times New Roman" w:cs="Times New Roman"/>
          <w:sz w:val="24"/>
          <w:szCs w:val="24"/>
          <w:shd w:val="clear" w:color="auto" w:fill="FFFFFF"/>
        </w:rPr>
        <w:t>grandes bonetes,</w:t>
      </w:r>
      <w:r w:rsidR="007E760A">
        <w:rPr>
          <w:rFonts w:ascii="Times New Roman" w:hAnsi="Times New Roman" w:cs="Times New Roman"/>
          <w:sz w:val="24"/>
          <w:szCs w:val="24"/>
          <w:shd w:val="clear" w:color="auto" w:fill="FFFFFF"/>
        </w:rPr>
        <w:t xml:space="preserve"> </w:t>
      </w:r>
      <w:r w:rsidR="00505BA1" w:rsidRPr="00D85EC1">
        <w:rPr>
          <w:rFonts w:ascii="Times New Roman" w:hAnsi="Times New Roman" w:cs="Times New Roman"/>
          <w:sz w:val="24"/>
          <w:szCs w:val="24"/>
          <w:shd w:val="clear" w:color="auto" w:fill="FFFFFF"/>
        </w:rPr>
        <w:t>cabeza</w:t>
      </w:r>
      <w:r w:rsidR="007D37CE">
        <w:rPr>
          <w:rFonts w:ascii="Times New Roman" w:hAnsi="Times New Roman" w:cs="Times New Roman"/>
          <w:sz w:val="24"/>
          <w:szCs w:val="24"/>
          <w:shd w:val="clear" w:color="auto" w:fill="FFFFFF"/>
        </w:rPr>
        <w:t>s</w:t>
      </w:r>
      <w:r w:rsidR="00505BA1" w:rsidRPr="00D85EC1">
        <w:rPr>
          <w:rFonts w:ascii="Times New Roman" w:hAnsi="Times New Roman" w:cs="Times New Roman"/>
          <w:sz w:val="24"/>
          <w:szCs w:val="24"/>
          <w:shd w:val="clear" w:color="auto" w:fill="FFFFFF"/>
        </w:rPr>
        <w:t xml:space="preserve"> de huevo,</w:t>
      </w:r>
      <w:r w:rsidR="0022268B" w:rsidRPr="00D85EC1">
        <w:rPr>
          <w:rFonts w:ascii="Times New Roman" w:hAnsi="Times New Roman" w:cs="Times New Roman"/>
          <w:sz w:val="24"/>
          <w:szCs w:val="24"/>
          <w:shd w:val="clear" w:color="auto" w:fill="FFFFFF"/>
        </w:rPr>
        <w:t xml:space="preserve"> </w:t>
      </w:r>
      <w:r w:rsidR="007E760A">
        <w:rPr>
          <w:rFonts w:ascii="Times New Roman" w:hAnsi="Times New Roman" w:cs="Times New Roman"/>
          <w:sz w:val="24"/>
          <w:szCs w:val="24"/>
          <w:shd w:val="clear" w:color="auto" w:fill="FFFFFF"/>
        </w:rPr>
        <w:t xml:space="preserve">gurús mediáticos, y </w:t>
      </w:r>
      <w:r w:rsidR="00FA3CFC" w:rsidRPr="00D85EC1">
        <w:rPr>
          <w:rFonts w:ascii="Times New Roman" w:hAnsi="Times New Roman" w:cs="Times New Roman"/>
          <w:sz w:val="24"/>
          <w:szCs w:val="24"/>
          <w:shd w:val="clear" w:color="auto" w:fill="FFFFFF"/>
        </w:rPr>
        <w:t>analistas de postín</w:t>
      </w:r>
      <w:r w:rsidR="007E760A">
        <w:rPr>
          <w:rFonts w:ascii="Times New Roman" w:hAnsi="Times New Roman" w:cs="Times New Roman"/>
          <w:sz w:val="24"/>
          <w:szCs w:val="24"/>
          <w:shd w:val="clear" w:color="auto" w:fill="FFFFFF"/>
        </w:rPr>
        <w:t>;</w:t>
      </w:r>
      <w:r w:rsidR="0022268B" w:rsidRPr="00D85EC1">
        <w:rPr>
          <w:rFonts w:ascii="Times New Roman" w:hAnsi="Times New Roman" w:cs="Times New Roman"/>
          <w:sz w:val="24"/>
          <w:szCs w:val="24"/>
          <w:shd w:val="clear" w:color="auto" w:fill="FFFFFF"/>
        </w:rPr>
        <w:t xml:space="preserve"> en fin…</w:t>
      </w:r>
      <w:r w:rsidR="00505BA1" w:rsidRPr="00D85EC1">
        <w:rPr>
          <w:rFonts w:ascii="Times New Roman" w:hAnsi="Times New Roman" w:cs="Times New Roman"/>
          <w:sz w:val="24"/>
          <w:szCs w:val="24"/>
          <w:shd w:val="clear" w:color="auto" w:fill="FFFFFF"/>
        </w:rPr>
        <w:t xml:space="preserve"> </w:t>
      </w:r>
      <w:r w:rsidR="007E760A">
        <w:rPr>
          <w:rFonts w:ascii="Times New Roman" w:hAnsi="Times New Roman" w:cs="Times New Roman"/>
          <w:sz w:val="24"/>
          <w:szCs w:val="24"/>
          <w:shd w:val="clear" w:color="auto" w:fill="FFFFFF"/>
        </w:rPr>
        <w:t xml:space="preserve">de </w:t>
      </w:r>
      <w:r w:rsidR="0022268B" w:rsidRPr="00D85EC1">
        <w:rPr>
          <w:rFonts w:ascii="Times New Roman" w:hAnsi="Times New Roman" w:cs="Times New Roman"/>
          <w:sz w:val="24"/>
          <w:szCs w:val="24"/>
          <w:shd w:val="clear" w:color="auto" w:fill="FFFFFF"/>
        </w:rPr>
        <w:t>“los que saben”</w:t>
      </w:r>
      <w:r w:rsidR="00D409F9" w:rsidRPr="00D85EC1">
        <w:rPr>
          <w:rFonts w:ascii="Times New Roman" w:hAnsi="Times New Roman" w:cs="Times New Roman"/>
          <w:sz w:val="24"/>
          <w:szCs w:val="24"/>
          <w:shd w:val="clear" w:color="auto" w:fill="FFFFFF"/>
        </w:rPr>
        <w:t xml:space="preserve"> (o eso</w:t>
      </w:r>
      <w:r w:rsidR="00FA3CFC" w:rsidRPr="00D85EC1">
        <w:rPr>
          <w:rFonts w:ascii="Times New Roman" w:hAnsi="Times New Roman" w:cs="Times New Roman"/>
          <w:sz w:val="24"/>
          <w:szCs w:val="24"/>
          <w:shd w:val="clear" w:color="auto" w:fill="FFFFFF"/>
        </w:rPr>
        <w:t>,</w:t>
      </w:r>
      <w:r w:rsidR="00D409F9" w:rsidRPr="00D85EC1">
        <w:rPr>
          <w:rFonts w:ascii="Times New Roman" w:hAnsi="Times New Roman" w:cs="Times New Roman"/>
          <w:sz w:val="24"/>
          <w:szCs w:val="24"/>
          <w:shd w:val="clear" w:color="auto" w:fill="FFFFFF"/>
        </w:rPr>
        <w:t xml:space="preserve"> se espera). Después</w:t>
      </w:r>
      <w:r w:rsidR="007D37CE">
        <w:rPr>
          <w:rFonts w:ascii="Times New Roman" w:hAnsi="Times New Roman" w:cs="Times New Roman"/>
          <w:sz w:val="24"/>
          <w:szCs w:val="24"/>
          <w:shd w:val="clear" w:color="auto" w:fill="FFFFFF"/>
        </w:rPr>
        <w:t xml:space="preserve"> (como siempre)</w:t>
      </w:r>
      <w:r w:rsidR="00D409F9" w:rsidRPr="00D85EC1">
        <w:rPr>
          <w:rFonts w:ascii="Times New Roman" w:hAnsi="Times New Roman" w:cs="Times New Roman"/>
          <w:sz w:val="24"/>
          <w:szCs w:val="24"/>
          <w:shd w:val="clear" w:color="auto" w:fill="FFFFFF"/>
        </w:rPr>
        <w:t>…</w:t>
      </w:r>
      <w:r w:rsidR="00023998">
        <w:rPr>
          <w:rFonts w:ascii="Times New Roman" w:hAnsi="Times New Roman" w:cs="Times New Roman"/>
          <w:sz w:val="24"/>
          <w:szCs w:val="24"/>
          <w:shd w:val="clear" w:color="auto" w:fill="FFFFFF"/>
        </w:rPr>
        <w:t xml:space="preserve"> ustedes de</w:t>
      </w:r>
      <w:r w:rsidR="007D37CE">
        <w:rPr>
          <w:rFonts w:ascii="Times New Roman" w:hAnsi="Times New Roman" w:cs="Times New Roman"/>
          <w:sz w:val="24"/>
          <w:szCs w:val="24"/>
          <w:shd w:val="clear" w:color="auto" w:fill="FFFFFF"/>
        </w:rPr>
        <w:t>ciden (qué votar y qué botar).</w:t>
      </w:r>
    </w:p>
    <w:sectPr w:rsidR="003F0083" w:rsidRPr="00F55EE6">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inherit">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A706C"/>
    <w:multiLevelType w:val="multilevel"/>
    <w:tmpl w:val="785A86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2A763FA"/>
    <w:multiLevelType w:val="hybridMultilevel"/>
    <w:tmpl w:val="2C74D9FE"/>
    <w:lvl w:ilvl="0" w:tplc="CE5053DA">
      <w:start w:val="16"/>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0D390679"/>
    <w:multiLevelType w:val="multilevel"/>
    <w:tmpl w:val="192E4F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D396A61"/>
    <w:multiLevelType w:val="multilevel"/>
    <w:tmpl w:val="B2FC14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7C317CF"/>
    <w:multiLevelType w:val="multilevel"/>
    <w:tmpl w:val="0C36E3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8916E6A"/>
    <w:multiLevelType w:val="hybridMultilevel"/>
    <w:tmpl w:val="8E6681EA"/>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nsid w:val="2F6579A9"/>
    <w:multiLevelType w:val="hybridMultilevel"/>
    <w:tmpl w:val="D75A100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nsid w:val="314B5330"/>
    <w:multiLevelType w:val="hybridMultilevel"/>
    <w:tmpl w:val="35043EB2"/>
    <w:lvl w:ilvl="0" w:tplc="090C8824">
      <w:start w:val="6"/>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36A4684C"/>
    <w:multiLevelType w:val="hybridMultilevel"/>
    <w:tmpl w:val="E460F8B4"/>
    <w:lvl w:ilvl="0" w:tplc="62747BB2">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4181285D"/>
    <w:multiLevelType w:val="multilevel"/>
    <w:tmpl w:val="74380D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46C37825"/>
    <w:multiLevelType w:val="multilevel"/>
    <w:tmpl w:val="CE52D7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46EA439E"/>
    <w:multiLevelType w:val="multilevel"/>
    <w:tmpl w:val="8E108F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4ADF22BB"/>
    <w:multiLevelType w:val="hybridMultilevel"/>
    <w:tmpl w:val="52FAAE02"/>
    <w:lvl w:ilvl="0" w:tplc="A9E8D82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nsid w:val="56617CCD"/>
    <w:multiLevelType w:val="hybridMultilevel"/>
    <w:tmpl w:val="8E6681EA"/>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
    <w:nsid w:val="60F43B30"/>
    <w:multiLevelType w:val="multilevel"/>
    <w:tmpl w:val="B95460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67877DC6"/>
    <w:multiLevelType w:val="multilevel"/>
    <w:tmpl w:val="CAB04C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7501018F"/>
    <w:multiLevelType w:val="multilevel"/>
    <w:tmpl w:val="DB1A2B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10"/>
  </w:num>
  <w:num w:numId="3">
    <w:abstractNumId w:val="0"/>
  </w:num>
  <w:num w:numId="4">
    <w:abstractNumId w:val="2"/>
  </w:num>
  <w:num w:numId="5">
    <w:abstractNumId w:val="3"/>
  </w:num>
  <w:num w:numId="6">
    <w:abstractNumId w:val="14"/>
  </w:num>
  <w:num w:numId="7">
    <w:abstractNumId w:val="11"/>
  </w:num>
  <w:num w:numId="8">
    <w:abstractNumId w:val="11"/>
    <w:lvlOverride w:ilvl="1">
      <w:lvl w:ilvl="1">
        <w:numFmt w:val="bullet"/>
        <w:lvlText w:val=""/>
        <w:lvlJc w:val="left"/>
        <w:pPr>
          <w:tabs>
            <w:tab w:val="num" w:pos="1440"/>
          </w:tabs>
          <w:ind w:left="1440" w:hanging="360"/>
        </w:pPr>
        <w:rPr>
          <w:rFonts w:ascii="Symbol" w:hAnsi="Symbol" w:hint="default"/>
          <w:sz w:val="20"/>
        </w:rPr>
      </w:lvl>
    </w:lvlOverride>
  </w:num>
  <w:num w:numId="9">
    <w:abstractNumId w:val="4"/>
  </w:num>
  <w:num w:numId="10">
    <w:abstractNumId w:val="8"/>
  </w:num>
  <w:num w:numId="11">
    <w:abstractNumId w:val="5"/>
  </w:num>
  <w:num w:numId="12">
    <w:abstractNumId w:val="6"/>
  </w:num>
  <w:num w:numId="13">
    <w:abstractNumId w:val="16"/>
  </w:num>
  <w:num w:numId="14">
    <w:abstractNumId w:val="15"/>
  </w:num>
  <w:num w:numId="15">
    <w:abstractNumId w:val="1"/>
  </w:num>
  <w:num w:numId="16">
    <w:abstractNumId w:val="12"/>
  </w:num>
  <w:num w:numId="17">
    <w:abstractNumId w:val="7"/>
  </w:num>
  <w:num w:numId="1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hideSpellingErrors/>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D2980"/>
    <w:rsid w:val="00012535"/>
    <w:rsid w:val="00023998"/>
    <w:rsid w:val="0005599B"/>
    <w:rsid w:val="000629AA"/>
    <w:rsid w:val="00062D36"/>
    <w:rsid w:val="000665FD"/>
    <w:rsid w:val="00073925"/>
    <w:rsid w:val="00074CAC"/>
    <w:rsid w:val="00082A52"/>
    <w:rsid w:val="00083C5A"/>
    <w:rsid w:val="00084B18"/>
    <w:rsid w:val="0009592D"/>
    <w:rsid w:val="000A7F95"/>
    <w:rsid w:val="000E6461"/>
    <w:rsid w:val="000F3952"/>
    <w:rsid w:val="00103EEF"/>
    <w:rsid w:val="001277C1"/>
    <w:rsid w:val="00132FFB"/>
    <w:rsid w:val="00136353"/>
    <w:rsid w:val="001463D9"/>
    <w:rsid w:val="00147975"/>
    <w:rsid w:val="00153003"/>
    <w:rsid w:val="00163E76"/>
    <w:rsid w:val="001640E8"/>
    <w:rsid w:val="001714AE"/>
    <w:rsid w:val="00183D1F"/>
    <w:rsid w:val="00186B30"/>
    <w:rsid w:val="001871F1"/>
    <w:rsid w:val="00193B21"/>
    <w:rsid w:val="001976E6"/>
    <w:rsid w:val="001A03DB"/>
    <w:rsid w:val="001A1DDA"/>
    <w:rsid w:val="001A457A"/>
    <w:rsid w:val="001B060F"/>
    <w:rsid w:val="001C39FB"/>
    <w:rsid w:val="00200719"/>
    <w:rsid w:val="002041E8"/>
    <w:rsid w:val="00206A0A"/>
    <w:rsid w:val="00210C27"/>
    <w:rsid w:val="002115A6"/>
    <w:rsid w:val="002154E7"/>
    <w:rsid w:val="00215CA9"/>
    <w:rsid w:val="002177AA"/>
    <w:rsid w:val="00221B01"/>
    <w:rsid w:val="0022268B"/>
    <w:rsid w:val="00222DCB"/>
    <w:rsid w:val="002312B2"/>
    <w:rsid w:val="00244CF7"/>
    <w:rsid w:val="00254AAE"/>
    <w:rsid w:val="00254F34"/>
    <w:rsid w:val="00261084"/>
    <w:rsid w:val="0027771D"/>
    <w:rsid w:val="00277995"/>
    <w:rsid w:val="002812F0"/>
    <w:rsid w:val="002975DF"/>
    <w:rsid w:val="002A6C5F"/>
    <w:rsid w:val="002B021C"/>
    <w:rsid w:val="002D1CD0"/>
    <w:rsid w:val="002D2980"/>
    <w:rsid w:val="002E1395"/>
    <w:rsid w:val="00320D88"/>
    <w:rsid w:val="003231EC"/>
    <w:rsid w:val="00324F4A"/>
    <w:rsid w:val="00327997"/>
    <w:rsid w:val="00330165"/>
    <w:rsid w:val="00335F76"/>
    <w:rsid w:val="003517E2"/>
    <w:rsid w:val="00356FED"/>
    <w:rsid w:val="003626D1"/>
    <w:rsid w:val="00363C36"/>
    <w:rsid w:val="003674BB"/>
    <w:rsid w:val="00371866"/>
    <w:rsid w:val="00374BCD"/>
    <w:rsid w:val="0038435F"/>
    <w:rsid w:val="00387391"/>
    <w:rsid w:val="00387990"/>
    <w:rsid w:val="003945B5"/>
    <w:rsid w:val="003958F0"/>
    <w:rsid w:val="003A41B8"/>
    <w:rsid w:val="003A472C"/>
    <w:rsid w:val="003B0024"/>
    <w:rsid w:val="003B407D"/>
    <w:rsid w:val="003B5F23"/>
    <w:rsid w:val="003C0F09"/>
    <w:rsid w:val="003C195A"/>
    <w:rsid w:val="003D4F45"/>
    <w:rsid w:val="003D59A4"/>
    <w:rsid w:val="003E18A2"/>
    <w:rsid w:val="003E5338"/>
    <w:rsid w:val="003F0083"/>
    <w:rsid w:val="003F41A6"/>
    <w:rsid w:val="004035EF"/>
    <w:rsid w:val="00416895"/>
    <w:rsid w:val="00416FED"/>
    <w:rsid w:val="004228E9"/>
    <w:rsid w:val="00430E83"/>
    <w:rsid w:val="004353C7"/>
    <w:rsid w:val="00436BE2"/>
    <w:rsid w:val="004414B2"/>
    <w:rsid w:val="0046011A"/>
    <w:rsid w:val="004609CD"/>
    <w:rsid w:val="0047143C"/>
    <w:rsid w:val="004A0AB9"/>
    <w:rsid w:val="004A0FC2"/>
    <w:rsid w:val="004B3AB7"/>
    <w:rsid w:val="004C20BF"/>
    <w:rsid w:val="004C6999"/>
    <w:rsid w:val="004C7B0C"/>
    <w:rsid w:val="004D0246"/>
    <w:rsid w:val="004D3C6C"/>
    <w:rsid w:val="004D74E7"/>
    <w:rsid w:val="004E404C"/>
    <w:rsid w:val="004F496F"/>
    <w:rsid w:val="0050126D"/>
    <w:rsid w:val="00505BA1"/>
    <w:rsid w:val="00511F1F"/>
    <w:rsid w:val="00516AEA"/>
    <w:rsid w:val="00532609"/>
    <w:rsid w:val="00534CE8"/>
    <w:rsid w:val="00535EFA"/>
    <w:rsid w:val="00536FD0"/>
    <w:rsid w:val="00537F61"/>
    <w:rsid w:val="005432AF"/>
    <w:rsid w:val="00544823"/>
    <w:rsid w:val="00551761"/>
    <w:rsid w:val="00555F2F"/>
    <w:rsid w:val="00566FFD"/>
    <w:rsid w:val="00570277"/>
    <w:rsid w:val="0057156C"/>
    <w:rsid w:val="00571FBF"/>
    <w:rsid w:val="0057712A"/>
    <w:rsid w:val="005944CF"/>
    <w:rsid w:val="00596DBD"/>
    <w:rsid w:val="005B490A"/>
    <w:rsid w:val="005B4A18"/>
    <w:rsid w:val="005B4F7C"/>
    <w:rsid w:val="005B6A9C"/>
    <w:rsid w:val="005B7ABA"/>
    <w:rsid w:val="005D4B4A"/>
    <w:rsid w:val="005D6F23"/>
    <w:rsid w:val="005F2C31"/>
    <w:rsid w:val="00602784"/>
    <w:rsid w:val="0060539A"/>
    <w:rsid w:val="006259D1"/>
    <w:rsid w:val="00626263"/>
    <w:rsid w:val="00643F1E"/>
    <w:rsid w:val="00655276"/>
    <w:rsid w:val="0065557B"/>
    <w:rsid w:val="00657FEF"/>
    <w:rsid w:val="0066255C"/>
    <w:rsid w:val="00665B8B"/>
    <w:rsid w:val="006678D4"/>
    <w:rsid w:val="00674A74"/>
    <w:rsid w:val="00675D3B"/>
    <w:rsid w:val="00675F68"/>
    <w:rsid w:val="00682525"/>
    <w:rsid w:val="0068500B"/>
    <w:rsid w:val="006971ED"/>
    <w:rsid w:val="00697BD3"/>
    <w:rsid w:val="006A3B06"/>
    <w:rsid w:val="006B02FD"/>
    <w:rsid w:val="006B037E"/>
    <w:rsid w:val="006B1F0A"/>
    <w:rsid w:val="006B21D6"/>
    <w:rsid w:val="006B28D2"/>
    <w:rsid w:val="006C03AB"/>
    <w:rsid w:val="006D2378"/>
    <w:rsid w:val="006F63B7"/>
    <w:rsid w:val="006F6B47"/>
    <w:rsid w:val="00706725"/>
    <w:rsid w:val="00707530"/>
    <w:rsid w:val="00713EE5"/>
    <w:rsid w:val="00721317"/>
    <w:rsid w:val="007301BC"/>
    <w:rsid w:val="00747F8F"/>
    <w:rsid w:val="007536E6"/>
    <w:rsid w:val="007552AD"/>
    <w:rsid w:val="0077597A"/>
    <w:rsid w:val="00777533"/>
    <w:rsid w:val="007A255B"/>
    <w:rsid w:val="007A5C27"/>
    <w:rsid w:val="007B07FB"/>
    <w:rsid w:val="007B4B16"/>
    <w:rsid w:val="007C57FC"/>
    <w:rsid w:val="007C5D83"/>
    <w:rsid w:val="007D1F05"/>
    <w:rsid w:val="007D32C1"/>
    <w:rsid w:val="007D37CE"/>
    <w:rsid w:val="007E72CD"/>
    <w:rsid w:val="007E760A"/>
    <w:rsid w:val="007F7C1F"/>
    <w:rsid w:val="008127D8"/>
    <w:rsid w:val="00814B47"/>
    <w:rsid w:val="00822CE1"/>
    <w:rsid w:val="00822E48"/>
    <w:rsid w:val="0082389C"/>
    <w:rsid w:val="0083060F"/>
    <w:rsid w:val="00834B05"/>
    <w:rsid w:val="00835296"/>
    <w:rsid w:val="00836855"/>
    <w:rsid w:val="008435A3"/>
    <w:rsid w:val="008502D8"/>
    <w:rsid w:val="00852881"/>
    <w:rsid w:val="00873C5E"/>
    <w:rsid w:val="008764F5"/>
    <w:rsid w:val="00877EB6"/>
    <w:rsid w:val="00882191"/>
    <w:rsid w:val="00893F4C"/>
    <w:rsid w:val="008A7618"/>
    <w:rsid w:val="008B7751"/>
    <w:rsid w:val="008C381B"/>
    <w:rsid w:val="008D46A1"/>
    <w:rsid w:val="008D7C1A"/>
    <w:rsid w:val="008E1165"/>
    <w:rsid w:val="008E5805"/>
    <w:rsid w:val="008E792E"/>
    <w:rsid w:val="008F26D1"/>
    <w:rsid w:val="00905611"/>
    <w:rsid w:val="00911B35"/>
    <w:rsid w:val="00925386"/>
    <w:rsid w:val="00931091"/>
    <w:rsid w:val="00934E9D"/>
    <w:rsid w:val="009463F2"/>
    <w:rsid w:val="009516CA"/>
    <w:rsid w:val="00955908"/>
    <w:rsid w:val="009617FA"/>
    <w:rsid w:val="009633DE"/>
    <w:rsid w:val="00963D4C"/>
    <w:rsid w:val="009673A3"/>
    <w:rsid w:val="00977069"/>
    <w:rsid w:val="0097726F"/>
    <w:rsid w:val="0098349C"/>
    <w:rsid w:val="00990766"/>
    <w:rsid w:val="009B0448"/>
    <w:rsid w:val="009C252D"/>
    <w:rsid w:val="009D56CE"/>
    <w:rsid w:val="009D5A62"/>
    <w:rsid w:val="009D7535"/>
    <w:rsid w:val="009E062A"/>
    <w:rsid w:val="009E141C"/>
    <w:rsid w:val="009E186A"/>
    <w:rsid w:val="009F39E6"/>
    <w:rsid w:val="00A03124"/>
    <w:rsid w:val="00A06A8A"/>
    <w:rsid w:val="00A1356D"/>
    <w:rsid w:val="00A216BF"/>
    <w:rsid w:val="00A217C2"/>
    <w:rsid w:val="00A242B7"/>
    <w:rsid w:val="00A52A91"/>
    <w:rsid w:val="00A52DAC"/>
    <w:rsid w:val="00A61D8E"/>
    <w:rsid w:val="00A73CCE"/>
    <w:rsid w:val="00A74F6C"/>
    <w:rsid w:val="00A848E5"/>
    <w:rsid w:val="00A851C2"/>
    <w:rsid w:val="00A87A5C"/>
    <w:rsid w:val="00A90CE7"/>
    <w:rsid w:val="00A92B2F"/>
    <w:rsid w:val="00A963B5"/>
    <w:rsid w:val="00AB0059"/>
    <w:rsid w:val="00AB4853"/>
    <w:rsid w:val="00AB658C"/>
    <w:rsid w:val="00AC0525"/>
    <w:rsid w:val="00AD73A3"/>
    <w:rsid w:val="00AE7C58"/>
    <w:rsid w:val="00AF0D18"/>
    <w:rsid w:val="00AF1192"/>
    <w:rsid w:val="00AF4A07"/>
    <w:rsid w:val="00B00D65"/>
    <w:rsid w:val="00B01A34"/>
    <w:rsid w:val="00B06032"/>
    <w:rsid w:val="00B10763"/>
    <w:rsid w:val="00B17EDF"/>
    <w:rsid w:val="00B35B58"/>
    <w:rsid w:val="00B43D98"/>
    <w:rsid w:val="00B561F5"/>
    <w:rsid w:val="00B71852"/>
    <w:rsid w:val="00B7251E"/>
    <w:rsid w:val="00B839AB"/>
    <w:rsid w:val="00B93243"/>
    <w:rsid w:val="00B94EB0"/>
    <w:rsid w:val="00B97D6F"/>
    <w:rsid w:val="00BA4FF6"/>
    <w:rsid w:val="00BB0A24"/>
    <w:rsid w:val="00BB3648"/>
    <w:rsid w:val="00BC079E"/>
    <w:rsid w:val="00BC74D3"/>
    <w:rsid w:val="00BD2B3C"/>
    <w:rsid w:val="00BE3BD3"/>
    <w:rsid w:val="00C00D32"/>
    <w:rsid w:val="00C13918"/>
    <w:rsid w:val="00C16E76"/>
    <w:rsid w:val="00C20BD9"/>
    <w:rsid w:val="00C217BE"/>
    <w:rsid w:val="00C27992"/>
    <w:rsid w:val="00C36836"/>
    <w:rsid w:val="00C458B3"/>
    <w:rsid w:val="00C45B46"/>
    <w:rsid w:val="00C54D08"/>
    <w:rsid w:val="00C604FD"/>
    <w:rsid w:val="00C642B8"/>
    <w:rsid w:val="00CA26E5"/>
    <w:rsid w:val="00CA43AE"/>
    <w:rsid w:val="00CB325E"/>
    <w:rsid w:val="00CC46FE"/>
    <w:rsid w:val="00CC5801"/>
    <w:rsid w:val="00CD15D9"/>
    <w:rsid w:val="00CF35FD"/>
    <w:rsid w:val="00CF4F91"/>
    <w:rsid w:val="00CF6789"/>
    <w:rsid w:val="00D106B2"/>
    <w:rsid w:val="00D155EC"/>
    <w:rsid w:val="00D2217A"/>
    <w:rsid w:val="00D32DB9"/>
    <w:rsid w:val="00D32EB4"/>
    <w:rsid w:val="00D409F9"/>
    <w:rsid w:val="00D57FA1"/>
    <w:rsid w:val="00D60305"/>
    <w:rsid w:val="00D63C98"/>
    <w:rsid w:val="00D63CD1"/>
    <w:rsid w:val="00D750B8"/>
    <w:rsid w:val="00D80387"/>
    <w:rsid w:val="00D8199C"/>
    <w:rsid w:val="00D85EC1"/>
    <w:rsid w:val="00D9104E"/>
    <w:rsid w:val="00D95EC4"/>
    <w:rsid w:val="00DA27A0"/>
    <w:rsid w:val="00DA3540"/>
    <w:rsid w:val="00DA4BFE"/>
    <w:rsid w:val="00DB46C4"/>
    <w:rsid w:val="00DB4714"/>
    <w:rsid w:val="00DC0283"/>
    <w:rsid w:val="00DD31B1"/>
    <w:rsid w:val="00DE4510"/>
    <w:rsid w:val="00DE4A72"/>
    <w:rsid w:val="00DE666B"/>
    <w:rsid w:val="00DF1F1F"/>
    <w:rsid w:val="00DF5CC1"/>
    <w:rsid w:val="00E01826"/>
    <w:rsid w:val="00E07F9A"/>
    <w:rsid w:val="00E211C1"/>
    <w:rsid w:val="00E21426"/>
    <w:rsid w:val="00E36222"/>
    <w:rsid w:val="00E456CA"/>
    <w:rsid w:val="00E5317D"/>
    <w:rsid w:val="00E5717E"/>
    <w:rsid w:val="00E65A04"/>
    <w:rsid w:val="00E73CC5"/>
    <w:rsid w:val="00E743E7"/>
    <w:rsid w:val="00E812C9"/>
    <w:rsid w:val="00E813A2"/>
    <w:rsid w:val="00EA1637"/>
    <w:rsid w:val="00EB7692"/>
    <w:rsid w:val="00EC2D1E"/>
    <w:rsid w:val="00EC3DB2"/>
    <w:rsid w:val="00ED444A"/>
    <w:rsid w:val="00ED6BB0"/>
    <w:rsid w:val="00ED7B0E"/>
    <w:rsid w:val="00F001EE"/>
    <w:rsid w:val="00F0759F"/>
    <w:rsid w:val="00F14030"/>
    <w:rsid w:val="00F176CA"/>
    <w:rsid w:val="00F22EE1"/>
    <w:rsid w:val="00F251C3"/>
    <w:rsid w:val="00F41E84"/>
    <w:rsid w:val="00F55EE6"/>
    <w:rsid w:val="00F6640D"/>
    <w:rsid w:val="00F71A32"/>
    <w:rsid w:val="00F84D29"/>
    <w:rsid w:val="00F95839"/>
    <w:rsid w:val="00FA1A12"/>
    <w:rsid w:val="00FA3CFC"/>
    <w:rsid w:val="00FA4DA9"/>
    <w:rsid w:val="00FB5933"/>
    <w:rsid w:val="00FC34C5"/>
    <w:rsid w:val="00FD21C8"/>
    <w:rsid w:val="00FE22A4"/>
    <w:rsid w:val="00FE29C8"/>
    <w:rsid w:val="00FF112C"/>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7C5D83"/>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s-ES"/>
    </w:rPr>
  </w:style>
  <w:style w:type="paragraph" w:styleId="Ttulo2">
    <w:name w:val="heading 2"/>
    <w:basedOn w:val="Normal"/>
    <w:next w:val="Normal"/>
    <w:link w:val="Ttulo2Car"/>
    <w:uiPriority w:val="9"/>
    <w:unhideWhenUsed/>
    <w:qFormat/>
    <w:rsid w:val="001A1DDA"/>
    <w:pPr>
      <w:keepNext/>
      <w:keepLines/>
      <w:spacing w:before="200" w:after="0"/>
      <w:outlineLvl w:val="1"/>
    </w:pPr>
    <w:rPr>
      <w:rFonts w:asciiTheme="majorHAnsi" w:eastAsiaTheme="majorEastAsia" w:hAnsiTheme="majorHAnsi" w:cstheme="majorBidi"/>
      <w:b/>
      <w:bCs/>
      <w:color w:val="4F81BD" w:themeColor="accent1"/>
      <w:sz w:val="26"/>
      <w:szCs w:val="26"/>
      <w:lang w:eastAsia="es-ES"/>
    </w:rPr>
  </w:style>
  <w:style w:type="paragraph" w:styleId="Ttulo3">
    <w:name w:val="heading 3"/>
    <w:basedOn w:val="Normal"/>
    <w:next w:val="Normal"/>
    <w:link w:val="Ttulo3Car"/>
    <w:uiPriority w:val="9"/>
    <w:semiHidden/>
    <w:unhideWhenUsed/>
    <w:qFormat/>
    <w:rsid w:val="006B21D6"/>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unhideWhenUsed/>
    <w:qFormat/>
    <w:rsid w:val="00C13918"/>
    <w:pPr>
      <w:keepNext/>
      <w:keepLines/>
      <w:spacing w:before="200" w:after="0"/>
      <w:outlineLvl w:val="3"/>
    </w:pPr>
    <w:rPr>
      <w:rFonts w:asciiTheme="majorHAnsi" w:eastAsiaTheme="majorEastAsia" w:hAnsiTheme="majorHAnsi" w:cstheme="majorBidi"/>
      <w:b/>
      <w:bCs/>
      <w:i/>
      <w:i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2D298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D2980"/>
    <w:rPr>
      <w:rFonts w:ascii="Tahoma" w:hAnsi="Tahoma" w:cs="Tahoma"/>
      <w:sz w:val="16"/>
      <w:szCs w:val="16"/>
    </w:rPr>
  </w:style>
  <w:style w:type="paragraph" w:styleId="Prrafodelista">
    <w:name w:val="List Paragraph"/>
    <w:basedOn w:val="Normal"/>
    <w:uiPriority w:val="34"/>
    <w:qFormat/>
    <w:rsid w:val="002D2980"/>
    <w:pPr>
      <w:ind w:left="720"/>
      <w:contextualSpacing/>
    </w:pPr>
  </w:style>
  <w:style w:type="paragraph" w:customStyle="1" w:styleId="selectionshareable">
    <w:name w:val="selectionshareable"/>
    <w:basedOn w:val="Normal"/>
    <w:rsid w:val="001A1DDA"/>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2Car">
    <w:name w:val="Título 2 Car"/>
    <w:basedOn w:val="Fuentedeprrafopredeter"/>
    <w:link w:val="Ttulo2"/>
    <w:uiPriority w:val="9"/>
    <w:rsid w:val="001A1DDA"/>
    <w:rPr>
      <w:rFonts w:asciiTheme="majorHAnsi" w:eastAsiaTheme="majorEastAsia" w:hAnsiTheme="majorHAnsi" w:cstheme="majorBidi"/>
      <w:b/>
      <w:bCs/>
      <w:color w:val="4F81BD" w:themeColor="accent1"/>
      <w:sz w:val="26"/>
      <w:szCs w:val="26"/>
      <w:lang w:eastAsia="es-ES"/>
    </w:rPr>
  </w:style>
  <w:style w:type="paragraph" w:styleId="NormalWeb">
    <w:name w:val="Normal (Web)"/>
    <w:basedOn w:val="Normal"/>
    <w:uiPriority w:val="99"/>
    <w:unhideWhenUsed/>
    <w:rsid w:val="001A1DDA"/>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1A1DDA"/>
    <w:rPr>
      <w:b/>
      <w:bCs/>
    </w:rPr>
  </w:style>
  <w:style w:type="character" w:styleId="Hipervnculo">
    <w:name w:val="Hyperlink"/>
    <w:basedOn w:val="Fuentedeprrafopredeter"/>
    <w:uiPriority w:val="99"/>
    <w:unhideWhenUsed/>
    <w:rsid w:val="001A1DDA"/>
    <w:rPr>
      <w:color w:val="0000FF"/>
      <w:u w:val="single"/>
    </w:rPr>
  </w:style>
  <w:style w:type="character" w:customStyle="1" w:styleId="Ttulo4Car">
    <w:name w:val="Título 4 Car"/>
    <w:basedOn w:val="Fuentedeprrafopredeter"/>
    <w:link w:val="Ttulo4"/>
    <w:uiPriority w:val="9"/>
    <w:rsid w:val="00C13918"/>
    <w:rPr>
      <w:rFonts w:asciiTheme="majorHAnsi" w:eastAsiaTheme="majorEastAsia" w:hAnsiTheme="majorHAnsi" w:cstheme="majorBidi"/>
      <w:b/>
      <w:bCs/>
      <w:i/>
      <w:iCs/>
      <w:color w:val="4F81BD" w:themeColor="accent1"/>
      <w:lang w:eastAsia="es-ES"/>
    </w:rPr>
  </w:style>
  <w:style w:type="paragraph" w:customStyle="1" w:styleId="Estndar">
    <w:name w:val="Estándar"/>
    <w:rsid w:val="00EA1637"/>
    <w:pPr>
      <w:spacing w:after="0" w:line="240" w:lineRule="auto"/>
    </w:pPr>
    <w:rPr>
      <w:rFonts w:ascii="Times New Roman" w:eastAsia="Times New Roman" w:hAnsi="Times New Roman" w:cs="Times New Roman"/>
      <w:color w:val="000000"/>
      <w:sz w:val="24"/>
      <w:szCs w:val="20"/>
      <w:lang w:val="es-ES_tradnl" w:eastAsia="es-ES"/>
    </w:rPr>
  </w:style>
  <w:style w:type="character" w:customStyle="1" w:styleId="Ttulo3Car">
    <w:name w:val="Título 3 Car"/>
    <w:basedOn w:val="Fuentedeprrafopredeter"/>
    <w:link w:val="Ttulo3"/>
    <w:uiPriority w:val="9"/>
    <w:semiHidden/>
    <w:rsid w:val="006B21D6"/>
    <w:rPr>
      <w:rFonts w:asciiTheme="majorHAnsi" w:eastAsiaTheme="majorEastAsia" w:hAnsiTheme="majorHAnsi" w:cstheme="majorBidi"/>
      <w:b/>
      <w:bCs/>
      <w:color w:val="4F81BD" w:themeColor="accent1"/>
    </w:rPr>
  </w:style>
  <w:style w:type="character" w:customStyle="1" w:styleId="Ttulo1Car">
    <w:name w:val="Título 1 Car"/>
    <w:basedOn w:val="Fuentedeprrafopredeter"/>
    <w:link w:val="Ttulo1"/>
    <w:uiPriority w:val="9"/>
    <w:rsid w:val="007C5D83"/>
    <w:rPr>
      <w:rFonts w:asciiTheme="majorHAnsi" w:eastAsiaTheme="majorEastAsia" w:hAnsiTheme="majorHAnsi" w:cstheme="majorBidi"/>
      <w:b/>
      <w:bCs/>
      <w:color w:val="365F91" w:themeColor="accent1" w:themeShade="BF"/>
      <w:sz w:val="28"/>
      <w:szCs w:val="28"/>
      <w:lang w:eastAsia="es-ES"/>
    </w:rPr>
  </w:style>
  <w:style w:type="paragraph" w:styleId="Sinespaciado">
    <w:name w:val="No Spacing"/>
    <w:uiPriority w:val="1"/>
    <w:qFormat/>
    <w:rsid w:val="007C5D83"/>
    <w:pPr>
      <w:spacing w:after="0" w:line="240" w:lineRule="auto"/>
    </w:pPr>
    <w:rPr>
      <w:rFonts w:eastAsiaTheme="minorEastAsia"/>
      <w:lang w:eastAsia="es-ES"/>
    </w:rPr>
  </w:style>
  <w:style w:type="paragraph" w:customStyle="1" w:styleId="yiv6150418779msonormal">
    <w:name w:val="yiv6150418779msonormal"/>
    <w:basedOn w:val="Normal"/>
    <w:rsid w:val="007C5D83"/>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paragraph-k859h4-0">
    <w:name w:val="paragraph-k859h4-0"/>
    <w:basedOn w:val="Normal"/>
    <w:rsid w:val="00F001E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DE4510"/>
    <w:rPr>
      <w:i/>
      <w:iCs/>
    </w:rPr>
  </w:style>
  <w:style w:type="character" w:customStyle="1" w:styleId="title-master">
    <w:name w:val="title-master"/>
    <w:basedOn w:val="Fuentedeprrafopredeter"/>
    <w:rsid w:val="00DE4510"/>
  </w:style>
  <w:style w:type="paragraph" w:customStyle="1" w:styleId="entry-subtitle">
    <w:name w:val="entry-subtitle"/>
    <w:basedOn w:val="Normal"/>
    <w:rsid w:val="00DE4510"/>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bc-bm53ic">
    <w:name w:val="bbc-bm53ic"/>
    <w:basedOn w:val="Normal"/>
    <w:rsid w:val="00835296"/>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date-display-single">
    <w:name w:val="date-display-single"/>
    <w:basedOn w:val="Fuentedeprrafopredeter"/>
    <w:rsid w:val="0083529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7C5D83"/>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s-ES"/>
    </w:rPr>
  </w:style>
  <w:style w:type="paragraph" w:styleId="Ttulo2">
    <w:name w:val="heading 2"/>
    <w:basedOn w:val="Normal"/>
    <w:next w:val="Normal"/>
    <w:link w:val="Ttulo2Car"/>
    <w:uiPriority w:val="9"/>
    <w:unhideWhenUsed/>
    <w:qFormat/>
    <w:rsid w:val="001A1DDA"/>
    <w:pPr>
      <w:keepNext/>
      <w:keepLines/>
      <w:spacing w:before="200" w:after="0"/>
      <w:outlineLvl w:val="1"/>
    </w:pPr>
    <w:rPr>
      <w:rFonts w:asciiTheme="majorHAnsi" w:eastAsiaTheme="majorEastAsia" w:hAnsiTheme="majorHAnsi" w:cstheme="majorBidi"/>
      <w:b/>
      <w:bCs/>
      <w:color w:val="4F81BD" w:themeColor="accent1"/>
      <w:sz w:val="26"/>
      <w:szCs w:val="26"/>
      <w:lang w:eastAsia="es-ES"/>
    </w:rPr>
  </w:style>
  <w:style w:type="paragraph" w:styleId="Ttulo3">
    <w:name w:val="heading 3"/>
    <w:basedOn w:val="Normal"/>
    <w:next w:val="Normal"/>
    <w:link w:val="Ttulo3Car"/>
    <w:uiPriority w:val="9"/>
    <w:semiHidden/>
    <w:unhideWhenUsed/>
    <w:qFormat/>
    <w:rsid w:val="006B21D6"/>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unhideWhenUsed/>
    <w:qFormat/>
    <w:rsid w:val="00C13918"/>
    <w:pPr>
      <w:keepNext/>
      <w:keepLines/>
      <w:spacing w:before="200" w:after="0"/>
      <w:outlineLvl w:val="3"/>
    </w:pPr>
    <w:rPr>
      <w:rFonts w:asciiTheme="majorHAnsi" w:eastAsiaTheme="majorEastAsia" w:hAnsiTheme="majorHAnsi" w:cstheme="majorBidi"/>
      <w:b/>
      <w:bCs/>
      <w:i/>
      <w:i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2D298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D2980"/>
    <w:rPr>
      <w:rFonts w:ascii="Tahoma" w:hAnsi="Tahoma" w:cs="Tahoma"/>
      <w:sz w:val="16"/>
      <w:szCs w:val="16"/>
    </w:rPr>
  </w:style>
  <w:style w:type="paragraph" w:styleId="Prrafodelista">
    <w:name w:val="List Paragraph"/>
    <w:basedOn w:val="Normal"/>
    <w:uiPriority w:val="34"/>
    <w:qFormat/>
    <w:rsid w:val="002D2980"/>
    <w:pPr>
      <w:ind w:left="720"/>
      <w:contextualSpacing/>
    </w:pPr>
  </w:style>
  <w:style w:type="paragraph" w:customStyle="1" w:styleId="selectionshareable">
    <w:name w:val="selectionshareable"/>
    <w:basedOn w:val="Normal"/>
    <w:rsid w:val="001A1DDA"/>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2Car">
    <w:name w:val="Título 2 Car"/>
    <w:basedOn w:val="Fuentedeprrafopredeter"/>
    <w:link w:val="Ttulo2"/>
    <w:uiPriority w:val="9"/>
    <w:rsid w:val="001A1DDA"/>
    <w:rPr>
      <w:rFonts w:asciiTheme="majorHAnsi" w:eastAsiaTheme="majorEastAsia" w:hAnsiTheme="majorHAnsi" w:cstheme="majorBidi"/>
      <w:b/>
      <w:bCs/>
      <w:color w:val="4F81BD" w:themeColor="accent1"/>
      <w:sz w:val="26"/>
      <w:szCs w:val="26"/>
      <w:lang w:eastAsia="es-ES"/>
    </w:rPr>
  </w:style>
  <w:style w:type="paragraph" w:styleId="NormalWeb">
    <w:name w:val="Normal (Web)"/>
    <w:basedOn w:val="Normal"/>
    <w:uiPriority w:val="99"/>
    <w:unhideWhenUsed/>
    <w:rsid w:val="001A1DDA"/>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1A1DDA"/>
    <w:rPr>
      <w:b/>
      <w:bCs/>
    </w:rPr>
  </w:style>
  <w:style w:type="character" w:styleId="Hipervnculo">
    <w:name w:val="Hyperlink"/>
    <w:basedOn w:val="Fuentedeprrafopredeter"/>
    <w:uiPriority w:val="99"/>
    <w:unhideWhenUsed/>
    <w:rsid w:val="001A1DDA"/>
    <w:rPr>
      <w:color w:val="0000FF"/>
      <w:u w:val="single"/>
    </w:rPr>
  </w:style>
  <w:style w:type="character" w:customStyle="1" w:styleId="Ttulo4Car">
    <w:name w:val="Título 4 Car"/>
    <w:basedOn w:val="Fuentedeprrafopredeter"/>
    <w:link w:val="Ttulo4"/>
    <w:uiPriority w:val="9"/>
    <w:rsid w:val="00C13918"/>
    <w:rPr>
      <w:rFonts w:asciiTheme="majorHAnsi" w:eastAsiaTheme="majorEastAsia" w:hAnsiTheme="majorHAnsi" w:cstheme="majorBidi"/>
      <w:b/>
      <w:bCs/>
      <w:i/>
      <w:iCs/>
      <w:color w:val="4F81BD" w:themeColor="accent1"/>
      <w:lang w:eastAsia="es-ES"/>
    </w:rPr>
  </w:style>
  <w:style w:type="paragraph" w:customStyle="1" w:styleId="Estndar">
    <w:name w:val="Estándar"/>
    <w:rsid w:val="00EA1637"/>
    <w:pPr>
      <w:spacing w:after="0" w:line="240" w:lineRule="auto"/>
    </w:pPr>
    <w:rPr>
      <w:rFonts w:ascii="Times New Roman" w:eastAsia="Times New Roman" w:hAnsi="Times New Roman" w:cs="Times New Roman"/>
      <w:color w:val="000000"/>
      <w:sz w:val="24"/>
      <w:szCs w:val="20"/>
      <w:lang w:val="es-ES_tradnl" w:eastAsia="es-ES"/>
    </w:rPr>
  </w:style>
  <w:style w:type="character" w:customStyle="1" w:styleId="Ttulo3Car">
    <w:name w:val="Título 3 Car"/>
    <w:basedOn w:val="Fuentedeprrafopredeter"/>
    <w:link w:val="Ttulo3"/>
    <w:uiPriority w:val="9"/>
    <w:semiHidden/>
    <w:rsid w:val="006B21D6"/>
    <w:rPr>
      <w:rFonts w:asciiTheme="majorHAnsi" w:eastAsiaTheme="majorEastAsia" w:hAnsiTheme="majorHAnsi" w:cstheme="majorBidi"/>
      <w:b/>
      <w:bCs/>
      <w:color w:val="4F81BD" w:themeColor="accent1"/>
    </w:rPr>
  </w:style>
  <w:style w:type="character" w:customStyle="1" w:styleId="Ttulo1Car">
    <w:name w:val="Título 1 Car"/>
    <w:basedOn w:val="Fuentedeprrafopredeter"/>
    <w:link w:val="Ttulo1"/>
    <w:uiPriority w:val="9"/>
    <w:rsid w:val="007C5D83"/>
    <w:rPr>
      <w:rFonts w:asciiTheme="majorHAnsi" w:eastAsiaTheme="majorEastAsia" w:hAnsiTheme="majorHAnsi" w:cstheme="majorBidi"/>
      <w:b/>
      <w:bCs/>
      <w:color w:val="365F91" w:themeColor="accent1" w:themeShade="BF"/>
      <w:sz w:val="28"/>
      <w:szCs w:val="28"/>
      <w:lang w:eastAsia="es-ES"/>
    </w:rPr>
  </w:style>
  <w:style w:type="paragraph" w:styleId="Sinespaciado">
    <w:name w:val="No Spacing"/>
    <w:uiPriority w:val="1"/>
    <w:qFormat/>
    <w:rsid w:val="007C5D83"/>
    <w:pPr>
      <w:spacing w:after="0" w:line="240" w:lineRule="auto"/>
    </w:pPr>
    <w:rPr>
      <w:rFonts w:eastAsiaTheme="minorEastAsia"/>
      <w:lang w:eastAsia="es-ES"/>
    </w:rPr>
  </w:style>
  <w:style w:type="paragraph" w:customStyle="1" w:styleId="yiv6150418779msonormal">
    <w:name w:val="yiv6150418779msonormal"/>
    <w:basedOn w:val="Normal"/>
    <w:rsid w:val="007C5D83"/>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paragraph-k859h4-0">
    <w:name w:val="paragraph-k859h4-0"/>
    <w:basedOn w:val="Normal"/>
    <w:rsid w:val="00F001E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DE4510"/>
    <w:rPr>
      <w:i/>
      <w:iCs/>
    </w:rPr>
  </w:style>
  <w:style w:type="character" w:customStyle="1" w:styleId="title-master">
    <w:name w:val="title-master"/>
    <w:basedOn w:val="Fuentedeprrafopredeter"/>
    <w:rsid w:val="00DE4510"/>
  </w:style>
  <w:style w:type="paragraph" w:customStyle="1" w:styleId="entry-subtitle">
    <w:name w:val="entry-subtitle"/>
    <w:basedOn w:val="Normal"/>
    <w:rsid w:val="00DE4510"/>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bc-bm53ic">
    <w:name w:val="bbc-bm53ic"/>
    <w:basedOn w:val="Normal"/>
    <w:rsid w:val="00835296"/>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date-display-single">
    <w:name w:val="date-display-single"/>
    <w:basedOn w:val="Fuentedeprrafopredeter"/>
    <w:rsid w:val="0083529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72637371">
      <w:bodyDiv w:val="1"/>
      <w:marLeft w:val="0"/>
      <w:marRight w:val="0"/>
      <w:marTop w:val="0"/>
      <w:marBottom w:val="0"/>
      <w:divBdr>
        <w:top w:val="none" w:sz="0" w:space="0" w:color="auto"/>
        <w:left w:val="none" w:sz="0" w:space="0" w:color="auto"/>
        <w:bottom w:val="none" w:sz="0" w:space="0" w:color="auto"/>
        <w:right w:val="none" w:sz="0" w:space="0" w:color="auto"/>
      </w:divBdr>
      <w:divsChild>
        <w:div w:id="5879393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eleconomista.es/economia/noticias/10421755/03/20/Trump-llevara-al-Congreso-un-paquete-de-estimulos-de-850000-millones-de-dolares-para-luchar-contra-el-coronavirus.html" TargetMode="External"/><Relationship Id="rId299" Type="http://schemas.openxmlformats.org/officeDocument/2006/relationships/image" Target="media/image184.png"/><Relationship Id="rId21" Type="http://schemas.openxmlformats.org/officeDocument/2006/relationships/hyperlink" Target="https://economipedia.com/definiciones/inflacion-de-galopante.html" TargetMode="External"/><Relationship Id="rId63" Type="http://schemas.openxmlformats.org/officeDocument/2006/relationships/image" Target="media/image40.png"/><Relationship Id="rId159" Type="http://schemas.openxmlformats.org/officeDocument/2006/relationships/hyperlink" Target="https://www.elconfidencial.com/tags/personajes/nicolas-maduro-8754/" TargetMode="External"/><Relationship Id="rId324" Type="http://schemas.openxmlformats.org/officeDocument/2006/relationships/image" Target="media/image203.jpeg"/><Relationship Id="rId366" Type="http://schemas.openxmlformats.org/officeDocument/2006/relationships/image" Target="media/image229.png"/><Relationship Id="rId170" Type="http://schemas.openxmlformats.org/officeDocument/2006/relationships/hyperlink" Target="https://coronavirus.jhu.edu/map.html" TargetMode="External"/><Relationship Id="rId226" Type="http://schemas.openxmlformats.org/officeDocument/2006/relationships/hyperlink" Target="https://www.eleconomista.es/economia/noticias/10931813/12/20/Alicia-Garcia-Herrero-Natixis-Espana-no-es-Marruecos-ni-Turquia-nuestra-renta-per-capita-no-puede-soportar-tanto-turismo.html" TargetMode="External"/><Relationship Id="rId268" Type="http://schemas.openxmlformats.org/officeDocument/2006/relationships/image" Target="media/image166.jpeg"/><Relationship Id="rId32" Type="http://schemas.openxmlformats.org/officeDocument/2006/relationships/image" Target="media/image18.png"/><Relationship Id="rId74" Type="http://schemas.openxmlformats.org/officeDocument/2006/relationships/image" Target="media/image51.gif"/><Relationship Id="rId128" Type="http://schemas.openxmlformats.org/officeDocument/2006/relationships/image" Target="media/image79.png"/><Relationship Id="rId335" Type="http://schemas.openxmlformats.org/officeDocument/2006/relationships/image" Target="media/image208.jpeg"/><Relationship Id="rId377" Type="http://schemas.openxmlformats.org/officeDocument/2006/relationships/hyperlink" Target="https://www.elconfidencial.com/economia/2020-04-07/espana-aleja-italia-eurogrupo-condiciones-mede_2538608/" TargetMode="External"/><Relationship Id="rId5" Type="http://schemas.openxmlformats.org/officeDocument/2006/relationships/settings" Target="settings.xml"/><Relationship Id="rId181" Type="http://schemas.openxmlformats.org/officeDocument/2006/relationships/image" Target="media/image102.png"/><Relationship Id="rId237" Type="http://schemas.openxmlformats.org/officeDocument/2006/relationships/image" Target="media/image142.jpeg"/><Relationship Id="rId402" Type="http://schemas.openxmlformats.org/officeDocument/2006/relationships/image" Target="media/image249.jpeg"/><Relationship Id="rId279" Type="http://schemas.openxmlformats.org/officeDocument/2006/relationships/image" Target="media/image177.png"/><Relationship Id="rId43" Type="http://schemas.openxmlformats.org/officeDocument/2006/relationships/hyperlink" Target="https://www.elconfidencial.com/economia/2020-04-05/economia-sumergida-coronavirus-pandemia-negro-hosteleria_2534287/" TargetMode="External"/><Relationship Id="rId139" Type="http://schemas.openxmlformats.org/officeDocument/2006/relationships/hyperlink" Target="https://www.funcas.es/textointegro/previsiones-economicas-para-espana-2020-2021-septiembre-2020/" TargetMode="External"/><Relationship Id="rId290" Type="http://schemas.openxmlformats.org/officeDocument/2006/relationships/hyperlink" Target="https://www.vozpopuli.com/opinion/garcia-trevijano-regla-taylor-tipos-interes_0_1114989962.html" TargetMode="External"/><Relationship Id="rId304" Type="http://schemas.openxmlformats.org/officeDocument/2006/relationships/image" Target="media/image189.png"/><Relationship Id="rId346" Type="http://schemas.openxmlformats.org/officeDocument/2006/relationships/hyperlink" Target="http://www.scielo.org.mx/scielo.php?script=sci_arttext&amp;pid=S0187-69612015000200009" TargetMode="External"/><Relationship Id="rId388" Type="http://schemas.openxmlformats.org/officeDocument/2006/relationships/image" Target="media/image239.jpeg"/><Relationship Id="rId85" Type="http://schemas.openxmlformats.org/officeDocument/2006/relationships/hyperlink" Target="https://www.eleconomista.es/economia/noticias/10586464/06/20/Rechazo-frontal-de-Finlandia-al-fondo-de-reconstruccion-europeo.html" TargetMode="External"/><Relationship Id="rId150" Type="http://schemas.openxmlformats.org/officeDocument/2006/relationships/image" Target="media/image89.png"/><Relationship Id="rId192" Type="http://schemas.openxmlformats.org/officeDocument/2006/relationships/image" Target="media/image112.jpeg"/><Relationship Id="rId206" Type="http://schemas.openxmlformats.org/officeDocument/2006/relationships/image" Target="media/image120.jpeg"/><Relationship Id="rId248" Type="http://schemas.openxmlformats.org/officeDocument/2006/relationships/image" Target="media/image153.png"/><Relationship Id="rId12" Type="http://schemas.openxmlformats.org/officeDocument/2006/relationships/image" Target="media/image6.png"/><Relationship Id="rId108" Type="http://schemas.openxmlformats.org/officeDocument/2006/relationships/image" Target="media/image68.jpeg"/><Relationship Id="rId315" Type="http://schemas.openxmlformats.org/officeDocument/2006/relationships/image" Target="media/image197.png"/><Relationship Id="rId357" Type="http://schemas.openxmlformats.org/officeDocument/2006/relationships/image" Target="media/image220.png"/><Relationship Id="rId54" Type="http://schemas.openxmlformats.org/officeDocument/2006/relationships/image" Target="media/image31.png"/><Relationship Id="rId96" Type="http://schemas.openxmlformats.org/officeDocument/2006/relationships/hyperlink" Target="https://www.eleconomista.es/economia/noticias/7915652/10/16/Alemania-se-aduena-del-mundo-poco-a-poco-nuevo-record-de-su-posicion-de-inversion-internacional.html" TargetMode="External"/><Relationship Id="rId161" Type="http://schemas.openxmlformats.org/officeDocument/2006/relationships/hyperlink" Target="https://www.imf.org/es/Publications/WEO/Issues/2020/06/24/WEOUpdateJune2020" TargetMode="External"/><Relationship Id="rId217" Type="http://schemas.openxmlformats.org/officeDocument/2006/relationships/hyperlink" Target="https://www.eleconomista.es/economia/noticias/10918344/12/20/La-OCDE-alerta-de-que-hasta-las-empresas-viables-pueden-caer-en-Espana-si-se-prolonga-la-crisis.html" TargetMode="External"/><Relationship Id="rId399" Type="http://schemas.openxmlformats.org/officeDocument/2006/relationships/image" Target="media/image246.jpeg"/><Relationship Id="rId259" Type="http://schemas.openxmlformats.org/officeDocument/2006/relationships/hyperlink" Target="https://www.eleconomista.es/mercados-cotizaciones/noticias/11025888/02/21/Deutsche-Bank-Cuando-la-inflacion-este-fuera-de-control-y-suban-los-tipos-de-interes-la-fiesta-habra-acabado.html" TargetMode="External"/><Relationship Id="rId23" Type="http://schemas.openxmlformats.org/officeDocument/2006/relationships/hyperlink" Target="https://retos-directivos.eae.es/la-inflacion-y-la-formula-del-valor-actual/" TargetMode="External"/><Relationship Id="rId119" Type="http://schemas.openxmlformats.org/officeDocument/2006/relationships/hyperlink" Target="https://www.eleconomista.es/economia/noticias/10654564/07/20/Espana-prepara-una-subida-de-impuestos-mientras-que-Europa-recomienda-esperar-hasta-2022-para-apoyar-la-economia.html" TargetMode="External"/><Relationship Id="rId270" Type="http://schemas.openxmlformats.org/officeDocument/2006/relationships/image" Target="media/image168.jpeg"/><Relationship Id="rId326" Type="http://schemas.openxmlformats.org/officeDocument/2006/relationships/image" Target="media/image204.jpeg"/><Relationship Id="rId65" Type="http://schemas.openxmlformats.org/officeDocument/2006/relationships/image" Target="media/image42.png"/><Relationship Id="rId130" Type="http://schemas.openxmlformats.org/officeDocument/2006/relationships/hyperlink" Target="https://archive.fortune.com/magazines/fortune/fortune_archive/2001/12/10/314691/index.htm" TargetMode="External"/><Relationship Id="rId368" Type="http://schemas.openxmlformats.org/officeDocument/2006/relationships/image" Target="media/image231.png"/><Relationship Id="rId172" Type="http://schemas.openxmlformats.org/officeDocument/2006/relationships/image" Target="media/image97.jpeg"/><Relationship Id="rId228" Type="http://schemas.openxmlformats.org/officeDocument/2006/relationships/image" Target="media/image133.png"/><Relationship Id="rId281" Type="http://schemas.openxmlformats.org/officeDocument/2006/relationships/hyperlink" Target="https://es.wikipedia.org/wiki/Expansi%C3%B3n_cuantitativa" TargetMode="External"/><Relationship Id="rId337" Type="http://schemas.openxmlformats.org/officeDocument/2006/relationships/hyperlink" Target="http://www.scielo.org.mx/scielo.php?script=sci_arttext&amp;pid=S0187-69612015000200009#Cuadro4b" TargetMode="External"/><Relationship Id="rId34" Type="http://schemas.openxmlformats.org/officeDocument/2006/relationships/image" Target="media/image20.png"/><Relationship Id="rId76" Type="http://schemas.openxmlformats.org/officeDocument/2006/relationships/image" Target="media/image53.png"/><Relationship Id="rId141" Type="http://schemas.openxmlformats.org/officeDocument/2006/relationships/hyperlink" Target="https://s.libertaddigital.com/2020/09/16/recre3.png" TargetMode="External"/><Relationship Id="rId379" Type="http://schemas.openxmlformats.org/officeDocument/2006/relationships/hyperlink" Target="https://coronavirus.jhu.edu/map.html" TargetMode="External"/><Relationship Id="rId7" Type="http://schemas.openxmlformats.org/officeDocument/2006/relationships/image" Target="media/image1.jpeg"/><Relationship Id="rId183" Type="http://schemas.openxmlformats.org/officeDocument/2006/relationships/image" Target="media/image104.png"/><Relationship Id="rId239" Type="http://schemas.openxmlformats.org/officeDocument/2006/relationships/image" Target="media/image144.jpeg"/><Relationship Id="rId390" Type="http://schemas.openxmlformats.org/officeDocument/2006/relationships/image" Target="media/image240.jpeg"/><Relationship Id="rId404" Type="http://schemas.openxmlformats.org/officeDocument/2006/relationships/image" Target="media/image251.png"/><Relationship Id="rId250" Type="http://schemas.openxmlformats.org/officeDocument/2006/relationships/image" Target="media/image155.png"/><Relationship Id="rId292" Type="http://schemas.openxmlformats.org/officeDocument/2006/relationships/image" Target="media/image182.jpeg"/><Relationship Id="rId306" Type="http://schemas.openxmlformats.org/officeDocument/2006/relationships/hyperlink" Target="https://voxeu.org/article/us-inflation-set-take" TargetMode="External"/><Relationship Id="rId45" Type="http://schemas.openxmlformats.org/officeDocument/2006/relationships/hyperlink" Target="https://www.elconfidencial.com/mercados/indice/divisas/" TargetMode="External"/><Relationship Id="rId87" Type="http://schemas.openxmlformats.org/officeDocument/2006/relationships/hyperlink" Target="https://www.eleconomista.es/economia/noticias/10526820/05/20/El-deficit-estructural-espanol-rebasa-el-5-segun-la-UE-y-aboca-a-un-rescate.html" TargetMode="External"/><Relationship Id="rId110" Type="http://schemas.openxmlformats.org/officeDocument/2006/relationships/image" Target="media/image70.jpeg"/><Relationship Id="rId348" Type="http://schemas.openxmlformats.org/officeDocument/2006/relationships/image" Target="media/image211.jpeg"/><Relationship Id="rId152" Type="http://schemas.openxmlformats.org/officeDocument/2006/relationships/image" Target="media/image91.png"/><Relationship Id="rId194" Type="http://schemas.openxmlformats.org/officeDocument/2006/relationships/hyperlink" Target="https://www.eleconomista.es/autor/Vicente-Nieves" TargetMode="External"/><Relationship Id="rId208" Type="http://schemas.openxmlformats.org/officeDocument/2006/relationships/image" Target="media/image122.jpeg"/><Relationship Id="rId261" Type="http://schemas.openxmlformats.org/officeDocument/2006/relationships/hyperlink" Target="https://www.eleconomista.es/economia/noticias/11034936/02/21/La-historica-desconexion-entre-PIB-y-renta-disponible-que-deja-a-EEUU-muy-vivo-tras-la-crisis.html" TargetMode="External"/><Relationship Id="rId14" Type="http://schemas.openxmlformats.org/officeDocument/2006/relationships/image" Target="media/image8.png"/><Relationship Id="rId56" Type="http://schemas.openxmlformats.org/officeDocument/2006/relationships/image" Target="media/image33.jpeg"/><Relationship Id="rId317" Type="http://schemas.openxmlformats.org/officeDocument/2006/relationships/image" Target="media/image199.png"/><Relationship Id="rId359" Type="http://schemas.openxmlformats.org/officeDocument/2006/relationships/image" Target="media/image222.png"/><Relationship Id="rId98" Type="http://schemas.openxmlformats.org/officeDocument/2006/relationships/hyperlink" Target="https://www.eleconomista.es/economia/noticias/10082729/09/19/El-conde-Draghila-esta-chupando-nuestras-cuentas-la-prensa-alemana-arremete-contra-el-BCE.html" TargetMode="External"/><Relationship Id="rId121" Type="http://schemas.openxmlformats.org/officeDocument/2006/relationships/hyperlink" Target="https://www.eleconomista.es/empresas-finanzas/noticias/10665104/07/20/La-banca-avisa-cerrara-el-credito-a-empresas-y-pymes-tras-el-fin-de-los-avales.html" TargetMode="External"/><Relationship Id="rId163" Type="http://schemas.openxmlformats.org/officeDocument/2006/relationships/hyperlink" Target="https://www.elconfidencial.com/mercados/the-wall-street-journal/2020-04-18/ensenan-test-wuhan-falta-mucho-inmunidad_2554968/" TargetMode="External"/><Relationship Id="rId219" Type="http://schemas.openxmlformats.org/officeDocument/2006/relationships/hyperlink" Target="https://www.eleconomista.es/economia/noticias/10921689/12/20/La-doble-trampa-del-Covid-y-el-empleo-los-salarios-caeran-el-20-entre-los-empleos-peor-pagados.html" TargetMode="External"/><Relationship Id="rId370" Type="http://schemas.openxmlformats.org/officeDocument/2006/relationships/image" Target="media/image233.jpeg"/><Relationship Id="rId230" Type="http://schemas.openxmlformats.org/officeDocument/2006/relationships/image" Target="media/image135.png"/><Relationship Id="rId25" Type="http://schemas.openxmlformats.org/officeDocument/2006/relationships/image" Target="media/image11.png"/><Relationship Id="rId67" Type="http://schemas.openxmlformats.org/officeDocument/2006/relationships/image" Target="media/image44.jpeg"/><Relationship Id="rId272" Type="http://schemas.openxmlformats.org/officeDocument/2006/relationships/image" Target="media/image170.gif"/><Relationship Id="rId328" Type="http://schemas.openxmlformats.org/officeDocument/2006/relationships/image" Target="media/image205.jpeg"/><Relationship Id="rId132" Type="http://schemas.openxmlformats.org/officeDocument/2006/relationships/hyperlink" Target="https://www.eleconomista.es/economia/noticias/10697632/07/20/La-economia-de-EEUU-sufrio-una-contraccion-sin-precedentes-del-329-en-el-segundo-trimestre-del-ano.html" TargetMode="External"/><Relationship Id="rId174" Type="http://schemas.openxmlformats.org/officeDocument/2006/relationships/hyperlink" Target="https://www.elconfidencial.com/economia/2020-10-02/bce-paga-bancos-concedan-credito_2771688/" TargetMode="External"/><Relationship Id="rId381" Type="http://schemas.openxmlformats.org/officeDocument/2006/relationships/hyperlink" Target="https://www.eleconomista.es/economia/noticias/10833002/10/20/La-pandemia-provoca-una-montana-de-deuda-global-que-golpeara-en-el-futuro.html" TargetMode="External"/><Relationship Id="rId241" Type="http://schemas.openxmlformats.org/officeDocument/2006/relationships/image" Target="media/image146.png"/><Relationship Id="rId36" Type="http://schemas.openxmlformats.org/officeDocument/2006/relationships/hyperlink" Target="https://blogs.elconfidencial.com/espana/mientras-tanto/2020-04-05/deuda-condonacion-covid-sanchez-gasto-publico-italia_2534628/" TargetMode="External"/><Relationship Id="rId283" Type="http://schemas.openxmlformats.org/officeDocument/2006/relationships/image" Target="media/image178.jpeg"/><Relationship Id="rId339" Type="http://schemas.openxmlformats.org/officeDocument/2006/relationships/hyperlink" Target="http://www.scielo.org.mx/scielo.php?script=sci_arttext&amp;pid=S0187-69612015000200009" TargetMode="External"/><Relationship Id="rId78" Type="http://schemas.openxmlformats.org/officeDocument/2006/relationships/image" Target="media/image55.gif"/><Relationship Id="rId101" Type="http://schemas.openxmlformats.org/officeDocument/2006/relationships/image" Target="media/image62.jpeg"/><Relationship Id="rId143" Type="http://schemas.openxmlformats.org/officeDocument/2006/relationships/hyperlink" Target="https://s.libertaddigital.com/2020/09/16/recre4.png" TargetMode="External"/><Relationship Id="rId185" Type="http://schemas.openxmlformats.org/officeDocument/2006/relationships/image" Target="media/image106.png"/><Relationship Id="rId350" Type="http://schemas.openxmlformats.org/officeDocument/2006/relationships/image" Target="media/image213.png"/><Relationship Id="rId406" Type="http://schemas.openxmlformats.org/officeDocument/2006/relationships/theme" Target="theme/theme1.xml"/><Relationship Id="rId9" Type="http://schemas.openxmlformats.org/officeDocument/2006/relationships/image" Target="media/image3.png"/><Relationship Id="rId210" Type="http://schemas.openxmlformats.org/officeDocument/2006/relationships/image" Target="media/image124.jpeg"/><Relationship Id="rId392" Type="http://schemas.openxmlformats.org/officeDocument/2006/relationships/image" Target="http://static.businessinsider.com/image/4cfe9df0ccd1d56f20010000-400-300/bonus-i-dont-fully-understand-movements-in-the-gold-price.jpg" TargetMode="External"/><Relationship Id="rId252" Type="http://schemas.openxmlformats.org/officeDocument/2006/relationships/image" Target="media/image157.jpeg"/><Relationship Id="rId294" Type="http://schemas.openxmlformats.org/officeDocument/2006/relationships/hyperlink" Target="https://www.vozpopuli.com/opinion/recetas-economicas-joe-biden.html" TargetMode="External"/><Relationship Id="rId308" Type="http://schemas.openxmlformats.org/officeDocument/2006/relationships/hyperlink" Target="https://voxeu.org/article/covid-19-will-raise-inequality-if-past-pandemics-are-guide" TargetMode="External"/><Relationship Id="rId47" Type="http://schemas.openxmlformats.org/officeDocument/2006/relationships/image" Target="media/image24.jpeg"/><Relationship Id="rId89" Type="http://schemas.openxmlformats.org/officeDocument/2006/relationships/hyperlink" Target="https://www.eleconomista.es/economia/noticias/9795780/04/19/Que-hay-detras-del-exito-economico-de-Portugal-que-ha-dejado-al-FMI-con-la-boca-abierta.html" TargetMode="External"/><Relationship Id="rId112" Type="http://schemas.openxmlformats.org/officeDocument/2006/relationships/image" Target="media/image72.jpeg"/><Relationship Id="rId154" Type="http://schemas.openxmlformats.org/officeDocument/2006/relationships/hyperlink" Target="https://www.iif.com/Portals/0/Files/content/1_CFR_100720.pdf?_cldee=Y3NhbmNoZXpAZWxjb25maWRlbmNpYWwuY29t&amp;recipientid=contact-f0d21afee5f0e81180d102bfc0a80172-4ba40562cddc4fa5bf56ebf9d9909bcb&amp;utm_source=ClickDimensions&amp;utm_medium=email&amp;utm_campaign=Press%20Emails&amp;esid=c65c3fad-1a08-eb11-80e6-000d3a0ee4ed" TargetMode="External"/><Relationship Id="rId361" Type="http://schemas.openxmlformats.org/officeDocument/2006/relationships/image" Target="media/image224.png"/><Relationship Id="rId196" Type="http://schemas.openxmlformats.org/officeDocument/2006/relationships/hyperlink" Target="https://www.eleconomista.es/mercados-cotizaciones/noticias/10885227/11/20/Hasta-donde-pueden-caer-los-tipos-de-interes-El-BCE-pone-cifra-al-temido-reversal-rate.html" TargetMode="External"/><Relationship Id="rId16" Type="http://schemas.openxmlformats.org/officeDocument/2006/relationships/hyperlink" Target="https://economipedia.com/definiciones/demanda.html" TargetMode="External"/><Relationship Id="rId221" Type="http://schemas.openxmlformats.org/officeDocument/2006/relationships/hyperlink" Target="https://www.eleconomista.es/economia/noticias/7896728/10/16/Histeresis-cuando-una-recesion-se-convierte-en-decadas-sufrimiento-economico-.html" TargetMode="External"/><Relationship Id="rId263" Type="http://schemas.openxmlformats.org/officeDocument/2006/relationships/hyperlink" Target="https://www.eleconomista.es/mercados-cotizaciones/noticias/11001229/01/21/La-desconexion-entre-el-Bund-y-el-bono-americano-anticipa-dos-recuperaciones-muy-diferentes-en-Europa-y-EEUU.html" TargetMode="External"/><Relationship Id="rId319" Type="http://schemas.openxmlformats.org/officeDocument/2006/relationships/image" Target="media/image201.jpeg"/><Relationship Id="rId58" Type="http://schemas.openxmlformats.org/officeDocument/2006/relationships/image" Target="media/image35.jpeg"/><Relationship Id="rId123" Type="http://schemas.openxmlformats.org/officeDocument/2006/relationships/hyperlink" Target="https://www.eleconomista.es/economia/noticias/10517238/05/20/Cuellos-de-botella-y-estimulos-masivos-el-coctel-explosivo-que-conduce-hacia-la-estanflacion.html" TargetMode="External"/><Relationship Id="rId330" Type="http://schemas.openxmlformats.org/officeDocument/2006/relationships/image" Target="media/image206.jpeg"/><Relationship Id="rId165" Type="http://schemas.openxmlformats.org/officeDocument/2006/relationships/hyperlink" Target="https://www.wto.org/spanish/news_s/pres20_s/pr862_s.htm" TargetMode="External"/><Relationship Id="rId372" Type="http://schemas.openxmlformats.org/officeDocument/2006/relationships/hyperlink" Target="https://nadaesgratis.es/wp-content/uploads/medidas-fiscales-25-de-mayo-2020.jpg" TargetMode="External"/><Relationship Id="rId211" Type="http://schemas.openxmlformats.org/officeDocument/2006/relationships/image" Target="media/image125.jpeg"/><Relationship Id="rId232" Type="http://schemas.openxmlformats.org/officeDocument/2006/relationships/image" Target="media/image137.png"/><Relationship Id="rId253" Type="http://schemas.openxmlformats.org/officeDocument/2006/relationships/image" Target="media/image158.jpeg"/><Relationship Id="rId274" Type="http://schemas.openxmlformats.org/officeDocument/2006/relationships/image" Target="media/image172.gif"/><Relationship Id="rId295" Type="http://schemas.openxmlformats.org/officeDocument/2006/relationships/image" Target="media/image183.jpeg"/><Relationship Id="rId309" Type="http://schemas.openxmlformats.org/officeDocument/2006/relationships/image" Target="media/image191.png"/><Relationship Id="rId27" Type="http://schemas.openxmlformats.org/officeDocument/2006/relationships/image" Target="media/image13.png"/><Relationship Id="rId48" Type="http://schemas.openxmlformats.org/officeDocument/2006/relationships/image" Target="media/image25.png"/><Relationship Id="rId69" Type="http://schemas.openxmlformats.org/officeDocument/2006/relationships/image" Target="media/image46.png"/><Relationship Id="rId113" Type="http://schemas.openxmlformats.org/officeDocument/2006/relationships/image" Target="media/image73.jpeg"/><Relationship Id="rId134" Type="http://schemas.openxmlformats.org/officeDocument/2006/relationships/image" Target="media/image83.png"/><Relationship Id="rId320" Type="http://schemas.openxmlformats.org/officeDocument/2006/relationships/hyperlink" Target="https://www.libertaddigital.com/organismos/fondo-monetario-internacional-fmi/" TargetMode="External"/><Relationship Id="rId80" Type="http://schemas.openxmlformats.org/officeDocument/2006/relationships/hyperlink" Target="https://www.eleconomista.es/autor/Vicente-Nieves" TargetMode="External"/><Relationship Id="rId155" Type="http://schemas.openxmlformats.org/officeDocument/2006/relationships/hyperlink" Target="https://www.iif.com/" TargetMode="External"/><Relationship Id="rId176" Type="http://schemas.openxmlformats.org/officeDocument/2006/relationships/image" Target="media/image99.jpeg"/><Relationship Id="rId197" Type="http://schemas.openxmlformats.org/officeDocument/2006/relationships/hyperlink" Target="https://www.eleconomista.es/economia/noticias/10833002/10/20/La-pandemia-provoca-una-montana-de-deuda-global-que-golpeara-en-el-futuro.html" TargetMode="External"/><Relationship Id="rId341" Type="http://schemas.openxmlformats.org/officeDocument/2006/relationships/hyperlink" Target="http://www.scielo.org.mx/scielo.php?script=sci_arttext&amp;pid=S0187-69612015000200009" TargetMode="External"/><Relationship Id="rId362" Type="http://schemas.openxmlformats.org/officeDocument/2006/relationships/image" Target="media/image225.png"/><Relationship Id="rId383" Type="http://schemas.openxmlformats.org/officeDocument/2006/relationships/hyperlink" Target="https://www.eleconomista.es/mercados-cotizaciones/noticias/10885227/11/20/Hasta-donde-pueden-caer-los-tipos-de-interes-El-BCE-pone-cifra-al-temido-reversal-rate.html" TargetMode="External"/><Relationship Id="rId201" Type="http://schemas.openxmlformats.org/officeDocument/2006/relationships/image" Target="media/image116.jpeg"/><Relationship Id="rId222" Type="http://schemas.openxmlformats.org/officeDocument/2006/relationships/image" Target="media/image131.jpeg"/><Relationship Id="rId243" Type="http://schemas.openxmlformats.org/officeDocument/2006/relationships/image" Target="media/image148.jpeg"/><Relationship Id="rId264" Type="http://schemas.openxmlformats.org/officeDocument/2006/relationships/hyperlink" Target="https://www.eleconomista.es/mercados-cotizaciones/noticias/10935538/12/20/El-BCE-revoluciona-el-programa-de-compras-contra-la-pandemia-anade-500000-millones-y-lo-extiende-a-2022.html" TargetMode="External"/><Relationship Id="rId285" Type="http://schemas.openxmlformats.org/officeDocument/2006/relationships/image" Target="media/image179.jpeg"/><Relationship Id="rId17" Type="http://schemas.openxmlformats.org/officeDocument/2006/relationships/hyperlink" Target="https://economipedia.com/definiciones/keynesianismo.html" TargetMode="External"/><Relationship Id="rId38" Type="http://schemas.openxmlformats.org/officeDocument/2006/relationships/hyperlink" Target="https://www.elconfidencial.com/economia/2020-04-07/espana-aleja-italia-eurogrupo-condiciones-mede_2538608/" TargetMode="External"/><Relationship Id="rId59" Type="http://schemas.openxmlformats.org/officeDocument/2006/relationships/image" Target="media/image36.png"/><Relationship Id="rId103" Type="http://schemas.openxmlformats.org/officeDocument/2006/relationships/image" Target="media/image63.png"/><Relationship Id="rId124" Type="http://schemas.openxmlformats.org/officeDocument/2006/relationships/image" Target="media/image75.gif"/><Relationship Id="rId310" Type="http://schemas.openxmlformats.org/officeDocument/2006/relationships/image" Target="media/image192.png"/><Relationship Id="rId70" Type="http://schemas.openxmlformats.org/officeDocument/2006/relationships/image" Target="media/image47.jpeg"/><Relationship Id="rId91" Type="http://schemas.openxmlformats.org/officeDocument/2006/relationships/hyperlink" Target="https://www.eleconomista.es/economia/noticias/10572414/05/20/Bruselas-exige-no-dar-marcha-atras-en-la-reforma-laboral-para-enviar-las-ayudas-a-Espana.html" TargetMode="External"/><Relationship Id="rId145" Type="http://schemas.openxmlformats.org/officeDocument/2006/relationships/hyperlink" Target="http://www.oecd.org/economic-outlook/" TargetMode="External"/><Relationship Id="rId166" Type="http://schemas.openxmlformats.org/officeDocument/2006/relationships/hyperlink" Target="https://www.elconfidencial.com/empresas/2020-10-05/exxonmobil-despedira-a-1-600-personas-en-europa_2776296/" TargetMode="External"/><Relationship Id="rId187" Type="http://schemas.openxmlformats.org/officeDocument/2006/relationships/image" Target="media/image108.jpeg"/><Relationship Id="rId331" Type="http://schemas.openxmlformats.org/officeDocument/2006/relationships/image" Target="media/image207.jpeg"/><Relationship Id="rId352" Type="http://schemas.openxmlformats.org/officeDocument/2006/relationships/image" Target="media/image215.png"/><Relationship Id="rId373" Type="http://schemas.openxmlformats.org/officeDocument/2006/relationships/image" Target="media/image235.jpeg"/><Relationship Id="rId394" Type="http://schemas.openxmlformats.org/officeDocument/2006/relationships/hyperlink" Target="http://www.eleconomista.es/economia/noticias/5763954/05/14/El-BCE-mantiene-los-tipos-de-interes-en-el-025.html" TargetMode="External"/><Relationship Id="rId1" Type="http://schemas.openxmlformats.org/officeDocument/2006/relationships/customXml" Target="../customXml/item1.xml"/><Relationship Id="rId212" Type="http://schemas.openxmlformats.org/officeDocument/2006/relationships/image" Target="media/image126.png"/><Relationship Id="rId233" Type="http://schemas.openxmlformats.org/officeDocument/2006/relationships/image" Target="media/image138.png"/><Relationship Id="rId254" Type="http://schemas.openxmlformats.org/officeDocument/2006/relationships/image" Target="media/image159.png"/><Relationship Id="rId28" Type="http://schemas.openxmlformats.org/officeDocument/2006/relationships/image" Target="media/image14.png"/><Relationship Id="rId49" Type="http://schemas.openxmlformats.org/officeDocument/2006/relationships/image" Target="media/image26.jpeg"/><Relationship Id="rId114" Type="http://schemas.openxmlformats.org/officeDocument/2006/relationships/hyperlink" Target="https://www.eleconomista.es/economia/noticias/10610929/06/20/La-inflacion-de-la-zona-euro-se-modera-al-01-en-mayo-en-minimos-desde-2016.html" TargetMode="External"/><Relationship Id="rId275" Type="http://schemas.openxmlformats.org/officeDocument/2006/relationships/image" Target="media/image173.gif"/><Relationship Id="rId296" Type="http://schemas.openxmlformats.org/officeDocument/2006/relationships/hyperlink" Target="https://www.zerohedge.com/economics/visualizing-biggest-business-risks-2021" TargetMode="External"/><Relationship Id="rId300" Type="http://schemas.openxmlformats.org/officeDocument/2006/relationships/image" Target="media/image185.png"/><Relationship Id="rId60" Type="http://schemas.openxmlformats.org/officeDocument/2006/relationships/image" Target="media/image37.jpeg"/><Relationship Id="rId81" Type="http://schemas.openxmlformats.org/officeDocument/2006/relationships/hyperlink" Target="https://www.eleconomista.es/internacional/noticias/10444821/03/20/Enfado-mayusculo-de-Portugal-con-Holanda-No-fue-Espana-la-que-creo-o-importo-el-coronavirus.html" TargetMode="External"/><Relationship Id="rId135" Type="http://schemas.openxmlformats.org/officeDocument/2006/relationships/hyperlink" Target="https://s.libertaddigital.com/2020/09/16/recre1.png" TargetMode="External"/><Relationship Id="rId156" Type="http://schemas.openxmlformats.org/officeDocument/2006/relationships/hyperlink" Target="https://www.elconfidencial.com/tags/organismos/fondo-monetario-internacional-fmi-5699/" TargetMode="External"/><Relationship Id="rId177" Type="http://schemas.openxmlformats.org/officeDocument/2006/relationships/hyperlink" Target="https://www.elconfidencial.com/economia/2020-10-08/multiplicador-fiscal-ayuda-europea-pib-espana-crecimiento_2780088/" TargetMode="External"/><Relationship Id="rId198" Type="http://schemas.openxmlformats.org/officeDocument/2006/relationships/hyperlink" Target="https://www.eleconomista.es/empresas-finanzas/noticias/10883020/11/20/Guindos-augura-un-tortuoso-futuro-para-la-banca-no-recuperara-la-rentabilidad-previa-al-covid-hasta-2022-por-lo-menos.html" TargetMode="External"/><Relationship Id="rId321" Type="http://schemas.openxmlformats.org/officeDocument/2006/relationships/hyperlink" Target="https://www.libertaddigital.com/empresas/evergrande-group/" TargetMode="External"/><Relationship Id="rId342" Type="http://schemas.openxmlformats.org/officeDocument/2006/relationships/hyperlink" Target="http://www.scielo.org.mx/scielo.php?script=sci_arttext&amp;pid=S0187-69612015000200009#Figura1a" TargetMode="External"/><Relationship Id="rId363" Type="http://schemas.openxmlformats.org/officeDocument/2006/relationships/image" Target="media/image226.png"/><Relationship Id="rId384" Type="http://schemas.openxmlformats.org/officeDocument/2006/relationships/hyperlink" Target="https://www.eleconomista.es/economia/noticias/10833002/10/20/La-pandemia-provoca-una-montana-de-deuda-global-que-golpeara-en-el-futuro.html" TargetMode="External"/><Relationship Id="rId202" Type="http://schemas.openxmlformats.org/officeDocument/2006/relationships/image" Target="media/image117.jpeg"/><Relationship Id="rId223" Type="http://schemas.openxmlformats.org/officeDocument/2006/relationships/hyperlink" Target="https://www.eleconomista.es/economia/noticias/10936654/12/20/Espana-no-creara-empleo-neto-hasta-2024-segun-ManpowerGroup.html" TargetMode="External"/><Relationship Id="rId244" Type="http://schemas.openxmlformats.org/officeDocument/2006/relationships/image" Target="media/image149.png"/><Relationship Id="rId18" Type="http://schemas.openxmlformats.org/officeDocument/2006/relationships/hyperlink" Target="https://economipedia.com/definiciones/teoria-cuantitativa-del-dinero.html" TargetMode="External"/><Relationship Id="rId39" Type="http://schemas.openxmlformats.org/officeDocument/2006/relationships/image" Target="media/image22.jpeg"/><Relationship Id="rId265" Type="http://schemas.openxmlformats.org/officeDocument/2006/relationships/image" Target="media/image164.jpeg"/><Relationship Id="rId286" Type="http://schemas.openxmlformats.org/officeDocument/2006/relationships/image" Target="media/image180.jpeg"/><Relationship Id="rId50" Type="http://schemas.openxmlformats.org/officeDocument/2006/relationships/image" Target="media/image27.png"/><Relationship Id="rId104" Type="http://schemas.openxmlformats.org/officeDocument/2006/relationships/image" Target="media/image64.gif"/><Relationship Id="rId125" Type="http://schemas.openxmlformats.org/officeDocument/2006/relationships/image" Target="media/image76.jpeg"/><Relationship Id="rId146" Type="http://schemas.openxmlformats.org/officeDocument/2006/relationships/hyperlink" Target="https://s.libertaddigital.com/2020/09/16/recre5.png" TargetMode="External"/><Relationship Id="rId167" Type="http://schemas.openxmlformats.org/officeDocument/2006/relationships/image" Target="media/image94.jpeg"/><Relationship Id="rId188" Type="http://schemas.openxmlformats.org/officeDocument/2006/relationships/image" Target="media/image109.png"/><Relationship Id="rId311" Type="http://schemas.openxmlformats.org/officeDocument/2006/relationships/image" Target="media/image193.png"/><Relationship Id="rId332" Type="http://schemas.openxmlformats.org/officeDocument/2006/relationships/hyperlink" Target="http://www.scielo.org.mx/scielo.php?script=sci_arttext&amp;pid=S0187-69612015000200009" TargetMode="External"/><Relationship Id="rId353" Type="http://schemas.openxmlformats.org/officeDocument/2006/relationships/image" Target="media/image216.png"/><Relationship Id="rId374" Type="http://schemas.openxmlformats.org/officeDocument/2006/relationships/image" Target="media/image236.jpeg"/><Relationship Id="rId395" Type="http://schemas.openxmlformats.org/officeDocument/2006/relationships/image" Target="media/image242.jpeg"/><Relationship Id="rId71" Type="http://schemas.openxmlformats.org/officeDocument/2006/relationships/image" Target="media/image48.jpeg"/><Relationship Id="rId92" Type="http://schemas.openxmlformats.org/officeDocument/2006/relationships/image" Target="media/image59.jpeg"/><Relationship Id="rId213" Type="http://schemas.openxmlformats.org/officeDocument/2006/relationships/image" Target="media/image127.png"/><Relationship Id="rId234" Type="http://schemas.openxmlformats.org/officeDocument/2006/relationships/image" Target="media/image139.png"/><Relationship Id="rId2" Type="http://schemas.openxmlformats.org/officeDocument/2006/relationships/numbering" Target="numbering.xml"/><Relationship Id="rId29" Type="http://schemas.openxmlformats.org/officeDocument/2006/relationships/image" Target="media/image15.png"/><Relationship Id="rId255" Type="http://schemas.openxmlformats.org/officeDocument/2006/relationships/image" Target="media/image160.png"/><Relationship Id="rId276" Type="http://schemas.openxmlformats.org/officeDocument/2006/relationships/image" Target="media/image174.gif"/><Relationship Id="rId297" Type="http://schemas.openxmlformats.org/officeDocument/2006/relationships/hyperlink" Target="https://twitter.com/L_Riestra/status/1240942596823932929?s=20" TargetMode="External"/><Relationship Id="rId40" Type="http://schemas.openxmlformats.org/officeDocument/2006/relationships/hyperlink" Target="https://www.elconfidencial.com/economia/2020-04-01/montana-deuda-publica-impagable_2528160/" TargetMode="External"/><Relationship Id="rId115" Type="http://schemas.openxmlformats.org/officeDocument/2006/relationships/hyperlink" Target="https://www.eleconomista.es/diccionario-de-economia/m3" TargetMode="External"/><Relationship Id="rId136" Type="http://schemas.openxmlformats.org/officeDocument/2006/relationships/image" Target="media/image84.png"/><Relationship Id="rId157" Type="http://schemas.openxmlformats.org/officeDocument/2006/relationships/hyperlink" Target="https://www.elconfidencial.com/economia/2020-10-08/fmi-confinamientos-economia-medidas-laxas_2781735/" TargetMode="External"/><Relationship Id="rId178" Type="http://schemas.openxmlformats.org/officeDocument/2006/relationships/hyperlink" Target="https://www.elconfidencial.com/economia/2020-10-07/gobierno-encomienda-fondos-europeos-paro_2778167/" TargetMode="External"/><Relationship Id="rId301" Type="http://schemas.openxmlformats.org/officeDocument/2006/relationships/image" Target="media/image186.png"/><Relationship Id="rId322" Type="http://schemas.openxmlformats.org/officeDocument/2006/relationships/hyperlink" Target="https://s.libertaddigital.com/2021/10/22/mercados-financieros.jpg" TargetMode="External"/><Relationship Id="rId343" Type="http://schemas.openxmlformats.org/officeDocument/2006/relationships/image" Target="media/image210.jpeg"/><Relationship Id="rId364" Type="http://schemas.openxmlformats.org/officeDocument/2006/relationships/image" Target="media/image227.png"/><Relationship Id="rId61" Type="http://schemas.openxmlformats.org/officeDocument/2006/relationships/image" Target="media/image38.jpeg"/><Relationship Id="rId82" Type="http://schemas.openxmlformats.org/officeDocument/2006/relationships/hyperlink" Target="https://www.eleconomista.es/economia/noticias/10541332/05/20/Los-caminos-de-Europa-para-intentar-evitar-una-nueva-crisis-de-deuda.html" TargetMode="External"/><Relationship Id="rId199" Type="http://schemas.openxmlformats.org/officeDocument/2006/relationships/image" Target="media/image114.jpeg"/><Relationship Id="rId203" Type="http://schemas.openxmlformats.org/officeDocument/2006/relationships/hyperlink" Target="https://www.eleconomista.es/economia/noticias/10001673/07/19/El-colchon-la-caja-fuerte-y-el-efectivo-ponen-limite-al-BCE-y-a-los-bancos-con-los-tipos-negativos.html" TargetMode="External"/><Relationship Id="rId385" Type="http://schemas.openxmlformats.org/officeDocument/2006/relationships/image" Target="media/image237.jpeg"/><Relationship Id="rId19" Type="http://schemas.openxmlformats.org/officeDocument/2006/relationships/hyperlink" Target="https://economipedia.com/definiciones/escuela-de-salamanca.html" TargetMode="External"/><Relationship Id="rId224" Type="http://schemas.openxmlformats.org/officeDocument/2006/relationships/image" Target="media/image132.jpeg"/><Relationship Id="rId245" Type="http://schemas.openxmlformats.org/officeDocument/2006/relationships/image" Target="media/image150.png"/><Relationship Id="rId266" Type="http://schemas.openxmlformats.org/officeDocument/2006/relationships/hyperlink" Target="https://www.eleconomista.es/economia/noticias/11034258/02/21/EEUU-genero-49000-empleos-en-enero-y-la-tasa-de-paro-cayo-al-63.html" TargetMode="External"/><Relationship Id="rId287" Type="http://schemas.openxmlformats.org/officeDocument/2006/relationships/hyperlink" Target="https://es.wikipedia.org/wiki/Ratio_precio-beneficio" TargetMode="External"/><Relationship Id="rId30" Type="http://schemas.openxmlformats.org/officeDocument/2006/relationships/image" Target="media/image16.gif"/><Relationship Id="rId105" Type="http://schemas.openxmlformats.org/officeDocument/2006/relationships/image" Target="media/image65.jpeg"/><Relationship Id="rId126" Type="http://schemas.openxmlformats.org/officeDocument/2006/relationships/image" Target="media/image77.jpeg"/><Relationship Id="rId147" Type="http://schemas.openxmlformats.org/officeDocument/2006/relationships/image" Target="media/image88.png"/><Relationship Id="rId168" Type="http://schemas.openxmlformats.org/officeDocument/2006/relationships/image" Target="media/image95.jpeg"/><Relationship Id="rId312" Type="http://schemas.openxmlformats.org/officeDocument/2006/relationships/image" Target="media/image194.png"/><Relationship Id="rId333" Type="http://schemas.openxmlformats.org/officeDocument/2006/relationships/hyperlink" Target="http://www.scielo.org.mx/scielo.php?script=sci_arttext&amp;pid=S0187-69612015000200009" TargetMode="External"/><Relationship Id="rId354" Type="http://schemas.openxmlformats.org/officeDocument/2006/relationships/image" Target="media/image217.png"/><Relationship Id="rId51" Type="http://schemas.openxmlformats.org/officeDocument/2006/relationships/image" Target="media/image28.jpeg"/><Relationship Id="rId72" Type="http://schemas.openxmlformats.org/officeDocument/2006/relationships/image" Target="media/image49.jpeg"/><Relationship Id="rId93" Type="http://schemas.openxmlformats.org/officeDocument/2006/relationships/hyperlink" Target="https://www.eleconomista.es/economia/noticias/10498421/04/20/El-coronavirus-levanta-una-montana-de-ahorro-en-Europa-mas-grande-que-el-PIB-de-Espana.html" TargetMode="External"/><Relationship Id="rId189" Type="http://schemas.openxmlformats.org/officeDocument/2006/relationships/image" Target="media/image110.jpeg"/><Relationship Id="rId375" Type="http://schemas.openxmlformats.org/officeDocument/2006/relationships/hyperlink" Target="https://blogs.elconfidencial.com/espana/mientras-tanto/2020-04-05/deuda-condonacion-covid-sanchez-gasto-publico-italia_2534628/" TargetMode="External"/><Relationship Id="rId396" Type="http://schemas.openxmlformats.org/officeDocument/2006/relationships/image" Target="media/image243.jpeg"/><Relationship Id="rId3" Type="http://schemas.openxmlformats.org/officeDocument/2006/relationships/styles" Target="styles.xml"/><Relationship Id="rId214" Type="http://schemas.openxmlformats.org/officeDocument/2006/relationships/image" Target="media/image128.jpeg"/><Relationship Id="rId235" Type="http://schemas.openxmlformats.org/officeDocument/2006/relationships/image" Target="media/image140.jpeg"/><Relationship Id="rId256" Type="http://schemas.openxmlformats.org/officeDocument/2006/relationships/image" Target="media/image161.png"/><Relationship Id="rId277" Type="http://schemas.openxmlformats.org/officeDocument/2006/relationships/image" Target="media/image175.png"/><Relationship Id="rId298" Type="http://schemas.openxmlformats.org/officeDocument/2006/relationships/hyperlink" Target="https://macromatters.es/nota-legal-disclaimer/" TargetMode="External"/><Relationship Id="rId400" Type="http://schemas.openxmlformats.org/officeDocument/2006/relationships/image" Target="media/image247.jpeg"/><Relationship Id="rId116" Type="http://schemas.openxmlformats.org/officeDocument/2006/relationships/image" Target="media/image74.jpeg"/><Relationship Id="rId137" Type="http://schemas.openxmlformats.org/officeDocument/2006/relationships/hyperlink" Target="https://s.libertaddigital.com/2020/09/16/recre2.png" TargetMode="External"/><Relationship Id="rId158" Type="http://schemas.openxmlformats.org/officeDocument/2006/relationships/image" Target="media/image93.jpeg"/><Relationship Id="rId302" Type="http://schemas.openxmlformats.org/officeDocument/2006/relationships/image" Target="media/image187.jpeg"/><Relationship Id="rId323" Type="http://schemas.openxmlformats.org/officeDocument/2006/relationships/image" Target="media/image202.jpeg"/><Relationship Id="rId344" Type="http://schemas.openxmlformats.org/officeDocument/2006/relationships/hyperlink" Target="http://www.scielo.org.mx/scielo.php?script=sci_arttext&amp;pid=S0187-69612015000200009" TargetMode="External"/><Relationship Id="rId20" Type="http://schemas.openxmlformats.org/officeDocument/2006/relationships/hyperlink" Target="https://economipedia.com/2013/09/deflacion.html" TargetMode="External"/><Relationship Id="rId41" Type="http://schemas.openxmlformats.org/officeDocument/2006/relationships/hyperlink" Target="https://www.elconfidencial.com/economia/2019-10-11/boom-deuda-empresarial-dispara-alarmas-supervisores_2278008/" TargetMode="External"/><Relationship Id="rId62" Type="http://schemas.openxmlformats.org/officeDocument/2006/relationships/image" Target="media/image39.gif"/><Relationship Id="rId83" Type="http://schemas.openxmlformats.org/officeDocument/2006/relationships/hyperlink" Target="https://www.eleconomista.es/economia/noticias/6924657/08/15/Espana-y-Alemania-o-como-el-euro-ha-podido-influir-en-las-exportaciones-de-forma-divergente.html" TargetMode="External"/><Relationship Id="rId179" Type="http://schemas.openxmlformats.org/officeDocument/2006/relationships/image" Target="media/image100.png"/><Relationship Id="rId365" Type="http://schemas.openxmlformats.org/officeDocument/2006/relationships/image" Target="media/image228.png"/><Relationship Id="rId386" Type="http://schemas.openxmlformats.org/officeDocument/2006/relationships/image" Target="media/image238.jpeg"/><Relationship Id="rId190" Type="http://schemas.openxmlformats.org/officeDocument/2006/relationships/hyperlink" Target="https://www.eleconomista.es/economia/noticias/10833002/10/20/La-pandemia-provoca-una-montana-de-deuda-global-que-golpeara-en-el-futuro.html" TargetMode="External"/><Relationship Id="rId204" Type="http://schemas.openxmlformats.org/officeDocument/2006/relationships/image" Target="media/image118.jpeg"/><Relationship Id="rId225" Type="http://schemas.openxmlformats.org/officeDocument/2006/relationships/hyperlink" Target="https://www.eleconomista.es/economia/noticias/10917813/11/20/Los-trabajadores-en-Erte-aumentan-en-137000-durante-noviembre.html" TargetMode="External"/><Relationship Id="rId246" Type="http://schemas.openxmlformats.org/officeDocument/2006/relationships/image" Target="media/image151.png"/><Relationship Id="rId267" Type="http://schemas.openxmlformats.org/officeDocument/2006/relationships/image" Target="media/image165.jpeg"/><Relationship Id="rId288" Type="http://schemas.openxmlformats.org/officeDocument/2006/relationships/hyperlink" Target="https://www.zerohedge.com/markets/how-will-15-global-minimum-tax-impact-sp500-earnings%20" TargetMode="External"/><Relationship Id="rId106" Type="http://schemas.openxmlformats.org/officeDocument/2006/relationships/image" Target="media/image66.jpeg"/><Relationship Id="rId127" Type="http://schemas.openxmlformats.org/officeDocument/2006/relationships/image" Target="media/image78.png"/><Relationship Id="rId313" Type="http://schemas.openxmlformats.org/officeDocument/2006/relationships/image" Target="media/image195.png"/><Relationship Id="rId10" Type="http://schemas.openxmlformats.org/officeDocument/2006/relationships/image" Target="media/image4.png"/><Relationship Id="rId31" Type="http://schemas.openxmlformats.org/officeDocument/2006/relationships/image" Target="media/image17.png"/><Relationship Id="rId52" Type="http://schemas.openxmlformats.org/officeDocument/2006/relationships/image" Target="media/image29.gif"/><Relationship Id="rId73" Type="http://schemas.openxmlformats.org/officeDocument/2006/relationships/image" Target="media/image50.jpeg"/><Relationship Id="rId94" Type="http://schemas.openxmlformats.org/officeDocument/2006/relationships/image" Target="media/image60.jpeg"/><Relationship Id="rId148" Type="http://schemas.openxmlformats.org/officeDocument/2006/relationships/hyperlink" Target="https://www.libremercado.com/2020-09-09/recuperacion-descuelgue-pib-turismo-turistas-ocde-eurostat-crecimiento-recesion-1276663650/" TargetMode="External"/><Relationship Id="rId169" Type="http://schemas.openxmlformats.org/officeDocument/2006/relationships/image" Target="media/image96.jpeg"/><Relationship Id="rId334" Type="http://schemas.openxmlformats.org/officeDocument/2006/relationships/hyperlink" Target="http://www.scielo.org.mx/scielo.php?script=sci_arttext&amp;pid=S0187-69612015000200009#Cuadro3b" TargetMode="External"/><Relationship Id="rId355" Type="http://schemas.openxmlformats.org/officeDocument/2006/relationships/image" Target="media/image218.png"/><Relationship Id="rId376" Type="http://schemas.openxmlformats.org/officeDocument/2006/relationships/hyperlink" Target="https://www.elconfidencial.com/economia/2019-02-25/deuda-empresas-record-ocde-impagos_1846950/" TargetMode="External"/><Relationship Id="rId397" Type="http://schemas.openxmlformats.org/officeDocument/2006/relationships/image" Target="media/image244.jpeg"/><Relationship Id="rId4" Type="http://schemas.microsoft.com/office/2007/relationships/stylesWithEffects" Target="stylesWithEffects.xml"/><Relationship Id="rId180" Type="http://schemas.openxmlformats.org/officeDocument/2006/relationships/image" Target="media/image101.png"/><Relationship Id="rId215" Type="http://schemas.openxmlformats.org/officeDocument/2006/relationships/hyperlink" Target="https://www.eleconomista.es/mercados-cotizaciones/noticias/10384037/02/20/De-Guindos-espera-una-recuperacion-en-V-en-Europa.html" TargetMode="External"/><Relationship Id="rId236" Type="http://schemas.openxmlformats.org/officeDocument/2006/relationships/image" Target="media/image141.jpeg"/><Relationship Id="rId257" Type="http://schemas.openxmlformats.org/officeDocument/2006/relationships/image" Target="media/image162.jpeg"/><Relationship Id="rId278" Type="http://schemas.openxmlformats.org/officeDocument/2006/relationships/image" Target="media/image176.gif"/><Relationship Id="rId401" Type="http://schemas.openxmlformats.org/officeDocument/2006/relationships/image" Target="media/image248.jpeg"/><Relationship Id="rId303" Type="http://schemas.openxmlformats.org/officeDocument/2006/relationships/image" Target="media/image188.jpeg"/><Relationship Id="rId42" Type="http://schemas.openxmlformats.org/officeDocument/2006/relationships/hyperlink" Target="https://www.elconfidencial.com/economia/2020-04-07/peor-crisis-ii-guerra-mundial-empleo-perdido-millones-coronavirus_2537852/" TargetMode="External"/><Relationship Id="rId84" Type="http://schemas.openxmlformats.org/officeDocument/2006/relationships/hyperlink" Target="https://www.eleconomista.es/mercados-cotizaciones/noticias/4776797/04/13/3/Merkel-Para-Alemania-seria-mejor-una-subida-de-tipos-de-interes-en-este-momento.html" TargetMode="External"/><Relationship Id="rId138" Type="http://schemas.openxmlformats.org/officeDocument/2006/relationships/image" Target="media/image85.png"/><Relationship Id="rId345" Type="http://schemas.openxmlformats.org/officeDocument/2006/relationships/hyperlink" Target="http://www.scielo.org.mx/scielo.php?script=sci_arttext&amp;pid=S0187-69612015000200009" TargetMode="External"/><Relationship Id="rId387" Type="http://schemas.openxmlformats.org/officeDocument/2006/relationships/hyperlink" Target="https://elpais.com/economia/2021-10-08/los-halcones-creen-que-las-previsiones-de-inflacion-del-bce-podrian-quedarse-cortas.html" TargetMode="External"/><Relationship Id="rId191" Type="http://schemas.openxmlformats.org/officeDocument/2006/relationships/image" Target="media/image111.jpeg"/><Relationship Id="rId205" Type="http://schemas.openxmlformats.org/officeDocument/2006/relationships/image" Target="media/image119.png"/><Relationship Id="rId247" Type="http://schemas.openxmlformats.org/officeDocument/2006/relationships/image" Target="media/image152.png"/><Relationship Id="rId107" Type="http://schemas.openxmlformats.org/officeDocument/2006/relationships/image" Target="media/image67.jpeg"/><Relationship Id="rId289" Type="http://schemas.openxmlformats.org/officeDocument/2006/relationships/image" Target="media/image181.jpeg"/><Relationship Id="rId11" Type="http://schemas.openxmlformats.org/officeDocument/2006/relationships/image" Target="media/image5.png"/><Relationship Id="rId53" Type="http://schemas.openxmlformats.org/officeDocument/2006/relationships/image" Target="media/image30.jpeg"/><Relationship Id="rId149" Type="http://schemas.openxmlformats.org/officeDocument/2006/relationships/hyperlink" Target="https://s.libertaddigital.com/2020/09/16/recre6.png" TargetMode="External"/><Relationship Id="rId314" Type="http://schemas.openxmlformats.org/officeDocument/2006/relationships/image" Target="media/image196.png"/><Relationship Id="rId356" Type="http://schemas.openxmlformats.org/officeDocument/2006/relationships/image" Target="media/image219.png"/><Relationship Id="rId398" Type="http://schemas.openxmlformats.org/officeDocument/2006/relationships/image" Target="media/image245.jpeg"/><Relationship Id="rId95" Type="http://schemas.openxmlformats.org/officeDocument/2006/relationships/hyperlink" Target="https://www.eleconomista.es/economia/noticias/8157098/02/17/Ha-cambiado-el-modelo-de-crecimiento-de-Espana-desde-la-crisis.html" TargetMode="External"/><Relationship Id="rId160" Type="http://schemas.openxmlformats.org/officeDocument/2006/relationships/hyperlink" Target="https://www.imf.org/es/Publications/WEO/Issues/2020/06/24/WEOUpdateJune2020" TargetMode="External"/><Relationship Id="rId216" Type="http://schemas.openxmlformats.org/officeDocument/2006/relationships/hyperlink" Target="https://www.eleconomista.es/economia/noticias/10937802/12/20/El-Banco-de-Espana-mejora-levemente-sus-previsiones-pero-observa-un-dano-irreparable-en-el-tejido-productivo-y-en-el-empleo.html" TargetMode="External"/><Relationship Id="rId258" Type="http://schemas.openxmlformats.org/officeDocument/2006/relationships/hyperlink" Target="https://www.eleconomista.es/economia/noticias/11030247/02/21/La-torpeza-de-Bruselas-con-las-vacunas-podria-costar-unos-90000-de-euros-a-la-economia-de-Europa.html" TargetMode="External"/><Relationship Id="rId22" Type="http://schemas.openxmlformats.org/officeDocument/2006/relationships/hyperlink" Target="https://economipedia.com/definiciones/hiperinflacion.html" TargetMode="External"/><Relationship Id="rId64" Type="http://schemas.openxmlformats.org/officeDocument/2006/relationships/image" Target="media/image41.png"/><Relationship Id="rId118" Type="http://schemas.openxmlformats.org/officeDocument/2006/relationships/hyperlink" Target="https://www.eleconomista.es/economia/noticias/10616355/06/20/Los-alemanes-sacaron-miles-de-millones-en-efectivo-de-los-bancos-cuando-vieron-la-crisis-que-llegaba.html" TargetMode="External"/><Relationship Id="rId325" Type="http://schemas.openxmlformats.org/officeDocument/2006/relationships/hyperlink" Target="https://s.libertaddigital.com/2021/10/22/riesgos.jpg" TargetMode="External"/><Relationship Id="rId367" Type="http://schemas.openxmlformats.org/officeDocument/2006/relationships/image" Target="media/image230.png"/><Relationship Id="rId171" Type="http://schemas.openxmlformats.org/officeDocument/2006/relationships/hyperlink" Target="https://www.imf.org/en/Publications/FM/Issues/2020/09/30/october-2020-fiscal-monitor" TargetMode="External"/><Relationship Id="rId227" Type="http://schemas.openxmlformats.org/officeDocument/2006/relationships/hyperlink" Target="https://www.eleconomista.es/economia/noticias/10670425/07/20/El-BCE-se-toma-un-respiro-y-deja-los-tipos-de-interes-en-minimos-y-el-PEPP-sin-cambios.html" TargetMode="External"/><Relationship Id="rId269" Type="http://schemas.openxmlformats.org/officeDocument/2006/relationships/image" Target="media/image167.jpeg"/><Relationship Id="rId33" Type="http://schemas.openxmlformats.org/officeDocument/2006/relationships/image" Target="media/image19.jpeg"/><Relationship Id="rId129" Type="http://schemas.openxmlformats.org/officeDocument/2006/relationships/image" Target="media/image80.jpeg"/><Relationship Id="rId280" Type="http://schemas.openxmlformats.org/officeDocument/2006/relationships/hyperlink" Target="https://www.vozpopuli.com/opinion/la-bolsa-en-tiempos-de-taper-i.html" TargetMode="External"/><Relationship Id="rId336" Type="http://schemas.openxmlformats.org/officeDocument/2006/relationships/hyperlink" Target="http://www.scielo.org.mx/scielo.php?script=sci_arttext&amp;pid=S0187-69612015000200009" TargetMode="External"/><Relationship Id="rId75" Type="http://schemas.openxmlformats.org/officeDocument/2006/relationships/image" Target="media/image52.jpeg"/><Relationship Id="rId140" Type="http://schemas.openxmlformats.org/officeDocument/2006/relationships/hyperlink" Target="https://www.libremercado.com/2020-09-16/coronavirus-crisis-bano-realidad-banco-de-espana-empeora-previsiones-recuperacion-larga-no-descarta-recaidas-6660369/" TargetMode="External"/><Relationship Id="rId182" Type="http://schemas.openxmlformats.org/officeDocument/2006/relationships/image" Target="media/image103.png"/><Relationship Id="rId378" Type="http://schemas.openxmlformats.org/officeDocument/2006/relationships/hyperlink" Target="https://www.elconfidencial.com/economia/2020-04-01/montana-deuda-publica-impagable_2528160/" TargetMode="External"/><Relationship Id="rId403" Type="http://schemas.openxmlformats.org/officeDocument/2006/relationships/image" Target="media/image250.png"/><Relationship Id="rId6" Type="http://schemas.openxmlformats.org/officeDocument/2006/relationships/webSettings" Target="webSettings.xml"/><Relationship Id="rId238" Type="http://schemas.openxmlformats.org/officeDocument/2006/relationships/image" Target="media/image143.jpeg"/><Relationship Id="rId291" Type="http://schemas.openxmlformats.org/officeDocument/2006/relationships/hyperlink" Target="https://www.vozpopuli.com/economia_y_finanzas/ana-botin-espana-mapa-crecimiento.html" TargetMode="External"/><Relationship Id="rId305" Type="http://schemas.openxmlformats.org/officeDocument/2006/relationships/image" Target="media/image190.jpeg"/><Relationship Id="rId347" Type="http://schemas.openxmlformats.org/officeDocument/2006/relationships/hyperlink" Target="http://www.scielo.org.mx/scielo.php?script=sci_arttext&amp;pid=S0187-69612015000200009#Figura2a" TargetMode="External"/><Relationship Id="rId44" Type="http://schemas.openxmlformats.org/officeDocument/2006/relationships/image" Target="media/image23.jpeg"/><Relationship Id="rId86" Type="http://schemas.openxmlformats.org/officeDocument/2006/relationships/image" Target="media/image57.jpeg"/><Relationship Id="rId151" Type="http://schemas.openxmlformats.org/officeDocument/2006/relationships/image" Target="media/image90.jpeg"/><Relationship Id="rId389" Type="http://schemas.openxmlformats.org/officeDocument/2006/relationships/hyperlink" Target="http://www.cincodias.com/articulo/empresas/cara-optimismo/20090321cdscdiemp_14/cdsemp/" TargetMode="External"/><Relationship Id="rId193" Type="http://schemas.openxmlformats.org/officeDocument/2006/relationships/image" Target="media/image113.jpeg"/><Relationship Id="rId207" Type="http://schemas.openxmlformats.org/officeDocument/2006/relationships/image" Target="media/image121.jpeg"/><Relationship Id="rId249" Type="http://schemas.openxmlformats.org/officeDocument/2006/relationships/image" Target="media/image154.png"/><Relationship Id="rId13" Type="http://schemas.openxmlformats.org/officeDocument/2006/relationships/image" Target="media/image7.png"/><Relationship Id="rId109" Type="http://schemas.openxmlformats.org/officeDocument/2006/relationships/image" Target="media/image69.jpeg"/><Relationship Id="rId260" Type="http://schemas.openxmlformats.org/officeDocument/2006/relationships/image" Target="media/image163.jpeg"/><Relationship Id="rId316" Type="http://schemas.openxmlformats.org/officeDocument/2006/relationships/image" Target="media/image198.png"/><Relationship Id="rId55" Type="http://schemas.openxmlformats.org/officeDocument/2006/relationships/image" Target="media/image32.jpeg"/><Relationship Id="rId97" Type="http://schemas.openxmlformats.org/officeDocument/2006/relationships/image" Target="media/image61.jpeg"/><Relationship Id="rId120" Type="http://schemas.openxmlformats.org/officeDocument/2006/relationships/hyperlink" Target="https://www.eleconomista.es/economia/noticias/10464824/04/20/Abalos-matiza-el-fin-de-la-hibernacion-economica-anticipada-por-Sanchez-Todavia-esta-por-definir.html" TargetMode="External"/><Relationship Id="rId358" Type="http://schemas.openxmlformats.org/officeDocument/2006/relationships/image" Target="media/image221.png"/><Relationship Id="rId162" Type="http://schemas.openxmlformats.org/officeDocument/2006/relationships/hyperlink" Target="https://www.elconfidencial.com/economia/2020-10-02/alarma-economica-rebrotes-consumo-tarjetas-hunde_2771787/" TargetMode="External"/><Relationship Id="rId218" Type="http://schemas.openxmlformats.org/officeDocument/2006/relationships/image" Target="media/image129.jpeg"/><Relationship Id="rId271" Type="http://schemas.openxmlformats.org/officeDocument/2006/relationships/image" Target="media/image169.gif"/><Relationship Id="rId24" Type="http://schemas.openxmlformats.org/officeDocument/2006/relationships/image" Target="media/image10.jpeg"/><Relationship Id="rId66" Type="http://schemas.openxmlformats.org/officeDocument/2006/relationships/image" Target="media/image43.jpeg"/><Relationship Id="rId131" Type="http://schemas.openxmlformats.org/officeDocument/2006/relationships/image" Target="media/image81.png"/><Relationship Id="rId327" Type="http://schemas.openxmlformats.org/officeDocument/2006/relationships/hyperlink" Target="https://s.libertaddigital.com/2021/10/22/endeudamiento-y-paro.jpg" TargetMode="External"/><Relationship Id="rId369" Type="http://schemas.openxmlformats.org/officeDocument/2006/relationships/image" Target="media/image232.jpeg"/><Relationship Id="rId173" Type="http://schemas.openxmlformats.org/officeDocument/2006/relationships/hyperlink" Target="https://www.imf.org/en/Publications/FM/Issues/2020/09/30/october-2020-fiscal-monitor" TargetMode="External"/><Relationship Id="rId229" Type="http://schemas.openxmlformats.org/officeDocument/2006/relationships/image" Target="media/image134.png"/><Relationship Id="rId380" Type="http://schemas.openxmlformats.org/officeDocument/2006/relationships/hyperlink" Target="https://www.imf.org/en/Publications/FM/Issues/2020/09/30/october-2020-fiscal-monitor" TargetMode="External"/><Relationship Id="rId240" Type="http://schemas.openxmlformats.org/officeDocument/2006/relationships/image" Target="media/image145.jpeg"/><Relationship Id="rId35" Type="http://schemas.openxmlformats.org/officeDocument/2006/relationships/image" Target="media/image21.jpeg"/><Relationship Id="rId77" Type="http://schemas.openxmlformats.org/officeDocument/2006/relationships/image" Target="media/image54.jpeg"/><Relationship Id="rId100" Type="http://schemas.openxmlformats.org/officeDocument/2006/relationships/hyperlink" Target="https://www.eleconomista.es/economia/noticias/10580190/06/20/El-colapso-del-turismo-puede-arruinar-la-balanza-de-pagos-de-Espana-y-traer-el-fantasma-del-deficit-exterior.html" TargetMode="External"/><Relationship Id="rId282" Type="http://schemas.openxmlformats.org/officeDocument/2006/relationships/hyperlink" Target="https://es.wikipedia.org/wiki/Coeficiente_de_correlaci%C3%B3n_de_Pearson" TargetMode="External"/><Relationship Id="rId338" Type="http://schemas.openxmlformats.org/officeDocument/2006/relationships/image" Target="media/image209.jpeg"/><Relationship Id="rId8" Type="http://schemas.openxmlformats.org/officeDocument/2006/relationships/image" Target="media/image2.png"/><Relationship Id="rId142" Type="http://schemas.openxmlformats.org/officeDocument/2006/relationships/image" Target="media/image86.png"/><Relationship Id="rId184" Type="http://schemas.openxmlformats.org/officeDocument/2006/relationships/image" Target="media/image105.png"/><Relationship Id="rId391" Type="http://schemas.openxmlformats.org/officeDocument/2006/relationships/image" Target="media/image241.gif"/><Relationship Id="rId405" Type="http://schemas.openxmlformats.org/officeDocument/2006/relationships/fontTable" Target="fontTable.xml"/><Relationship Id="rId251" Type="http://schemas.openxmlformats.org/officeDocument/2006/relationships/image" Target="media/image156.jpeg"/><Relationship Id="rId46" Type="http://schemas.openxmlformats.org/officeDocument/2006/relationships/hyperlink" Target="https://www.lanacion.com.ar/economia/el-fmi-dijo-argentina-necesita-alivio-deuda-nid2345706" TargetMode="External"/><Relationship Id="rId293" Type="http://schemas.openxmlformats.org/officeDocument/2006/relationships/hyperlink" Target="https://www.vozpopuli.com/opinion/deuda-publica-pobreza-naciones.html" TargetMode="External"/><Relationship Id="rId307" Type="http://schemas.openxmlformats.org/officeDocument/2006/relationships/hyperlink" Target="https://voxeu.org/article/workers-bargaining-power-business-cycle-fluctuations-and-phillips-curve" TargetMode="External"/><Relationship Id="rId349" Type="http://schemas.openxmlformats.org/officeDocument/2006/relationships/image" Target="media/image212.png"/><Relationship Id="rId88" Type="http://schemas.openxmlformats.org/officeDocument/2006/relationships/image" Target="media/image58.jpeg"/><Relationship Id="rId111" Type="http://schemas.openxmlformats.org/officeDocument/2006/relationships/image" Target="media/image71.jpeg"/><Relationship Id="rId153" Type="http://schemas.openxmlformats.org/officeDocument/2006/relationships/image" Target="media/image92.jpeg"/><Relationship Id="rId195" Type="http://schemas.openxmlformats.org/officeDocument/2006/relationships/hyperlink" Target="https://www.eleconomista.es/economia/noticias/10623241/06/20/Como-evitar-que-la-montana-de-deuda-publica-que-esta-levantando-la-crisis-ahogue-la-economia-de-Espana.html" TargetMode="External"/><Relationship Id="rId209" Type="http://schemas.openxmlformats.org/officeDocument/2006/relationships/image" Target="media/image123.jpeg"/><Relationship Id="rId360" Type="http://schemas.openxmlformats.org/officeDocument/2006/relationships/image" Target="media/image223.jpeg"/><Relationship Id="rId220" Type="http://schemas.openxmlformats.org/officeDocument/2006/relationships/image" Target="media/image130.jpeg"/><Relationship Id="rId15" Type="http://schemas.openxmlformats.org/officeDocument/2006/relationships/image" Target="media/image9.jpeg"/><Relationship Id="rId57" Type="http://schemas.openxmlformats.org/officeDocument/2006/relationships/image" Target="media/image34.png"/><Relationship Id="rId262" Type="http://schemas.openxmlformats.org/officeDocument/2006/relationships/hyperlink" Target="https://www.eleconomista.es/mercados-cotizaciones/noticias/10994016/01/21/El-plan-de-estimulo-de-Joe-Biden-una-salvacion-para-el-mercado-o-una-trampa.html" TargetMode="External"/><Relationship Id="rId318" Type="http://schemas.openxmlformats.org/officeDocument/2006/relationships/image" Target="media/image200.png"/><Relationship Id="rId99" Type="http://schemas.openxmlformats.org/officeDocument/2006/relationships/hyperlink" Target="https://www.eleconomista.es/internacional/noticias/10531186/05/20/Llegan-los-Figs-los-paises-de-la-costa-mediterranea-sufriran-el-mayor-impacto-economico-por-el-virus.html" TargetMode="External"/><Relationship Id="rId122" Type="http://schemas.openxmlformats.org/officeDocument/2006/relationships/hyperlink" Target="https://www.eleconomista.es/economia/noticias/9044548/04/18/Se-ha-roto-el-multiplicador-monetario-La-Gran-Recesion-ha-transformado-la-creacion-de-dinero.html" TargetMode="External"/><Relationship Id="rId164" Type="http://schemas.openxmlformats.org/officeDocument/2006/relationships/hyperlink" Target="https://www.elconfidencial.com/tags/organismos/fondo-monetario-internacional-fmi-5699/" TargetMode="External"/><Relationship Id="rId371" Type="http://schemas.openxmlformats.org/officeDocument/2006/relationships/image" Target="media/image234.jpeg"/><Relationship Id="rId26" Type="http://schemas.openxmlformats.org/officeDocument/2006/relationships/image" Target="media/image12.png"/><Relationship Id="rId231" Type="http://schemas.openxmlformats.org/officeDocument/2006/relationships/image" Target="media/image136.png"/><Relationship Id="rId273" Type="http://schemas.openxmlformats.org/officeDocument/2006/relationships/image" Target="media/image171.gif"/><Relationship Id="rId329" Type="http://schemas.openxmlformats.org/officeDocument/2006/relationships/hyperlink" Target="https://s.libertaddigital.com/2021/10/22/estimaciones.jpg" TargetMode="External"/><Relationship Id="rId68" Type="http://schemas.openxmlformats.org/officeDocument/2006/relationships/image" Target="media/image45.jpeg"/><Relationship Id="rId133" Type="http://schemas.openxmlformats.org/officeDocument/2006/relationships/image" Target="media/image82.png"/><Relationship Id="rId175" Type="http://schemas.openxmlformats.org/officeDocument/2006/relationships/image" Target="media/image98.jpeg"/><Relationship Id="rId340" Type="http://schemas.openxmlformats.org/officeDocument/2006/relationships/hyperlink" Target="http://www.scielo.org.mx/scielo.php?script=sci_arttext&amp;pid=S0187-69612015000200009" TargetMode="External"/><Relationship Id="rId200" Type="http://schemas.openxmlformats.org/officeDocument/2006/relationships/image" Target="media/image115.jpeg"/><Relationship Id="rId382" Type="http://schemas.openxmlformats.org/officeDocument/2006/relationships/hyperlink" Target="https://www.eleconomista.es/economia/noticias/10623241/06/20/Como-evitar-que-la-montana-de-deuda-publica-que-esta-levantando-la-crisis-ahogue-la-economia-de-Espana.html" TargetMode="External"/><Relationship Id="rId242" Type="http://schemas.openxmlformats.org/officeDocument/2006/relationships/image" Target="media/image147.png"/><Relationship Id="rId284" Type="http://schemas.openxmlformats.org/officeDocument/2006/relationships/hyperlink" Target="https://macromatters.es/taper-is-ready-no-date-fomc-press-conference-june-16-2021/" TargetMode="External"/><Relationship Id="rId37" Type="http://schemas.openxmlformats.org/officeDocument/2006/relationships/hyperlink" Target="https://www.elconfidencial.com/economia/2019-02-25/deuda-empresas-record-ocde-impagos_1846950/" TargetMode="External"/><Relationship Id="rId79" Type="http://schemas.openxmlformats.org/officeDocument/2006/relationships/image" Target="media/image56.jpeg"/><Relationship Id="rId102" Type="http://schemas.openxmlformats.org/officeDocument/2006/relationships/hyperlink" Target="https://s.libertaddigital.com/2020/06/20/factura-covid.png" TargetMode="External"/><Relationship Id="rId144" Type="http://schemas.openxmlformats.org/officeDocument/2006/relationships/image" Target="media/image87.png"/><Relationship Id="rId90" Type="http://schemas.openxmlformats.org/officeDocument/2006/relationships/hyperlink" Target="https://www.elsevierweekblad.nl/economie/achtergrond/2020/05/geen-stuiver-extra-naar-zuid-europa-207225w/" TargetMode="External"/><Relationship Id="rId186" Type="http://schemas.openxmlformats.org/officeDocument/2006/relationships/image" Target="media/image107.png"/><Relationship Id="rId351" Type="http://schemas.openxmlformats.org/officeDocument/2006/relationships/image" Target="media/image214.png"/><Relationship Id="rId393" Type="http://schemas.openxmlformats.org/officeDocument/2006/relationships/hyperlink" Target="http://www.eleconomista.es/economia/noticias/4966830/07/13/El-BCE-mantiene-los-tipos-de-interes-estables-en-el-05.html"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7BA1B1-02A1-45F9-8652-C8D9C4B77A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413</Pages>
  <Words>157577</Words>
  <Characters>866676</Characters>
  <Application>Microsoft Office Word</Application>
  <DocSecurity>0</DocSecurity>
  <Lines>7222</Lines>
  <Paragraphs>2044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1022209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2021-11-11T10:38:00Z</dcterms:created>
  <dcterms:modified xsi:type="dcterms:W3CDTF">2021-11-11T10:38:00Z</dcterms:modified>
</cp:coreProperties>
</file>