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60F1" w:rsidRDefault="00F766EF" w:rsidP="00BB7B99">
      <w:pPr>
        <w:spacing w:line="240" w:lineRule="auto"/>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Paper -</w:t>
      </w:r>
      <w:r w:rsidR="00BB7B99" w:rsidRPr="003B6212">
        <w:rPr>
          <w:rFonts w:ascii="Times New Roman" w:hAnsi="Times New Roman" w:cs="Times New Roman"/>
          <w:b/>
          <w:sz w:val="24"/>
          <w:szCs w:val="24"/>
        </w:rPr>
        <w:t xml:space="preserve"> </w:t>
      </w:r>
      <w:r w:rsidR="00BB7B99">
        <w:rPr>
          <w:rFonts w:ascii="Times New Roman" w:hAnsi="Times New Roman" w:cs="Times New Roman"/>
          <w:b/>
          <w:sz w:val="24"/>
          <w:szCs w:val="24"/>
        </w:rPr>
        <w:t xml:space="preserve">Las “colas del hambre” y </w:t>
      </w:r>
      <w:r w:rsidR="00BB7B99" w:rsidRPr="003B6212">
        <w:rPr>
          <w:rFonts w:ascii="Times New Roman" w:hAnsi="Times New Roman" w:cs="Times New Roman"/>
          <w:b/>
          <w:sz w:val="24"/>
          <w:szCs w:val="24"/>
        </w:rPr>
        <w:t xml:space="preserve">los </w:t>
      </w:r>
      <w:r w:rsidR="00BB7B99">
        <w:rPr>
          <w:rFonts w:ascii="Times New Roman" w:hAnsi="Times New Roman" w:cs="Times New Roman"/>
          <w:b/>
          <w:sz w:val="24"/>
          <w:szCs w:val="24"/>
        </w:rPr>
        <w:t>“</w:t>
      </w:r>
      <w:r w:rsidR="00BB7B99" w:rsidRPr="003B6212">
        <w:rPr>
          <w:rFonts w:ascii="Times New Roman" w:hAnsi="Times New Roman" w:cs="Times New Roman"/>
          <w:b/>
          <w:sz w:val="24"/>
          <w:szCs w:val="24"/>
        </w:rPr>
        <w:t>desiertos de comida</w:t>
      </w:r>
      <w:r w:rsidR="00BB7B99">
        <w:rPr>
          <w:rFonts w:ascii="Times New Roman" w:hAnsi="Times New Roman" w:cs="Times New Roman"/>
          <w:b/>
          <w:sz w:val="24"/>
          <w:szCs w:val="24"/>
        </w:rPr>
        <w:t>”, en los países avanzados</w:t>
      </w:r>
      <w:r w:rsidR="00BB7B99" w:rsidRPr="003B6212">
        <w:rPr>
          <w:rFonts w:ascii="Times New Roman" w:hAnsi="Times New Roman" w:cs="Times New Roman"/>
          <w:b/>
          <w:sz w:val="24"/>
          <w:szCs w:val="24"/>
        </w:rPr>
        <w:t xml:space="preserve"> (</w:t>
      </w:r>
      <w:r w:rsidR="00BB7B99">
        <w:rPr>
          <w:rFonts w:ascii="Times New Roman" w:hAnsi="Times New Roman" w:cs="Times New Roman"/>
          <w:b/>
          <w:sz w:val="24"/>
          <w:szCs w:val="24"/>
        </w:rPr>
        <w:t xml:space="preserve">la </w:t>
      </w:r>
      <w:r w:rsidR="00BB7B99" w:rsidRPr="003B6212">
        <w:rPr>
          <w:rFonts w:ascii="Times New Roman" w:hAnsi="Times New Roman" w:cs="Times New Roman"/>
          <w:b/>
          <w:sz w:val="24"/>
          <w:szCs w:val="24"/>
        </w:rPr>
        <w:t>pobreza “extrema”</w:t>
      </w:r>
      <w:r w:rsidR="00BB7B99">
        <w:rPr>
          <w:rFonts w:ascii="Times New Roman" w:hAnsi="Times New Roman" w:cs="Times New Roman"/>
          <w:b/>
          <w:sz w:val="24"/>
          <w:szCs w:val="24"/>
        </w:rPr>
        <w:t>,</w:t>
      </w:r>
      <w:r w:rsidR="00BB7B99" w:rsidRPr="003B6212">
        <w:rPr>
          <w:rFonts w:ascii="Times New Roman" w:hAnsi="Times New Roman" w:cs="Times New Roman"/>
          <w:b/>
          <w:sz w:val="24"/>
          <w:szCs w:val="24"/>
        </w:rPr>
        <w:t xml:space="preserve"> en los países “extremadamente” ricos)</w:t>
      </w:r>
    </w:p>
    <w:p w:rsidR="00A960F1" w:rsidRDefault="001E6779" w:rsidP="00BB7B99">
      <w:pPr>
        <w:spacing w:line="240" w:lineRule="auto"/>
        <w:jc w:val="both"/>
        <w:rPr>
          <w:rFonts w:ascii="Times New Roman" w:hAnsi="Times New Roman" w:cs="Times New Roman"/>
          <w:b/>
          <w:sz w:val="24"/>
          <w:szCs w:val="24"/>
        </w:rPr>
      </w:pPr>
      <w:r>
        <w:rPr>
          <w:noProof/>
          <w:lang w:eastAsia="es-ES"/>
        </w:rPr>
        <w:drawing>
          <wp:inline distT="0" distB="0" distL="0" distR="0" wp14:anchorId="25384A7A" wp14:editId="7B8DDF71">
            <wp:extent cx="5731510" cy="2838450"/>
            <wp:effectExtent l="0" t="0" r="2540" b="0"/>
            <wp:docPr id="136" name="Imagen 136" descr="Pobres en el corazón del turbocapital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bres en el corazón del turbocapitalism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2838450"/>
                    </a:xfrm>
                    <a:prstGeom prst="rect">
                      <a:avLst/>
                    </a:prstGeom>
                    <a:noFill/>
                    <a:ln>
                      <a:noFill/>
                    </a:ln>
                  </pic:spPr>
                </pic:pic>
              </a:graphicData>
            </a:graphic>
          </wp:inline>
        </w:drawing>
      </w:r>
    </w:p>
    <w:p w:rsidR="00C532E3" w:rsidRDefault="004E64C7" w:rsidP="00BB7B9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C532E3">
        <w:rPr>
          <w:rFonts w:ascii="Times New Roman" w:hAnsi="Times New Roman" w:cs="Times New Roman"/>
          <w:b/>
          <w:sz w:val="24"/>
          <w:szCs w:val="24"/>
        </w:rPr>
        <w:t>Introducción - Países del primer mundo con problemas del tercer mundo (ante la indiferencia de unos empresarios sin escrúpulos, y de</w:t>
      </w:r>
      <w:r w:rsidR="001E6779">
        <w:rPr>
          <w:rFonts w:ascii="Times New Roman" w:hAnsi="Times New Roman" w:cs="Times New Roman"/>
          <w:b/>
          <w:sz w:val="24"/>
          <w:szCs w:val="24"/>
        </w:rPr>
        <w:t xml:space="preserve"> unos políticos sin vergüenza) </w:t>
      </w:r>
    </w:p>
    <w:p w:rsidR="00077B24" w:rsidRDefault="00964D19" w:rsidP="00F60556">
      <w:pPr>
        <w:spacing w:line="240" w:lineRule="auto"/>
        <w:jc w:val="both"/>
        <w:rPr>
          <w:rFonts w:ascii="Times New Roman" w:hAnsi="Times New Roman" w:cs="Times New Roman"/>
          <w:b/>
          <w:sz w:val="24"/>
          <w:szCs w:val="24"/>
        </w:rPr>
      </w:pPr>
      <w:r>
        <w:rPr>
          <w:noProof/>
          <w:lang w:eastAsia="es-ES"/>
        </w:rPr>
        <w:drawing>
          <wp:inline distT="0" distB="0" distL="0" distR="0">
            <wp:extent cx="5733520" cy="2800350"/>
            <wp:effectExtent l="0" t="0" r="635" b="0"/>
            <wp:docPr id="46" name="Imagen 46" descr="Pobreza en España, en Europa y en las autonomías - Contrapu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breza en España, en Europa y en las autonomías - Contrapunt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799368"/>
                    </a:xfrm>
                    <a:prstGeom prst="rect">
                      <a:avLst/>
                    </a:prstGeom>
                    <a:noFill/>
                    <a:ln>
                      <a:noFill/>
                    </a:ln>
                  </pic:spPr>
                </pic:pic>
              </a:graphicData>
            </a:graphic>
          </wp:inline>
        </w:drawing>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Las personas mayores suelen decir: “todo tiempo pasado</w:t>
      </w:r>
      <w:r w:rsidR="00847952">
        <w:rPr>
          <w:rFonts w:ascii="Times New Roman" w:hAnsi="Times New Roman" w:cs="Times New Roman"/>
          <w:sz w:val="24"/>
          <w:szCs w:val="24"/>
        </w:rPr>
        <w:t>,</w:t>
      </w:r>
      <w:r>
        <w:rPr>
          <w:rFonts w:ascii="Times New Roman" w:hAnsi="Times New Roman" w:cs="Times New Roman"/>
          <w:sz w:val="24"/>
          <w:szCs w:val="24"/>
        </w:rPr>
        <w:t xml:space="preserve"> fue mejor”. Casi nunca es cierto, aunque algunas veces sí. El caso que voy a relatar, podría confirmar el </w:t>
      </w:r>
      <w:r w:rsidR="00077B24">
        <w:rPr>
          <w:rFonts w:ascii="Times New Roman" w:hAnsi="Times New Roman" w:cs="Times New Roman"/>
          <w:sz w:val="24"/>
          <w:szCs w:val="24"/>
        </w:rPr>
        <w:t>“</w:t>
      </w:r>
      <w:r>
        <w:rPr>
          <w:rFonts w:ascii="Times New Roman" w:hAnsi="Times New Roman" w:cs="Times New Roman"/>
          <w:sz w:val="24"/>
          <w:szCs w:val="24"/>
        </w:rPr>
        <w:t>acerto</w:t>
      </w:r>
      <w:r w:rsidR="00077B24">
        <w:rPr>
          <w:rFonts w:ascii="Times New Roman" w:hAnsi="Times New Roman" w:cs="Times New Roman"/>
          <w:sz w:val="24"/>
          <w:szCs w:val="24"/>
        </w:rPr>
        <w:t>”</w:t>
      </w:r>
      <w:r>
        <w:rPr>
          <w:rFonts w:ascii="Times New Roman" w:hAnsi="Times New Roman" w:cs="Times New Roman"/>
          <w:sz w:val="24"/>
          <w:szCs w:val="24"/>
        </w:rPr>
        <w:t>.</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Ser viejo es “lamentable”, pero ser viejo y “boludo”</w:t>
      </w:r>
      <w:r w:rsidR="00AA68F1">
        <w:rPr>
          <w:rFonts w:ascii="Times New Roman" w:hAnsi="Times New Roman" w:cs="Times New Roman"/>
          <w:sz w:val="24"/>
          <w:szCs w:val="24"/>
        </w:rPr>
        <w:t xml:space="preserve"> (huevón)</w:t>
      </w:r>
      <w:r>
        <w:rPr>
          <w:rFonts w:ascii="Times New Roman" w:hAnsi="Times New Roman" w:cs="Times New Roman"/>
          <w:sz w:val="24"/>
          <w:szCs w:val="24"/>
        </w:rPr>
        <w:t xml:space="preserve">, es “patético”. A mis 76 años, no puedo evitar lo primero, pero intentaré que los lectores no me califiquen de lo segundo. </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Cuando éramos unos adolescentes (1950-1960, en la remota, falaz y fugaz, Argentina), mi padre, hijo de inmigrantes italianos, nos adoctrinaba con el siguiente principio: si ustedes estudian hasta terminar la escuela primaria, nunca serán peones de estancia; si ustedes estudian hasta terminar la escuela secundaria, podrán trabajar en una fábrica o</w:t>
      </w:r>
      <w:r w:rsidR="00847952">
        <w:rPr>
          <w:rFonts w:ascii="Times New Roman" w:hAnsi="Times New Roman" w:cs="Times New Roman"/>
          <w:sz w:val="24"/>
          <w:szCs w:val="24"/>
        </w:rPr>
        <w:t xml:space="preserve"> una</w:t>
      </w:r>
      <w:r>
        <w:rPr>
          <w:rFonts w:ascii="Times New Roman" w:hAnsi="Times New Roman" w:cs="Times New Roman"/>
          <w:sz w:val="24"/>
          <w:szCs w:val="24"/>
        </w:rPr>
        <w:t xml:space="preserve"> empresa; y si ustedes estudian hasta terminar la universidad… “tendrán la vida asegurada”.</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Y eso fue así, tanto para mi hermano menor (graduado en Derecho), como para mí (graduado e</w:t>
      </w:r>
      <w:r w:rsidR="00847952">
        <w:rPr>
          <w:rFonts w:ascii="Times New Roman" w:hAnsi="Times New Roman" w:cs="Times New Roman"/>
          <w:sz w:val="24"/>
          <w:szCs w:val="24"/>
        </w:rPr>
        <w:t>n Administración de Empresas), s</w:t>
      </w:r>
      <w:r>
        <w:rPr>
          <w:rFonts w:ascii="Times New Roman" w:hAnsi="Times New Roman" w:cs="Times New Roman"/>
          <w:sz w:val="24"/>
          <w:szCs w:val="24"/>
        </w:rPr>
        <w:t>e cumplió el “pronóstico” de mi padre. Nosotros hicimos lo nuestro (estudiar) y la sociedad nos dio la oportunidad de realizarnos (trabajar).</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Era una época en que una persona que entraba a trabajar en una empresa, podía llegar a jubilarse sin cambiar nunca de empleo. Si era capaz, iba ascendiendo… Si no cometía fallos, tenía un trabajo estable y permanente. </w:t>
      </w:r>
      <w:r w:rsidR="00077B24">
        <w:rPr>
          <w:rFonts w:ascii="Times New Roman" w:hAnsi="Times New Roman" w:cs="Times New Roman"/>
          <w:sz w:val="24"/>
          <w:szCs w:val="24"/>
        </w:rPr>
        <w:t>Una vida previsible, perdurable</w:t>
      </w:r>
      <w:r w:rsidR="00847952">
        <w:rPr>
          <w:rFonts w:ascii="Times New Roman" w:hAnsi="Times New Roman" w:cs="Times New Roman"/>
          <w:sz w:val="24"/>
          <w:szCs w:val="24"/>
        </w:rPr>
        <w:t>, sin cambios abruptos.</w:t>
      </w:r>
      <w:r>
        <w:rPr>
          <w:rFonts w:ascii="Times New Roman" w:hAnsi="Times New Roman" w:cs="Times New Roman"/>
          <w:sz w:val="24"/>
          <w:szCs w:val="24"/>
        </w:rPr>
        <w:t xml:space="preserve"> </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 pasado más de medio siglo, y yo no puedo decirles lo mismo a mis nietos (en España, o en Holanda); </w:t>
      </w:r>
      <w:r w:rsidR="00847952">
        <w:rPr>
          <w:rFonts w:ascii="Times New Roman" w:hAnsi="Times New Roman" w:cs="Times New Roman"/>
          <w:sz w:val="24"/>
          <w:szCs w:val="24"/>
        </w:rPr>
        <w:t>peor aún,</w:t>
      </w:r>
      <w:r>
        <w:rPr>
          <w:rFonts w:ascii="Times New Roman" w:hAnsi="Times New Roman" w:cs="Times New Roman"/>
          <w:sz w:val="24"/>
          <w:szCs w:val="24"/>
        </w:rPr>
        <w:t xml:space="preserve"> mi hermano con los suyos (en Argentina).</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Ni empleo seguro, ni estabilidad laboral, ni ingresos razonables, ni perspectivas de futuro, ni posibilidades de formar una familia, ni esperanzas de comprar una casa.</w:t>
      </w:r>
      <w:r w:rsidR="00847952">
        <w:rPr>
          <w:rFonts w:ascii="Times New Roman" w:hAnsi="Times New Roman" w:cs="Times New Roman"/>
          <w:sz w:val="24"/>
          <w:szCs w:val="24"/>
        </w:rPr>
        <w:t xml:space="preserve"> El ascensor social</w:t>
      </w:r>
      <w:r w:rsidR="00EB7437">
        <w:rPr>
          <w:rFonts w:ascii="Times New Roman" w:hAnsi="Times New Roman" w:cs="Times New Roman"/>
          <w:sz w:val="24"/>
          <w:szCs w:val="24"/>
        </w:rPr>
        <w:t>,</w:t>
      </w:r>
      <w:r w:rsidR="00847952">
        <w:rPr>
          <w:rFonts w:ascii="Times New Roman" w:hAnsi="Times New Roman" w:cs="Times New Roman"/>
          <w:sz w:val="24"/>
          <w:szCs w:val="24"/>
        </w:rPr>
        <w:t xml:space="preserve"> ha dejado de funcionar. </w:t>
      </w:r>
      <w:r>
        <w:rPr>
          <w:rFonts w:ascii="Times New Roman" w:hAnsi="Times New Roman" w:cs="Times New Roman"/>
          <w:sz w:val="24"/>
          <w:szCs w:val="24"/>
        </w:rPr>
        <w:t xml:space="preserve"> </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Jóvenes con una carrera universitaria, con dominio de varios idiomas, tal v</w:t>
      </w:r>
      <w:r w:rsidR="00077B24">
        <w:rPr>
          <w:rFonts w:ascii="Times New Roman" w:hAnsi="Times New Roman" w:cs="Times New Roman"/>
          <w:sz w:val="24"/>
          <w:szCs w:val="24"/>
        </w:rPr>
        <w:t>ez con algún master… haciendo de “riders</w:t>
      </w:r>
      <w:r>
        <w:rPr>
          <w:rFonts w:ascii="Times New Roman" w:hAnsi="Times New Roman" w:cs="Times New Roman"/>
          <w:sz w:val="24"/>
          <w:szCs w:val="24"/>
        </w:rPr>
        <w:t>” para un delivery (Glovo</w:t>
      </w:r>
      <w:r w:rsidR="00004692">
        <w:rPr>
          <w:rFonts w:ascii="Times New Roman" w:hAnsi="Times New Roman" w:cs="Times New Roman"/>
          <w:sz w:val="24"/>
          <w:szCs w:val="24"/>
        </w:rPr>
        <w:t xml:space="preserve"> o Deliveroo</w:t>
      </w:r>
      <w:r>
        <w:rPr>
          <w:rFonts w:ascii="Times New Roman" w:hAnsi="Times New Roman" w:cs="Times New Roman"/>
          <w:sz w:val="24"/>
          <w:szCs w:val="24"/>
        </w:rPr>
        <w:t>) como falso autónomo</w:t>
      </w:r>
      <w:r w:rsidR="00847952">
        <w:rPr>
          <w:rFonts w:ascii="Times New Roman" w:hAnsi="Times New Roman" w:cs="Times New Roman"/>
          <w:sz w:val="24"/>
          <w:szCs w:val="24"/>
        </w:rPr>
        <w:t>, con trabajos</w:t>
      </w:r>
      <w:r>
        <w:rPr>
          <w:rFonts w:ascii="Times New Roman" w:hAnsi="Times New Roman" w:cs="Times New Roman"/>
          <w:sz w:val="24"/>
          <w:szCs w:val="24"/>
        </w:rPr>
        <w:t xml:space="preserve"> temporales</w:t>
      </w:r>
      <w:r w:rsidR="00847952">
        <w:rPr>
          <w:rFonts w:ascii="Times New Roman" w:hAnsi="Times New Roman" w:cs="Times New Roman"/>
          <w:sz w:val="24"/>
          <w:szCs w:val="24"/>
        </w:rPr>
        <w:t xml:space="preserve"> o</w:t>
      </w:r>
      <w:r>
        <w:rPr>
          <w:rFonts w:ascii="Times New Roman" w:hAnsi="Times New Roman" w:cs="Times New Roman"/>
          <w:sz w:val="24"/>
          <w:szCs w:val="24"/>
        </w:rPr>
        <w:t xml:space="preserve"> precarios, como choferes de Uber (otros falsos autónomos), haciendo hamburguesas en McDonald</w:t>
      </w:r>
      <w:r w:rsidR="00847952">
        <w:rPr>
          <w:rFonts w:ascii="Times New Roman" w:hAnsi="Times New Roman" w:cs="Times New Roman"/>
          <w:sz w:val="24"/>
          <w:szCs w:val="24"/>
        </w:rPr>
        <w:t>’s</w:t>
      </w:r>
      <w:r>
        <w:rPr>
          <w:rFonts w:ascii="Times New Roman" w:hAnsi="Times New Roman" w:cs="Times New Roman"/>
          <w:sz w:val="24"/>
          <w:szCs w:val="24"/>
        </w:rPr>
        <w:t>, como reponedores de supermercado, o en el mejor de los casos</w:t>
      </w:r>
      <w:r w:rsidR="00077B24">
        <w:rPr>
          <w:rFonts w:ascii="Times New Roman" w:hAnsi="Times New Roman" w:cs="Times New Roman"/>
          <w:sz w:val="24"/>
          <w:szCs w:val="24"/>
        </w:rPr>
        <w:t>,</w:t>
      </w:r>
      <w:r>
        <w:rPr>
          <w:rFonts w:ascii="Times New Roman" w:hAnsi="Times New Roman" w:cs="Times New Roman"/>
          <w:sz w:val="24"/>
          <w:szCs w:val="24"/>
        </w:rPr>
        <w:t xml:space="preserve"> como “becarios” eternos</w:t>
      </w:r>
      <w:r w:rsidR="00847952">
        <w:rPr>
          <w:rFonts w:ascii="Times New Roman" w:hAnsi="Times New Roman" w:cs="Times New Roman"/>
          <w:sz w:val="24"/>
          <w:szCs w:val="24"/>
        </w:rPr>
        <w:t>,</w:t>
      </w:r>
      <w:r>
        <w:rPr>
          <w:rFonts w:ascii="Times New Roman" w:hAnsi="Times New Roman" w:cs="Times New Roman"/>
          <w:sz w:val="24"/>
          <w:szCs w:val="24"/>
        </w:rPr>
        <w:t xml:space="preserve"> en alguna</w:t>
      </w:r>
      <w:r w:rsidR="00EB7437">
        <w:rPr>
          <w:rFonts w:ascii="Times New Roman" w:hAnsi="Times New Roman" w:cs="Times New Roman"/>
          <w:sz w:val="24"/>
          <w:szCs w:val="24"/>
        </w:rPr>
        <w:t xml:space="preserve"> gran</w:t>
      </w:r>
      <w:r>
        <w:rPr>
          <w:rFonts w:ascii="Times New Roman" w:hAnsi="Times New Roman" w:cs="Times New Roman"/>
          <w:sz w:val="24"/>
          <w:szCs w:val="24"/>
        </w:rPr>
        <w:t xml:space="preserve"> empresa o despacho profesional.  </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¿Qué ha ocurrido pa</w:t>
      </w:r>
      <w:r w:rsidR="00847952">
        <w:rPr>
          <w:rFonts w:ascii="Times New Roman" w:hAnsi="Times New Roman" w:cs="Times New Roman"/>
          <w:sz w:val="24"/>
          <w:szCs w:val="24"/>
        </w:rPr>
        <w:t>ra que el trabajo</w:t>
      </w:r>
      <w:r w:rsidR="009A4B4E">
        <w:rPr>
          <w:rFonts w:ascii="Times New Roman" w:hAnsi="Times New Roman" w:cs="Times New Roman"/>
          <w:sz w:val="24"/>
          <w:szCs w:val="24"/>
        </w:rPr>
        <w:t>, en los países ricos</w:t>
      </w:r>
      <w:r w:rsidR="00C62FCA">
        <w:rPr>
          <w:rFonts w:ascii="Times New Roman" w:hAnsi="Times New Roman" w:cs="Times New Roman"/>
          <w:sz w:val="24"/>
          <w:szCs w:val="24"/>
        </w:rPr>
        <w:t>,</w:t>
      </w:r>
      <w:r w:rsidR="00847952">
        <w:rPr>
          <w:rFonts w:ascii="Times New Roman" w:hAnsi="Times New Roman" w:cs="Times New Roman"/>
          <w:sz w:val="24"/>
          <w:szCs w:val="24"/>
        </w:rPr>
        <w:t xml:space="preserve"> sea un bien</w:t>
      </w:r>
      <w:r>
        <w:rPr>
          <w:rFonts w:ascii="Times New Roman" w:hAnsi="Times New Roman" w:cs="Times New Roman"/>
          <w:sz w:val="24"/>
          <w:szCs w:val="24"/>
        </w:rPr>
        <w:t xml:space="preserve"> tan escaso?</w:t>
      </w:r>
      <w:r w:rsidR="00C62FCA">
        <w:rPr>
          <w:rFonts w:ascii="Times New Roman" w:hAnsi="Times New Roman" w:cs="Times New Roman"/>
          <w:sz w:val="24"/>
          <w:szCs w:val="24"/>
        </w:rPr>
        <w:t xml:space="preserve"> ¿para esto sirve la globalización? ¿dónde están los empleos cr</w:t>
      </w:r>
      <w:r w:rsidR="002571D6">
        <w:rPr>
          <w:rFonts w:ascii="Times New Roman" w:hAnsi="Times New Roman" w:cs="Times New Roman"/>
          <w:sz w:val="24"/>
          <w:szCs w:val="24"/>
        </w:rPr>
        <w:t>eados por la transformación digital</w:t>
      </w:r>
      <w:r w:rsidR="00C62FCA">
        <w:rPr>
          <w:rFonts w:ascii="Times New Roman" w:hAnsi="Times New Roman" w:cs="Times New Roman"/>
          <w:sz w:val="24"/>
          <w:szCs w:val="24"/>
        </w:rPr>
        <w:t xml:space="preserve">? </w:t>
      </w:r>
      <w:r w:rsidR="009A4B4E">
        <w:rPr>
          <w:rFonts w:ascii="Times New Roman" w:hAnsi="Times New Roman" w:cs="Times New Roman"/>
          <w:sz w:val="24"/>
          <w:szCs w:val="24"/>
        </w:rPr>
        <w:t xml:space="preserve">¿qué se hace con los perdedores del cambio? </w:t>
      </w:r>
      <w:r w:rsidR="00C62FCA">
        <w:rPr>
          <w:rFonts w:ascii="Times New Roman" w:hAnsi="Times New Roman" w:cs="Times New Roman"/>
          <w:sz w:val="24"/>
          <w:szCs w:val="24"/>
        </w:rPr>
        <w:t>¿q</w:t>
      </w:r>
      <w:r w:rsidR="00847952">
        <w:rPr>
          <w:rFonts w:ascii="Times New Roman" w:hAnsi="Times New Roman" w:cs="Times New Roman"/>
          <w:sz w:val="24"/>
          <w:szCs w:val="24"/>
        </w:rPr>
        <w:t xml:space="preserve">uién se robó el futuro? </w:t>
      </w:r>
      <w:r w:rsidR="00C62FCA">
        <w:rPr>
          <w:rFonts w:ascii="Times New Roman" w:hAnsi="Times New Roman" w:cs="Times New Roman"/>
          <w:sz w:val="24"/>
          <w:szCs w:val="24"/>
        </w:rPr>
        <w:t>¿q</w:t>
      </w:r>
      <w:r w:rsidR="00847952">
        <w:rPr>
          <w:rFonts w:ascii="Times New Roman" w:hAnsi="Times New Roman" w:cs="Times New Roman"/>
          <w:sz w:val="24"/>
          <w:szCs w:val="24"/>
        </w:rPr>
        <w:t>uién asaltó la ilusión?</w:t>
      </w:r>
      <w:r w:rsidR="00C62FCA">
        <w:rPr>
          <w:rFonts w:ascii="Times New Roman" w:hAnsi="Times New Roman" w:cs="Times New Roman"/>
          <w:sz w:val="24"/>
          <w:szCs w:val="24"/>
        </w:rPr>
        <w:t xml:space="preserve"> </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Sostiene Paul Krugman (premio Nobel de economía 2008) que “e</w:t>
      </w:r>
      <w:r w:rsidRPr="00FB3D02">
        <w:rPr>
          <w:rFonts w:ascii="Times New Roman" w:hAnsi="Times New Roman" w:cs="Times New Roman"/>
          <w:sz w:val="24"/>
          <w:szCs w:val="24"/>
        </w:rPr>
        <w:t>l propósito de la economía no es maximizar el</w:t>
      </w:r>
      <w:r>
        <w:rPr>
          <w:rFonts w:ascii="Times New Roman" w:hAnsi="Times New Roman" w:cs="Times New Roman"/>
          <w:sz w:val="24"/>
          <w:szCs w:val="24"/>
        </w:rPr>
        <w:t xml:space="preserve"> PIB, es mejorar nuestras vidas”.</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ser así… ¿podríamos decir que en los últimos 30 años (por lo menos) no </w:t>
      </w:r>
      <w:r w:rsidR="00C62FCA">
        <w:rPr>
          <w:rFonts w:ascii="Times New Roman" w:hAnsi="Times New Roman" w:cs="Times New Roman"/>
          <w:sz w:val="24"/>
          <w:szCs w:val="24"/>
        </w:rPr>
        <w:t>se ha cumplido el objet</w:t>
      </w:r>
      <w:r w:rsidR="00EB7437">
        <w:rPr>
          <w:rFonts w:ascii="Times New Roman" w:hAnsi="Times New Roman" w:cs="Times New Roman"/>
          <w:sz w:val="24"/>
          <w:szCs w:val="24"/>
        </w:rPr>
        <w:t>ivo que la economía sirva</w:t>
      </w:r>
      <w:r w:rsidR="00C62FCA">
        <w:rPr>
          <w:rFonts w:ascii="Times New Roman" w:hAnsi="Times New Roman" w:cs="Times New Roman"/>
          <w:sz w:val="24"/>
          <w:szCs w:val="24"/>
        </w:rPr>
        <w:t xml:space="preserve"> para mejorar</w:t>
      </w:r>
      <w:r>
        <w:rPr>
          <w:rFonts w:ascii="Times New Roman" w:hAnsi="Times New Roman" w:cs="Times New Roman"/>
          <w:sz w:val="24"/>
          <w:szCs w:val="24"/>
        </w:rPr>
        <w:t xml:space="preserve"> la vida de las personas (en los países avanzados, ahora en vías</w:t>
      </w:r>
      <w:r w:rsidR="00873824">
        <w:rPr>
          <w:rFonts w:ascii="Times New Roman" w:hAnsi="Times New Roman" w:cs="Times New Roman"/>
          <w:sz w:val="24"/>
          <w:szCs w:val="24"/>
        </w:rPr>
        <w:t xml:space="preserve"> de subdesarrollo)?</w:t>
      </w:r>
      <w:r w:rsidR="00F72C11">
        <w:rPr>
          <w:rFonts w:ascii="Times New Roman" w:hAnsi="Times New Roman" w:cs="Times New Roman"/>
          <w:sz w:val="24"/>
          <w:szCs w:val="24"/>
        </w:rPr>
        <w:t xml:space="preserve"> ¿se puede hablar de una disfunción económica?</w:t>
      </w:r>
      <w:r w:rsidR="00847952">
        <w:rPr>
          <w:rFonts w:ascii="Times New Roman" w:hAnsi="Times New Roman" w:cs="Times New Roman"/>
          <w:sz w:val="24"/>
          <w:szCs w:val="24"/>
        </w:rPr>
        <w:t xml:space="preserve"> </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el empobrecimiento de grandes capas de la sociedad, resulta </w:t>
      </w:r>
      <w:r w:rsidR="00077B24">
        <w:rPr>
          <w:rFonts w:ascii="Times New Roman" w:hAnsi="Times New Roman" w:cs="Times New Roman"/>
          <w:sz w:val="24"/>
          <w:szCs w:val="24"/>
        </w:rPr>
        <w:t>“</w:t>
      </w:r>
      <w:r>
        <w:rPr>
          <w:rFonts w:ascii="Times New Roman" w:hAnsi="Times New Roman" w:cs="Times New Roman"/>
          <w:sz w:val="24"/>
          <w:szCs w:val="24"/>
        </w:rPr>
        <w:t>lamentable</w:t>
      </w:r>
      <w:r w:rsidR="00077B24">
        <w:rPr>
          <w:rFonts w:ascii="Times New Roman" w:hAnsi="Times New Roman" w:cs="Times New Roman"/>
          <w:sz w:val="24"/>
          <w:szCs w:val="24"/>
        </w:rPr>
        <w:t>”</w:t>
      </w:r>
      <w:r>
        <w:rPr>
          <w:rFonts w:ascii="Times New Roman" w:hAnsi="Times New Roman" w:cs="Times New Roman"/>
          <w:sz w:val="24"/>
          <w:szCs w:val="24"/>
        </w:rPr>
        <w:t xml:space="preserve"> en los países del tercer mundo, es decididamente </w:t>
      </w:r>
      <w:r w:rsidR="00077B24">
        <w:rPr>
          <w:rFonts w:ascii="Times New Roman" w:hAnsi="Times New Roman" w:cs="Times New Roman"/>
          <w:sz w:val="24"/>
          <w:szCs w:val="24"/>
        </w:rPr>
        <w:t>“</w:t>
      </w:r>
      <w:r>
        <w:rPr>
          <w:rFonts w:ascii="Times New Roman" w:hAnsi="Times New Roman" w:cs="Times New Roman"/>
          <w:sz w:val="24"/>
          <w:szCs w:val="24"/>
        </w:rPr>
        <w:t>inadmisible</w:t>
      </w:r>
      <w:r w:rsidR="00077B24">
        <w:rPr>
          <w:rFonts w:ascii="Times New Roman" w:hAnsi="Times New Roman" w:cs="Times New Roman"/>
          <w:sz w:val="24"/>
          <w:szCs w:val="24"/>
        </w:rPr>
        <w:t>”</w:t>
      </w:r>
      <w:r>
        <w:rPr>
          <w:rFonts w:ascii="Times New Roman" w:hAnsi="Times New Roman" w:cs="Times New Roman"/>
          <w:sz w:val="24"/>
          <w:szCs w:val="24"/>
        </w:rPr>
        <w:t xml:space="preserve"> en los países avanzados.</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Ni en los Estados Unidos, dónde el “mantra” es que la pobreza en un problema individual, y debe ser resu</w:t>
      </w:r>
      <w:r w:rsidR="00FF4B3A">
        <w:rPr>
          <w:rFonts w:ascii="Times New Roman" w:hAnsi="Times New Roman" w:cs="Times New Roman"/>
          <w:sz w:val="24"/>
          <w:szCs w:val="24"/>
        </w:rPr>
        <w:t>elto por la misma persona, ni en</w:t>
      </w:r>
      <w:r>
        <w:rPr>
          <w:rFonts w:ascii="Times New Roman" w:hAnsi="Times New Roman" w:cs="Times New Roman"/>
          <w:sz w:val="24"/>
          <w:szCs w:val="24"/>
        </w:rPr>
        <w:t xml:space="preserve"> Europa, dónde se considera a la pobreza como un problema de la sociedad y debe colectivizarse la soluci</w:t>
      </w:r>
      <w:r w:rsidR="00C62FCA">
        <w:rPr>
          <w:rFonts w:ascii="Times New Roman" w:hAnsi="Times New Roman" w:cs="Times New Roman"/>
          <w:sz w:val="24"/>
          <w:szCs w:val="24"/>
        </w:rPr>
        <w:t>ón del mismo</w:t>
      </w:r>
      <w:r w:rsidR="00FF4B3A">
        <w:rPr>
          <w:rFonts w:ascii="Times New Roman" w:hAnsi="Times New Roman" w:cs="Times New Roman"/>
          <w:sz w:val="24"/>
          <w:szCs w:val="24"/>
        </w:rPr>
        <w:t>, es posible tolerar</w:t>
      </w:r>
      <w:r w:rsidR="00EB7437">
        <w:rPr>
          <w:rFonts w:ascii="Times New Roman" w:hAnsi="Times New Roman" w:cs="Times New Roman"/>
          <w:sz w:val="24"/>
          <w:szCs w:val="24"/>
        </w:rPr>
        <w:t xml:space="preserve"> casi 50, y más de 90</w:t>
      </w:r>
      <w:r>
        <w:rPr>
          <w:rFonts w:ascii="Times New Roman" w:hAnsi="Times New Roman" w:cs="Times New Roman"/>
          <w:sz w:val="24"/>
          <w:szCs w:val="24"/>
        </w:rPr>
        <w:t xml:space="preserve"> millones de pobres</w:t>
      </w:r>
      <w:r w:rsidR="00EB7437">
        <w:rPr>
          <w:rFonts w:ascii="Times New Roman" w:hAnsi="Times New Roman" w:cs="Times New Roman"/>
          <w:sz w:val="24"/>
          <w:szCs w:val="24"/>
        </w:rPr>
        <w:t>,</w:t>
      </w:r>
      <w:r>
        <w:rPr>
          <w:rFonts w:ascii="Times New Roman" w:hAnsi="Times New Roman" w:cs="Times New Roman"/>
          <w:sz w:val="24"/>
          <w:szCs w:val="24"/>
        </w:rPr>
        <w:t xml:space="preserve"> en cada caso, con indiferencia, insolidaridad, desprecio, desinterés, neutralidad, repulsa, o ceguera voluntaria.</w:t>
      </w:r>
      <w:r w:rsidR="00581A05">
        <w:rPr>
          <w:rFonts w:ascii="Times New Roman" w:hAnsi="Times New Roman" w:cs="Times New Roman"/>
          <w:sz w:val="24"/>
          <w:szCs w:val="24"/>
        </w:rPr>
        <w:t xml:space="preserve"> </w:t>
      </w:r>
      <w:r w:rsidR="00EB7437">
        <w:rPr>
          <w:rFonts w:ascii="Times New Roman" w:hAnsi="Times New Roman" w:cs="Times New Roman"/>
          <w:sz w:val="24"/>
          <w:szCs w:val="24"/>
        </w:rPr>
        <w:t>Y cuando la pobreza se ceba en la</w:t>
      </w:r>
      <w:r w:rsidR="00581A05">
        <w:rPr>
          <w:rFonts w:ascii="Times New Roman" w:hAnsi="Times New Roman" w:cs="Times New Roman"/>
          <w:sz w:val="24"/>
          <w:szCs w:val="24"/>
        </w:rPr>
        <w:t xml:space="preserve">s minorías, </w:t>
      </w:r>
      <w:r w:rsidR="00FF4B3A">
        <w:rPr>
          <w:rFonts w:ascii="Times New Roman" w:hAnsi="Times New Roman" w:cs="Times New Roman"/>
          <w:sz w:val="24"/>
          <w:szCs w:val="24"/>
        </w:rPr>
        <w:t>puede presumirse</w:t>
      </w:r>
      <w:r w:rsidR="00581A05">
        <w:rPr>
          <w:rFonts w:ascii="Times New Roman" w:hAnsi="Times New Roman" w:cs="Times New Roman"/>
          <w:sz w:val="24"/>
          <w:szCs w:val="24"/>
        </w:rPr>
        <w:t xml:space="preserve"> racismo</w:t>
      </w:r>
      <w:r w:rsidR="00EB7437">
        <w:rPr>
          <w:rFonts w:ascii="Times New Roman" w:hAnsi="Times New Roman" w:cs="Times New Roman"/>
          <w:sz w:val="24"/>
          <w:szCs w:val="24"/>
        </w:rPr>
        <w:t>.</w:t>
      </w:r>
      <w:r w:rsidR="00581A05">
        <w:rPr>
          <w:rFonts w:ascii="Times New Roman" w:hAnsi="Times New Roman" w:cs="Times New Roman"/>
          <w:sz w:val="24"/>
          <w:szCs w:val="24"/>
        </w:rPr>
        <w:t xml:space="preserve"> Los empobrecidos no entienden de histrionismos.</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Los pobres bastante tienen con padecer su miseria, como para cargar con el estigma de las culpas propias (que posiblemente existan), y con la impasibilidad de las autorid</w:t>
      </w:r>
      <w:r w:rsidR="00EB7437">
        <w:rPr>
          <w:rFonts w:ascii="Times New Roman" w:hAnsi="Times New Roman" w:cs="Times New Roman"/>
          <w:sz w:val="24"/>
          <w:szCs w:val="24"/>
        </w:rPr>
        <w:t>ades (que indudablemente existe</w:t>
      </w:r>
      <w:r>
        <w:rPr>
          <w:rFonts w:ascii="Times New Roman" w:hAnsi="Times New Roman" w:cs="Times New Roman"/>
          <w:sz w:val="24"/>
          <w:szCs w:val="24"/>
        </w:rPr>
        <w:t>).</w:t>
      </w:r>
      <w:r w:rsidR="00302047">
        <w:rPr>
          <w:rFonts w:ascii="Times New Roman" w:hAnsi="Times New Roman" w:cs="Times New Roman"/>
          <w:sz w:val="24"/>
          <w:szCs w:val="24"/>
        </w:rPr>
        <w:t xml:space="preserve"> </w:t>
      </w:r>
      <w:r w:rsidR="00302047">
        <w:rPr>
          <w:rFonts w:ascii="Times New Roman" w:eastAsia="Times New Roman" w:hAnsi="Times New Roman" w:cs="Times New Roman"/>
          <w:sz w:val="24"/>
          <w:szCs w:val="24"/>
          <w:lang w:eastAsia="es-ES"/>
        </w:rPr>
        <w:t>P</w:t>
      </w:r>
      <w:r w:rsidR="00302047" w:rsidRPr="00866CC8">
        <w:rPr>
          <w:rFonts w:ascii="Times New Roman" w:eastAsia="Times New Roman" w:hAnsi="Times New Roman" w:cs="Times New Roman"/>
          <w:sz w:val="24"/>
          <w:szCs w:val="24"/>
          <w:lang w:eastAsia="es-ES"/>
        </w:rPr>
        <w:t>ocos ingresos y un bajo nivel de educación</w:t>
      </w:r>
      <w:r w:rsidR="00302047">
        <w:rPr>
          <w:rFonts w:ascii="Times New Roman" w:eastAsia="Times New Roman" w:hAnsi="Times New Roman" w:cs="Times New Roman"/>
          <w:sz w:val="24"/>
          <w:szCs w:val="24"/>
          <w:lang w:eastAsia="es-ES"/>
        </w:rPr>
        <w:t>, son un lastre que se arrastra generacionalmente. Los hijos heredan la pobre</w:t>
      </w:r>
      <w:r w:rsidR="00B31043">
        <w:rPr>
          <w:rFonts w:ascii="Times New Roman" w:eastAsia="Times New Roman" w:hAnsi="Times New Roman" w:cs="Times New Roman"/>
          <w:sz w:val="24"/>
          <w:szCs w:val="24"/>
          <w:lang w:eastAsia="es-ES"/>
        </w:rPr>
        <w:t>za de sus padres, en u</w:t>
      </w:r>
      <w:r w:rsidR="00302047">
        <w:rPr>
          <w:rFonts w:ascii="Times New Roman" w:eastAsia="Times New Roman" w:hAnsi="Times New Roman" w:cs="Times New Roman"/>
          <w:sz w:val="24"/>
          <w:szCs w:val="24"/>
          <w:lang w:eastAsia="es-ES"/>
        </w:rPr>
        <w:t>n bucle siniestro.</w:t>
      </w:r>
    </w:p>
    <w:p w:rsidR="00F60556" w:rsidRDefault="00C62FCA"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A cambio, u</w:t>
      </w:r>
      <w:r w:rsidR="00F60556">
        <w:rPr>
          <w:rFonts w:ascii="Times New Roman" w:hAnsi="Times New Roman" w:cs="Times New Roman"/>
          <w:sz w:val="24"/>
          <w:szCs w:val="24"/>
        </w:rPr>
        <w:t>nos “bufones posmodernos” les ofrecen la felicidad de “estar conectados” en cómodas cuotas, y unos “falsos profetas” los arrean como clientes de un pobrismo interesado, donde los futuros no realizados son solo ramas del pasado: ramas secas.</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Parafraseado a Ítalo Calvino (</w:t>
      </w:r>
      <w:r w:rsidR="00581A05">
        <w:rPr>
          <w:rFonts w:ascii="Times New Roman" w:hAnsi="Times New Roman" w:cs="Times New Roman"/>
          <w:sz w:val="24"/>
          <w:szCs w:val="24"/>
        </w:rPr>
        <w:t>“</w:t>
      </w:r>
      <w:r>
        <w:rPr>
          <w:rFonts w:ascii="Times New Roman" w:hAnsi="Times New Roman" w:cs="Times New Roman"/>
          <w:sz w:val="24"/>
          <w:szCs w:val="24"/>
        </w:rPr>
        <w:t>Ciudades invisibles</w:t>
      </w:r>
      <w:r w:rsidR="00581A05">
        <w:rPr>
          <w:rFonts w:ascii="Times New Roman" w:hAnsi="Times New Roman" w:cs="Times New Roman"/>
          <w:sz w:val="24"/>
          <w:szCs w:val="24"/>
        </w:rPr>
        <w:t>”</w:t>
      </w:r>
      <w:r>
        <w:rPr>
          <w:rFonts w:ascii="Times New Roman" w:hAnsi="Times New Roman" w:cs="Times New Roman"/>
          <w:sz w:val="24"/>
          <w:szCs w:val="24"/>
        </w:rPr>
        <w:t>), se podría decir: “El pobre reconoce lo poco que es suyo</w:t>
      </w:r>
      <w:r w:rsidR="00C62FCA">
        <w:rPr>
          <w:rFonts w:ascii="Times New Roman" w:hAnsi="Times New Roman" w:cs="Times New Roman"/>
          <w:sz w:val="24"/>
          <w:szCs w:val="24"/>
        </w:rPr>
        <w:t>,</w:t>
      </w:r>
      <w:r w:rsidR="002571D6">
        <w:rPr>
          <w:rFonts w:ascii="Times New Roman" w:hAnsi="Times New Roman" w:cs="Times New Roman"/>
          <w:sz w:val="24"/>
          <w:szCs w:val="24"/>
        </w:rPr>
        <w:t xml:space="preserve"> al descubrir lo mucho que </w:t>
      </w:r>
      <w:r>
        <w:rPr>
          <w:rFonts w:ascii="Times New Roman" w:hAnsi="Times New Roman" w:cs="Times New Roman"/>
          <w:sz w:val="24"/>
          <w:szCs w:val="24"/>
        </w:rPr>
        <w:t>no ha tenido y no tendrá”.</w:t>
      </w:r>
    </w:p>
    <w:p w:rsidR="0087525B" w:rsidRDefault="007D733A" w:rsidP="0087525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misión de los</w:t>
      </w:r>
      <w:r w:rsidRPr="007D733A">
        <w:rPr>
          <w:rFonts w:ascii="Times New Roman" w:hAnsi="Times New Roman" w:cs="Times New Roman"/>
          <w:sz w:val="24"/>
          <w:szCs w:val="24"/>
        </w:rPr>
        <w:t xml:space="preserve"> intelectual</w:t>
      </w:r>
      <w:r>
        <w:rPr>
          <w:rFonts w:ascii="Times New Roman" w:hAnsi="Times New Roman" w:cs="Times New Roman"/>
          <w:sz w:val="24"/>
          <w:szCs w:val="24"/>
        </w:rPr>
        <w:t>es</w:t>
      </w:r>
      <w:r w:rsidRPr="007D733A">
        <w:rPr>
          <w:rFonts w:ascii="Times New Roman" w:hAnsi="Times New Roman" w:cs="Times New Roman"/>
          <w:sz w:val="24"/>
          <w:szCs w:val="24"/>
        </w:rPr>
        <w:t xml:space="preserve"> no es acercarse a la verdad, sino contribuir para que la verdad sea resultado de una conversación pública, colectiva, construida sobre un ti</w:t>
      </w:r>
      <w:r>
        <w:rPr>
          <w:rFonts w:ascii="Times New Roman" w:hAnsi="Times New Roman" w:cs="Times New Roman"/>
          <w:sz w:val="24"/>
          <w:szCs w:val="24"/>
        </w:rPr>
        <w:t>po de debate más cuidado</w:t>
      </w:r>
      <w:r w:rsidRPr="007D733A">
        <w:rPr>
          <w:rFonts w:ascii="Times New Roman" w:hAnsi="Times New Roman" w:cs="Times New Roman"/>
          <w:sz w:val="24"/>
          <w:szCs w:val="24"/>
        </w:rPr>
        <w:t>.</w:t>
      </w:r>
      <w:r w:rsidR="0087525B">
        <w:rPr>
          <w:rFonts w:ascii="Times New Roman" w:hAnsi="Times New Roman" w:cs="Times New Roman"/>
          <w:sz w:val="24"/>
          <w:szCs w:val="24"/>
        </w:rPr>
        <w:t xml:space="preserve"> </w:t>
      </w:r>
      <w:r w:rsidR="0087525B" w:rsidRPr="007D733A">
        <w:rPr>
          <w:rFonts w:ascii="Times New Roman" w:hAnsi="Times New Roman" w:cs="Times New Roman"/>
          <w:sz w:val="24"/>
          <w:szCs w:val="24"/>
        </w:rPr>
        <w:t>La calidad de la discusión en el espacio público mejora si los argumentos pueden ser claramente rebatidos, para lo cual deben ser claramente formulados.</w:t>
      </w:r>
    </w:p>
    <w:p w:rsidR="00F60556" w:rsidRDefault="00F60556"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Hay que tomar conciencia del problema de la extrema pobreza en los países ricos, para asignar responsabilidades (políticas y empresariales) y debatir alternativas de solución (individual</w:t>
      </w:r>
      <w:r w:rsidR="00C62FCA">
        <w:rPr>
          <w:rFonts w:ascii="Times New Roman" w:hAnsi="Times New Roman" w:cs="Times New Roman"/>
          <w:sz w:val="24"/>
          <w:szCs w:val="24"/>
        </w:rPr>
        <w:t>es</w:t>
      </w:r>
      <w:r w:rsidR="00771CF6">
        <w:rPr>
          <w:rFonts w:ascii="Times New Roman" w:hAnsi="Times New Roman" w:cs="Times New Roman"/>
          <w:sz w:val="24"/>
          <w:szCs w:val="24"/>
        </w:rPr>
        <w:t xml:space="preserve"> y colectivas</w:t>
      </w:r>
      <w:r>
        <w:rPr>
          <w:rFonts w:ascii="Times New Roman" w:hAnsi="Times New Roman" w:cs="Times New Roman"/>
          <w:sz w:val="24"/>
          <w:szCs w:val="24"/>
        </w:rPr>
        <w:t xml:space="preserve">). </w:t>
      </w:r>
      <w:r w:rsidR="004A04F5">
        <w:rPr>
          <w:rFonts w:ascii="Times New Roman" w:hAnsi="Times New Roman" w:cs="Times New Roman"/>
          <w:sz w:val="24"/>
          <w:szCs w:val="24"/>
        </w:rPr>
        <w:t>Hay factores estructurales, no</w:t>
      </w:r>
      <w:r w:rsidR="00B31043">
        <w:rPr>
          <w:rFonts w:ascii="Times New Roman" w:hAnsi="Times New Roman" w:cs="Times New Roman"/>
          <w:sz w:val="24"/>
          <w:szCs w:val="24"/>
        </w:rPr>
        <w:t xml:space="preserve"> solo</w:t>
      </w:r>
      <w:r w:rsidR="004A04F5">
        <w:rPr>
          <w:rFonts w:ascii="Times New Roman" w:hAnsi="Times New Roman" w:cs="Times New Roman"/>
          <w:sz w:val="24"/>
          <w:szCs w:val="24"/>
        </w:rPr>
        <w:t xml:space="preserve"> temporales, o </w:t>
      </w:r>
      <w:r w:rsidR="00B31043">
        <w:rPr>
          <w:rFonts w:ascii="Times New Roman" w:hAnsi="Times New Roman" w:cs="Times New Roman"/>
          <w:sz w:val="24"/>
          <w:szCs w:val="24"/>
        </w:rPr>
        <w:t>reversibles.</w:t>
      </w:r>
    </w:p>
    <w:p w:rsidR="007D733A" w:rsidRDefault="007D733A" w:rsidP="00F60556">
      <w:pPr>
        <w:spacing w:line="240" w:lineRule="auto"/>
        <w:jc w:val="both"/>
        <w:rPr>
          <w:rFonts w:ascii="Times New Roman" w:hAnsi="Times New Roman" w:cs="Times New Roman"/>
          <w:sz w:val="24"/>
          <w:szCs w:val="24"/>
        </w:rPr>
      </w:pPr>
      <w:r w:rsidRPr="007D733A">
        <w:rPr>
          <w:rFonts w:ascii="Times New Roman" w:hAnsi="Times New Roman" w:cs="Times New Roman"/>
          <w:sz w:val="24"/>
          <w:szCs w:val="24"/>
        </w:rPr>
        <w:t>Albert Otto Hirschman,</w:t>
      </w:r>
      <w:r>
        <w:rPr>
          <w:rFonts w:ascii="Times New Roman" w:hAnsi="Times New Roman" w:cs="Times New Roman"/>
          <w:sz w:val="24"/>
          <w:szCs w:val="24"/>
        </w:rPr>
        <w:t xml:space="preserve"> en su libro </w:t>
      </w:r>
      <w:r w:rsidR="00581A05">
        <w:rPr>
          <w:rFonts w:ascii="Times New Roman" w:hAnsi="Times New Roman" w:cs="Times New Roman"/>
          <w:sz w:val="24"/>
          <w:szCs w:val="24"/>
        </w:rPr>
        <w:t>“</w:t>
      </w:r>
      <w:r>
        <w:rPr>
          <w:rFonts w:ascii="Times New Roman" w:hAnsi="Times New Roman" w:cs="Times New Roman"/>
          <w:sz w:val="24"/>
          <w:szCs w:val="24"/>
        </w:rPr>
        <w:t>Salida, voz y lealtad</w:t>
      </w:r>
      <w:r w:rsidR="00581A05">
        <w:rPr>
          <w:rFonts w:ascii="Times New Roman" w:hAnsi="Times New Roman" w:cs="Times New Roman"/>
          <w:sz w:val="24"/>
          <w:szCs w:val="24"/>
        </w:rPr>
        <w:t>”</w:t>
      </w:r>
      <w:r>
        <w:rPr>
          <w:rFonts w:ascii="Times New Roman" w:hAnsi="Times New Roman" w:cs="Times New Roman"/>
          <w:sz w:val="24"/>
          <w:szCs w:val="24"/>
        </w:rPr>
        <w:t xml:space="preserve"> (1977), </w:t>
      </w:r>
      <w:r w:rsidRPr="007D733A">
        <w:rPr>
          <w:rFonts w:ascii="Times New Roman" w:hAnsi="Times New Roman" w:cs="Times New Roman"/>
          <w:sz w:val="24"/>
          <w:szCs w:val="24"/>
        </w:rPr>
        <w:t>habla de tres conductas posibles de las personas ante las organizaciones o los estados. Si el vínculo contractual establecido es satisfactorio, la relación es de lealtad. Si el vínculo empieza a fallar, la gente comienza a alzar la voz. Si después de alzar la voz no hay respuestas, la opción comienza a ser la salida</w:t>
      </w:r>
      <w:r>
        <w:rPr>
          <w:rFonts w:ascii="Times New Roman" w:hAnsi="Times New Roman" w:cs="Times New Roman"/>
          <w:sz w:val="24"/>
          <w:szCs w:val="24"/>
        </w:rPr>
        <w:t xml:space="preserve"> (“exit”)</w:t>
      </w:r>
      <w:r w:rsidRPr="007D733A">
        <w:rPr>
          <w:rFonts w:ascii="Times New Roman" w:hAnsi="Times New Roman" w:cs="Times New Roman"/>
          <w:sz w:val="24"/>
          <w:szCs w:val="24"/>
        </w:rPr>
        <w:t>.</w:t>
      </w:r>
    </w:p>
    <w:p w:rsidR="007D733A" w:rsidRDefault="007D733A" w:rsidP="00F60556">
      <w:pPr>
        <w:spacing w:line="240" w:lineRule="auto"/>
        <w:jc w:val="both"/>
        <w:rPr>
          <w:rFonts w:ascii="Times New Roman" w:hAnsi="Times New Roman" w:cs="Times New Roman"/>
          <w:sz w:val="24"/>
          <w:szCs w:val="24"/>
        </w:rPr>
      </w:pPr>
      <w:r w:rsidRPr="007D733A">
        <w:rPr>
          <w:rFonts w:ascii="Times New Roman" w:hAnsi="Times New Roman" w:cs="Times New Roman"/>
          <w:sz w:val="24"/>
          <w:szCs w:val="24"/>
        </w:rPr>
        <w:t xml:space="preserve">En la </w:t>
      </w:r>
      <w:r w:rsidR="009A04C5">
        <w:rPr>
          <w:rFonts w:ascii="Times New Roman" w:hAnsi="Times New Roman" w:cs="Times New Roman"/>
          <w:sz w:val="24"/>
          <w:szCs w:val="24"/>
        </w:rPr>
        <w:t>“</w:t>
      </w:r>
      <w:r w:rsidR="002571D6">
        <w:rPr>
          <w:rFonts w:ascii="Times New Roman" w:hAnsi="Times New Roman" w:cs="Times New Roman"/>
          <w:sz w:val="24"/>
          <w:szCs w:val="24"/>
        </w:rPr>
        <w:t>S</w:t>
      </w:r>
      <w:r w:rsidRPr="007D733A">
        <w:rPr>
          <w:rFonts w:ascii="Times New Roman" w:hAnsi="Times New Roman" w:cs="Times New Roman"/>
          <w:sz w:val="24"/>
          <w:szCs w:val="24"/>
        </w:rPr>
        <w:t>ociedad del Exit</w:t>
      </w:r>
      <w:r w:rsidR="009A04C5">
        <w:rPr>
          <w:rFonts w:ascii="Times New Roman" w:hAnsi="Times New Roman" w:cs="Times New Roman"/>
          <w:sz w:val="24"/>
          <w:szCs w:val="24"/>
        </w:rPr>
        <w:t>”</w:t>
      </w:r>
      <w:r w:rsidRPr="007D733A">
        <w:rPr>
          <w:rFonts w:ascii="Times New Roman" w:hAnsi="Times New Roman" w:cs="Times New Roman"/>
          <w:sz w:val="24"/>
          <w:szCs w:val="24"/>
        </w:rPr>
        <w:t xml:space="preserve"> también están los que no practican el Exit pero son expulsados. Son quienes comienzan el día viajando varios kilómetros de distancia del lugar donde han pasado la noche. Parten en busca del aliment</w:t>
      </w:r>
      <w:r w:rsidR="002571D6">
        <w:rPr>
          <w:rFonts w:ascii="Times New Roman" w:hAnsi="Times New Roman" w:cs="Times New Roman"/>
          <w:sz w:val="24"/>
          <w:szCs w:val="24"/>
        </w:rPr>
        <w:t>o. Son los des-ciudadanizados, segundos y terceros h</w:t>
      </w:r>
      <w:r w:rsidRPr="007D733A">
        <w:rPr>
          <w:rFonts w:ascii="Times New Roman" w:hAnsi="Times New Roman" w:cs="Times New Roman"/>
          <w:sz w:val="24"/>
          <w:szCs w:val="24"/>
        </w:rPr>
        <w:t xml:space="preserve">abitantes de la </w:t>
      </w:r>
      <w:r w:rsidR="002571D6">
        <w:rPr>
          <w:rFonts w:ascii="Times New Roman" w:hAnsi="Times New Roman" w:cs="Times New Roman"/>
          <w:sz w:val="24"/>
          <w:szCs w:val="24"/>
        </w:rPr>
        <w:t>“</w:t>
      </w:r>
      <w:r w:rsidRPr="007D733A">
        <w:rPr>
          <w:rFonts w:ascii="Times New Roman" w:hAnsi="Times New Roman" w:cs="Times New Roman"/>
          <w:sz w:val="24"/>
          <w:szCs w:val="24"/>
        </w:rPr>
        <w:t>Sociedad del Exit</w:t>
      </w:r>
      <w:r w:rsidR="002571D6">
        <w:rPr>
          <w:rFonts w:ascii="Times New Roman" w:hAnsi="Times New Roman" w:cs="Times New Roman"/>
          <w:sz w:val="24"/>
          <w:szCs w:val="24"/>
        </w:rPr>
        <w:t>”</w:t>
      </w:r>
      <w:r w:rsidRPr="007D733A">
        <w:rPr>
          <w:rFonts w:ascii="Times New Roman" w:hAnsi="Times New Roman" w:cs="Times New Roman"/>
          <w:sz w:val="24"/>
          <w:szCs w:val="24"/>
        </w:rPr>
        <w:t>. Y son c</w:t>
      </w:r>
      <w:r w:rsidR="009A04C5">
        <w:rPr>
          <w:rFonts w:ascii="Times New Roman" w:hAnsi="Times New Roman" w:cs="Times New Roman"/>
          <w:sz w:val="24"/>
          <w:szCs w:val="24"/>
        </w:rPr>
        <w:t xml:space="preserve">azadores y recolectores. </w:t>
      </w:r>
      <w:r w:rsidRPr="007D733A">
        <w:rPr>
          <w:rFonts w:ascii="Times New Roman" w:hAnsi="Times New Roman" w:cs="Times New Roman"/>
          <w:sz w:val="24"/>
          <w:szCs w:val="24"/>
        </w:rPr>
        <w:t>Se trata de habitantes, no de ciudadanos: habitantes que salen cada día a buscar los recursos para el día, sin ninguna capacidad de recurrir a una economía que no sea</w:t>
      </w:r>
      <w:r w:rsidR="009A04C5">
        <w:rPr>
          <w:rFonts w:ascii="Times New Roman" w:hAnsi="Times New Roman" w:cs="Times New Roman"/>
          <w:sz w:val="24"/>
          <w:szCs w:val="24"/>
        </w:rPr>
        <w:t xml:space="preserve"> una economía de subsistencia. </w:t>
      </w:r>
      <w:r w:rsidRPr="007D733A">
        <w:rPr>
          <w:rFonts w:ascii="Times New Roman" w:hAnsi="Times New Roman" w:cs="Times New Roman"/>
          <w:sz w:val="24"/>
          <w:szCs w:val="24"/>
        </w:rPr>
        <w:t>Es una sociedad que está en un proceso de des-ciudadanización. No hay ciudadanía cuando no hay posibilidades de elección autónoma de proyectos de vid</w:t>
      </w:r>
      <w:r w:rsidR="009A04C5">
        <w:rPr>
          <w:rFonts w:ascii="Times New Roman" w:hAnsi="Times New Roman" w:cs="Times New Roman"/>
          <w:sz w:val="24"/>
          <w:szCs w:val="24"/>
        </w:rPr>
        <w:t>a</w:t>
      </w:r>
      <w:r w:rsidRPr="007D733A">
        <w:rPr>
          <w:rFonts w:ascii="Times New Roman" w:hAnsi="Times New Roman" w:cs="Times New Roman"/>
          <w:sz w:val="24"/>
          <w:szCs w:val="24"/>
        </w:rPr>
        <w:t>.</w:t>
      </w:r>
    </w:p>
    <w:p w:rsidR="009A04C5" w:rsidRDefault="009A04C5" w:rsidP="00F60556">
      <w:pPr>
        <w:spacing w:line="240" w:lineRule="auto"/>
        <w:jc w:val="both"/>
        <w:rPr>
          <w:rFonts w:ascii="Times New Roman" w:hAnsi="Times New Roman" w:cs="Times New Roman"/>
          <w:sz w:val="24"/>
          <w:szCs w:val="24"/>
        </w:rPr>
      </w:pPr>
      <w:r>
        <w:rPr>
          <w:rFonts w:ascii="Times New Roman" w:hAnsi="Times New Roman" w:cs="Times New Roman"/>
          <w:sz w:val="24"/>
          <w:szCs w:val="24"/>
        </w:rPr>
        <w:t>Ante este</w:t>
      </w:r>
      <w:r w:rsidRPr="009A04C5">
        <w:rPr>
          <w:rFonts w:ascii="Times New Roman" w:hAnsi="Times New Roman" w:cs="Times New Roman"/>
          <w:sz w:val="24"/>
          <w:szCs w:val="24"/>
        </w:rPr>
        <w:t xml:space="preserve"> panorama desolador </w:t>
      </w:r>
      <w:r>
        <w:rPr>
          <w:rFonts w:ascii="Times New Roman" w:hAnsi="Times New Roman" w:cs="Times New Roman"/>
          <w:sz w:val="24"/>
          <w:szCs w:val="24"/>
        </w:rPr>
        <w:t xml:space="preserve">hay que </w:t>
      </w:r>
      <w:r w:rsidRPr="009A04C5">
        <w:rPr>
          <w:rFonts w:ascii="Times New Roman" w:hAnsi="Times New Roman" w:cs="Times New Roman"/>
          <w:sz w:val="24"/>
          <w:szCs w:val="24"/>
        </w:rPr>
        <w:t>reivindica</w:t>
      </w:r>
      <w:r>
        <w:rPr>
          <w:rFonts w:ascii="Times New Roman" w:hAnsi="Times New Roman" w:cs="Times New Roman"/>
          <w:sz w:val="24"/>
          <w:szCs w:val="24"/>
        </w:rPr>
        <w:t xml:space="preserve">r el derecho a ser escéptico. </w:t>
      </w:r>
      <w:r w:rsidRPr="009A04C5">
        <w:rPr>
          <w:rFonts w:ascii="Times New Roman" w:hAnsi="Times New Roman" w:cs="Times New Roman"/>
          <w:sz w:val="24"/>
          <w:szCs w:val="24"/>
        </w:rPr>
        <w:t>Las dudas y el escepticismo ay</w:t>
      </w:r>
      <w:r>
        <w:rPr>
          <w:rFonts w:ascii="Times New Roman" w:hAnsi="Times New Roman" w:cs="Times New Roman"/>
          <w:sz w:val="24"/>
          <w:szCs w:val="24"/>
        </w:rPr>
        <w:t>udan a comprender mejor la situación. Porque limitan el dogmatismo</w:t>
      </w:r>
      <w:r w:rsidRPr="009A04C5">
        <w:rPr>
          <w:rFonts w:ascii="Times New Roman" w:hAnsi="Times New Roman" w:cs="Times New Roman"/>
          <w:sz w:val="24"/>
          <w:szCs w:val="24"/>
        </w:rPr>
        <w:t>.</w:t>
      </w:r>
      <w:r w:rsidR="0087525B">
        <w:rPr>
          <w:rFonts w:ascii="Times New Roman" w:hAnsi="Times New Roman" w:cs="Times New Roman"/>
          <w:sz w:val="24"/>
          <w:szCs w:val="24"/>
        </w:rPr>
        <w:t xml:space="preserve"> </w:t>
      </w:r>
      <w:r>
        <w:rPr>
          <w:rFonts w:ascii="Times New Roman" w:hAnsi="Times New Roman" w:cs="Times New Roman"/>
          <w:sz w:val="24"/>
          <w:szCs w:val="24"/>
        </w:rPr>
        <w:t>Pero l</w:t>
      </w:r>
      <w:r w:rsidRPr="009A04C5">
        <w:rPr>
          <w:rFonts w:ascii="Times New Roman" w:hAnsi="Times New Roman" w:cs="Times New Roman"/>
          <w:sz w:val="24"/>
          <w:szCs w:val="24"/>
        </w:rPr>
        <w:t xml:space="preserve">as élites tienen desprecio por la argumentación pública. No creen que estén obligadas a dar razones de calidad y a justificar sus decisiones. Y la ciudadanía ha </w:t>
      </w:r>
      <w:r>
        <w:rPr>
          <w:rFonts w:ascii="Times New Roman" w:hAnsi="Times New Roman" w:cs="Times New Roman"/>
          <w:sz w:val="24"/>
          <w:szCs w:val="24"/>
        </w:rPr>
        <w:t>cedido autonomía de pensamiento (abducidos por las redes sociales</w:t>
      </w:r>
      <w:r w:rsidR="00581A05">
        <w:rPr>
          <w:rFonts w:ascii="Times New Roman" w:hAnsi="Times New Roman" w:cs="Times New Roman"/>
          <w:sz w:val="24"/>
          <w:szCs w:val="24"/>
        </w:rPr>
        <w:t>), quedando cautiva de la manipulación</w:t>
      </w:r>
      <w:r>
        <w:rPr>
          <w:rFonts w:ascii="Times New Roman" w:hAnsi="Times New Roman" w:cs="Times New Roman"/>
          <w:sz w:val="24"/>
          <w:szCs w:val="24"/>
        </w:rPr>
        <w:t>.</w:t>
      </w:r>
    </w:p>
    <w:p w:rsidR="00613588" w:rsidRDefault="00613588" w:rsidP="00F60556">
      <w:pPr>
        <w:spacing w:line="240" w:lineRule="auto"/>
        <w:jc w:val="both"/>
        <w:rPr>
          <w:rFonts w:ascii="Times New Roman" w:hAnsi="Times New Roman" w:cs="Times New Roman"/>
          <w:sz w:val="24"/>
          <w:szCs w:val="24"/>
        </w:rPr>
      </w:pPr>
      <w:r w:rsidRPr="00613588">
        <w:rPr>
          <w:rFonts w:ascii="Times New Roman" w:hAnsi="Times New Roman" w:cs="Times New Roman"/>
          <w:sz w:val="24"/>
          <w:szCs w:val="24"/>
        </w:rPr>
        <w:t>La</w:t>
      </w:r>
      <w:r>
        <w:rPr>
          <w:rFonts w:ascii="Times New Roman" w:hAnsi="Times New Roman" w:cs="Times New Roman"/>
          <w:sz w:val="24"/>
          <w:szCs w:val="24"/>
        </w:rPr>
        <w:t xml:space="preserve"> clase media </w:t>
      </w:r>
      <w:r w:rsidRPr="00613588">
        <w:rPr>
          <w:rFonts w:ascii="Times New Roman" w:hAnsi="Times New Roman" w:cs="Times New Roman"/>
          <w:sz w:val="24"/>
          <w:szCs w:val="24"/>
        </w:rPr>
        <w:t>está en proceso de desaparición. Es un proceso que numerosos países</w:t>
      </w:r>
      <w:r>
        <w:rPr>
          <w:rFonts w:ascii="Times New Roman" w:hAnsi="Times New Roman" w:cs="Times New Roman"/>
          <w:sz w:val="24"/>
          <w:szCs w:val="24"/>
        </w:rPr>
        <w:t xml:space="preserve"> avanzados</w:t>
      </w:r>
      <w:r w:rsidRPr="00613588">
        <w:rPr>
          <w:rFonts w:ascii="Times New Roman" w:hAnsi="Times New Roman" w:cs="Times New Roman"/>
          <w:sz w:val="24"/>
          <w:szCs w:val="24"/>
        </w:rPr>
        <w:t xml:space="preserve"> están observando. El gobierno británico creó una comisión para estudiar cómo reintroducir la movilidad social, una de las características básicas de una sociedad de clases medias. El adelgazamiento de la clase media no tiene sólo que ver con la pérdida de participación en el PBI, sino con la imagen de futuro que esos sectores tienen. Ser de clase media suponía que el futuro iba a ser mejor que el presente. Que las condiciones para los hijos iban a ser mejores que las condiciones de partida de los padres. Esto ya no es así. En los sectores populares no es así desde hace mucho. Y en los sectores medios ha dejado de serlo. </w:t>
      </w:r>
    </w:p>
    <w:p w:rsidR="00613588" w:rsidRDefault="00613588" w:rsidP="00F60556">
      <w:pPr>
        <w:spacing w:line="240" w:lineRule="auto"/>
        <w:jc w:val="both"/>
        <w:rPr>
          <w:rFonts w:ascii="Times New Roman" w:hAnsi="Times New Roman" w:cs="Times New Roman"/>
          <w:sz w:val="24"/>
          <w:szCs w:val="24"/>
        </w:rPr>
      </w:pPr>
      <w:r w:rsidRPr="00613588">
        <w:rPr>
          <w:rFonts w:ascii="Times New Roman" w:hAnsi="Times New Roman" w:cs="Times New Roman"/>
          <w:sz w:val="24"/>
          <w:szCs w:val="24"/>
        </w:rPr>
        <w:t>Es una regresión de la sociedad en todos los sentidos. Vivimos un proceso de desmodernización.</w:t>
      </w:r>
      <w:r>
        <w:rPr>
          <w:rFonts w:ascii="Times New Roman" w:hAnsi="Times New Roman" w:cs="Times New Roman"/>
          <w:sz w:val="24"/>
          <w:szCs w:val="24"/>
        </w:rPr>
        <w:t xml:space="preserve"> Ante el fracaso </w:t>
      </w:r>
      <w:r w:rsidR="0087525B">
        <w:rPr>
          <w:rFonts w:ascii="Times New Roman" w:hAnsi="Times New Roman" w:cs="Times New Roman"/>
          <w:sz w:val="24"/>
          <w:szCs w:val="24"/>
        </w:rPr>
        <w:t xml:space="preserve">de los países </w:t>
      </w:r>
      <w:r w:rsidR="0087525B" w:rsidRPr="00613588">
        <w:rPr>
          <w:rFonts w:ascii="Times New Roman" w:hAnsi="Times New Roman" w:cs="Times New Roman"/>
          <w:sz w:val="24"/>
          <w:szCs w:val="24"/>
        </w:rPr>
        <w:t>pensado desde el Mercado y puesto</w:t>
      </w:r>
      <w:r w:rsidR="0087525B">
        <w:rPr>
          <w:rFonts w:ascii="Times New Roman" w:hAnsi="Times New Roman" w:cs="Times New Roman"/>
          <w:sz w:val="24"/>
          <w:szCs w:val="24"/>
        </w:rPr>
        <w:t>s</w:t>
      </w:r>
      <w:r w:rsidR="0087525B" w:rsidRPr="00613588">
        <w:rPr>
          <w:rFonts w:ascii="Times New Roman" w:hAnsi="Times New Roman" w:cs="Times New Roman"/>
          <w:sz w:val="24"/>
          <w:szCs w:val="24"/>
        </w:rPr>
        <w:t xml:space="preserve"> al servicio de los intereses del Mercado</w:t>
      </w:r>
      <w:r w:rsidR="0087525B">
        <w:rPr>
          <w:rFonts w:ascii="Times New Roman" w:hAnsi="Times New Roman" w:cs="Times New Roman"/>
          <w:sz w:val="24"/>
          <w:szCs w:val="24"/>
        </w:rPr>
        <w:t xml:space="preserve">, parece que algunos “iluminados” (Davos - 2021) ofrecen </w:t>
      </w:r>
      <w:r w:rsidRPr="00613588">
        <w:rPr>
          <w:rFonts w:ascii="Times New Roman" w:hAnsi="Times New Roman" w:cs="Times New Roman"/>
          <w:sz w:val="24"/>
          <w:szCs w:val="24"/>
        </w:rPr>
        <w:t xml:space="preserve"> un</w:t>
      </w:r>
      <w:r w:rsidR="0087525B">
        <w:rPr>
          <w:rFonts w:ascii="Times New Roman" w:hAnsi="Times New Roman" w:cs="Times New Roman"/>
          <w:sz w:val="24"/>
          <w:szCs w:val="24"/>
        </w:rPr>
        <w:t xml:space="preserve"> modelo de</w:t>
      </w:r>
      <w:r w:rsidRPr="00613588">
        <w:rPr>
          <w:rFonts w:ascii="Times New Roman" w:hAnsi="Times New Roman" w:cs="Times New Roman"/>
          <w:sz w:val="24"/>
          <w:szCs w:val="24"/>
        </w:rPr>
        <w:t xml:space="preserve"> país pensado y dominado desde el Estado</w:t>
      </w:r>
      <w:r w:rsidR="0087525B">
        <w:rPr>
          <w:rFonts w:ascii="Times New Roman" w:hAnsi="Times New Roman" w:cs="Times New Roman"/>
          <w:sz w:val="24"/>
          <w:szCs w:val="24"/>
        </w:rPr>
        <w:t xml:space="preserve"> (al servicio del Mercado)</w:t>
      </w:r>
      <w:r w:rsidRPr="00613588">
        <w:rPr>
          <w:rFonts w:ascii="Times New Roman" w:hAnsi="Times New Roman" w:cs="Times New Roman"/>
          <w:sz w:val="24"/>
          <w:szCs w:val="24"/>
        </w:rPr>
        <w:t>.</w:t>
      </w:r>
      <w:r w:rsidR="0087525B">
        <w:rPr>
          <w:rFonts w:ascii="Times New Roman" w:hAnsi="Times New Roman" w:cs="Times New Roman"/>
          <w:sz w:val="24"/>
          <w:szCs w:val="24"/>
        </w:rPr>
        <w:t xml:space="preserve"> </w:t>
      </w:r>
      <w:r w:rsidRPr="00613588">
        <w:rPr>
          <w:rFonts w:ascii="Times New Roman" w:hAnsi="Times New Roman" w:cs="Times New Roman"/>
          <w:sz w:val="24"/>
          <w:szCs w:val="24"/>
        </w:rPr>
        <w:t>No hay ningún pensamiento que se instale en la sociedad, en lo público,</w:t>
      </w:r>
      <w:r w:rsidR="0087525B">
        <w:rPr>
          <w:rFonts w:ascii="Times New Roman" w:hAnsi="Times New Roman" w:cs="Times New Roman"/>
          <w:sz w:val="24"/>
          <w:szCs w:val="24"/>
        </w:rPr>
        <w:t xml:space="preserve"> en lo común: en un caso</w:t>
      </w:r>
      <w:r w:rsidR="00FF4B3A">
        <w:rPr>
          <w:rFonts w:ascii="Times New Roman" w:hAnsi="Times New Roman" w:cs="Times New Roman"/>
          <w:sz w:val="24"/>
          <w:szCs w:val="24"/>
        </w:rPr>
        <w:t>,</w:t>
      </w:r>
      <w:r w:rsidR="0087525B">
        <w:rPr>
          <w:rFonts w:ascii="Times New Roman" w:hAnsi="Times New Roman" w:cs="Times New Roman"/>
          <w:sz w:val="24"/>
          <w:szCs w:val="24"/>
        </w:rPr>
        <w:t xml:space="preserve"> es destructivo</w:t>
      </w:r>
      <w:r w:rsidRPr="00613588">
        <w:rPr>
          <w:rFonts w:ascii="Times New Roman" w:hAnsi="Times New Roman" w:cs="Times New Roman"/>
          <w:sz w:val="24"/>
          <w:szCs w:val="24"/>
        </w:rPr>
        <w:t xml:space="preserve"> de las libert</w:t>
      </w:r>
      <w:r w:rsidR="0087525B">
        <w:rPr>
          <w:rFonts w:ascii="Times New Roman" w:hAnsi="Times New Roman" w:cs="Times New Roman"/>
          <w:sz w:val="24"/>
          <w:szCs w:val="24"/>
        </w:rPr>
        <w:t>ades; en el otro, es destructivo</w:t>
      </w:r>
      <w:r w:rsidRPr="00613588">
        <w:rPr>
          <w:rFonts w:ascii="Times New Roman" w:hAnsi="Times New Roman" w:cs="Times New Roman"/>
          <w:sz w:val="24"/>
          <w:szCs w:val="24"/>
        </w:rPr>
        <w:t xml:space="preserve"> de los derechos. </w:t>
      </w:r>
    </w:p>
    <w:p w:rsidR="002571D6" w:rsidRDefault="0087525B" w:rsidP="009A3EC0">
      <w:pPr>
        <w:spacing w:line="240" w:lineRule="auto"/>
        <w:jc w:val="both"/>
        <w:rPr>
          <w:rFonts w:ascii="Times New Roman" w:hAnsi="Times New Roman" w:cs="Times New Roman"/>
          <w:sz w:val="24"/>
          <w:szCs w:val="24"/>
        </w:rPr>
      </w:pPr>
      <w:r>
        <w:rPr>
          <w:rFonts w:ascii="Times New Roman" w:hAnsi="Times New Roman" w:cs="Times New Roman"/>
          <w:sz w:val="24"/>
          <w:szCs w:val="24"/>
        </w:rPr>
        <w:t>¿Salvarán</w:t>
      </w:r>
      <w:r w:rsidR="00065931">
        <w:rPr>
          <w:rFonts w:ascii="Times New Roman" w:hAnsi="Times New Roman" w:cs="Times New Roman"/>
          <w:sz w:val="24"/>
          <w:szCs w:val="24"/>
        </w:rPr>
        <w:t xml:space="preserve"> a</w:t>
      </w:r>
      <w:r>
        <w:rPr>
          <w:rFonts w:ascii="Times New Roman" w:hAnsi="Times New Roman" w:cs="Times New Roman"/>
          <w:sz w:val="24"/>
          <w:szCs w:val="24"/>
        </w:rPr>
        <w:t xml:space="preserve"> las “e</w:t>
      </w:r>
      <w:r w:rsidR="00A960F1">
        <w:rPr>
          <w:rFonts w:ascii="Times New Roman" w:hAnsi="Times New Roman" w:cs="Times New Roman"/>
          <w:sz w:val="24"/>
          <w:szCs w:val="24"/>
        </w:rPr>
        <w:t>conomías ficticias</w:t>
      </w:r>
      <w:r w:rsidR="002571D6">
        <w:rPr>
          <w:rFonts w:ascii="Times New Roman" w:hAnsi="Times New Roman" w:cs="Times New Roman"/>
          <w:sz w:val="24"/>
          <w:szCs w:val="24"/>
        </w:rPr>
        <w:t>”, creando “protectorados</w:t>
      </w:r>
      <w:r>
        <w:rPr>
          <w:rFonts w:ascii="Times New Roman" w:hAnsi="Times New Roman" w:cs="Times New Roman"/>
          <w:sz w:val="24"/>
          <w:szCs w:val="24"/>
        </w:rPr>
        <w:t xml:space="preserve"> dictatoriales”?...</w:t>
      </w:r>
      <w:r w:rsidR="003A6CD0">
        <w:rPr>
          <w:rFonts w:ascii="Times New Roman" w:hAnsi="Times New Roman" w:cs="Times New Roman"/>
          <w:sz w:val="24"/>
          <w:szCs w:val="24"/>
        </w:rPr>
        <w:t xml:space="preserve"> ¿Nos “obligaran”</w:t>
      </w:r>
      <w:r w:rsidR="00065931">
        <w:rPr>
          <w:rFonts w:ascii="Times New Roman" w:hAnsi="Times New Roman" w:cs="Times New Roman"/>
          <w:sz w:val="24"/>
          <w:szCs w:val="24"/>
        </w:rPr>
        <w:t xml:space="preserve"> a </w:t>
      </w:r>
      <w:r w:rsidR="00A960F1">
        <w:rPr>
          <w:rFonts w:ascii="Times New Roman" w:hAnsi="Times New Roman" w:cs="Times New Roman"/>
          <w:sz w:val="24"/>
          <w:szCs w:val="24"/>
        </w:rPr>
        <w:t>“no tener nada</w:t>
      </w:r>
      <w:r w:rsidR="00065931">
        <w:rPr>
          <w:rFonts w:ascii="Times New Roman" w:hAnsi="Times New Roman" w:cs="Times New Roman"/>
          <w:sz w:val="24"/>
          <w:szCs w:val="24"/>
        </w:rPr>
        <w:t>, pero ser felices”</w:t>
      </w:r>
      <w:r w:rsidR="00E60211">
        <w:rPr>
          <w:rFonts w:ascii="Times New Roman" w:hAnsi="Times New Roman" w:cs="Times New Roman"/>
          <w:sz w:val="24"/>
          <w:szCs w:val="24"/>
        </w:rPr>
        <w:t>?...</w:t>
      </w:r>
      <w:r>
        <w:rPr>
          <w:rFonts w:ascii="Times New Roman" w:hAnsi="Times New Roman" w:cs="Times New Roman"/>
          <w:sz w:val="24"/>
          <w:szCs w:val="24"/>
        </w:rPr>
        <w:t xml:space="preserve"> </w:t>
      </w:r>
      <w:r w:rsidR="002571D6">
        <w:rPr>
          <w:rFonts w:ascii="Times New Roman" w:hAnsi="Times New Roman" w:cs="Times New Roman"/>
          <w:sz w:val="24"/>
          <w:szCs w:val="24"/>
        </w:rPr>
        <w:t>¿</w:t>
      </w:r>
      <w:r w:rsidR="002C77F5">
        <w:rPr>
          <w:rFonts w:ascii="Times New Roman" w:hAnsi="Times New Roman" w:cs="Times New Roman"/>
          <w:sz w:val="24"/>
          <w:szCs w:val="24"/>
        </w:rPr>
        <w:t>“</w:t>
      </w:r>
      <w:r w:rsidR="002571D6">
        <w:rPr>
          <w:rFonts w:ascii="Times New Roman" w:hAnsi="Times New Roman" w:cs="Times New Roman"/>
          <w:sz w:val="24"/>
          <w:szCs w:val="24"/>
        </w:rPr>
        <w:t>Deslocalizarán</w:t>
      </w:r>
      <w:r w:rsidR="002C77F5">
        <w:rPr>
          <w:rFonts w:ascii="Times New Roman" w:hAnsi="Times New Roman" w:cs="Times New Roman"/>
          <w:sz w:val="24"/>
          <w:szCs w:val="24"/>
        </w:rPr>
        <w:t>”</w:t>
      </w:r>
      <w:r w:rsidR="00A960F1">
        <w:rPr>
          <w:rFonts w:ascii="Times New Roman" w:hAnsi="Times New Roman" w:cs="Times New Roman"/>
          <w:sz w:val="24"/>
          <w:szCs w:val="24"/>
        </w:rPr>
        <w:t xml:space="preserve"> a los pobres del primer mundo, </w:t>
      </w:r>
      <w:r w:rsidR="002571D6">
        <w:rPr>
          <w:rFonts w:ascii="Times New Roman" w:hAnsi="Times New Roman" w:cs="Times New Roman"/>
          <w:sz w:val="24"/>
          <w:szCs w:val="24"/>
        </w:rPr>
        <w:t xml:space="preserve">mandándolos </w:t>
      </w:r>
      <w:r w:rsidR="00A960F1">
        <w:rPr>
          <w:rFonts w:ascii="Times New Roman" w:hAnsi="Times New Roman" w:cs="Times New Roman"/>
          <w:sz w:val="24"/>
          <w:szCs w:val="24"/>
        </w:rPr>
        <w:t xml:space="preserve">a vivir junto a los pobres del tercer mundo?... </w:t>
      </w:r>
      <w:r w:rsidR="00CE300A">
        <w:rPr>
          <w:rFonts w:ascii="Times New Roman" w:hAnsi="Times New Roman" w:cs="Times New Roman"/>
          <w:sz w:val="24"/>
          <w:szCs w:val="24"/>
        </w:rPr>
        <w:t xml:space="preserve">¿Entregarán “soma” en las </w:t>
      </w:r>
      <w:r w:rsidR="008F08A8">
        <w:rPr>
          <w:rFonts w:ascii="Times New Roman" w:hAnsi="Times New Roman" w:cs="Times New Roman"/>
          <w:sz w:val="24"/>
          <w:szCs w:val="24"/>
        </w:rPr>
        <w:t>“</w:t>
      </w:r>
      <w:r w:rsidR="00CE300A">
        <w:rPr>
          <w:rFonts w:ascii="Times New Roman" w:hAnsi="Times New Roman" w:cs="Times New Roman"/>
          <w:sz w:val="24"/>
          <w:szCs w:val="24"/>
        </w:rPr>
        <w:t>colas del hambre</w:t>
      </w:r>
      <w:r w:rsidR="008F08A8">
        <w:rPr>
          <w:rFonts w:ascii="Times New Roman" w:hAnsi="Times New Roman" w:cs="Times New Roman"/>
          <w:sz w:val="24"/>
          <w:szCs w:val="24"/>
        </w:rPr>
        <w:t>”</w:t>
      </w:r>
      <w:r w:rsidR="00CE300A">
        <w:rPr>
          <w:rFonts w:ascii="Times New Roman" w:hAnsi="Times New Roman" w:cs="Times New Roman"/>
          <w:sz w:val="24"/>
          <w:szCs w:val="24"/>
        </w:rPr>
        <w:t xml:space="preserve">?... ¿Podrán </w:t>
      </w:r>
      <w:r w:rsidR="008F08A8">
        <w:rPr>
          <w:rFonts w:ascii="Times New Roman" w:hAnsi="Times New Roman" w:cs="Times New Roman"/>
          <w:sz w:val="24"/>
          <w:szCs w:val="24"/>
        </w:rPr>
        <w:t>“</w:t>
      </w:r>
      <w:r w:rsidR="00CE300A">
        <w:rPr>
          <w:rFonts w:ascii="Times New Roman" w:hAnsi="Times New Roman" w:cs="Times New Roman"/>
          <w:sz w:val="24"/>
          <w:szCs w:val="24"/>
        </w:rPr>
        <w:t>engañar a todo el mundo</w:t>
      </w:r>
      <w:r w:rsidR="002571D6">
        <w:rPr>
          <w:rFonts w:ascii="Times New Roman" w:hAnsi="Times New Roman" w:cs="Times New Roman"/>
          <w:sz w:val="24"/>
          <w:szCs w:val="24"/>
        </w:rPr>
        <w:t>, todo el tiempo”?...</w:t>
      </w:r>
    </w:p>
    <w:p w:rsidR="008F1A34" w:rsidRDefault="00F60556" w:rsidP="00BB7B99">
      <w:pPr>
        <w:spacing w:line="240" w:lineRule="auto"/>
        <w:jc w:val="both"/>
        <w:rPr>
          <w:rFonts w:ascii="Times New Roman" w:hAnsi="Times New Roman" w:cs="Times New Roman"/>
          <w:sz w:val="24"/>
          <w:szCs w:val="24"/>
        </w:rPr>
      </w:pPr>
      <w:r>
        <w:rPr>
          <w:rFonts w:ascii="Times New Roman" w:hAnsi="Times New Roman" w:cs="Times New Roman"/>
          <w:sz w:val="24"/>
          <w:szCs w:val="24"/>
        </w:rPr>
        <w:t>Primero la información</w:t>
      </w:r>
      <w:r w:rsidR="00CE300A">
        <w:rPr>
          <w:rFonts w:ascii="Times New Roman" w:hAnsi="Times New Roman" w:cs="Times New Roman"/>
          <w:sz w:val="24"/>
          <w:szCs w:val="24"/>
        </w:rPr>
        <w:t xml:space="preserve"> (evidencia empírica)</w:t>
      </w:r>
      <w:r w:rsidR="0087066F">
        <w:rPr>
          <w:rFonts w:ascii="Times New Roman" w:hAnsi="Times New Roman" w:cs="Times New Roman"/>
          <w:sz w:val="24"/>
          <w:szCs w:val="24"/>
        </w:rPr>
        <w:t>,</w:t>
      </w:r>
      <w:r>
        <w:rPr>
          <w:rFonts w:ascii="Times New Roman" w:hAnsi="Times New Roman" w:cs="Times New Roman"/>
          <w:sz w:val="24"/>
          <w:szCs w:val="24"/>
        </w:rPr>
        <w:t xml:space="preserve"> y luego</w:t>
      </w:r>
      <w:r w:rsidR="002571D6">
        <w:rPr>
          <w:rFonts w:ascii="Times New Roman" w:hAnsi="Times New Roman" w:cs="Times New Roman"/>
          <w:sz w:val="24"/>
          <w:szCs w:val="24"/>
        </w:rPr>
        <w:t>,</w:t>
      </w:r>
      <w:r>
        <w:rPr>
          <w:rFonts w:ascii="Times New Roman" w:hAnsi="Times New Roman" w:cs="Times New Roman"/>
          <w:sz w:val="24"/>
          <w:szCs w:val="24"/>
        </w:rPr>
        <w:t xml:space="preserve"> </w:t>
      </w:r>
      <w:r w:rsidR="002571D6">
        <w:rPr>
          <w:rFonts w:ascii="Times New Roman" w:hAnsi="Times New Roman" w:cs="Times New Roman"/>
          <w:sz w:val="24"/>
          <w:szCs w:val="24"/>
        </w:rPr>
        <w:t>la polémica</w:t>
      </w:r>
      <w:r w:rsidR="00CE300A">
        <w:rPr>
          <w:rFonts w:ascii="Times New Roman" w:hAnsi="Times New Roman" w:cs="Times New Roman"/>
          <w:sz w:val="24"/>
          <w:szCs w:val="24"/>
        </w:rPr>
        <w:t xml:space="preserve"> (debate)</w:t>
      </w:r>
      <w:r w:rsidR="0087066F">
        <w:rPr>
          <w:rFonts w:ascii="Times New Roman" w:hAnsi="Times New Roman" w:cs="Times New Roman"/>
          <w:sz w:val="24"/>
          <w:szCs w:val="24"/>
        </w:rPr>
        <w:t xml:space="preserve">. </w:t>
      </w:r>
      <w:r>
        <w:rPr>
          <w:rFonts w:ascii="Times New Roman" w:hAnsi="Times New Roman" w:cs="Times New Roman"/>
          <w:sz w:val="24"/>
          <w:szCs w:val="24"/>
        </w:rPr>
        <w:t>Pasen… y lean.</w:t>
      </w:r>
    </w:p>
    <w:p w:rsidR="00C532E3" w:rsidRPr="00F60556" w:rsidRDefault="00C532E3" w:rsidP="00BB7B99">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A960F1">
        <w:rPr>
          <w:rFonts w:ascii="Times New Roman" w:hAnsi="Times New Roman" w:cs="Times New Roman"/>
          <w:b/>
          <w:sz w:val="24"/>
          <w:szCs w:val="24"/>
        </w:rPr>
        <w:t xml:space="preserve">“Maldita” hemeroteca: </w:t>
      </w:r>
      <w:r>
        <w:rPr>
          <w:rFonts w:ascii="Times New Roman" w:hAnsi="Times New Roman" w:cs="Times New Roman"/>
          <w:b/>
          <w:sz w:val="24"/>
          <w:szCs w:val="24"/>
        </w:rPr>
        <w:t>Del “sueño americano”</w:t>
      </w:r>
      <w:r w:rsidR="004E64C7">
        <w:rPr>
          <w:rFonts w:ascii="Times New Roman" w:hAnsi="Times New Roman" w:cs="Times New Roman"/>
          <w:b/>
          <w:sz w:val="24"/>
          <w:szCs w:val="24"/>
        </w:rPr>
        <w:t>,</w:t>
      </w:r>
      <w:r>
        <w:rPr>
          <w:rFonts w:ascii="Times New Roman" w:hAnsi="Times New Roman" w:cs="Times New Roman"/>
          <w:b/>
          <w:sz w:val="24"/>
          <w:szCs w:val="24"/>
        </w:rPr>
        <w:t xml:space="preserve"> a la “pesadilla americana”</w:t>
      </w:r>
    </w:p>
    <w:p w:rsidR="00964D19" w:rsidRDefault="00964D19" w:rsidP="00BB7B99">
      <w:pPr>
        <w:spacing w:line="240" w:lineRule="auto"/>
        <w:jc w:val="both"/>
        <w:rPr>
          <w:rFonts w:ascii="Times New Roman" w:hAnsi="Times New Roman" w:cs="Times New Roman"/>
          <w:b/>
          <w:sz w:val="24"/>
          <w:szCs w:val="24"/>
        </w:rPr>
      </w:pPr>
      <w:r>
        <w:rPr>
          <w:noProof/>
          <w:lang w:eastAsia="es-ES"/>
        </w:rPr>
        <w:drawing>
          <wp:inline distT="0" distB="0" distL="0" distR="0">
            <wp:extent cx="5731510" cy="2886904"/>
            <wp:effectExtent l="0" t="0" r="2540" b="8890"/>
            <wp:docPr id="44" name="Imagen 44" descr="pobreza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breza EEUU"/>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886904"/>
                    </a:xfrm>
                    <a:prstGeom prst="rect">
                      <a:avLst/>
                    </a:prstGeom>
                    <a:noFill/>
                    <a:ln>
                      <a:noFill/>
                    </a:ln>
                  </pic:spPr>
                </pic:pic>
              </a:graphicData>
            </a:graphic>
          </wp:inline>
        </w:drawing>
      </w:r>
    </w:p>
    <w:p w:rsidR="00C532E3" w:rsidRPr="00964D19" w:rsidRDefault="00964D19" w:rsidP="00964D1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C532E3" w:rsidRPr="00745D61">
        <w:rPr>
          <w:rFonts w:ascii="Times New Roman" w:eastAsia="Times New Roman" w:hAnsi="Times New Roman" w:cs="Times New Roman"/>
          <w:kern w:val="36"/>
          <w:sz w:val="24"/>
          <w:szCs w:val="24"/>
          <w:lang w:eastAsia="es-ES"/>
        </w:rPr>
        <w:t xml:space="preserve">- </w:t>
      </w:r>
      <w:r w:rsidR="00C532E3" w:rsidRPr="00745D61">
        <w:rPr>
          <w:rFonts w:ascii="Times New Roman" w:eastAsia="Times New Roman" w:hAnsi="Times New Roman" w:cs="Times New Roman"/>
          <w:kern w:val="36"/>
          <w:sz w:val="24"/>
          <w:szCs w:val="24"/>
          <w:u w:val="single"/>
          <w:lang w:eastAsia="es-ES"/>
        </w:rPr>
        <w:t>Estados Unidos: ¿quiénes son los 40 millones de pobres que viven en el país más rico del mundo</w:t>
      </w:r>
      <w:r w:rsidR="00C532E3" w:rsidRPr="00745D61">
        <w:rPr>
          <w:rFonts w:ascii="Times New Roman" w:eastAsia="Times New Roman" w:hAnsi="Times New Roman" w:cs="Times New Roman"/>
          <w:kern w:val="36"/>
          <w:sz w:val="24"/>
          <w:szCs w:val="24"/>
          <w:lang w:eastAsia="es-ES"/>
        </w:rPr>
        <w:t xml:space="preserve">? (BBCMundo - </w:t>
      </w:r>
      <w:r w:rsidR="00C532E3" w:rsidRPr="00745D61">
        <w:rPr>
          <w:rFonts w:ascii="Times New Roman" w:eastAsia="Times New Roman" w:hAnsi="Times New Roman" w:cs="Times New Roman"/>
          <w:b/>
          <w:kern w:val="36"/>
          <w:sz w:val="24"/>
          <w:szCs w:val="24"/>
          <w:lang w:eastAsia="es-ES"/>
        </w:rPr>
        <w:t>11/12/17</w:t>
      </w:r>
      <w:r w:rsidR="00C532E3" w:rsidRPr="00745D61">
        <w:rPr>
          <w:rFonts w:ascii="Times New Roman" w:eastAsia="Times New Roman" w:hAnsi="Times New Roman" w:cs="Times New Roman"/>
          <w:kern w:val="36"/>
          <w:sz w:val="24"/>
          <w:szCs w:val="24"/>
          <w:lang w:eastAsia="es-ES"/>
        </w:rPr>
        <w:t>)</w:t>
      </w:r>
    </w:p>
    <w:p w:rsidR="00C532E3" w:rsidRPr="00745D61" w:rsidRDefault="00C532E3" w:rsidP="00C532E3">
      <w:p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(Por Jay Shambaugh - Institución Brookings)</w:t>
      </w:r>
    </w:p>
    <w:p w:rsidR="00C532E3" w:rsidRPr="00745D61" w:rsidRDefault="00C532E3" w:rsidP="00C532E3">
      <w:pPr>
        <w:shd w:val="clear" w:color="auto" w:fill="F2F2F2"/>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77F2C6B0" wp14:editId="37BD4599">
            <wp:extent cx="5734050" cy="3086100"/>
            <wp:effectExtent l="0" t="0" r="0" b="0"/>
            <wp:docPr id="2" name="Imagen 2" descr="Un hombre empuja un carrito de la comp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hombre empuja un carrito de la compr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30861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2016, c</w:t>
      </w:r>
      <w:r w:rsidR="00581A05">
        <w:rPr>
          <w:rFonts w:ascii="Times New Roman" w:eastAsia="Times New Roman" w:hAnsi="Times New Roman" w:cs="Times New Roman"/>
          <w:sz w:val="24"/>
          <w:szCs w:val="24"/>
          <w:lang w:eastAsia="es-ES"/>
        </w:rPr>
        <w:t xml:space="preserve">asi 41 millones de personas (el </w:t>
      </w:r>
      <w:r w:rsidRPr="00745D61">
        <w:rPr>
          <w:rFonts w:ascii="Times New Roman" w:eastAsia="Times New Roman" w:hAnsi="Times New Roman" w:cs="Times New Roman"/>
          <w:sz w:val="24"/>
          <w:szCs w:val="24"/>
          <w:lang w:eastAsia="es-ES"/>
        </w:rPr>
        <w:t>13% de la población) vivían en la pobreza en Estados Unidos.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bCs/>
          <w:sz w:val="24"/>
          <w:szCs w:val="24"/>
          <w:lang w:eastAsia="es-ES"/>
        </w:rPr>
        <w:t>Durante ca</w:t>
      </w:r>
      <w:r w:rsidR="00065931">
        <w:rPr>
          <w:rFonts w:ascii="Times New Roman" w:eastAsia="Times New Roman" w:hAnsi="Times New Roman" w:cs="Times New Roman"/>
          <w:bCs/>
          <w:sz w:val="24"/>
          <w:szCs w:val="24"/>
          <w:lang w:eastAsia="es-ES"/>
        </w:rPr>
        <w:t>si seis años, la economía de EEUU</w:t>
      </w:r>
      <w:r w:rsidRPr="00065931">
        <w:rPr>
          <w:rFonts w:ascii="Times New Roman" w:eastAsia="Times New Roman" w:hAnsi="Times New Roman" w:cs="Times New Roman"/>
          <w:bCs/>
          <w:sz w:val="24"/>
          <w:szCs w:val="24"/>
          <w:lang w:eastAsia="es-ES"/>
        </w:rPr>
        <w:t xml:space="preserve"> ha creado un gran número de empleos: casi dos millones anuales.</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La recuperación económica no solo hizo regresar todos empleos perdidos durante la Gran Recesión que siguió al estallido de la burbuja inmobiliaria en 2007, sino que también añadió los suficientes como para dar respuesta a una población en crecimiento.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desempleo en el país es ahora de solo el 4,1% </w:t>
      </w:r>
      <w:r w:rsidRPr="00065931">
        <w:rPr>
          <w:rFonts w:ascii="Times New Roman" w:eastAsia="Times New Roman" w:hAnsi="Times New Roman" w:cs="Times New Roman"/>
          <w:bCs/>
          <w:sz w:val="24"/>
          <w:szCs w:val="24"/>
          <w:lang w:eastAsia="es-ES"/>
        </w:rPr>
        <w:t>-el más bajo desde 2000-</w:t>
      </w:r>
      <w:r w:rsidRPr="00065931">
        <w:rPr>
          <w:rFonts w:ascii="Times New Roman" w:eastAsia="Times New Roman" w:hAnsi="Times New Roman" w:cs="Times New Roman"/>
          <w:sz w:val="24"/>
          <w:szCs w:val="24"/>
          <w:lang w:eastAsia="es-ES"/>
        </w:rPr>
        <w:t>, pero hay muchos hogares que siguen sin ver mejoras en su economía.</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En 2016, casi </w:t>
      </w:r>
      <w:r w:rsidRPr="00065931">
        <w:rPr>
          <w:rFonts w:ascii="Times New Roman" w:eastAsia="Times New Roman" w:hAnsi="Times New Roman" w:cs="Times New Roman"/>
          <w:bCs/>
          <w:sz w:val="24"/>
          <w:szCs w:val="24"/>
          <w:lang w:eastAsia="es-ES"/>
        </w:rPr>
        <w:t>41 millones de personas</w:t>
      </w:r>
      <w:r w:rsidRPr="00065931">
        <w:rPr>
          <w:rFonts w:ascii="Times New Roman" w:eastAsia="Times New Roman" w:hAnsi="Times New Roman" w:cs="Times New Roman"/>
          <w:sz w:val="24"/>
          <w:szCs w:val="24"/>
          <w:lang w:eastAsia="es-ES"/>
        </w:rPr>
        <w:t> (el 13% de la población) vivían en la pobreza frente al 15% registrado durante el punto álgido de la recesión en 2010.</w:t>
      </w:r>
    </w:p>
    <w:p w:rsidR="00964D19" w:rsidRPr="0006593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Entonces, ¿quiénes son aquellos clasificados como pobres?</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065931"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EEUU</w:t>
      </w:r>
      <w:r w:rsidR="00C532E3" w:rsidRPr="00065931">
        <w:rPr>
          <w:rFonts w:ascii="Times New Roman" w:eastAsia="Times New Roman" w:hAnsi="Times New Roman" w:cs="Times New Roman"/>
          <w:sz w:val="24"/>
          <w:szCs w:val="24"/>
          <w:lang w:eastAsia="es-ES"/>
        </w:rPr>
        <w:t>, el ingreso medio en un hogar de cuatro personas es de US$</w:t>
      </w:r>
      <w:r w:rsidR="004E64C7">
        <w:rPr>
          <w:rFonts w:ascii="Times New Roman" w:eastAsia="Times New Roman" w:hAnsi="Times New Roman" w:cs="Times New Roman"/>
          <w:sz w:val="24"/>
          <w:szCs w:val="24"/>
          <w:lang w:eastAsia="es-ES"/>
        </w:rPr>
        <w:t xml:space="preserve"> </w:t>
      </w:r>
      <w:r w:rsidR="00C532E3" w:rsidRPr="00065931">
        <w:rPr>
          <w:rFonts w:ascii="Times New Roman" w:eastAsia="Times New Roman" w:hAnsi="Times New Roman" w:cs="Times New Roman"/>
          <w:sz w:val="24"/>
          <w:szCs w:val="24"/>
          <w:lang w:eastAsia="es-ES"/>
        </w:rPr>
        <w:t>91.000.</w:t>
      </w:r>
    </w:p>
    <w:p w:rsidR="00964D19" w:rsidRPr="0006593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sz w:val="24"/>
          <w:szCs w:val="24"/>
          <w:lang w:eastAsia="es-ES"/>
        </w:rPr>
        <w:t>Sin embargo, utilizando la medida oficial de pobreza basada en los ingresos antes de pagar impuestos y las necesidades nutricionales, las familias de cuatro miembros en situación de pobreza tienen un ingreso familiar de </w:t>
      </w:r>
      <w:r w:rsidRPr="00065931">
        <w:rPr>
          <w:rFonts w:ascii="Times New Roman" w:eastAsia="Times New Roman" w:hAnsi="Times New Roman" w:cs="Times New Roman"/>
          <w:bCs/>
          <w:sz w:val="24"/>
          <w:szCs w:val="24"/>
          <w:lang w:eastAsia="es-ES"/>
        </w:rPr>
        <w:t>menos de US$</w:t>
      </w:r>
      <w:r w:rsidR="00065931">
        <w:rPr>
          <w:rFonts w:ascii="Times New Roman" w:eastAsia="Times New Roman" w:hAnsi="Times New Roman" w:cs="Times New Roman"/>
          <w:bCs/>
          <w:sz w:val="24"/>
          <w:szCs w:val="24"/>
          <w:lang w:eastAsia="es-ES"/>
        </w:rPr>
        <w:t xml:space="preserve"> </w:t>
      </w:r>
      <w:r w:rsidRPr="00065931">
        <w:rPr>
          <w:rFonts w:ascii="Times New Roman" w:eastAsia="Times New Roman" w:hAnsi="Times New Roman" w:cs="Times New Roman"/>
          <w:bCs/>
          <w:sz w:val="24"/>
          <w:szCs w:val="24"/>
          <w:lang w:eastAsia="es-ES"/>
        </w:rPr>
        <w:t>24.300 al año.</w:t>
      </w:r>
    </w:p>
    <w:p w:rsidR="00964D19" w:rsidRPr="0006593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Esto puede parecer alto en comparación con los países que el Banco Mundial clasifica como de ingreso medio-bajo, que son aquellos con un Producto Nacional Bruto per cápita de entre US$</w:t>
      </w:r>
      <w:r w:rsidR="00065931">
        <w:rPr>
          <w:rFonts w:ascii="Times New Roman" w:eastAsia="Times New Roman" w:hAnsi="Times New Roman" w:cs="Times New Roman"/>
          <w:sz w:val="24"/>
          <w:szCs w:val="24"/>
          <w:lang w:eastAsia="es-ES"/>
        </w:rPr>
        <w:t xml:space="preserve"> </w:t>
      </w:r>
      <w:r w:rsidRPr="00065931">
        <w:rPr>
          <w:rFonts w:ascii="Times New Roman" w:eastAsia="Times New Roman" w:hAnsi="Times New Roman" w:cs="Times New Roman"/>
          <w:sz w:val="24"/>
          <w:szCs w:val="24"/>
          <w:lang w:eastAsia="es-ES"/>
        </w:rPr>
        <w:t>1.000 y US$</w:t>
      </w:r>
      <w:r w:rsidR="00065931">
        <w:rPr>
          <w:rFonts w:ascii="Times New Roman" w:eastAsia="Times New Roman" w:hAnsi="Times New Roman" w:cs="Times New Roman"/>
          <w:sz w:val="24"/>
          <w:szCs w:val="24"/>
          <w:lang w:eastAsia="es-ES"/>
        </w:rPr>
        <w:t xml:space="preserve"> </w:t>
      </w:r>
      <w:r w:rsidRPr="00065931">
        <w:rPr>
          <w:rFonts w:ascii="Times New Roman" w:eastAsia="Times New Roman" w:hAnsi="Times New Roman" w:cs="Times New Roman"/>
          <w:sz w:val="24"/>
          <w:szCs w:val="24"/>
          <w:lang w:eastAsia="es-ES"/>
        </w:rPr>
        <w:t>4.000.</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Pero tanto </w:t>
      </w:r>
      <w:r w:rsidR="00065931">
        <w:rPr>
          <w:rFonts w:ascii="Times New Roman" w:eastAsia="Times New Roman" w:hAnsi="Times New Roman" w:cs="Times New Roman"/>
          <w:bCs/>
          <w:sz w:val="24"/>
          <w:szCs w:val="24"/>
          <w:lang w:eastAsia="es-ES"/>
        </w:rPr>
        <w:t>el alto costo de la vida en EEUU</w:t>
      </w:r>
      <w:r w:rsidRPr="00065931">
        <w:rPr>
          <w:rFonts w:ascii="Times New Roman" w:eastAsia="Times New Roman" w:hAnsi="Times New Roman" w:cs="Times New Roman"/>
          <w:sz w:val="24"/>
          <w:szCs w:val="24"/>
          <w:lang w:eastAsia="es-ES"/>
        </w:rPr>
        <w:t> como la creciente brecha con las clases medias pueden resultar en una vida difícil para los pobres de este país.</w:t>
      </w:r>
    </w:p>
    <w:p w:rsidR="00964D19" w:rsidRPr="0006593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Además, el ingreso medio de las familias que viven en esta situación está muy por debajo del umbral de la pobreza (US$</w:t>
      </w:r>
      <w:r w:rsidR="00065931">
        <w:rPr>
          <w:rFonts w:ascii="Times New Roman" w:eastAsia="Times New Roman" w:hAnsi="Times New Roman" w:cs="Times New Roman"/>
          <w:sz w:val="24"/>
          <w:szCs w:val="24"/>
          <w:lang w:eastAsia="es-ES"/>
        </w:rPr>
        <w:t xml:space="preserve"> </w:t>
      </w:r>
      <w:r w:rsidRPr="00065931">
        <w:rPr>
          <w:rFonts w:ascii="Times New Roman" w:eastAsia="Times New Roman" w:hAnsi="Times New Roman" w:cs="Times New Roman"/>
          <w:sz w:val="24"/>
          <w:szCs w:val="24"/>
          <w:lang w:eastAsia="es-ES"/>
        </w:rPr>
        <w:t>9.600 por año).</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7323DB91" wp14:editId="41AB337A">
            <wp:extent cx="5740400" cy="2959100"/>
            <wp:effectExtent l="0" t="0" r="0" b="0"/>
            <wp:docPr id="3" name="Imagen 3" descr="Niños en banco de com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iños en banco de comid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0400" cy="2959100"/>
                    </a:xfrm>
                    <a:prstGeom prst="rect">
                      <a:avLst/>
                    </a:prstGeom>
                    <a:noFill/>
                    <a:ln>
                      <a:noFill/>
                    </a:ln>
                  </pic:spPr>
                </pic:pic>
              </a:graphicData>
            </a:graphic>
          </wp:inline>
        </w:drawing>
      </w: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Muchas familias con niños dependen de la ayuda de los bancos de comida.</w:t>
      </w:r>
    </w:p>
    <w:p w:rsidR="00964D19" w:rsidRPr="00745D6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964D19" w:rsidRDefault="00964D19"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964D19" w:rsidRDefault="00964D19"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065931"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bCs/>
          <w:sz w:val="24"/>
          <w:szCs w:val="24"/>
          <w:lang w:eastAsia="es-ES"/>
        </w:rPr>
        <w:lastRenderedPageBreak/>
        <w:t>Pobreza infantil</w:t>
      </w:r>
    </w:p>
    <w:p w:rsidR="00C532E3" w:rsidRPr="00065931"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sz w:val="24"/>
          <w:szCs w:val="24"/>
          <w:lang w:eastAsia="es-ES"/>
        </w:rPr>
        <w:t>De aquellos viviendo en situación de pobreza, las cifras de 2016 muestran que hay </w:t>
      </w:r>
      <w:r w:rsidRPr="00065931">
        <w:rPr>
          <w:rFonts w:ascii="Times New Roman" w:eastAsia="Times New Roman" w:hAnsi="Times New Roman" w:cs="Times New Roman"/>
          <w:bCs/>
          <w:sz w:val="24"/>
          <w:szCs w:val="24"/>
          <w:lang w:eastAsia="es-ES"/>
        </w:rPr>
        <w:t>unos 13,3 millones de niños.</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A medida que la población ha envejecido, el número de personas mayores de 65 años en la pobreza ha aumentado a 4,6 millones, si bien su tasa de pobreza -situada en el 9%- es menor que entre las personas en edad de trabajar (de 18 a 64 años).</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Es este grupo en edad de trabajar el que ofrece quizás la imagen más sorprendente: </w:t>
      </w:r>
      <w:r w:rsidRPr="00065931">
        <w:rPr>
          <w:rFonts w:ascii="Times New Roman" w:eastAsia="Times New Roman" w:hAnsi="Times New Roman" w:cs="Times New Roman"/>
          <w:bCs/>
          <w:sz w:val="24"/>
          <w:szCs w:val="24"/>
          <w:lang w:eastAsia="es-ES"/>
        </w:rPr>
        <w:t>casi 23 millones de personas</w:t>
      </w:r>
      <w:r w:rsidRPr="00065931">
        <w:rPr>
          <w:rFonts w:ascii="Times New Roman" w:eastAsia="Times New Roman" w:hAnsi="Times New Roman" w:cs="Times New Roman"/>
          <w:sz w:val="24"/>
          <w:szCs w:val="24"/>
          <w:lang w:eastAsia="es-ES"/>
        </w:rPr>
        <w:t> -casi el 12%- viven en la pobreza.</w:t>
      </w:r>
    </w:p>
    <w:p w:rsidR="00964D19" w:rsidRPr="0006593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noProof/>
          <w:sz w:val="24"/>
          <w:szCs w:val="24"/>
          <w:lang w:eastAsia="es-ES"/>
        </w:rPr>
        <w:drawing>
          <wp:inline distT="0" distB="0" distL="0" distR="0" wp14:anchorId="6DAA2113" wp14:editId="32C3C4B9">
            <wp:extent cx="5702300" cy="2686050"/>
            <wp:effectExtent l="0" t="0" r="0" b="0"/>
            <wp:docPr id="5" name="Imagen 5" descr="Un niño acaba una comida gratuita en un centro de Atlantic 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 niño acaba una comida gratuita en un centro de Atlantic City."/>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02300" cy="2686050"/>
                    </a:xfrm>
                    <a:prstGeom prst="rect">
                      <a:avLst/>
                    </a:prstGeom>
                    <a:noFill/>
                    <a:ln>
                      <a:noFill/>
                    </a:ln>
                  </pic:spPr>
                </pic:pic>
              </a:graphicData>
            </a:graphic>
          </wp:inline>
        </w:drawing>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Millones de niños viven por debajo del umbral de la pobreza en Estados Unidos y son apoyados por organizaciones benéficas.</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El Proyecto Hamilton de la Institución Brookings ha explorado este rompecabezas.</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Entre las personas en edad de trabajar en situación de pobreza encontramos que:</w:t>
      </w:r>
    </w:p>
    <w:p w:rsidR="00C532E3" w:rsidRPr="00065931" w:rsidRDefault="00C532E3" w:rsidP="00C532E3">
      <w:pPr>
        <w:numPr>
          <w:ilvl w:val="0"/>
          <w:numId w:val="5"/>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Cuatro de cada 10 estaban trabajando.</w:t>
      </w:r>
    </w:p>
    <w:p w:rsidR="00C532E3" w:rsidRPr="00065931" w:rsidRDefault="00C532E3" w:rsidP="00C532E3">
      <w:pPr>
        <w:numPr>
          <w:ilvl w:val="0"/>
          <w:numId w:val="5"/>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Una de cada 10 tenía un empleo a tiempo completo durante todo el año, pero no ganaba lo suficiente.</w:t>
      </w:r>
    </w:p>
    <w:p w:rsidR="00C532E3" w:rsidRPr="00065931" w:rsidRDefault="00C532E3" w:rsidP="00C532E3">
      <w:pPr>
        <w:numPr>
          <w:ilvl w:val="0"/>
          <w:numId w:val="5"/>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Una de cada cuatro estaba empleada, pero no durante todo el año.</w:t>
      </w:r>
    </w:p>
    <w:p w:rsidR="00C532E3" w:rsidRPr="00065931" w:rsidRDefault="00C532E3" w:rsidP="00C532E3">
      <w:pPr>
        <w:numPr>
          <w:ilvl w:val="0"/>
          <w:numId w:val="5"/>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Una de cada 25 buscaba trabajo.</w:t>
      </w:r>
    </w:p>
    <w:p w:rsidR="00C532E3" w:rsidRPr="00065931" w:rsidRDefault="00C532E3" w:rsidP="00C532E3">
      <w:pPr>
        <w:numPr>
          <w:ilvl w:val="0"/>
          <w:numId w:val="5"/>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De quienes trabajaban pero sin hacerlo a tiempo completo durante todo el año, una de cada tres trabaja a tiempo parcial de manera involuntaria.</w:t>
      </w:r>
    </w:p>
    <w:p w:rsidR="00C532E3" w:rsidRPr="00065931" w:rsidRDefault="00C532E3" w:rsidP="00C532E3">
      <w:pPr>
        <w:shd w:val="clear" w:color="auto" w:fill="FDFDFD"/>
        <w:spacing w:after="0" w:line="240" w:lineRule="auto"/>
        <w:jc w:val="both"/>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sz w:val="24"/>
          <w:szCs w:val="24"/>
          <w:lang w:eastAsia="es-ES"/>
        </w:rPr>
        <w:t xml:space="preserve">El hecho de que aproximadamente cuatro de cada diez adultos en edad de trabajar y en situación de pobreza estén empleados, destaca el hecho de que simplemente </w:t>
      </w:r>
      <w:r w:rsidR="00065931">
        <w:rPr>
          <w:rFonts w:ascii="Times New Roman" w:eastAsia="Times New Roman" w:hAnsi="Times New Roman" w:cs="Times New Roman"/>
          <w:sz w:val="24"/>
          <w:szCs w:val="24"/>
          <w:lang w:eastAsia="es-ES"/>
        </w:rPr>
        <w:t>cerrar lo que hemos denominado “</w:t>
      </w:r>
      <w:r w:rsidRPr="00065931">
        <w:rPr>
          <w:rFonts w:ascii="Times New Roman" w:eastAsia="Times New Roman" w:hAnsi="Times New Roman" w:cs="Times New Roman"/>
          <w:sz w:val="24"/>
          <w:szCs w:val="24"/>
          <w:lang w:eastAsia="es-ES"/>
        </w:rPr>
        <w:t>la bre</w:t>
      </w:r>
      <w:r w:rsidR="00065931">
        <w:rPr>
          <w:rFonts w:ascii="Times New Roman" w:eastAsia="Times New Roman" w:hAnsi="Times New Roman" w:cs="Times New Roman"/>
          <w:sz w:val="24"/>
          <w:szCs w:val="24"/>
          <w:lang w:eastAsia="es-ES"/>
        </w:rPr>
        <w:t>cha laboral”</w:t>
      </w:r>
      <w:r w:rsidRPr="00065931">
        <w:rPr>
          <w:rFonts w:ascii="Times New Roman" w:eastAsia="Times New Roman" w:hAnsi="Times New Roman" w:cs="Times New Roman"/>
          <w:sz w:val="24"/>
          <w:szCs w:val="24"/>
          <w:lang w:eastAsia="es-ES"/>
        </w:rPr>
        <w:t xml:space="preserve"> -regresar a los niveles de empleo anteriores a la recesión después de ajustarlos en base al aumento de la población y su envejecimiento-</w:t>
      </w:r>
      <w:r w:rsidRPr="00065931">
        <w:rPr>
          <w:rFonts w:ascii="Times New Roman" w:eastAsia="Times New Roman" w:hAnsi="Times New Roman" w:cs="Times New Roman"/>
          <w:bCs/>
          <w:sz w:val="24"/>
          <w:szCs w:val="24"/>
          <w:lang w:eastAsia="es-ES"/>
        </w:rPr>
        <w:t> no significa que todo el mundo esté prosperando.</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Tampoco significa que todos encuentren o consigan un empleo.</w:t>
      </w:r>
    </w:p>
    <w:p w:rsidR="00964D19" w:rsidRPr="0006593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bCs/>
          <w:sz w:val="24"/>
          <w:szCs w:val="24"/>
          <w:lang w:eastAsia="es-ES"/>
        </w:rPr>
        <w:lastRenderedPageBreak/>
        <w:t>Mujeres y población negra</w:t>
      </w:r>
    </w:p>
    <w:p w:rsidR="00C532E3" w:rsidRPr="00065931"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La realidad es que más de la mitad de los adultos en edad de trabajar que vive en la pobreza no se ha incorporado al mercado laboral.</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De los empleos creados, muchos son de hotelería, administración, salud e informática; aunque algunas de las áreas más afectadas por la recesión como la construcción y la producción en fábricas aún no se han recuperado por completo.</w:t>
      </w:r>
    </w:p>
    <w:p w:rsidR="00964D19" w:rsidRPr="0006593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noProof/>
          <w:sz w:val="24"/>
          <w:szCs w:val="24"/>
          <w:lang w:eastAsia="es-ES"/>
        </w:rPr>
        <w:drawing>
          <wp:inline distT="0" distB="0" distL="0" distR="0" wp14:anchorId="38332524" wp14:editId="1D24A4C1">
            <wp:extent cx="5689600" cy="2965450"/>
            <wp:effectExtent l="0" t="0" r="6350" b="6350"/>
            <wp:docPr id="12" name="Imagen 12" descr="Una mujer protesta por su situación ante la Torre 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a mujer protesta por su situación ante la Torre Tru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9600" cy="2965450"/>
                    </a:xfrm>
                    <a:prstGeom prst="rect">
                      <a:avLst/>
                    </a:prstGeom>
                    <a:noFill/>
                    <a:ln>
                      <a:noFill/>
                    </a:ln>
                  </pic:spPr>
                </pic:pic>
              </a:graphicData>
            </a:graphic>
          </wp:inline>
        </w:drawing>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Las mujeres son uno de los sectores de la población con más probabilidades de quedar fuera del mercado laboral.</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Una fotograf</w:t>
      </w:r>
      <w:r w:rsidR="00065931">
        <w:rPr>
          <w:rFonts w:ascii="Times New Roman" w:eastAsia="Times New Roman" w:hAnsi="Times New Roman" w:cs="Times New Roman"/>
          <w:sz w:val="24"/>
          <w:szCs w:val="24"/>
          <w:lang w:eastAsia="es-ES"/>
        </w:rPr>
        <w:t>ía de la población activa en EEUU</w:t>
      </w:r>
      <w:r w:rsidRPr="00065931">
        <w:rPr>
          <w:rFonts w:ascii="Times New Roman" w:eastAsia="Times New Roman" w:hAnsi="Times New Roman" w:cs="Times New Roman"/>
          <w:sz w:val="24"/>
          <w:szCs w:val="24"/>
          <w:lang w:eastAsia="es-ES"/>
        </w:rPr>
        <w:t xml:space="preserve"> deja al descubierto varias diferencias entre la sociedad:</w:t>
      </w:r>
    </w:p>
    <w:p w:rsidR="00C532E3" w:rsidRPr="00065931" w:rsidRDefault="00C532E3" w:rsidP="00C532E3">
      <w:pPr>
        <w:numPr>
          <w:ilvl w:val="0"/>
          <w:numId w:val="6"/>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La tasa de empleo de las mujeres ha vuelto a niveles anteriores a la recesión (55%).</w:t>
      </w:r>
    </w:p>
    <w:p w:rsidR="00C532E3" w:rsidRPr="00065931" w:rsidRDefault="00C532E3" w:rsidP="00C532E3">
      <w:pPr>
        <w:numPr>
          <w:ilvl w:val="0"/>
          <w:numId w:val="6"/>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La población negra fue más afectada por la recesión y se recuperó más rápido, pero aún tienen más probabilidades de estar desempleados que los estadounidenses blancos.</w:t>
      </w:r>
    </w:p>
    <w:p w:rsidR="00C532E3" w:rsidRPr="00065931" w:rsidRDefault="00C532E3" w:rsidP="00C532E3">
      <w:pPr>
        <w:numPr>
          <w:ilvl w:val="0"/>
          <w:numId w:val="6"/>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Las mujeres con una educación secundaria o inferior tienen más posibilidades de quedar fuera de la población activa.</w:t>
      </w:r>
    </w:p>
    <w:p w:rsidR="00C532E3" w:rsidRPr="00065931" w:rsidRDefault="00C532E3" w:rsidP="00C532E3">
      <w:pPr>
        <w:numPr>
          <w:ilvl w:val="0"/>
          <w:numId w:val="6"/>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Los hombres fueron más afectados durante la recesión y su regreso al trabajo ha sido más lento (ahora está empleado un 66% de ellos).</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El número de hombres con trabajo de entre 25 y 54 años ha disminuido desde hace más de 50 años. En el caso de las mujeres, esto ocurre desde el año 2000.</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lastRenderedPageBreak/>
        <w:drawing>
          <wp:inline distT="0" distB="0" distL="0" distR="0" wp14:anchorId="5F136761" wp14:editId="0671D0A1">
            <wp:extent cx="5715000" cy="6845300"/>
            <wp:effectExtent l="0" t="0" r="0" b="0"/>
            <wp:docPr id="14" name="Imagen 14" descr="Mapa condados con mayor y menor pobreza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a condados con mayor y menor pobreza en EE.UU."/>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5000" cy="68453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En parte, esto puede ser consecuencia de </w:t>
      </w:r>
      <w:r w:rsidR="00964D19" w:rsidRPr="00065931">
        <w:rPr>
          <w:rFonts w:ascii="Times New Roman" w:eastAsia="Times New Roman" w:hAnsi="Times New Roman" w:cs="Times New Roman"/>
          <w:bCs/>
          <w:sz w:val="24"/>
          <w:szCs w:val="24"/>
          <w:lang w:eastAsia="es-ES"/>
        </w:rPr>
        <w:t xml:space="preserve">la caída de los salarios </w:t>
      </w:r>
      <w:r w:rsidRPr="00065931">
        <w:rPr>
          <w:rFonts w:ascii="Times New Roman" w:eastAsia="Times New Roman" w:hAnsi="Times New Roman" w:cs="Times New Roman"/>
          <w:bCs/>
          <w:sz w:val="24"/>
          <w:szCs w:val="24"/>
          <w:lang w:eastAsia="es-ES"/>
        </w:rPr>
        <w:t>entre quienes ganan menos,</w:t>
      </w:r>
      <w:r w:rsidRPr="00065931">
        <w:rPr>
          <w:rFonts w:ascii="Times New Roman" w:eastAsia="Times New Roman" w:hAnsi="Times New Roman" w:cs="Times New Roman"/>
          <w:sz w:val="24"/>
          <w:szCs w:val="24"/>
          <w:lang w:eastAsia="es-ES"/>
        </w:rPr>
        <w:t> que ahora tienen un ingreso medio de US$</w:t>
      </w:r>
      <w:r w:rsidR="00065931">
        <w:rPr>
          <w:rFonts w:ascii="Times New Roman" w:eastAsia="Times New Roman" w:hAnsi="Times New Roman" w:cs="Times New Roman"/>
          <w:sz w:val="24"/>
          <w:szCs w:val="24"/>
          <w:lang w:eastAsia="es-ES"/>
        </w:rPr>
        <w:t xml:space="preserve"> </w:t>
      </w:r>
      <w:r w:rsidRPr="00065931">
        <w:rPr>
          <w:rFonts w:ascii="Times New Roman" w:eastAsia="Times New Roman" w:hAnsi="Times New Roman" w:cs="Times New Roman"/>
          <w:sz w:val="24"/>
          <w:szCs w:val="24"/>
          <w:lang w:eastAsia="es-ES"/>
        </w:rPr>
        <w:t>31.100.</w:t>
      </w:r>
    </w:p>
    <w:p w:rsidR="00964D19" w:rsidRPr="00065931" w:rsidRDefault="00964D19" w:rsidP="00C532E3">
      <w:pPr>
        <w:shd w:val="clear" w:color="auto" w:fill="FDFDFD"/>
        <w:spacing w:after="0" w:line="240" w:lineRule="auto"/>
        <w:jc w:val="both"/>
        <w:rPr>
          <w:rFonts w:ascii="Times New Roman" w:eastAsia="Times New Roman" w:hAnsi="Times New Roman" w:cs="Times New Roman"/>
          <w:bCs/>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Es posible que muchos de quienes no forman parte de la población activa tengan dificultades para encontrar empleo </w:t>
      </w:r>
      <w:r w:rsidRPr="00065931">
        <w:rPr>
          <w:rFonts w:ascii="Times New Roman" w:eastAsia="Times New Roman" w:hAnsi="Times New Roman" w:cs="Times New Roman"/>
          <w:bCs/>
          <w:sz w:val="24"/>
          <w:szCs w:val="24"/>
          <w:lang w:eastAsia="es-ES"/>
        </w:rPr>
        <w:t>si el gobierno no interviene </w:t>
      </w:r>
      <w:r w:rsidRPr="00065931">
        <w:rPr>
          <w:rFonts w:ascii="Times New Roman" w:eastAsia="Times New Roman" w:hAnsi="Times New Roman" w:cs="Times New Roman"/>
          <w:sz w:val="24"/>
          <w:szCs w:val="24"/>
          <w:lang w:eastAsia="es-ES"/>
        </w:rPr>
        <w:t>de manera significativa.</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bCs/>
          <w:sz w:val="24"/>
          <w:szCs w:val="24"/>
          <w:lang w:eastAsia="es-ES"/>
        </w:rPr>
        <w:t>Distribución desigual</w:t>
      </w:r>
    </w:p>
    <w:p w:rsidR="00C532E3" w:rsidRPr="00065931"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 xml:space="preserve">Más de la quinta parte de las personas en edad de trabajar que </w:t>
      </w:r>
      <w:r w:rsidR="00065931" w:rsidRPr="00065931">
        <w:rPr>
          <w:rFonts w:ascii="Times New Roman" w:eastAsia="Times New Roman" w:hAnsi="Times New Roman" w:cs="Times New Roman"/>
          <w:sz w:val="24"/>
          <w:szCs w:val="24"/>
          <w:lang w:eastAsia="es-ES"/>
        </w:rPr>
        <w:t>vive</w:t>
      </w:r>
      <w:r w:rsidRPr="00065931">
        <w:rPr>
          <w:rFonts w:ascii="Times New Roman" w:eastAsia="Times New Roman" w:hAnsi="Times New Roman" w:cs="Times New Roman"/>
          <w:sz w:val="24"/>
          <w:szCs w:val="24"/>
          <w:lang w:eastAsia="es-ES"/>
        </w:rPr>
        <w:t xml:space="preserve"> en la pobreza están clasificadas como personas con discapacidad, y otro 15% se dedica a cuidar a otras personas.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Para que más cuidadores logren un empleo se requeriría de una mayor disponibilidad y financiamiento de los servicios de cuidado de niños, mientras que muchos adultos con discapacidad pueden necesitar más apoyo o tratamiento.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575D628A" wp14:editId="349A2EDC">
            <wp:extent cx="5689600" cy="3073400"/>
            <wp:effectExtent l="0" t="0" r="6350" b="0"/>
            <wp:docPr id="15" name="Imagen 15" descr="Una familia pasea junto a un bebé en Atlantic 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a familia pasea junto a un bebé en Atlantic Cit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89600" cy="30734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Es necesario ampliar y mejorar la oferta de guarderías para que personas con niños a su cuidado puedan incorporarse al mercado de trabajo.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imagen que hemos construido</w:t>
      </w:r>
      <w:r w:rsidR="00065931">
        <w:rPr>
          <w:rFonts w:ascii="Times New Roman" w:eastAsia="Times New Roman" w:hAnsi="Times New Roman" w:cs="Times New Roman"/>
          <w:sz w:val="24"/>
          <w:szCs w:val="24"/>
          <w:lang w:eastAsia="es-ES"/>
        </w:rPr>
        <w:t xml:space="preserve"> del trabajo y la pobreza en EEUU</w:t>
      </w:r>
      <w:r w:rsidRPr="00745D61">
        <w:rPr>
          <w:rFonts w:ascii="Times New Roman" w:eastAsia="Times New Roman" w:hAnsi="Times New Roman" w:cs="Times New Roman"/>
          <w:sz w:val="24"/>
          <w:szCs w:val="24"/>
          <w:lang w:eastAsia="es-ES"/>
        </w:rPr>
        <w:t xml:space="preserve"> revela que los más pobres son un grupo diverso, con una amplia gama de experiencias.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No obstante, </w:t>
      </w:r>
      <w:r w:rsidRPr="00065931">
        <w:rPr>
          <w:rFonts w:ascii="Times New Roman" w:eastAsia="Times New Roman" w:hAnsi="Times New Roman" w:cs="Times New Roman"/>
          <w:bCs/>
          <w:sz w:val="24"/>
          <w:szCs w:val="24"/>
          <w:lang w:eastAsia="es-ES"/>
        </w:rPr>
        <w:t>la distribución desigual de la pobreza es sorprendente:</w:t>
      </w:r>
    </w:p>
    <w:p w:rsidR="00C532E3" w:rsidRPr="00745D61" w:rsidRDefault="00C532E3" w:rsidP="00C532E3">
      <w:pPr>
        <w:numPr>
          <w:ilvl w:val="0"/>
          <w:numId w:val="7"/>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Las familias afroestadounidenses que están en la pobreza (22%) son el doble que las familias blancas.</w:t>
      </w:r>
    </w:p>
    <w:p w:rsidR="00C532E3" w:rsidRPr="00745D61" w:rsidRDefault="00C532E3" w:rsidP="00C532E3">
      <w:pPr>
        <w:numPr>
          <w:ilvl w:val="0"/>
          <w:numId w:val="7"/>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19% de las familias hispanas están en situación de pobreza.</w:t>
      </w:r>
    </w:p>
    <w:p w:rsidR="00C532E3" w:rsidRPr="00745D61" w:rsidRDefault="00C532E3" w:rsidP="00C532E3">
      <w:pPr>
        <w:numPr>
          <w:ilvl w:val="0"/>
          <w:numId w:val="7"/>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Las mujeres (14%) tienen más probabilidades de estar en la pobreza que los hombres (11%).</w:t>
      </w:r>
    </w:p>
    <w:p w:rsidR="00C532E3" w:rsidRPr="00745D61" w:rsidRDefault="00C532E3" w:rsidP="00C532E3">
      <w:pPr>
        <w:numPr>
          <w:ilvl w:val="0"/>
          <w:numId w:val="7"/>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Las tasas de pobreza van del 11 al 14% en las grandes regiones del noreste, sudeste, centro-oeste y oeste del país.</w:t>
      </w:r>
    </w:p>
    <w:p w:rsidR="00C532E3" w:rsidRPr="00745D61" w:rsidRDefault="00C532E3" w:rsidP="00C532E3">
      <w:pPr>
        <w:numPr>
          <w:ilvl w:val="0"/>
          <w:numId w:val="7"/>
        </w:num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Muchos condados, principalmente en el sureste y suroeste, tienen tasas de pobreza de más del 25%.</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los últimos años, el aumento del empleo y los ingresos, junto con la disminución de la pobreza, han sido alentadores.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Sin embargo, la economía </w:t>
      </w:r>
      <w:r w:rsidRPr="00065931">
        <w:rPr>
          <w:rFonts w:ascii="Times New Roman" w:eastAsia="Times New Roman" w:hAnsi="Times New Roman" w:cs="Times New Roman"/>
          <w:bCs/>
          <w:sz w:val="24"/>
          <w:szCs w:val="24"/>
          <w:lang w:eastAsia="es-ES"/>
        </w:rPr>
        <w:t>tendrá que mantener este crecimiento</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para ayudar más a aquellos que están en situación de necesidad.</w:t>
      </w:r>
    </w:p>
    <w:p w:rsidR="00065931" w:rsidRPr="00745D61" w:rsidRDefault="00065931"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065931"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El profesor Jay Shambaugh es el director del Proyecto Hamilton e investigador principal en estudios económicos de la estad</w:t>
      </w:r>
      <w:r>
        <w:rPr>
          <w:rFonts w:ascii="Times New Roman" w:eastAsia="Times New Roman" w:hAnsi="Times New Roman" w:cs="Times New Roman"/>
          <w:sz w:val="24"/>
          <w:szCs w:val="24"/>
          <w:lang w:eastAsia="es-ES"/>
        </w:rPr>
        <w:t xml:space="preserve">ounidense Institución Brookings. </w:t>
      </w:r>
      <w:r w:rsidR="00C532E3" w:rsidRPr="00745D61">
        <w:rPr>
          <w:rFonts w:ascii="Times New Roman" w:eastAsia="Times New Roman" w:hAnsi="Times New Roman" w:cs="Times New Roman"/>
          <w:sz w:val="24"/>
          <w:szCs w:val="24"/>
          <w:lang w:eastAsia="es-ES"/>
        </w:rPr>
        <w:t>La Institución Brookings se describe a sí misma como una organización de políticas públicas sin fines de lucro que realiza investigaciones que conduzcan a nuevas ideas para enfrentar los problemas de la soci</w:t>
      </w:r>
      <w:r>
        <w:rPr>
          <w:rFonts w:ascii="Times New Roman" w:eastAsia="Times New Roman" w:hAnsi="Times New Roman" w:cs="Times New Roman"/>
          <w:sz w:val="24"/>
          <w:szCs w:val="24"/>
          <w:lang w:eastAsia="es-ES"/>
        </w:rPr>
        <w:t>edad)</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r w:rsidRPr="00745D61">
        <w:rPr>
          <w:rFonts w:ascii="Times New Roman" w:hAnsi="Times New Roman" w:cs="Times New Roman"/>
          <w:sz w:val="24"/>
          <w:szCs w:val="24"/>
        </w:rPr>
        <w:lastRenderedPageBreak/>
        <w:t xml:space="preserve">- </w:t>
      </w:r>
      <w:r w:rsidRPr="00745D61">
        <w:rPr>
          <w:rFonts w:ascii="Times New Roman" w:eastAsia="Times New Roman" w:hAnsi="Times New Roman" w:cs="Times New Roman"/>
          <w:kern w:val="36"/>
          <w:sz w:val="24"/>
          <w:szCs w:val="24"/>
          <w:u w:val="single"/>
          <w:lang w:eastAsia="es-ES"/>
        </w:rPr>
        <w:t>Por qué es tan caro ser pobre en Estados Unidos</w:t>
      </w:r>
      <w:r w:rsidRPr="00745D61">
        <w:rPr>
          <w:rFonts w:ascii="Times New Roman" w:eastAsia="Times New Roman" w:hAnsi="Times New Roman" w:cs="Times New Roman"/>
          <w:kern w:val="36"/>
          <w:sz w:val="24"/>
          <w:szCs w:val="24"/>
          <w:lang w:eastAsia="es-ES"/>
        </w:rPr>
        <w:t xml:space="preserve"> (BBCMundo - </w:t>
      </w:r>
      <w:r w:rsidRPr="00745D61">
        <w:rPr>
          <w:rFonts w:ascii="Times New Roman" w:eastAsia="Times New Roman" w:hAnsi="Times New Roman" w:cs="Times New Roman"/>
          <w:b/>
          <w:kern w:val="36"/>
          <w:sz w:val="24"/>
          <w:szCs w:val="24"/>
          <w:lang w:eastAsia="es-ES"/>
        </w:rPr>
        <w:t>19/2/18</w:t>
      </w:r>
      <w:r w:rsidRPr="00745D61">
        <w:rPr>
          <w:rFonts w:ascii="Times New Roman" w:eastAsia="Times New Roman" w:hAnsi="Times New Roman" w:cs="Times New Roman"/>
          <w:kern w:val="36"/>
          <w:sz w:val="24"/>
          <w:szCs w:val="24"/>
          <w:lang w:eastAsia="es-ES"/>
        </w:rPr>
        <w:t>)</w:t>
      </w:r>
    </w:p>
    <w:p w:rsidR="00C532E3" w:rsidRPr="00745D61" w:rsidRDefault="00C532E3" w:rsidP="00C532E3">
      <w:p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(Por Ángel Bermúdez)</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3EC97495" wp14:editId="518A3CFD">
            <wp:extent cx="5753100" cy="2730500"/>
            <wp:effectExtent l="0" t="0" r="0" b="0"/>
            <wp:docPr id="38" name="Imagen 38" descr="Familia sin recur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amilia sin recurso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2730500"/>
                    </a:xfrm>
                    <a:prstGeom prst="rect">
                      <a:avLst/>
                    </a:prstGeom>
                    <a:noFill/>
                    <a:ln>
                      <a:noFill/>
                    </a:ln>
                  </pic:spPr>
                </pic:pic>
              </a:graphicData>
            </a:graphic>
          </wp:inline>
        </w:drawing>
      </w:r>
      <w:r w:rsidR="00581A05">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Puede ser muy c</w:t>
      </w:r>
      <w:r w:rsidR="00065931">
        <w:rPr>
          <w:rFonts w:ascii="Times New Roman" w:eastAsia="Times New Roman" w:hAnsi="Times New Roman" w:cs="Times New Roman"/>
          <w:sz w:val="24"/>
          <w:szCs w:val="24"/>
          <w:lang w:eastAsia="es-ES"/>
        </w:rPr>
        <w:t>aro ser pobre en Estados Unidos”</w:t>
      </w:r>
      <w:r w:rsidRPr="00745D61">
        <w:rPr>
          <w:rFonts w:ascii="Times New Roman" w:eastAsia="Times New Roman" w:hAnsi="Times New Roman" w:cs="Times New Roman"/>
          <w:sz w:val="24"/>
          <w:szCs w:val="24"/>
          <w:lang w:eastAsia="es-ES"/>
        </w:rPr>
        <w:t>, dice a BBC Mundo Rebecca Vallas.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bCs/>
          <w:sz w:val="24"/>
          <w:szCs w:val="24"/>
          <w:lang w:eastAsia="es-ES"/>
        </w:rPr>
        <w:t>Ser pobre en Estados Unidos no es un buen negocio.</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Resulta, de hecho, mucho más costoso que no serlo.</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065931">
        <w:rPr>
          <w:rFonts w:ascii="Times New Roman" w:eastAsia="Times New Roman" w:hAnsi="Times New Roman" w:cs="Times New Roman"/>
          <w:sz w:val="24"/>
          <w:szCs w:val="24"/>
          <w:lang w:eastAsia="es-ES"/>
        </w:rPr>
        <w:t>Gran parte de los 40,6 millones de personas que viven en la pobreza en la primera potencia del mundo </w:t>
      </w:r>
      <w:r w:rsidRPr="00065931">
        <w:rPr>
          <w:rFonts w:ascii="Times New Roman" w:eastAsia="Times New Roman" w:hAnsi="Times New Roman" w:cs="Times New Roman"/>
          <w:bCs/>
          <w:sz w:val="24"/>
          <w:szCs w:val="24"/>
          <w:lang w:eastAsia="es-ES"/>
        </w:rPr>
        <w:t>deben pagar más que el resto de la población para acceder a bienes y servicios</w:t>
      </w:r>
      <w:r w:rsidRPr="00065931">
        <w:rPr>
          <w:rFonts w:ascii="Times New Roman" w:eastAsia="Times New Roman" w:hAnsi="Times New Roman" w:cs="Times New Roman"/>
          <w:sz w:val="24"/>
          <w:szCs w:val="24"/>
          <w:lang w:eastAsia="es-ES"/>
        </w:rPr>
        <w:t> que la mayor parte disfruta cotidianamente y, con frecuencia, de forma gratuita.</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065931"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065931">
        <w:rPr>
          <w:rFonts w:ascii="Times New Roman" w:eastAsia="Times New Roman" w:hAnsi="Times New Roman" w:cs="Times New Roman"/>
          <w:sz w:val="24"/>
          <w:szCs w:val="24"/>
          <w:lang w:eastAsia="es-ES"/>
        </w:rPr>
        <w:t>Puede ser muy c</w:t>
      </w:r>
      <w:r>
        <w:rPr>
          <w:rFonts w:ascii="Times New Roman" w:eastAsia="Times New Roman" w:hAnsi="Times New Roman" w:cs="Times New Roman"/>
          <w:sz w:val="24"/>
          <w:szCs w:val="24"/>
          <w:lang w:eastAsia="es-ES"/>
        </w:rPr>
        <w:t>aro ser pobre en Estados Unidos”</w:t>
      </w:r>
      <w:r w:rsidR="00C532E3" w:rsidRPr="00065931">
        <w:rPr>
          <w:rFonts w:ascii="Times New Roman" w:eastAsia="Times New Roman" w:hAnsi="Times New Roman" w:cs="Times New Roman"/>
          <w:sz w:val="24"/>
          <w:szCs w:val="24"/>
          <w:lang w:eastAsia="es-ES"/>
        </w:rPr>
        <w:t>, dice a BBC Mundo Rebe</w:t>
      </w:r>
      <w:r>
        <w:rPr>
          <w:rFonts w:ascii="Times New Roman" w:eastAsia="Times New Roman" w:hAnsi="Times New Roman" w:cs="Times New Roman"/>
          <w:sz w:val="24"/>
          <w:szCs w:val="24"/>
          <w:lang w:eastAsia="es-ES"/>
        </w:rPr>
        <w:t>cca Vallas, vicepresidenta del “</w:t>
      </w:r>
      <w:r w:rsidR="00C532E3" w:rsidRPr="00065931">
        <w:rPr>
          <w:rFonts w:ascii="Times New Roman" w:eastAsia="Times New Roman" w:hAnsi="Times New Roman" w:cs="Times New Roman"/>
          <w:sz w:val="24"/>
          <w:szCs w:val="24"/>
          <w:lang w:eastAsia="es-ES"/>
        </w:rPr>
        <w:t>Programa</w:t>
      </w:r>
      <w:r>
        <w:rPr>
          <w:rFonts w:ascii="Times New Roman" w:eastAsia="Times New Roman" w:hAnsi="Times New Roman" w:cs="Times New Roman"/>
          <w:sz w:val="24"/>
          <w:szCs w:val="24"/>
          <w:lang w:eastAsia="es-ES"/>
        </w:rPr>
        <w:t xml:space="preserve"> de la pobreza a la prosperidad”</w:t>
      </w:r>
      <w:r w:rsidR="00C532E3" w:rsidRPr="00065931">
        <w:rPr>
          <w:rFonts w:ascii="Times New Roman" w:eastAsia="Times New Roman" w:hAnsi="Times New Roman" w:cs="Times New Roman"/>
          <w:sz w:val="24"/>
          <w:szCs w:val="24"/>
          <w:lang w:eastAsia="es-ES"/>
        </w:rPr>
        <w:t xml:space="preserve"> del Center for American Progress, un centro de estudios de tendencia liberal.</w:t>
      </w:r>
    </w:p>
    <w:p w:rsidR="00964D19" w:rsidRPr="0006593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065931" w:rsidRDefault="00065931"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065931">
        <w:rPr>
          <w:rFonts w:ascii="Times New Roman" w:eastAsia="Times New Roman" w:hAnsi="Times New Roman" w:cs="Times New Roman"/>
          <w:sz w:val="24"/>
          <w:szCs w:val="24"/>
          <w:lang w:eastAsia="es-ES"/>
        </w:rPr>
        <w:t>Muy pocas familias de bajos ingresos tienen ahorros para situaciones de emergencia. </w:t>
      </w:r>
      <w:r w:rsidR="00C532E3" w:rsidRPr="00065931">
        <w:rPr>
          <w:rFonts w:ascii="Times New Roman" w:eastAsia="Times New Roman" w:hAnsi="Times New Roman" w:cs="Times New Roman"/>
          <w:bCs/>
          <w:sz w:val="24"/>
          <w:szCs w:val="24"/>
          <w:lang w:eastAsia="es-ES"/>
        </w:rPr>
        <w:t>Más de dos tercios de ellas dicen tener problemas para conseguir US$</w:t>
      </w:r>
      <w:r>
        <w:rPr>
          <w:rFonts w:ascii="Times New Roman" w:eastAsia="Times New Roman" w:hAnsi="Times New Roman" w:cs="Times New Roman"/>
          <w:bCs/>
          <w:sz w:val="24"/>
          <w:szCs w:val="24"/>
          <w:lang w:eastAsia="es-ES"/>
        </w:rPr>
        <w:t xml:space="preserve"> </w:t>
      </w:r>
      <w:r w:rsidR="00C532E3" w:rsidRPr="00065931">
        <w:rPr>
          <w:rFonts w:ascii="Times New Roman" w:eastAsia="Times New Roman" w:hAnsi="Times New Roman" w:cs="Times New Roman"/>
          <w:bCs/>
          <w:sz w:val="24"/>
          <w:szCs w:val="24"/>
          <w:lang w:eastAsia="es-ES"/>
        </w:rPr>
        <w:t>2.000 en un mes para enfrentar un gasto urgente inesperado como un calentador de agua roto o una factura médica</w:t>
      </w:r>
      <w:r>
        <w:rPr>
          <w:rFonts w:ascii="Times New Roman" w:eastAsia="Times New Roman" w:hAnsi="Times New Roman" w:cs="Times New Roman"/>
          <w:sz w:val="24"/>
          <w:szCs w:val="24"/>
          <w:lang w:eastAsia="es-ES"/>
        </w:rPr>
        <w:t>”</w:t>
      </w:r>
      <w:r w:rsidR="00C532E3" w:rsidRPr="00065931">
        <w:rPr>
          <w:rFonts w:ascii="Times New Roman" w:eastAsia="Times New Roman" w:hAnsi="Times New Roman" w:cs="Times New Roman"/>
          <w:sz w:val="24"/>
          <w:szCs w:val="24"/>
          <w:lang w:eastAsia="es-ES"/>
        </w:rPr>
        <w:t>, agrega para ilustrar la situación de vulnerabilidad en la que viven estas familias.</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D42154" w:rsidRPr="00065931" w:rsidRDefault="00D42154" w:rsidP="00D42154">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sidRPr="00065931">
        <w:rPr>
          <w:rFonts w:ascii="Times New Roman" w:eastAsia="Times New Roman" w:hAnsi="Times New Roman" w:cs="Times New Roman"/>
          <w:bCs/>
          <w:sz w:val="24"/>
          <w:szCs w:val="24"/>
          <w:lang w:eastAsia="es-ES"/>
        </w:rPr>
        <w:t>Intereses de 400%</w:t>
      </w:r>
    </w:p>
    <w:p w:rsidR="00D42154" w:rsidRPr="00745D61" w:rsidRDefault="00D42154" w:rsidP="00D42154">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D42154" w:rsidRPr="00745D61" w:rsidRDefault="00D42154" w:rsidP="00D42154">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Gran parte de las dificultades que enfrentan se derivan del hecho de no poder contar con unos ahorros extras.</w:t>
      </w:r>
    </w:p>
    <w:p w:rsidR="00D42154" w:rsidRPr="00745D61" w:rsidRDefault="00D42154" w:rsidP="00D42154">
      <w:pPr>
        <w:shd w:val="clear" w:color="auto" w:fill="FDFDFD"/>
        <w:spacing w:after="0" w:line="240" w:lineRule="auto"/>
        <w:jc w:val="both"/>
        <w:rPr>
          <w:rFonts w:ascii="Times New Roman" w:eastAsia="Times New Roman" w:hAnsi="Times New Roman" w:cs="Times New Roman"/>
          <w:sz w:val="24"/>
          <w:szCs w:val="24"/>
          <w:lang w:eastAsia="es-ES"/>
        </w:rPr>
      </w:pPr>
    </w:p>
    <w:p w:rsidR="00D42154" w:rsidRDefault="00D42154" w:rsidP="00D42154">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Cuando las familias pobres se enfrentan a estas urgencias y no tienen otras opciones suelen recurrir a empresas de préstamos rápidos, lo que puede empeorar su situación.</w:t>
      </w:r>
    </w:p>
    <w:p w:rsidR="00C532E3" w:rsidRPr="0006593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lastRenderedPageBreak/>
        <w:drawing>
          <wp:inline distT="0" distB="0" distL="0" distR="0" wp14:anchorId="3F528CFA" wp14:editId="5CF72F35">
            <wp:extent cx="5632450" cy="2857500"/>
            <wp:effectExtent l="0" t="0" r="6350" b="0"/>
            <wp:docPr id="37" name="Imagen 37" descr="Trabajadores de salarios bajos protestan para pedir un aumento del sueldo mín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rabajadores de salarios bajos protestan para pedir un aumento del sueldo mínim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2450" cy="2857500"/>
                    </a:xfrm>
                    <a:prstGeom prst="rect">
                      <a:avLst/>
                    </a:prstGeom>
                    <a:noFill/>
                    <a:ln>
                      <a:noFill/>
                    </a:ln>
                  </pic:spPr>
                </pic:pic>
              </a:graphicData>
            </a:graphic>
          </wp:inline>
        </w:drawing>
      </w: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incapacidad de ahorrar es uno de los principales factores que coloca a los trabajadores de bajos ingresos en situación precaria.</w:t>
      </w:r>
    </w:p>
    <w:p w:rsid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964D19" w:rsidRPr="00745D6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C532E3" w:rsidRPr="00745D61">
        <w:rPr>
          <w:rFonts w:ascii="Times New Roman" w:eastAsia="Times New Roman" w:hAnsi="Times New Roman" w:cs="Times New Roman"/>
          <w:noProof/>
          <w:sz w:val="24"/>
          <w:szCs w:val="24"/>
          <w:lang w:eastAsia="es-ES"/>
        </w:rPr>
        <w:drawing>
          <wp:inline distT="0" distB="0" distL="0" distR="0" wp14:anchorId="11DADCAC" wp14:editId="145072DA">
            <wp:extent cx="4006850" cy="3479800"/>
            <wp:effectExtent l="0" t="0" r="0" b="6350"/>
            <wp:docPr id="40" name="Imagen 40" descr="Los trabajadores que no disponen de cuentas bancarias acuden a cambiar sus cheques en negocios donde les cobran hasta 5% del monto 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Los trabajadores que no disponen de cuentas bancarias acuden a cambiar sus cheques en negocios donde les cobran hasta 5% del monto tota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06850" cy="34798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Los trabajadores que no disponen de cuentas bancarias acuden a cambiar sus cheques en negocios donde les cobran hasta 5% del monto total.</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Al hacerlo </w:t>
      </w:r>
      <w:r w:rsidR="00C532E3" w:rsidRPr="00D42154">
        <w:rPr>
          <w:rFonts w:ascii="Times New Roman" w:eastAsia="Times New Roman" w:hAnsi="Times New Roman" w:cs="Times New Roman"/>
          <w:bCs/>
          <w:sz w:val="24"/>
          <w:szCs w:val="24"/>
          <w:lang w:eastAsia="es-ES"/>
        </w:rPr>
        <w:t>se exponen a quedar atrapadas en un ciclo de deuda sin salida, en el que tienen que pagar tasas de intereses de 400%</w:t>
      </w:r>
      <w:r w:rsidR="00C532E3" w:rsidRPr="00D42154">
        <w:rPr>
          <w:rFonts w:ascii="Times New Roman" w:eastAsia="Times New Roman" w:hAnsi="Times New Roman" w:cs="Times New Roman"/>
          <w:sz w:val="24"/>
          <w:szCs w:val="24"/>
          <w:lang w:eastAsia="es-ES"/>
        </w:rPr>
        <w:t>, una cifra inimaginable para quienes tienen tarjetas de crédito o a</w:t>
      </w:r>
      <w:r w:rsidRPr="00D42154">
        <w:rPr>
          <w:rFonts w:ascii="Times New Roman" w:eastAsia="Times New Roman" w:hAnsi="Times New Roman" w:cs="Times New Roman"/>
          <w:sz w:val="24"/>
          <w:szCs w:val="24"/>
          <w:lang w:eastAsia="es-ES"/>
        </w:rPr>
        <w:t>cceso a otras formas de crédito”</w:t>
      </w:r>
      <w:r w:rsidR="00C532E3" w:rsidRPr="00D42154">
        <w:rPr>
          <w:rFonts w:ascii="Times New Roman" w:eastAsia="Times New Roman" w:hAnsi="Times New Roman" w:cs="Times New Roman"/>
          <w:sz w:val="24"/>
          <w:szCs w:val="24"/>
          <w:lang w:eastAsia="es-ES"/>
        </w:rPr>
        <w:t>, señala Vallas.</w:t>
      </w:r>
    </w:p>
    <w:p w:rsidR="00964D19" w:rsidRPr="00D42154"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También por falta de capital suelen recurrir a empresas de alquiler de muebles y menaje del hogar para dotar sus viviendas de aparatos básicos como una lavadora o una computadora.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Esas compañías saben que no tienes más opciones y se aprovechan de ti. </w:t>
      </w:r>
      <w:r w:rsidR="00C532E3" w:rsidRPr="00D42154">
        <w:rPr>
          <w:rFonts w:ascii="Times New Roman" w:eastAsia="Times New Roman" w:hAnsi="Times New Roman" w:cs="Times New Roman"/>
          <w:bCs/>
          <w:sz w:val="24"/>
          <w:szCs w:val="24"/>
          <w:lang w:eastAsia="es-ES"/>
        </w:rPr>
        <w:t>Una familia puede terminar pagando 2,5 veces más el costo real de estos bienes sin llegar nunca a poseerlos</w:t>
      </w:r>
      <w:r w:rsidRPr="00D42154">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 apunta Vallas.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 mismo ocurre si necesitan comprar un vehículo.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La falta de ahorros y de un historial crediticio hace que muchas veces la única opción sea recurrir a empresas que venden autos a precios que duplican su valor real de mercado y </w:t>
      </w:r>
      <w:r w:rsidRPr="00D42154">
        <w:rPr>
          <w:rFonts w:ascii="Times New Roman" w:eastAsia="Times New Roman" w:hAnsi="Times New Roman" w:cs="Times New Roman"/>
          <w:bCs/>
          <w:sz w:val="24"/>
          <w:szCs w:val="24"/>
          <w:lang w:eastAsia="es-ES"/>
        </w:rPr>
        <w:t>pagando tasas de interés que pueden llegar al 30%</w:t>
      </w:r>
      <w:r w:rsidRPr="00D42154">
        <w:rPr>
          <w:rFonts w:ascii="Times New Roman" w:eastAsia="Times New Roman" w:hAnsi="Times New Roman" w:cs="Times New Roman"/>
          <w:sz w:val="24"/>
          <w:szCs w:val="24"/>
          <w:lang w:eastAsia="es-ES"/>
        </w:rPr>
        <w:t>, lo que puede elevar sus pagos mensuales a US$</w:t>
      </w:r>
      <w:r w:rsidR="00D42154">
        <w:rPr>
          <w:rFonts w:ascii="Times New Roman" w:eastAsia="Times New Roman" w:hAnsi="Times New Roman" w:cs="Times New Roman"/>
          <w:sz w:val="24"/>
          <w:szCs w:val="24"/>
          <w:lang w:eastAsia="es-ES"/>
        </w:rPr>
        <w:t xml:space="preserve"> </w:t>
      </w:r>
      <w:r w:rsidRPr="00D42154">
        <w:rPr>
          <w:rFonts w:ascii="Times New Roman" w:eastAsia="Times New Roman" w:hAnsi="Times New Roman" w:cs="Times New Roman"/>
          <w:sz w:val="24"/>
          <w:szCs w:val="24"/>
          <w:lang w:eastAsia="es-ES"/>
        </w:rPr>
        <w:t>500, una cantidad superior a la que algunas de estas familias dedican a alimentación.</w:t>
      </w:r>
    </w:p>
    <w:p w:rsidR="00964D19" w:rsidRPr="00745D6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6D52C9CB" wp14:editId="1C145E38">
            <wp:extent cx="5645150" cy="3054350"/>
            <wp:effectExtent l="0" t="0" r="0" b="0"/>
            <wp:docPr id="41" name="Imagen 41" descr="Negocio de préstamos dando un auto como garant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Negocio de préstamos dando un auto como garantí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45150" cy="30543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Los negocios que ofrecen préstamos rápidos a alto interés tomando como garantía un auto han proliferado en Estados Unidos.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esas condiciones, muchas veces no pueden hacer frente a las cuotas del préstamo y terminan perdiendo el dinero pagado y el vehículo.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sidRPr="00D42154">
        <w:rPr>
          <w:rFonts w:ascii="Times New Roman" w:eastAsia="Times New Roman" w:hAnsi="Times New Roman" w:cs="Times New Roman"/>
          <w:bCs/>
          <w:sz w:val="24"/>
          <w:szCs w:val="24"/>
          <w:lang w:eastAsia="es-ES"/>
        </w:rPr>
        <w:t>Costoso mercado</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Vallas advierte que al no disponer de un auto muchas de estas familias tienen que escoger entre gastar dinero en taxis para ir y volver a un buen supermercado o terminar pagando los precios más elevados que cobra la tienda de vívere</w:t>
      </w:r>
      <w:r w:rsidR="00D42154">
        <w:rPr>
          <w:rFonts w:ascii="Times New Roman" w:eastAsia="Times New Roman" w:hAnsi="Times New Roman" w:cs="Times New Roman"/>
          <w:sz w:val="24"/>
          <w:szCs w:val="24"/>
          <w:lang w:eastAsia="es-ES"/>
        </w:rPr>
        <w:t>s que les queda cerca de casa, “</w:t>
      </w:r>
      <w:r w:rsidRPr="00745D61">
        <w:rPr>
          <w:rFonts w:ascii="Times New Roman" w:eastAsia="Times New Roman" w:hAnsi="Times New Roman" w:cs="Times New Roman"/>
          <w:sz w:val="24"/>
          <w:szCs w:val="24"/>
          <w:lang w:eastAsia="es-ES"/>
        </w:rPr>
        <w:t xml:space="preserve">donde los productos te pueden costar cuatro o cinco veces más </w:t>
      </w:r>
      <w:r w:rsidR="00D42154">
        <w:rPr>
          <w:rFonts w:ascii="Times New Roman" w:eastAsia="Times New Roman" w:hAnsi="Times New Roman" w:cs="Times New Roman"/>
          <w:sz w:val="24"/>
          <w:szCs w:val="24"/>
          <w:lang w:eastAsia="es-ES"/>
        </w:rPr>
        <w:t>que si los compras al por mayor”</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Y es que estas familias pobres no solo pagan más que los demás por gastos cotidianos, sino que además</w:t>
      </w:r>
      <w:r w:rsidRPr="00D42154">
        <w:rPr>
          <w:rFonts w:ascii="Times New Roman" w:eastAsia="Times New Roman" w:hAnsi="Times New Roman" w:cs="Times New Roman"/>
          <w:bCs/>
          <w:sz w:val="24"/>
          <w:szCs w:val="24"/>
          <w:lang w:eastAsia="es-ES"/>
        </w:rPr>
        <w:t> pierden oportunidades para ahorrar al no disponer de recursos para sacar provecho de las tiendas mayoristas</w:t>
      </w:r>
      <w:r w:rsidRPr="00D42154">
        <w:rPr>
          <w:rFonts w:ascii="Times New Roman" w:eastAsia="Times New Roman" w:hAnsi="Times New Roman" w:cs="Times New Roman"/>
          <w:sz w:val="24"/>
          <w:szCs w:val="24"/>
          <w:lang w:eastAsia="es-ES"/>
        </w:rPr>
        <w:t> que permiten a los consumidores obtener sustanciales descuentos en sus compras.</w:t>
      </w:r>
    </w:p>
    <w:p w:rsid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D42154"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sidRPr="00D42154">
        <w:rPr>
          <w:rFonts w:ascii="Times New Roman" w:eastAsia="Times New Roman" w:hAnsi="Times New Roman" w:cs="Times New Roman"/>
          <w:bCs/>
          <w:sz w:val="24"/>
          <w:szCs w:val="24"/>
          <w:lang w:eastAsia="es-ES"/>
        </w:rPr>
        <w:lastRenderedPageBreak/>
        <w:t>Pagar por ser pobre</w:t>
      </w:r>
    </w:p>
    <w:p w:rsidR="00C532E3" w:rsidRPr="00D42154"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falta de ahorros también dificulta la posibilidad de que las familias pobres disfruten de las ventajas del sistema bancario.</w:t>
      </w:r>
    </w:p>
    <w:p w:rsidR="00964D19" w:rsidRPr="00745D61" w:rsidRDefault="00964D19"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546F4C5B" wp14:editId="4CD119DF">
            <wp:extent cx="5715000" cy="3022600"/>
            <wp:effectExtent l="0" t="0" r="0" b="6350"/>
            <wp:docPr id="42" name="Imagen 42" descr="Tienda mayorista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ienda mayorista en EE.UU."/>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30226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Los pobres no pueden aprovechar los ahorros que consiguen quienes hacen sus compras en tiendas mayoristas.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En Estados Unidos</w:t>
      </w:r>
      <w:r w:rsidRPr="00D42154">
        <w:rPr>
          <w:rFonts w:ascii="Times New Roman" w:eastAsia="Times New Roman" w:hAnsi="Times New Roman" w:cs="Times New Roman"/>
          <w:bCs/>
          <w:sz w:val="24"/>
          <w:szCs w:val="24"/>
          <w:lang w:eastAsia="es-ES"/>
        </w:rPr>
        <w:t> hay unos 10 millones de hogares en los que ninguno de sus miembros tiene una cuenta bancaria</w:t>
      </w:r>
      <w:r w:rsidRPr="00D42154">
        <w:rPr>
          <w:rFonts w:ascii="Times New Roman" w:eastAsia="Times New Roman" w:hAnsi="Times New Roman" w:cs="Times New Roman"/>
          <w:sz w:val="24"/>
          <w:szCs w:val="24"/>
          <w:lang w:eastAsia="es-ES"/>
        </w:rPr>
        <w:t> y la mayor parte de ellos son pobres.</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Las personas de bajos ingresos tienen una probabilidad mucho mayor de tener que pagar comisiones por mante</w:t>
      </w:r>
      <w:r>
        <w:rPr>
          <w:rFonts w:ascii="Times New Roman" w:eastAsia="Times New Roman" w:hAnsi="Times New Roman" w:cs="Times New Roman"/>
          <w:sz w:val="24"/>
          <w:szCs w:val="24"/>
          <w:lang w:eastAsia="es-ES"/>
        </w:rPr>
        <w:t>nimiento de una cuenta bancaria”</w:t>
      </w:r>
      <w:r w:rsidR="00C532E3" w:rsidRPr="00D42154">
        <w:rPr>
          <w:rFonts w:ascii="Times New Roman" w:eastAsia="Times New Roman" w:hAnsi="Times New Roman" w:cs="Times New Roman"/>
          <w:sz w:val="24"/>
          <w:szCs w:val="24"/>
          <w:lang w:eastAsia="es-ES"/>
        </w:rPr>
        <w:t>, dice Vallas, al explicar una de las dificultades que enfrentan para acceder al sistema financiero tradicional.</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En muchos casos para no tener que pagar estas comisiones -que en general oscilan entre US$</w:t>
      </w:r>
      <w:r w:rsidR="00D42154">
        <w:rPr>
          <w:rFonts w:ascii="Times New Roman" w:eastAsia="Times New Roman" w:hAnsi="Times New Roman" w:cs="Times New Roman"/>
          <w:sz w:val="24"/>
          <w:szCs w:val="24"/>
          <w:lang w:eastAsia="es-ES"/>
        </w:rPr>
        <w:t xml:space="preserve"> </w:t>
      </w:r>
      <w:r w:rsidRPr="00D42154">
        <w:rPr>
          <w:rFonts w:ascii="Times New Roman" w:eastAsia="Times New Roman" w:hAnsi="Times New Roman" w:cs="Times New Roman"/>
          <w:sz w:val="24"/>
          <w:szCs w:val="24"/>
          <w:lang w:eastAsia="es-ES"/>
        </w:rPr>
        <w:t>10 y US$</w:t>
      </w:r>
      <w:r w:rsidR="00D42154">
        <w:rPr>
          <w:rFonts w:ascii="Times New Roman" w:eastAsia="Times New Roman" w:hAnsi="Times New Roman" w:cs="Times New Roman"/>
          <w:sz w:val="24"/>
          <w:szCs w:val="24"/>
          <w:lang w:eastAsia="es-ES"/>
        </w:rPr>
        <w:t xml:space="preserve"> </w:t>
      </w:r>
      <w:r w:rsidRPr="00D42154">
        <w:rPr>
          <w:rFonts w:ascii="Times New Roman" w:eastAsia="Times New Roman" w:hAnsi="Times New Roman" w:cs="Times New Roman"/>
          <w:sz w:val="24"/>
          <w:szCs w:val="24"/>
          <w:lang w:eastAsia="es-ES"/>
        </w:rPr>
        <w:t>25 al mes dependiendo de la cuenta- las instituciones financieras exigen que los clientes tengan un saldo diario promedio de US$</w:t>
      </w:r>
      <w:r w:rsidR="00D42154">
        <w:rPr>
          <w:rFonts w:ascii="Times New Roman" w:eastAsia="Times New Roman" w:hAnsi="Times New Roman" w:cs="Times New Roman"/>
          <w:sz w:val="24"/>
          <w:szCs w:val="24"/>
          <w:lang w:eastAsia="es-ES"/>
        </w:rPr>
        <w:t xml:space="preserve"> </w:t>
      </w:r>
      <w:r w:rsidRPr="00D42154">
        <w:rPr>
          <w:rFonts w:ascii="Times New Roman" w:eastAsia="Times New Roman" w:hAnsi="Times New Roman" w:cs="Times New Roman"/>
          <w:sz w:val="24"/>
          <w:szCs w:val="24"/>
          <w:lang w:eastAsia="es-ES"/>
        </w:rPr>
        <w:t>1.500, </w:t>
      </w:r>
      <w:r w:rsidRPr="00D42154">
        <w:rPr>
          <w:rFonts w:ascii="Times New Roman" w:eastAsia="Times New Roman" w:hAnsi="Times New Roman" w:cs="Times New Roman"/>
          <w:bCs/>
          <w:sz w:val="24"/>
          <w:szCs w:val="24"/>
          <w:lang w:eastAsia="es-ES"/>
        </w:rPr>
        <w:t>un monto que puede ser equivalente al ingreso mensual de un hogar pobre</w:t>
      </w:r>
      <w:r w:rsidRPr="00D42154">
        <w:rPr>
          <w:rFonts w:ascii="Times New Roman" w:eastAsia="Times New Roman" w:hAnsi="Times New Roman" w:cs="Times New Roman"/>
          <w:sz w:val="24"/>
          <w:szCs w:val="24"/>
          <w:lang w:eastAsia="es-ES"/>
        </w:rPr>
        <w:t>.</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Si no tienes ese monto depositado puedes terminar pagando comisiones simplemente por no tener suficiente dinero, es decir, te cobran literalmente por ser pobre. Y eso no incluye los cobros que te hacen si tu cuenta se sobregira. En esos casos puedes terminar pa</w:t>
      </w:r>
      <w:r>
        <w:rPr>
          <w:rFonts w:ascii="Times New Roman" w:eastAsia="Times New Roman" w:hAnsi="Times New Roman" w:cs="Times New Roman"/>
          <w:sz w:val="24"/>
          <w:szCs w:val="24"/>
          <w:lang w:eastAsia="es-ES"/>
        </w:rPr>
        <w:t>gando US$ 25 o US$ 35 adicionales”</w:t>
      </w:r>
      <w:r w:rsidR="00C532E3" w:rsidRPr="00D42154">
        <w:rPr>
          <w:rFonts w:ascii="Times New Roman" w:eastAsia="Times New Roman" w:hAnsi="Times New Roman" w:cs="Times New Roman"/>
          <w:sz w:val="24"/>
          <w:szCs w:val="24"/>
          <w:lang w:eastAsia="es-ES"/>
        </w:rPr>
        <w:t>, agrega la experta.</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sidRPr="00D42154">
        <w:rPr>
          <w:rFonts w:ascii="Times New Roman" w:eastAsia="Times New Roman" w:hAnsi="Times New Roman" w:cs="Times New Roman"/>
          <w:bCs/>
          <w:sz w:val="24"/>
          <w:szCs w:val="24"/>
          <w:lang w:eastAsia="es-ES"/>
        </w:rPr>
        <w:t>Comisiones por doquier</w:t>
      </w:r>
    </w:p>
    <w:p w:rsidR="00C532E3" w:rsidRPr="00D42154" w:rsidRDefault="00C532E3" w:rsidP="00C532E3">
      <w:pPr>
        <w:shd w:val="clear" w:color="auto" w:fill="FDFDFD"/>
        <w:spacing w:after="0" w:line="240" w:lineRule="auto"/>
        <w:jc w:val="both"/>
        <w:outlineLvl w:val="1"/>
        <w:rPr>
          <w:rFonts w:ascii="Times New Roman" w:eastAsia="Times New Roman" w:hAnsi="Times New Roman" w:cs="Times New Roman"/>
          <w:bCs/>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Pero mantenerse lejos de los bancos también resulta muy costoso.</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Quienes no disponen de cuentas deben acudir a un </w:t>
      </w:r>
      <w:r w:rsidRPr="00D42154">
        <w:rPr>
          <w:rFonts w:ascii="Times New Roman" w:eastAsia="Times New Roman" w:hAnsi="Times New Roman" w:cs="Times New Roman"/>
          <w:i/>
          <w:iCs/>
          <w:sz w:val="24"/>
          <w:szCs w:val="24"/>
          <w:lang w:eastAsia="es-ES"/>
        </w:rPr>
        <w:t>check-casher</w:t>
      </w:r>
      <w:r w:rsidRPr="00D42154">
        <w:rPr>
          <w:rFonts w:ascii="Times New Roman" w:eastAsia="Times New Roman" w:hAnsi="Times New Roman" w:cs="Times New Roman"/>
          <w:sz w:val="24"/>
          <w:szCs w:val="24"/>
          <w:lang w:eastAsia="es-ES"/>
        </w:rPr>
        <w:t>, un tipo de negocio muy extendido en los barrios pobres de Estados Unidos al que las personas pueden acudir para hacer efectivo el cheque con el que les pagaron su sueldo y donde les pueden cobrar una comisión que puede alcanzar hasta 5% del monto total.</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Eso puede sonar como poco pero si eres una persona de bajos ingresos que gana, digamos, US$</w:t>
      </w:r>
      <w:r>
        <w:rPr>
          <w:rFonts w:ascii="Times New Roman" w:eastAsia="Times New Roman" w:hAnsi="Times New Roman" w:cs="Times New Roman"/>
          <w:sz w:val="24"/>
          <w:szCs w:val="24"/>
          <w:lang w:eastAsia="es-ES"/>
        </w:rPr>
        <w:t xml:space="preserve"> </w:t>
      </w:r>
      <w:r w:rsidR="00C532E3" w:rsidRPr="00D42154">
        <w:rPr>
          <w:rFonts w:ascii="Times New Roman" w:eastAsia="Times New Roman" w:hAnsi="Times New Roman" w:cs="Times New Roman"/>
          <w:sz w:val="24"/>
          <w:szCs w:val="24"/>
          <w:lang w:eastAsia="es-ES"/>
        </w:rPr>
        <w:t>1.500 al mes, </w:t>
      </w:r>
      <w:r w:rsidR="00C532E3" w:rsidRPr="00D42154">
        <w:rPr>
          <w:rFonts w:ascii="Times New Roman" w:eastAsia="Times New Roman" w:hAnsi="Times New Roman" w:cs="Times New Roman"/>
          <w:bCs/>
          <w:sz w:val="24"/>
          <w:szCs w:val="24"/>
          <w:lang w:eastAsia="es-ES"/>
        </w:rPr>
        <w:t>eso quiere decir que puedes terminar pagando US$</w:t>
      </w:r>
      <w:r>
        <w:rPr>
          <w:rFonts w:ascii="Times New Roman" w:eastAsia="Times New Roman" w:hAnsi="Times New Roman" w:cs="Times New Roman"/>
          <w:bCs/>
          <w:sz w:val="24"/>
          <w:szCs w:val="24"/>
          <w:lang w:eastAsia="es-ES"/>
        </w:rPr>
        <w:t xml:space="preserve"> </w:t>
      </w:r>
      <w:r w:rsidR="00C532E3" w:rsidRPr="00D42154">
        <w:rPr>
          <w:rFonts w:ascii="Times New Roman" w:eastAsia="Times New Roman" w:hAnsi="Times New Roman" w:cs="Times New Roman"/>
          <w:bCs/>
          <w:sz w:val="24"/>
          <w:szCs w:val="24"/>
          <w:lang w:eastAsia="es-ES"/>
        </w:rPr>
        <w:t>75 cada mes solo para cobrar tu sueldo</w:t>
      </w: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 apunta Vallas.</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Pero los gastos no terminan allí pues, luego, para hacer frente al pago de alquiler de sus viviendas y cualquier otra factura de servicios como electricidad o agua tienen que comprar unas órdenes de pago, cuyo costo es de US$</w:t>
      </w:r>
      <w:r w:rsidR="00D42154">
        <w:rPr>
          <w:rFonts w:ascii="Times New Roman" w:eastAsia="Times New Roman" w:hAnsi="Times New Roman" w:cs="Times New Roman"/>
          <w:sz w:val="24"/>
          <w:szCs w:val="24"/>
          <w:lang w:eastAsia="es-ES"/>
        </w:rPr>
        <w:t xml:space="preserve"> </w:t>
      </w:r>
      <w:r w:rsidRPr="00D42154">
        <w:rPr>
          <w:rFonts w:ascii="Times New Roman" w:eastAsia="Times New Roman" w:hAnsi="Times New Roman" w:cs="Times New Roman"/>
          <w:sz w:val="24"/>
          <w:szCs w:val="24"/>
          <w:lang w:eastAsia="es-ES"/>
        </w:rPr>
        <w:t>1,5 por cada una.</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8D25A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0CDA5F8C" wp14:editId="3090480A">
            <wp:extent cx="5530850" cy="2990850"/>
            <wp:effectExtent l="0" t="0" r="0" b="0"/>
            <wp:docPr id="43" name="Imagen 43" descr="Un hombre en un cajero automá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Un hombre en un cajero automátic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30850" cy="29908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Estados Unidos, muchos bancos exigen a los clientes contar con un saldo mínimo promedio mensual de US$</w:t>
      </w:r>
      <w:r w:rsidR="00D42154">
        <w:rPr>
          <w:rFonts w:ascii="Times New Roman" w:eastAsia="Times New Roman" w:hAnsi="Times New Roman" w:cs="Times New Roman"/>
          <w:sz w:val="24"/>
          <w:szCs w:val="24"/>
          <w:lang w:eastAsia="es-ES"/>
        </w:rPr>
        <w:t xml:space="preserve"> </w:t>
      </w:r>
      <w:r w:rsidRPr="00745D61">
        <w:rPr>
          <w:rFonts w:ascii="Times New Roman" w:eastAsia="Times New Roman" w:hAnsi="Times New Roman" w:cs="Times New Roman"/>
          <w:sz w:val="24"/>
          <w:szCs w:val="24"/>
          <w:lang w:eastAsia="es-ES"/>
        </w:rPr>
        <w:t>1.500 o disponer de un pago directo de nómina para no tener que pagar comisión por mantenimiento de cuentas.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Estas cosas también pueden sonar como poco pero si eres </w:t>
      </w:r>
      <w:r w:rsidR="00C532E3" w:rsidRPr="00D42154">
        <w:rPr>
          <w:rFonts w:ascii="Times New Roman" w:eastAsia="Times New Roman" w:hAnsi="Times New Roman" w:cs="Times New Roman"/>
          <w:bCs/>
          <w:sz w:val="24"/>
          <w:szCs w:val="24"/>
          <w:lang w:eastAsia="es-ES"/>
        </w:rPr>
        <w:t>una familia de bajos ingresos puedes terminar pagando US$</w:t>
      </w:r>
      <w:r>
        <w:rPr>
          <w:rFonts w:ascii="Times New Roman" w:eastAsia="Times New Roman" w:hAnsi="Times New Roman" w:cs="Times New Roman"/>
          <w:bCs/>
          <w:sz w:val="24"/>
          <w:szCs w:val="24"/>
          <w:lang w:eastAsia="es-ES"/>
        </w:rPr>
        <w:t xml:space="preserve"> </w:t>
      </w:r>
      <w:r w:rsidR="00C532E3" w:rsidRPr="00D42154">
        <w:rPr>
          <w:rFonts w:ascii="Times New Roman" w:eastAsia="Times New Roman" w:hAnsi="Times New Roman" w:cs="Times New Roman"/>
          <w:bCs/>
          <w:sz w:val="24"/>
          <w:szCs w:val="24"/>
          <w:lang w:eastAsia="es-ES"/>
        </w:rPr>
        <w:t>1.850 al año por servicios financieros básicos</w:t>
      </w:r>
      <w:r w:rsidR="00C532E3" w:rsidRPr="00D42154">
        <w:rPr>
          <w:rFonts w:ascii="Times New Roman" w:eastAsia="Times New Roman" w:hAnsi="Times New Roman" w:cs="Times New Roman"/>
          <w:sz w:val="24"/>
          <w:szCs w:val="24"/>
          <w:lang w:eastAsia="es-ES"/>
        </w:rPr>
        <w:t> que las personas que tienen cuentas ban</w:t>
      </w:r>
      <w:r>
        <w:rPr>
          <w:rFonts w:ascii="Times New Roman" w:eastAsia="Times New Roman" w:hAnsi="Times New Roman" w:cs="Times New Roman"/>
          <w:sz w:val="24"/>
          <w:szCs w:val="24"/>
          <w:lang w:eastAsia="es-ES"/>
        </w:rPr>
        <w:t>carias disfrutan cotidianamente”</w:t>
      </w:r>
      <w:r w:rsidR="00C532E3" w:rsidRPr="00D42154">
        <w:rPr>
          <w:rFonts w:ascii="Times New Roman" w:eastAsia="Times New Roman" w:hAnsi="Times New Roman" w:cs="Times New Roman"/>
          <w:sz w:val="24"/>
          <w:szCs w:val="24"/>
          <w:lang w:eastAsia="es-ES"/>
        </w:rPr>
        <w:t>, señala Vallas.</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Una solución posible para esta situación sería que los miembros de estas familias intenten buscar mejores empleos.</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Sin embargo, </w:t>
      </w:r>
      <w:r w:rsidRPr="00D42154">
        <w:rPr>
          <w:rFonts w:ascii="Times New Roman" w:eastAsia="Times New Roman" w:hAnsi="Times New Roman" w:cs="Times New Roman"/>
          <w:bCs/>
          <w:sz w:val="24"/>
          <w:szCs w:val="24"/>
          <w:lang w:eastAsia="es-ES"/>
        </w:rPr>
        <w:t>no es fácil escapar de los trabajos poco remunerados</w:t>
      </w:r>
      <w:r w:rsidRPr="00D42154">
        <w:rPr>
          <w:rFonts w:ascii="Times New Roman" w:eastAsia="Times New Roman" w:hAnsi="Times New Roman" w:cs="Times New Roman"/>
          <w:sz w:val="24"/>
          <w:szCs w:val="24"/>
          <w:lang w:eastAsia="es-ES"/>
        </w:rPr>
        <w:t>, según reveló Barbara Ehrenreich, autora del libro </w:t>
      </w:r>
      <w:r w:rsidRPr="00D42154">
        <w:rPr>
          <w:rFonts w:ascii="Times New Roman" w:eastAsia="Times New Roman" w:hAnsi="Times New Roman" w:cs="Times New Roman"/>
          <w:i/>
          <w:iCs/>
          <w:sz w:val="24"/>
          <w:szCs w:val="24"/>
          <w:lang w:eastAsia="es-ES"/>
        </w:rPr>
        <w:t>Nickel and Dimed: On (Not) Getting By in America</w:t>
      </w:r>
      <w:r w:rsidRPr="00D42154">
        <w:rPr>
          <w:rFonts w:ascii="Times New Roman" w:eastAsia="Times New Roman" w:hAnsi="Times New Roman" w:cs="Times New Roman"/>
          <w:sz w:val="24"/>
          <w:szCs w:val="24"/>
          <w:lang w:eastAsia="es-ES"/>
        </w:rPr>
        <w:t> (traducido en España como Por cuatro duros. Cómo (no) apañárselas en Estados Unidos).</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Durante la investigación para ese texto, la escritora asumió trabajos como camarera, trabajadora de limpieza, conserje de hotel, vendedora en un supermercado, entre otros.</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Lo que descubrí es que </w:t>
      </w:r>
      <w:r w:rsidR="00C532E3" w:rsidRPr="00D42154">
        <w:rPr>
          <w:rFonts w:ascii="Times New Roman" w:eastAsia="Times New Roman" w:hAnsi="Times New Roman" w:cs="Times New Roman"/>
          <w:bCs/>
          <w:sz w:val="24"/>
          <w:szCs w:val="24"/>
          <w:lang w:eastAsia="es-ES"/>
        </w:rPr>
        <w:t>en gran medida estos empleos son una trampa: pagan tan poco que no puedes acumular ni siquiera unos US$</w:t>
      </w:r>
      <w:r>
        <w:rPr>
          <w:rFonts w:ascii="Times New Roman" w:eastAsia="Times New Roman" w:hAnsi="Times New Roman" w:cs="Times New Roman"/>
          <w:bCs/>
          <w:sz w:val="24"/>
          <w:szCs w:val="24"/>
          <w:lang w:eastAsia="es-ES"/>
        </w:rPr>
        <w:t xml:space="preserve"> </w:t>
      </w:r>
      <w:r w:rsidR="00C532E3" w:rsidRPr="00D42154">
        <w:rPr>
          <w:rFonts w:ascii="Times New Roman" w:eastAsia="Times New Roman" w:hAnsi="Times New Roman" w:cs="Times New Roman"/>
          <w:bCs/>
          <w:sz w:val="24"/>
          <w:szCs w:val="24"/>
          <w:lang w:eastAsia="es-ES"/>
        </w:rPr>
        <w:t>200 para ayudarte a hacer la transición hacia trabajos mejor pagados</w:t>
      </w:r>
      <w:r w:rsidR="00C532E3" w:rsidRPr="00D42154">
        <w:rPr>
          <w:rFonts w:ascii="Times New Roman" w:eastAsia="Times New Roman" w:hAnsi="Times New Roman" w:cs="Times New Roman"/>
          <w:sz w:val="24"/>
          <w:szCs w:val="24"/>
          <w:lang w:eastAsia="es-ES"/>
        </w:rPr>
        <w:t xml:space="preserve">. Con frecuencia no te dan control sobre tu horario de trabajo, haciendo imposible que hagas arreglos para el cuidado de tus </w:t>
      </w:r>
      <w:r>
        <w:rPr>
          <w:rFonts w:ascii="Times New Roman" w:eastAsia="Times New Roman" w:hAnsi="Times New Roman" w:cs="Times New Roman"/>
          <w:sz w:val="24"/>
          <w:szCs w:val="24"/>
          <w:lang w:eastAsia="es-ES"/>
        </w:rPr>
        <w:t>hijos o tomar un segundo empleo”</w:t>
      </w:r>
      <w:r w:rsidR="00C532E3" w:rsidRPr="00D42154">
        <w:rPr>
          <w:rFonts w:ascii="Times New Roman" w:eastAsia="Times New Roman" w:hAnsi="Times New Roman" w:cs="Times New Roman"/>
          <w:sz w:val="24"/>
          <w:szCs w:val="24"/>
          <w:lang w:eastAsia="es-ES"/>
        </w:rPr>
        <w:t>, relató Ehrenreich en un artículo para </w:t>
      </w:r>
      <w:r w:rsidR="00C532E3" w:rsidRPr="00D42154">
        <w:rPr>
          <w:rFonts w:ascii="Times New Roman" w:eastAsia="Times New Roman" w:hAnsi="Times New Roman" w:cs="Times New Roman"/>
          <w:i/>
          <w:iCs/>
          <w:sz w:val="24"/>
          <w:szCs w:val="24"/>
          <w:lang w:eastAsia="es-ES"/>
        </w:rPr>
        <w:t>The Atlantic</w:t>
      </w:r>
      <w:r w:rsidR="00C532E3" w:rsidRPr="00D42154">
        <w:rPr>
          <w:rFonts w:ascii="Times New Roman" w:eastAsia="Times New Roman" w:hAnsi="Times New Roman" w:cs="Times New Roman"/>
          <w:sz w:val="24"/>
          <w:szCs w:val="24"/>
          <w:lang w:eastAsia="es-ES"/>
        </w:rPr>
        <w:t>.</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Así, ser pobre en Estados Unidos no solo resulta ser algo costoso sino también una situación de la que es difícil escapar.</w:t>
      </w:r>
    </w:p>
    <w:p w:rsidR="00964D19" w:rsidRDefault="00964D19" w:rsidP="00C532E3">
      <w:pPr>
        <w:shd w:val="clear" w:color="auto" w:fill="FDFDFD"/>
        <w:spacing w:after="0" w:line="240" w:lineRule="auto"/>
        <w:jc w:val="both"/>
        <w:outlineLvl w:val="0"/>
        <w:rPr>
          <w:rFonts w:ascii="Times New Roman" w:hAnsi="Times New Roman" w:cs="Times New Roman"/>
          <w:sz w:val="24"/>
          <w:szCs w:val="24"/>
        </w:rPr>
      </w:pPr>
    </w:p>
    <w:p w:rsidR="00C532E3" w:rsidRPr="00745D61" w:rsidRDefault="00C532E3" w:rsidP="00C532E3">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r w:rsidRPr="00745D61">
        <w:rPr>
          <w:rFonts w:ascii="Times New Roman" w:eastAsia="Times New Roman" w:hAnsi="Times New Roman" w:cs="Times New Roman"/>
          <w:kern w:val="36"/>
          <w:sz w:val="24"/>
          <w:szCs w:val="24"/>
          <w:lang w:eastAsia="es-ES"/>
        </w:rPr>
        <w:t xml:space="preserve">- </w:t>
      </w:r>
      <w:r w:rsidRPr="00745D61">
        <w:rPr>
          <w:rFonts w:ascii="Times New Roman" w:eastAsia="Times New Roman" w:hAnsi="Times New Roman" w:cs="Times New Roman"/>
          <w:kern w:val="36"/>
          <w:sz w:val="24"/>
          <w:szCs w:val="24"/>
          <w:u w:val="single"/>
          <w:lang w:eastAsia="es-ES"/>
        </w:rPr>
        <w:t>7 duras críticas a Estados Unidos por la pobreza extrema que hay en el país más rico del mundo (y que el gobierno de Trump rechaza)</w:t>
      </w:r>
      <w:r w:rsidRPr="00745D61">
        <w:rPr>
          <w:rFonts w:ascii="Times New Roman" w:eastAsia="Times New Roman" w:hAnsi="Times New Roman" w:cs="Times New Roman"/>
          <w:kern w:val="36"/>
          <w:sz w:val="24"/>
          <w:szCs w:val="24"/>
          <w:lang w:eastAsia="es-ES"/>
        </w:rPr>
        <w:t xml:space="preserve"> (BBCMundo - </w:t>
      </w:r>
      <w:r w:rsidRPr="00745D61">
        <w:rPr>
          <w:rFonts w:ascii="Times New Roman" w:eastAsia="Times New Roman" w:hAnsi="Times New Roman" w:cs="Times New Roman"/>
          <w:b/>
          <w:kern w:val="36"/>
          <w:sz w:val="24"/>
          <w:szCs w:val="24"/>
          <w:lang w:eastAsia="es-ES"/>
        </w:rPr>
        <w:t>28/6/18</w:t>
      </w:r>
      <w:r w:rsidRPr="00745D61">
        <w:rPr>
          <w:rFonts w:ascii="Times New Roman" w:eastAsia="Times New Roman" w:hAnsi="Times New Roman" w:cs="Times New Roman"/>
          <w:kern w:val="36"/>
          <w:sz w:val="24"/>
          <w:szCs w:val="24"/>
          <w:lang w:eastAsia="es-ES"/>
        </w:rPr>
        <w:t>)</w:t>
      </w:r>
    </w:p>
    <w:p w:rsidR="00C532E3" w:rsidRPr="00745D61" w:rsidRDefault="00C532E3" w:rsidP="00C532E3">
      <w:p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(Por Ángel Bermúdez)</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2A287ABB" wp14:editId="6DF91C44">
            <wp:extent cx="5702300" cy="3086100"/>
            <wp:effectExtent l="0" t="0" r="0" b="0"/>
            <wp:docPr id="17" name="Imagen 17" descr="Una pareja que pertenece a una comunidad pobre en Florida esperan para ser atendidos por miembros de una ONG que ofrece atención médica y dental a quienes no pueden pagar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na pareja que pertenece a una comunidad pobre en Florida esperan para ser atendidos por miembros de una ONG que ofrece atención médica y dental a quienes no pueden pagarl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2300" cy="30861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r w:rsidRPr="00745D61">
        <w:rPr>
          <w:rFonts w:ascii="Times New Roman" w:eastAsia="Times New Roman" w:hAnsi="Times New Roman" w:cs="Times New Roman"/>
          <w:sz w:val="24"/>
          <w:szCs w:val="24"/>
          <w:lang w:eastAsia="es-ES"/>
        </w:rPr>
        <w:t>En Estados Unidos, el número de blancos en situación de pobreza supera por ocho millones la cifra de afroestadounidenses.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bCs/>
          <w:sz w:val="24"/>
          <w:szCs w:val="24"/>
          <w:lang w:eastAsia="es-ES"/>
        </w:rPr>
      </w:pPr>
      <w:r>
        <w:rPr>
          <w:rFonts w:ascii="Times New Roman" w:eastAsia="Times New Roman" w:hAnsi="Times New Roman" w:cs="Times New Roman"/>
          <w:bCs/>
          <w:sz w:val="24"/>
          <w:szCs w:val="24"/>
          <w:lang w:eastAsia="es-ES"/>
        </w:rPr>
        <w:t>“</w:t>
      </w:r>
      <w:r w:rsidR="00C532E3" w:rsidRPr="00D42154">
        <w:rPr>
          <w:rFonts w:ascii="Times New Roman" w:eastAsia="Times New Roman" w:hAnsi="Times New Roman" w:cs="Times New Roman"/>
          <w:bCs/>
          <w:sz w:val="24"/>
          <w:szCs w:val="24"/>
          <w:lang w:eastAsia="es-ES"/>
        </w:rPr>
        <w:t>Su enorme riqueza y conocimiento contrastan de forma chocante con las condiciones en las que viven grandes cantidades de sus ciudadanos. Unos 40 millones viven en pobreza, 18,5 millones en pobreza extrema y 5,3 millones viven en condiciones de pobreza e</w:t>
      </w:r>
      <w:r>
        <w:rPr>
          <w:rFonts w:ascii="Times New Roman" w:eastAsia="Times New Roman" w:hAnsi="Times New Roman" w:cs="Times New Roman"/>
          <w:bCs/>
          <w:sz w:val="24"/>
          <w:szCs w:val="24"/>
          <w:lang w:eastAsia="es-ES"/>
        </w:rPr>
        <w:t>xtrema propias del tercer mundo”</w:t>
      </w:r>
      <w:r w:rsidR="00C532E3" w:rsidRPr="00D42154">
        <w:rPr>
          <w:rFonts w:ascii="Times New Roman" w:eastAsia="Times New Roman" w:hAnsi="Times New Roman" w:cs="Times New Roman"/>
          <w:bCs/>
          <w:sz w:val="24"/>
          <w:szCs w:val="24"/>
          <w:lang w:eastAsia="es-ES"/>
        </w:rPr>
        <w:t>.</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Con estas palabras el relator sobre pobreza extrema y derechos humanos de la ONU, Philip G. Alston, se refiere a Estados Unidos en un informe en el que da cuenta de una gira de 15 días de investigación que realizó en ese país a finales de 2017.</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El texto es una crítica descarnada a la primera potencia del mundo, en la que se apuntan problemas como la creciente desigualdad, la persistencia del racismo o la existencia de un sesgo entre los sectores en el poder hacia los más pobres y desfavorecidos.</w:t>
      </w:r>
    </w:p>
    <w:p w:rsidR="00D42154"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En un país rico como Estados Unidos, </w:t>
      </w:r>
      <w:r w:rsidR="00C532E3" w:rsidRPr="00D42154">
        <w:rPr>
          <w:rFonts w:ascii="Times New Roman" w:eastAsia="Times New Roman" w:hAnsi="Times New Roman" w:cs="Times New Roman"/>
          <w:bCs/>
          <w:sz w:val="24"/>
          <w:szCs w:val="24"/>
          <w:lang w:eastAsia="es-ES"/>
        </w:rPr>
        <w:t>la persistencia de la pobreza extrema es una decisión política adoptada por quienes están en el poder</w:t>
      </w:r>
      <w:r w:rsidR="00C532E3" w:rsidRPr="00D42154">
        <w:rPr>
          <w:rFonts w:ascii="Times New Roman" w:eastAsia="Times New Roman" w:hAnsi="Times New Roman" w:cs="Times New Roman"/>
          <w:sz w:val="24"/>
          <w:szCs w:val="24"/>
          <w:lang w:eastAsia="es-ES"/>
        </w:rPr>
        <w:t xml:space="preserve">. Con voluntad política </w:t>
      </w:r>
      <w:r>
        <w:rPr>
          <w:rFonts w:ascii="Times New Roman" w:eastAsia="Times New Roman" w:hAnsi="Times New Roman" w:cs="Times New Roman"/>
          <w:sz w:val="24"/>
          <w:szCs w:val="24"/>
          <w:lang w:eastAsia="es-ES"/>
        </w:rPr>
        <w:t>podría ser fácilmente eliminada”</w:t>
      </w:r>
      <w:r w:rsidR="00C532E3" w:rsidRPr="00D42154">
        <w:rPr>
          <w:rFonts w:ascii="Times New Roman" w:eastAsia="Times New Roman" w:hAnsi="Times New Roman" w:cs="Times New Roman"/>
          <w:sz w:val="24"/>
          <w:szCs w:val="24"/>
          <w:lang w:eastAsia="es-ES"/>
        </w:rPr>
        <w:t>, señala Alston.</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 xml:space="preserve">Indica que hay una serie de ingredientes indispensables en una política para eliminar la pobreza, entre los que incluye cuestiones como las políticas de pleno empleo, la protección </w:t>
      </w:r>
      <w:r w:rsidRPr="00D42154">
        <w:rPr>
          <w:rFonts w:ascii="Times New Roman" w:eastAsia="Times New Roman" w:hAnsi="Times New Roman" w:cs="Times New Roman"/>
          <w:sz w:val="24"/>
          <w:szCs w:val="24"/>
          <w:lang w:eastAsia="es-ES"/>
        </w:rPr>
        <w:lastRenderedPageBreak/>
        <w:t>social para los más vulnerables, un sistema de justicia justo y efectivo; o la igualdad racial y de género.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Cómo se verá más adelante (en el texto), Estados Unidos se queda cor</w:t>
      </w:r>
      <w:r>
        <w:rPr>
          <w:rFonts w:ascii="Times New Roman" w:eastAsia="Times New Roman" w:hAnsi="Times New Roman" w:cs="Times New Roman"/>
          <w:sz w:val="24"/>
          <w:szCs w:val="24"/>
          <w:lang w:eastAsia="es-ES"/>
        </w:rPr>
        <w:t>to en cada una de estas medidas”</w:t>
      </w:r>
      <w:r w:rsidR="00C532E3" w:rsidRPr="00745D61">
        <w:rPr>
          <w:rFonts w:ascii="Times New Roman" w:eastAsia="Times New Roman" w:hAnsi="Times New Roman" w:cs="Times New Roman"/>
          <w:sz w:val="24"/>
          <w:szCs w:val="24"/>
          <w:lang w:eastAsia="es-ES"/>
        </w:rPr>
        <w:t>, apunta.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informe de Alston fue presentado la semana pasada ante el Consejo de Derechos Humanos de la ONU y recibió grandes críticas del gobierno de Donald Trump.</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08BE4FB9" wp14:editId="080518CB">
            <wp:extent cx="5975350" cy="2851150"/>
            <wp:effectExtent l="0" t="0" r="6350" b="6350"/>
            <wp:docPr id="18" name="Imagen 18" descr="Philip G. Als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hilip G. Alsto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5350" cy="28511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Estados Unidos considera que el informe del relator de la ONU sobre pobreza e</w:t>
      </w:r>
      <w:r w:rsidR="00D42154">
        <w:rPr>
          <w:rFonts w:ascii="Times New Roman" w:eastAsia="Times New Roman" w:hAnsi="Times New Roman" w:cs="Times New Roman"/>
          <w:sz w:val="24"/>
          <w:szCs w:val="24"/>
          <w:lang w:eastAsia="es-ES"/>
        </w:rPr>
        <w:t>xtrema, Philip G. Alston, está “motivado por razones políticas”</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Ejecutivo estadounidense sostien</w:t>
      </w:r>
      <w:r w:rsidR="00D42154">
        <w:rPr>
          <w:rFonts w:ascii="Times New Roman" w:eastAsia="Times New Roman" w:hAnsi="Times New Roman" w:cs="Times New Roman"/>
          <w:sz w:val="24"/>
          <w:szCs w:val="24"/>
          <w:lang w:eastAsia="es-ES"/>
        </w:rPr>
        <w:t>e que el texto contiene cifras “exageradas”</w:t>
      </w:r>
      <w:r w:rsidRPr="00745D61">
        <w:rPr>
          <w:rFonts w:ascii="Times New Roman" w:eastAsia="Times New Roman" w:hAnsi="Times New Roman" w:cs="Times New Roman"/>
          <w:sz w:val="24"/>
          <w:szCs w:val="24"/>
          <w:lang w:eastAsia="es-ES"/>
        </w:rPr>
        <w:t xml:space="preserve"> pues afirma que el número de personas en pobreza extrema en ese país no es de 18,5 millones sino de unas 250.000.</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La embajadora de Estados Unidos en la ONU, Nikki Haley, </w:t>
      </w:r>
      <w:r w:rsidRPr="00D42154">
        <w:rPr>
          <w:rFonts w:ascii="Times New Roman" w:eastAsia="Times New Roman" w:hAnsi="Times New Roman" w:cs="Times New Roman"/>
          <w:bCs/>
          <w:sz w:val="24"/>
          <w:szCs w:val="24"/>
          <w:lang w:eastAsia="es-ES"/>
        </w:rPr>
        <w:t>dijo que</w:t>
      </w:r>
      <w:r w:rsidR="00D42154">
        <w:rPr>
          <w:rFonts w:ascii="Times New Roman" w:eastAsia="Times New Roman" w:hAnsi="Times New Roman" w:cs="Times New Roman"/>
          <w:bCs/>
          <w:sz w:val="24"/>
          <w:szCs w:val="24"/>
          <w:lang w:eastAsia="es-ES"/>
        </w:rPr>
        <w:t xml:space="preserve"> el informe es engañoso y está “motivado por razones políticas”</w:t>
      </w:r>
      <w:r w:rsidRPr="00D42154">
        <w:rPr>
          <w:rFonts w:ascii="Times New Roman" w:eastAsia="Times New Roman" w:hAnsi="Times New Roman" w:cs="Times New Roman"/>
          <w:sz w:val="24"/>
          <w:szCs w:val="24"/>
          <w:lang w:eastAsia="es-ES"/>
        </w:rPr>
        <w:t> y acusó al r</w:t>
      </w:r>
      <w:r w:rsidR="00D42154">
        <w:rPr>
          <w:rFonts w:ascii="Times New Roman" w:eastAsia="Times New Roman" w:hAnsi="Times New Roman" w:cs="Times New Roman"/>
          <w:sz w:val="24"/>
          <w:szCs w:val="24"/>
          <w:lang w:eastAsia="es-ES"/>
        </w:rPr>
        <w:t>elator de “desperdiciar”</w:t>
      </w:r>
      <w:r w:rsidRPr="00D42154">
        <w:rPr>
          <w:rFonts w:ascii="Times New Roman" w:eastAsia="Times New Roman" w:hAnsi="Times New Roman" w:cs="Times New Roman"/>
          <w:sz w:val="24"/>
          <w:szCs w:val="24"/>
          <w:lang w:eastAsia="es-ES"/>
        </w:rPr>
        <w:t xml:space="preserve"> los recursos de l</w:t>
      </w:r>
      <w:r w:rsidR="00D42154">
        <w:rPr>
          <w:rFonts w:ascii="Times New Roman" w:eastAsia="Times New Roman" w:hAnsi="Times New Roman" w:cs="Times New Roman"/>
          <w:sz w:val="24"/>
          <w:szCs w:val="24"/>
          <w:lang w:eastAsia="es-ES"/>
        </w:rPr>
        <w:t>a ONU al investigar la pobreza “</w:t>
      </w:r>
      <w:r w:rsidRPr="00D42154">
        <w:rPr>
          <w:rFonts w:ascii="Times New Roman" w:eastAsia="Times New Roman" w:hAnsi="Times New Roman" w:cs="Times New Roman"/>
          <w:sz w:val="24"/>
          <w:szCs w:val="24"/>
          <w:lang w:eastAsia="es-ES"/>
        </w:rPr>
        <w:t xml:space="preserve">en el </w:t>
      </w:r>
      <w:r w:rsidR="00D42154">
        <w:rPr>
          <w:rFonts w:ascii="Times New Roman" w:eastAsia="Times New Roman" w:hAnsi="Times New Roman" w:cs="Times New Roman"/>
          <w:sz w:val="24"/>
          <w:szCs w:val="24"/>
          <w:lang w:eastAsia="es-ES"/>
        </w:rPr>
        <w:t>país más rico y libre del mundo”</w:t>
      </w:r>
      <w:r w:rsidRPr="00D42154">
        <w:rPr>
          <w:rFonts w:ascii="Times New Roman" w:eastAsia="Times New Roman" w:hAnsi="Times New Roman" w:cs="Times New Roman"/>
          <w:sz w:val="24"/>
          <w:szCs w:val="24"/>
          <w:lang w:eastAsia="es-ES"/>
        </w:rPr>
        <w:t xml:space="preserve"> en lugar de centrarse en países donde los gobiernos causan el sufrimiento de su propia población como Burundi y la República Democrática del Congo.</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BBC Mundo te cuenta cuáles son algunos de los cuestionamientos más duros que hace el informe de Alston.</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1.- El sueño es una ilusión</w:t>
      </w:r>
    </w:p>
    <w:p w:rsidR="00964D19" w:rsidRPr="00745D61" w:rsidRDefault="00964D19"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Los defensores del status quo señalan a Estados Unidos como una tierra de oportunidades y un lugar donde el sueño americano puede hacerse realidad porque los más pobres pueden aspirar</w:t>
      </w:r>
      <w:r>
        <w:rPr>
          <w:rFonts w:ascii="Times New Roman" w:eastAsia="Times New Roman" w:hAnsi="Times New Roman" w:cs="Times New Roman"/>
          <w:sz w:val="24"/>
          <w:szCs w:val="24"/>
          <w:lang w:eastAsia="es-ES"/>
        </w:rPr>
        <w:t xml:space="preserve"> a llegar al grupo de los ricos”</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Pero la realidad actual es muy distinta. </w:t>
      </w:r>
      <w:r w:rsidR="00C532E3" w:rsidRPr="00D42154">
        <w:rPr>
          <w:rFonts w:ascii="Times New Roman" w:eastAsia="Times New Roman" w:hAnsi="Times New Roman" w:cs="Times New Roman"/>
          <w:bCs/>
          <w:sz w:val="24"/>
          <w:szCs w:val="24"/>
          <w:lang w:eastAsia="es-ES"/>
        </w:rPr>
        <w:t>Estados Unidos tiene ahora una de las tasas más bajas de movilidad social intergeneracional de los países ricos</w:t>
      </w:r>
      <w:r w:rsidRPr="00D42154">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 señala Alston a propósito de uno de los elementos clave de la sociedad estadounidense.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4694DA25" wp14:editId="57819256">
            <wp:extent cx="5695950" cy="2971800"/>
            <wp:effectExtent l="0" t="0" r="0" b="0"/>
            <wp:docPr id="19" name="Imagen 19" descr="Un niño en una casa pobre en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n niño en una casa pobre en Estados Unidos."/>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5950" cy="29718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Al igual que la riqueza, la pobreza también se transmite entre generaciones en Estados Unidos.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Las altas tasas de pobreza infantil y juvenil perpetúan muy efectivamente la transmisión de la pobreza intergeneracional y aseguran que el sueño americano rápidamente se convierta en la ilusión americana. </w:t>
      </w:r>
      <w:r w:rsidR="00C532E3" w:rsidRPr="00D42154">
        <w:rPr>
          <w:rFonts w:ascii="Times New Roman" w:eastAsia="Times New Roman" w:hAnsi="Times New Roman" w:cs="Times New Roman"/>
          <w:bCs/>
          <w:sz w:val="24"/>
          <w:szCs w:val="24"/>
          <w:lang w:eastAsia="es-ES"/>
        </w:rPr>
        <w:t>La igualdad de oportunidades, que es tan valorada en teoría, en la práctica es un mito</w:t>
      </w:r>
      <w:r w:rsidR="00C532E3" w:rsidRPr="00D42154">
        <w:rPr>
          <w:rFonts w:ascii="Times New Roman" w:eastAsia="Times New Roman" w:hAnsi="Times New Roman" w:cs="Times New Roman"/>
          <w:sz w:val="24"/>
          <w:szCs w:val="24"/>
          <w:lang w:eastAsia="es-ES"/>
        </w:rPr>
        <w:t>, especialmente para las minorías y las mujeres, pero también para muchas familias de trab</w:t>
      </w:r>
      <w:r>
        <w:rPr>
          <w:rFonts w:ascii="Times New Roman" w:eastAsia="Times New Roman" w:hAnsi="Times New Roman" w:cs="Times New Roman"/>
          <w:sz w:val="24"/>
          <w:szCs w:val="24"/>
          <w:lang w:eastAsia="es-ES"/>
        </w:rPr>
        <w:t>ajadores blancos de clase media”</w:t>
      </w:r>
      <w:r w:rsidR="00C532E3" w:rsidRPr="00D42154">
        <w:rPr>
          <w:rFonts w:ascii="Times New Roman" w:eastAsia="Times New Roman" w:hAnsi="Times New Roman" w:cs="Times New Roman"/>
          <w:sz w:val="24"/>
          <w:szCs w:val="24"/>
          <w:lang w:eastAsia="es-ES"/>
        </w:rPr>
        <w:t>, agrega.</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2.- Pobres malos, ricos buenos</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informe critica el peso que al hablar sobre l</w:t>
      </w:r>
      <w:r w:rsidR="00D42154">
        <w:rPr>
          <w:rFonts w:ascii="Times New Roman" w:eastAsia="Times New Roman" w:hAnsi="Times New Roman" w:cs="Times New Roman"/>
          <w:sz w:val="24"/>
          <w:szCs w:val="24"/>
          <w:lang w:eastAsia="es-ES"/>
        </w:rPr>
        <w:t>a pobreza se le da a la imagen “caricaturizada”</w:t>
      </w:r>
      <w:r w:rsidRPr="00745D61">
        <w:rPr>
          <w:rFonts w:ascii="Times New Roman" w:eastAsia="Times New Roman" w:hAnsi="Times New Roman" w:cs="Times New Roman"/>
          <w:sz w:val="24"/>
          <w:szCs w:val="24"/>
          <w:lang w:eastAsia="es-ES"/>
        </w:rPr>
        <w:t xml:space="preserve"> sobre las supuestas diferencias entre ric</w:t>
      </w:r>
      <w:r w:rsidR="00D42154">
        <w:rPr>
          <w:rFonts w:ascii="Times New Roman" w:eastAsia="Times New Roman" w:hAnsi="Times New Roman" w:cs="Times New Roman"/>
          <w:sz w:val="24"/>
          <w:szCs w:val="24"/>
          <w:lang w:eastAsia="es-ES"/>
        </w:rPr>
        <w:t>os y pobres que son difundidas “</w:t>
      </w:r>
      <w:r w:rsidRPr="00745D61">
        <w:rPr>
          <w:rFonts w:ascii="Times New Roman" w:eastAsia="Times New Roman" w:hAnsi="Times New Roman" w:cs="Times New Roman"/>
          <w:sz w:val="24"/>
          <w:szCs w:val="24"/>
          <w:lang w:eastAsia="es-ES"/>
        </w:rPr>
        <w:t>por algunos pol</w:t>
      </w:r>
      <w:r w:rsidR="00D42154">
        <w:rPr>
          <w:rFonts w:ascii="Times New Roman" w:eastAsia="Times New Roman" w:hAnsi="Times New Roman" w:cs="Times New Roman"/>
          <w:sz w:val="24"/>
          <w:szCs w:val="24"/>
          <w:lang w:eastAsia="es-ES"/>
        </w:rPr>
        <w:t>íticos y medios estadounidenses”</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 xml:space="preserve">Los ricos son trabajadores, emprendedores, patriotas e impulsores del éxito económico. Los pobres son vagos, perdedores y tramposos. Como consecuencia de ello, (se considera que) el dinero que se gaste en bienestar social </w:t>
      </w:r>
      <w:r>
        <w:rPr>
          <w:rFonts w:ascii="Times New Roman" w:eastAsia="Times New Roman" w:hAnsi="Times New Roman" w:cs="Times New Roman"/>
          <w:sz w:val="24"/>
          <w:szCs w:val="24"/>
          <w:lang w:eastAsia="es-ES"/>
        </w:rPr>
        <w:t>es dinero tirado a las cañerías”</w:t>
      </w:r>
      <w:r w:rsidR="00C532E3" w:rsidRPr="00745D61">
        <w:rPr>
          <w:rFonts w:ascii="Times New Roman" w:eastAsia="Times New Roman" w:hAnsi="Times New Roman" w:cs="Times New Roman"/>
          <w:sz w:val="24"/>
          <w:szCs w:val="24"/>
          <w:lang w:eastAsia="es-ES"/>
        </w:rPr>
        <w:t>, critica Alston.</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La realidad, sin embargo, es muy diferente. </w:t>
      </w:r>
      <w:r w:rsidR="00C532E3" w:rsidRPr="00D42154">
        <w:rPr>
          <w:rFonts w:ascii="Times New Roman" w:eastAsia="Times New Roman" w:hAnsi="Times New Roman" w:cs="Times New Roman"/>
          <w:bCs/>
          <w:sz w:val="24"/>
          <w:szCs w:val="24"/>
          <w:lang w:eastAsia="es-ES"/>
        </w:rPr>
        <w:t>Muchos de los más ricos no pagan sus impuestos a las mismas tasas que lo hacen otros</w:t>
      </w:r>
      <w:r w:rsidR="00C532E3" w:rsidRPr="00D42154">
        <w:rPr>
          <w:rFonts w:ascii="Times New Roman" w:eastAsia="Times New Roman" w:hAnsi="Times New Roman" w:cs="Times New Roman"/>
          <w:sz w:val="24"/>
          <w:szCs w:val="24"/>
          <w:lang w:eastAsia="es-ES"/>
        </w:rPr>
        <w:t>, acumulan gran parte de sus fortunas en paraísos fiscales y obtienen sus ganancias solamente de la especulación, en lugar de contribuir a la riqueza general</w:t>
      </w:r>
      <w:r>
        <w:rPr>
          <w:rFonts w:ascii="Times New Roman" w:eastAsia="Times New Roman" w:hAnsi="Times New Roman" w:cs="Times New Roman"/>
          <w:sz w:val="24"/>
          <w:szCs w:val="24"/>
          <w:lang w:eastAsia="es-ES"/>
        </w:rPr>
        <w:t xml:space="preserve"> de la comunidad estadounidense”</w:t>
      </w:r>
      <w:r w:rsidR="00C532E3" w:rsidRPr="00D42154">
        <w:rPr>
          <w:rFonts w:ascii="Times New Roman" w:eastAsia="Times New Roman" w:hAnsi="Times New Roman" w:cs="Times New Roman"/>
          <w:sz w:val="24"/>
          <w:szCs w:val="24"/>
          <w:lang w:eastAsia="es-ES"/>
        </w:rPr>
        <w:t>, apunta.</w:t>
      </w:r>
    </w:p>
    <w:p w:rsidR="00D42154"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En toda sociedad hay quienes abusan del sistema, tanto en los niveles superiores como en los inferiores. Pero, en realidad, </w:t>
      </w:r>
      <w:r w:rsidR="00C532E3" w:rsidRPr="00D42154">
        <w:rPr>
          <w:rFonts w:ascii="Times New Roman" w:eastAsia="Times New Roman" w:hAnsi="Times New Roman" w:cs="Times New Roman"/>
          <w:bCs/>
          <w:sz w:val="24"/>
          <w:szCs w:val="24"/>
          <w:lang w:eastAsia="es-ES"/>
        </w:rPr>
        <w:t>los pobres son mayoritariamente aquellos que nacieron en la pobreza</w:t>
      </w:r>
      <w:r w:rsidR="00C532E3" w:rsidRPr="00D42154">
        <w:rPr>
          <w:rFonts w:ascii="Times New Roman" w:eastAsia="Times New Roman" w:hAnsi="Times New Roman" w:cs="Times New Roman"/>
          <w:sz w:val="24"/>
          <w:szCs w:val="24"/>
          <w:lang w:eastAsia="es-ES"/>
        </w:rPr>
        <w:t>, o quienes cayeron allí por circunstancias que en gran medida se hayan fuera de su control, como las enfermedades mentales y físi</w:t>
      </w:r>
      <w:r>
        <w:rPr>
          <w:rFonts w:ascii="Times New Roman" w:eastAsia="Times New Roman" w:hAnsi="Times New Roman" w:cs="Times New Roman"/>
          <w:sz w:val="24"/>
          <w:szCs w:val="24"/>
          <w:lang w:eastAsia="es-ES"/>
        </w:rPr>
        <w:t>cas”</w:t>
      </w:r>
      <w:r w:rsidR="00C532E3" w:rsidRPr="00D42154">
        <w:rPr>
          <w:rFonts w:ascii="Times New Roman" w:eastAsia="Times New Roman" w:hAnsi="Times New Roman" w:cs="Times New Roman"/>
          <w:sz w:val="24"/>
          <w:szCs w:val="24"/>
          <w:lang w:eastAsia="es-ES"/>
        </w:rPr>
        <w:t>.</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D42154">
        <w:rPr>
          <w:rFonts w:ascii="Times New Roman" w:eastAsia="Times New Roman" w:hAnsi="Times New Roman" w:cs="Times New Roman"/>
          <w:sz w:val="24"/>
          <w:szCs w:val="24"/>
          <w:lang w:eastAsia="es-ES"/>
        </w:rPr>
        <w:t>Estos prejuicios sobre ricos y pobres se reflejan en la formulación de políticas.</w:t>
      </w:r>
    </w:p>
    <w:p w:rsidR="00E814FC" w:rsidRPr="00D42154" w:rsidRDefault="00E814FC"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El relator especial señala, por ejemplo, que uno de los principales argumentos para impulsar los recortes en los beneficios sociales son las acusaciones sobre la existencia de un fraude generalizado en el uso de los mismos y que muchos de los funcionarios con los que habló le advirtieron que había personas que estaban buscando todo el tiempo formas de sacar provecho del sistema.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D42154" w:rsidRDefault="00D42154"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D42154">
        <w:rPr>
          <w:rFonts w:ascii="Times New Roman" w:eastAsia="Times New Roman" w:hAnsi="Times New Roman" w:cs="Times New Roman"/>
          <w:sz w:val="24"/>
          <w:szCs w:val="24"/>
          <w:lang w:eastAsia="es-ES"/>
        </w:rPr>
        <w:t>El contraste con la reforma fiscal es ilustrativo. </w:t>
      </w:r>
      <w:r w:rsidR="00C532E3" w:rsidRPr="00D42154">
        <w:rPr>
          <w:rFonts w:ascii="Times New Roman" w:eastAsia="Times New Roman" w:hAnsi="Times New Roman" w:cs="Times New Roman"/>
          <w:bCs/>
          <w:sz w:val="24"/>
          <w:szCs w:val="24"/>
          <w:lang w:eastAsia="es-ES"/>
        </w:rPr>
        <w:t>En el contexto de los impuestos, se pone una fe inmensa en la buena voluntad y el altruismo de los beneficiarios corporativos</w:t>
      </w:r>
      <w:r w:rsidR="00C532E3" w:rsidRPr="00D42154">
        <w:rPr>
          <w:rFonts w:ascii="Times New Roman" w:eastAsia="Times New Roman" w:hAnsi="Times New Roman" w:cs="Times New Roman"/>
          <w:sz w:val="24"/>
          <w:szCs w:val="24"/>
          <w:lang w:eastAsia="es-ES"/>
        </w:rPr>
        <w:t>, mientras que en la reforma del estado de bienestar se a</w:t>
      </w:r>
      <w:r w:rsidR="008C2830">
        <w:rPr>
          <w:rFonts w:ascii="Times New Roman" w:eastAsia="Times New Roman" w:hAnsi="Times New Roman" w:cs="Times New Roman"/>
          <w:sz w:val="24"/>
          <w:szCs w:val="24"/>
          <w:lang w:eastAsia="es-ES"/>
        </w:rPr>
        <w:t>plican los supuestos contrarios”</w:t>
      </w:r>
      <w:r w:rsidR="00C532E3" w:rsidRPr="00D42154">
        <w:rPr>
          <w:rFonts w:ascii="Times New Roman" w:eastAsia="Times New Roman" w:hAnsi="Times New Roman" w:cs="Times New Roman"/>
          <w:sz w:val="24"/>
          <w:szCs w:val="24"/>
          <w:lang w:eastAsia="es-ES"/>
        </w:rPr>
        <w:t>, asegura.</w:t>
      </w:r>
    </w:p>
    <w:p w:rsidR="00C532E3" w:rsidRPr="00D42154"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3.- Empleados pobres</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Alston destaca que uno de los argumentos utilizados en Estados Unidos por quienes abogan por recortes en los beneficios sociales es que los pobres deben dejar de depender de las ayudas y ponerse a trabajar.</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Se asume, especialmente en una economía que progresa, que hay muchos empleos esperando a ser ocupados por individuos con poca educación, que con frecuencia tienen una discapacidad de un tipo u otro, a veces cargados con un historial criminal (con frecuencia relacionado con la pobreza) sin mucho acceso al sistema de salud y sin entrenamiento ni ayuda efe</w:t>
      </w:r>
      <w:r>
        <w:rPr>
          <w:rFonts w:ascii="Times New Roman" w:eastAsia="Times New Roman" w:hAnsi="Times New Roman" w:cs="Times New Roman"/>
          <w:sz w:val="24"/>
          <w:szCs w:val="24"/>
          <w:lang w:eastAsia="es-ES"/>
        </w:rPr>
        <w:t>ctiva para conseguir un trabajo”</w:t>
      </w:r>
      <w:r w:rsidR="00C532E3" w:rsidRPr="00745D61">
        <w:rPr>
          <w:rFonts w:ascii="Times New Roman" w:eastAsia="Times New Roman" w:hAnsi="Times New Roman" w:cs="Times New Roman"/>
          <w:sz w:val="24"/>
          <w:szCs w:val="24"/>
          <w:lang w:eastAsia="es-ES"/>
        </w:rPr>
        <w:t>, señala.</w:t>
      </w:r>
    </w:p>
    <w:p w:rsidR="00E814FC" w:rsidRPr="00745D61" w:rsidRDefault="00E814FC"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20D7BF5E" wp14:editId="0FD52FA0">
            <wp:extent cx="5626100" cy="2584450"/>
            <wp:effectExtent l="0" t="0" r="0" b="6350"/>
            <wp:docPr id="20" name="Imagen 20" descr="Comercio que acepta cupones de aliment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omercio que acepta cupones de alimentació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26100" cy="25844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Pese a tener empleos muchas familias necesitan de los cupones de alimentación para llegar a fin de mes.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En realidad, el mercado laboral para estas personas es extraordinariamente limitado y, más aún, para aquellos que carecen de las formas básic</w:t>
      </w:r>
      <w:r>
        <w:rPr>
          <w:rFonts w:ascii="Times New Roman" w:eastAsia="Times New Roman" w:hAnsi="Times New Roman" w:cs="Times New Roman"/>
          <w:sz w:val="24"/>
          <w:szCs w:val="24"/>
          <w:lang w:eastAsia="es-ES"/>
        </w:rPr>
        <w:t>as de apoyo y protección social”</w:t>
      </w:r>
      <w:r w:rsidR="00C532E3" w:rsidRPr="00745D61">
        <w:rPr>
          <w:rFonts w:ascii="Times New Roman" w:eastAsia="Times New Roman" w:hAnsi="Times New Roman" w:cs="Times New Roman"/>
          <w:sz w:val="24"/>
          <w:szCs w:val="24"/>
          <w:lang w:eastAsia="es-ES"/>
        </w:rPr>
        <w:t>, añade.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Para ilustrar la insuficiencia de la estrategia de combatir la pobreza apostando por el trabajo pero sin el apoyo de las políticas sociales, Alston pone como ejemplo el caso de los trabajadores de Walmart, el mayor empleador de Estados Unidos.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8C2830"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8C2830">
        <w:rPr>
          <w:rFonts w:ascii="Times New Roman" w:eastAsia="Times New Roman" w:hAnsi="Times New Roman" w:cs="Times New Roman"/>
          <w:sz w:val="24"/>
          <w:szCs w:val="24"/>
          <w:lang w:eastAsia="es-ES"/>
        </w:rPr>
        <w:t>Muchos de sus trabajadores </w:t>
      </w:r>
      <w:r w:rsidR="00C532E3" w:rsidRPr="008C2830">
        <w:rPr>
          <w:rFonts w:ascii="Times New Roman" w:eastAsia="Times New Roman" w:hAnsi="Times New Roman" w:cs="Times New Roman"/>
          <w:bCs/>
          <w:sz w:val="24"/>
          <w:szCs w:val="24"/>
          <w:lang w:eastAsia="es-ES"/>
        </w:rPr>
        <w:t>no pueden sobrevivir, teniendo un trabajo a tiempo completo, si no reciben cupones de alimentación</w:t>
      </w:r>
      <w:r w:rsidR="00C532E3" w:rsidRPr="008C2830">
        <w:rPr>
          <w:rFonts w:ascii="Times New Roman" w:eastAsia="Times New Roman" w:hAnsi="Times New Roman" w:cs="Times New Roman"/>
          <w:sz w:val="24"/>
          <w:szCs w:val="24"/>
          <w:lang w:eastAsia="es-ES"/>
        </w:rPr>
        <w:t xml:space="preserve">. Esto encaja en una tendencia más amplia: el porcentaje </w:t>
      </w:r>
      <w:r w:rsidR="00C532E3" w:rsidRPr="008C2830">
        <w:rPr>
          <w:rFonts w:ascii="Times New Roman" w:eastAsia="Times New Roman" w:hAnsi="Times New Roman" w:cs="Times New Roman"/>
          <w:sz w:val="24"/>
          <w:szCs w:val="24"/>
          <w:lang w:eastAsia="es-ES"/>
        </w:rPr>
        <w:lastRenderedPageBreak/>
        <w:t>de hogares que, mientras tenían ingresos, también recibían asistencia para alimentación aumentó d</w:t>
      </w:r>
      <w:r>
        <w:rPr>
          <w:rFonts w:ascii="Times New Roman" w:eastAsia="Times New Roman" w:hAnsi="Times New Roman" w:cs="Times New Roman"/>
          <w:sz w:val="24"/>
          <w:szCs w:val="24"/>
          <w:lang w:eastAsia="es-ES"/>
        </w:rPr>
        <w:t>e 19,6% en 1989 a 31,8% en 2015”</w:t>
      </w:r>
      <w:r w:rsidR="00C532E3" w:rsidRPr="008C2830">
        <w:rPr>
          <w:rFonts w:ascii="Times New Roman" w:eastAsia="Times New Roman" w:hAnsi="Times New Roman" w:cs="Times New Roman"/>
          <w:sz w:val="24"/>
          <w:szCs w:val="24"/>
          <w:lang w:eastAsia="es-ES"/>
        </w:rPr>
        <w:t>, asegura.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4.- La justicia, una fuente de ingresos</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Alston señala que uno de los mecanismos que dificultan el progreso de los más pobres son la gran cantidad de multas y tasas que se aplican a quienes cometen pequeñas infracciones y que se acumulan hasta convertirse en una enorme carga para ellos.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Pone como ejemplo el hecho de que los permisos de conducir son suspendidos por una gran cantidad de faltas no relacionadas con el tráfico, como el no pagar una multa.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Esa es una forma perfecta para asegurarse de que los pobres, que viven en comunidades que se han negado a invertir seriamente en sistema de transporte público, sean incapaces de ganarse un dinero que les habría ayu</w:t>
      </w:r>
      <w:r>
        <w:rPr>
          <w:rFonts w:ascii="Times New Roman" w:eastAsia="Times New Roman" w:hAnsi="Times New Roman" w:cs="Times New Roman"/>
          <w:sz w:val="24"/>
          <w:szCs w:val="24"/>
          <w:lang w:eastAsia="es-ES"/>
        </w:rPr>
        <w:t>dado a pagar la deuda pendiente”</w:t>
      </w:r>
      <w:r w:rsidR="00C532E3" w:rsidRPr="00745D61">
        <w:rPr>
          <w:rFonts w:ascii="Times New Roman" w:eastAsia="Times New Roman" w:hAnsi="Times New Roman" w:cs="Times New Roman"/>
          <w:sz w:val="24"/>
          <w:szCs w:val="24"/>
          <w:lang w:eastAsia="es-ES"/>
        </w:rPr>
        <w:t>, refiere.</w:t>
      </w:r>
    </w:p>
    <w:p w:rsidR="00E814FC" w:rsidRPr="00745D61" w:rsidRDefault="00E814FC"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0090C2A1" wp14:editId="4C874220">
            <wp:extent cx="5664200" cy="2851150"/>
            <wp:effectExtent l="0" t="0" r="0" b="6350"/>
            <wp:docPr id="24" name="Imagen 24" descr="Un policía pone una multa a un auto por estar mal estacion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Un policía pone una multa a un auto por estar mal estacionad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4200" cy="28511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Las multas por pequeñas infracciones pueden volverse una carga pesada para los más pobres.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ese sentido, el relator de la ONU critica como una práctica extendida en todo el país el uso del sistema legal para recaudar ingresos y no para promover la justicia.</w:t>
      </w:r>
    </w:p>
    <w:p w:rsidR="00E814FC" w:rsidRPr="00745D61" w:rsidRDefault="00E814FC"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8C2830">
        <w:rPr>
          <w:rFonts w:ascii="Times New Roman" w:eastAsia="Times New Roman" w:hAnsi="Times New Roman" w:cs="Times New Roman"/>
          <w:sz w:val="24"/>
          <w:szCs w:val="24"/>
          <w:lang w:eastAsia="es-ES"/>
        </w:rPr>
        <w:t>Asegura que esto se ha convertido en </w:t>
      </w:r>
      <w:r w:rsidR="008C2830">
        <w:rPr>
          <w:rFonts w:ascii="Times New Roman" w:eastAsia="Times New Roman" w:hAnsi="Times New Roman" w:cs="Times New Roman"/>
          <w:bCs/>
          <w:sz w:val="24"/>
          <w:szCs w:val="24"/>
          <w:lang w:eastAsia="es-ES"/>
        </w:rPr>
        <w:t>un mecanismo “</w:t>
      </w:r>
      <w:r w:rsidRPr="008C2830">
        <w:rPr>
          <w:rFonts w:ascii="Times New Roman" w:eastAsia="Times New Roman" w:hAnsi="Times New Roman" w:cs="Times New Roman"/>
          <w:bCs/>
          <w:sz w:val="24"/>
          <w:szCs w:val="24"/>
          <w:lang w:eastAsia="es-ES"/>
        </w:rPr>
        <w:t>para mantener a los pobres en la pobreza </w:t>
      </w:r>
      <w:r w:rsidRPr="008C2830">
        <w:rPr>
          <w:rFonts w:ascii="Times New Roman" w:eastAsia="Times New Roman" w:hAnsi="Times New Roman" w:cs="Times New Roman"/>
          <w:sz w:val="24"/>
          <w:szCs w:val="24"/>
          <w:lang w:eastAsia="es-ES"/>
        </w:rPr>
        <w:t>mientras generan ingresos para financiar no solo el sistema de justi</w:t>
      </w:r>
      <w:r w:rsidR="008C2830">
        <w:rPr>
          <w:rFonts w:ascii="Times New Roman" w:eastAsia="Times New Roman" w:hAnsi="Times New Roman" w:cs="Times New Roman"/>
          <w:sz w:val="24"/>
          <w:szCs w:val="24"/>
          <w:lang w:eastAsia="es-ES"/>
        </w:rPr>
        <w:t>cia sino muchos otros programas”</w:t>
      </w:r>
      <w:r w:rsidRPr="008C2830">
        <w:rPr>
          <w:rFonts w:ascii="Times New Roman" w:eastAsia="Times New Roman" w:hAnsi="Times New Roman" w:cs="Times New Roman"/>
          <w:sz w:val="24"/>
          <w:szCs w:val="24"/>
          <w:lang w:eastAsia="es-ES"/>
        </w:rPr>
        <w:t>.</w:t>
      </w: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5.- La criminalización de los pobres</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Entre las fallas del sistema legal, el informe también cuestiona que en muchas ciudades las personas sin hogar son criminalizadas simplemente por la situación en la que se encuentran.</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Dormir al descampado, sentarse en lugares públicos, mendigar, orinar en público y una infinidad de otras infracciones h</w:t>
      </w:r>
      <w:r>
        <w:rPr>
          <w:rFonts w:ascii="Times New Roman" w:eastAsia="Times New Roman" w:hAnsi="Times New Roman" w:cs="Times New Roman"/>
          <w:sz w:val="24"/>
          <w:szCs w:val="24"/>
          <w:lang w:eastAsia="es-ES"/>
        </w:rPr>
        <w:t>an sido concebidas para atacar “la plaga” de los sin techo”</w:t>
      </w:r>
      <w:r w:rsidR="00C532E3" w:rsidRPr="00745D61">
        <w:rPr>
          <w:rFonts w:ascii="Times New Roman" w:eastAsia="Times New Roman" w:hAnsi="Times New Roman" w:cs="Times New Roman"/>
          <w:sz w:val="24"/>
          <w:szCs w:val="24"/>
          <w:lang w:eastAsia="es-ES"/>
        </w:rPr>
        <w:t>, indica.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8C2830">
        <w:rPr>
          <w:rFonts w:ascii="Times New Roman" w:eastAsia="Times New Roman" w:hAnsi="Times New Roman" w:cs="Times New Roman"/>
          <w:sz w:val="24"/>
          <w:szCs w:val="24"/>
          <w:lang w:eastAsia="es-ES"/>
        </w:rPr>
        <w:lastRenderedPageBreak/>
        <w:t>Alston señala que, según cifras oficiales, </w:t>
      </w:r>
      <w:r w:rsidRPr="008C2830">
        <w:rPr>
          <w:rFonts w:ascii="Times New Roman" w:eastAsia="Times New Roman" w:hAnsi="Times New Roman" w:cs="Times New Roman"/>
          <w:bCs/>
          <w:sz w:val="24"/>
          <w:szCs w:val="24"/>
          <w:lang w:eastAsia="es-ES"/>
        </w:rPr>
        <w:t>en 2017 había en Estados Unidos unas 553.742 personas sin techo</w:t>
      </w:r>
      <w:r w:rsidRPr="008C2830">
        <w:rPr>
          <w:rFonts w:ascii="Times New Roman" w:eastAsia="Times New Roman" w:hAnsi="Times New Roman" w:cs="Times New Roman"/>
          <w:sz w:val="24"/>
          <w:szCs w:val="24"/>
          <w:lang w:eastAsia="es-ES"/>
        </w:rPr>
        <w:t> pero asegura que hay muchas evidencias de que la cantidad verdadera es mucho mayor.</w:t>
      </w: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Afirma que solo en la zona de Skid Row, en el centro de Los Ángeles, hay unos 1.800 sin techo que disponen de apenas 9 baños públicos, una cifra que ni siquiera cumple con los estándares de la ONU para los campos de refugiados sirios y para situaciones de emergencia.</w:t>
      </w:r>
    </w:p>
    <w:p w:rsidR="00E814FC" w:rsidRPr="00745D61" w:rsidRDefault="00E814FC"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7C00A2D5" wp14:editId="3F73CF8C">
            <wp:extent cx="5645150" cy="3130550"/>
            <wp:effectExtent l="0" t="0" r="0" b="0"/>
            <wp:docPr id="25" name="Imagen 25" descr="En Skid Row, en Los Ángeles, viven miles de personas sin tec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n Skid Row, en Los Ángeles, viven miles de personas sin tech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45150" cy="31305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Skid Row, en Los Ángeles, viven miles de personas sin techo.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8C2830"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8C2830">
        <w:rPr>
          <w:rFonts w:ascii="Times New Roman" w:eastAsia="Times New Roman" w:hAnsi="Times New Roman" w:cs="Times New Roman"/>
          <w:sz w:val="24"/>
          <w:szCs w:val="24"/>
          <w:lang w:eastAsia="es-ES"/>
        </w:rPr>
        <w:t>Que haya tantas personas sin techo </w:t>
      </w:r>
      <w:r w:rsidR="00C532E3" w:rsidRPr="008C2830">
        <w:rPr>
          <w:rFonts w:ascii="Times New Roman" w:eastAsia="Times New Roman" w:hAnsi="Times New Roman" w:cs="Times New Roman"/>
          <w:bCs/>
          <w:sz w:val="24"/>
          <w:szCs w:val="24"/>
          <w:lang w:eastAsia="es-ES"/>
        </w:rPr>
        <w:t>no es algo ni remotamente inevitable y refleja la decisión política de ver la solución en la aplicación de la justicia en lugar de en proveer viviendas adecuadas y accesibles</w:t>
      </w:r>
      <w:r w:rsidR="00C532E3" w:rsidRPr="008C2830">
        <w:rPr>
          <w:rFonts w:ascii="Times New Roman" w:eastAsia="Times New Roman" w:hAnsi="Times New Roman" w:cs="Times New Roman"/>
          <w:sz w:val="24"/>
          <w:szCs w:val="24"/>
          <w:lang w:eastAsia="es-ES"/>
        </w:rPr>
        <w:t xml:space="preserve">, servicios médicos, asesoría psicológica </w:t>
      </w:r>
      <w:r>
        <w:rPr>
          <w:rFonts w:ascii="Times New Roman" w:eastAsia="Times New Roman" w:hAnsi="Times New Roman" w:cs="Times New Roman"/>
          <w:sz w:val="24"/>
          <w:szCs w:val="24"/>
          <w:lang w:eastAsia="es-ES"/>
        </w:rPr>
        <w:t>y formación laboral”</w:t>
      </w:r>
      <w:r w:rsidR="00C532E3" w:rsidRPr="008C2830">
        <w:rPr>
          <w:rFonts w:ascii="Times New Roman" w:eastAsia="Times New Roman" w:hAnsi="Times New Roman" w:cs="Times New Roman"/>
          <w:sz w:val="24"/>
          <w:szCs w:val="24"/>
          <w:lang w:eastAsia="es-ES"/>
        </w:rPr>
        <w:t>, apunta.</w:t>
      </w: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8C2830"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8C2830">
        <w:rPr>
          <w:rFonts w:ascii="Times New Roman" w:eastAsia="Times New Roman" w:hAnsi="Times New Roman" w:cs="Times New Roman"/>
          <w:bCs/>
          <w:sz w:val="24"/>
          <w:szCs w:val="24"/>
          <w:lang w:eastAsia="es-ES"/>
        </w:rPr>
        <w:t>Castigar y apresar a los pobres es la respuesta típicamente estadounidense a la pobreza en el siglo XXI</w:t>
      </w:r>
      <w:r>
        <w:rPr>
          <w:rFonts w:ascii="Times New Roman" w:eastAsia="Times New Roman" w:hAnsi="Times New Roman" w:cs="Times New Roman"/>
          <w:sz w:val="24"/>
          <w:szCs w:val="24"/>
          <w:lang w:eastAsia="es-ES"/>
        </w:rPr>
        <w:t>”</w:t>
      </w:r>
      <w:r w:rsidR="00C532E3" w:rsidRPr="008C2830">
        <w:rPr>
          <w:rFonts w:ascii="Times New Roman" w:eastAsia="Times New Roman" w:hAnsi="Times New Roman" w:cs="Times New Roman"/>
          <w:sz w:val="24"/>
          <w:szCs w:val="24"/>
          <w:lang w:eastAsia="es-ES"/>
        </w:rPr>
        <w:t>, indi</w:t>
      </w:r>
      <w:r>
        <w:rPr>
          <w:rFonts w:ascii="Times New Roman" w:eastAsia="Times New Roman" w:hAnsi="Times New Roman" w:cs="Times New Roman"/>
          <w:sz w:val="24"/>
          <w:szCs w:val="24"/>
          <w:lang w:eastAsia="es-ES"/>
        </w:rPr>
        <w:t>ca Alston en las conclusiones. “</w:t>
      </w:r>
      <w:r w:rsidR="00C532E3" w:rsidRPr="008C2830">
        <w:rPr>
          <w:rFonts w:ascii="Times New Roman" w:eastAsia="Times New Roman" w:hAnsi="Times New Roman" w:cs="Times New Roman"/>
          <w:sz w:val="24"/>
          <w:szCs w:val="24"/>
          <w:lang w:eastAsia="es-ES"/>
        </w:rPr>
        <w:t xml:space="preserve">El encarcelamiento masivo es usado para hacer invisibles de forma temporal los problemas sociales y crear la </w:t>
      </w:r>
      <w:r>
        <w:rPr>
          <w:rFonts w:ascii="Times New Roman" w:eastAsia="Times New Roman" w:hAnsi="Times New Roman" w:cs="Times New Roman"/>
          <w:sz w:val="24"/>
          <w:szCs w:val="24"/>
          <w:lang w:eastAsia="es-ES"/>
        </w:rPr>
        <w:t>ilusión de que se ha hecho algo”</w:t>
      </w:r>
      <w:r w:rsidR="00C532E3" w:rsidRPr="008C2830">
        <w:rPr>
          <w:rFonts w:ascii="Times New Roman" w:eastAsia="Times New Roman" w:hAnsi="Times New Roman" w:cs="Times New Roman"/>
          <w:sz w:val="24"/>
          <w:szCs w:val="24"/>
          <w:lang w:eastAsia="es-ES"/>
        </w:rPr>
        <w:t>.</w:t>
      </w: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6.- Desigualdad extrema</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Según el informe de la ONU, Estados Unidos es el país rico con mayores niveles de desigualdad de ingreso y de riqueza.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Señala que el 1% más rico pasó de obtener el 10% de todos los ingresos nacionales en 1980 a conseguir el 20% en 2017. En el caso de Europa, ese indicador pasó de 10% a 12% en el mismo lapso.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8C2830">
        <w:rPr>
          <w:rFonts w:ascii="Times New Roman" w:eastAsia="Times New Roman" w:hAnsi="Times New Roman" w:cs="Times New Roman"/>
          <w:sz w:val="24"/>
          <w:szCs w:val="24"/>
          <w:lang w:eastAsia="es-ES"/>
        </w:rPr>
        <w:t>Alston hace referencia expresa al hecho de que </w:t>
      </w:r>
      <w:r w:rsidRPr="008C2830">
        <w:rPr>
          <w:rFonts w:ascii="Times New Roman" w:eastAsia="Times New Roman" w:hAnsi="Times New Roman" w:cs="Times New Roman"/>
          <w:bCs/>
          <w:sz w:val="24"/>
          <w:szCs w:val="24"/>
          <w:lang w:eastAsia="es-ES"/>
        </w:rPr>
        <w:t>la fortuna de los miembros iniciales del gabinete de Trump alcanzaba a US$</w:t>
      </w:r>
      <w:r w:rsidR="008C2830">
        <w:rPr>
          <w:rFonts w:ascii="Times New Roman" w:eastAsia="Times New Roman" w:hAnsi="Times New Roman" w:cs="Times New Roman"/>
          <w:bCs/>
          <w:sz w:val="24"/>
          <w:szCs w:val="24"/>
          <w:lang w:eastAsia="es-ES"/>
        </w:rPr>
        <w:t xml:space="preserve"> </w:t>
      </w:r>
      <w:r w:rsidRPr="008C2830">
        <w:rPr>
          <w:rFonts w:ascii="Times New Roman" w:eastAsia="Times New Roman" w:hAnsi="Times New Roman" w:cs="Times New Roman"/>
          <w:bCs/>
          <w:sz w:val="24"/>
          <w:szCs w:val="24"/>
          <w:lang w:eastAsia="es-ES"/>
        </w:rPr>
        <w:t>4.300 millones</w:t>
      </w:r>
      <w:r w:rsidRPr="008C2830">
        <w:rPr>
          <w:rFonts w:ascii="Times New Roman" w:eastAsia="Times New Roman" w:hAnsi="Times New Roman" w:cs="Times New Roman"/>
          <w:sz w:val="24"/>
          <w:szCs w:val="24"/>
          <w:lang w:eastAsia="es-ES"/>
        </w:rPr>
        <w:t>.</w:t>
      </w: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lastRenderedPageBreak/>
        <w:drawing>
          <wp:inline distT="0" distB="0" distL="0" distR="0" wp14:anchorId="58EE0599" wp14:editId="3E59B352">
            <wp:extent cx="5708650" cy="3251200"/>
            <wp:effectExtent l="0" t="0" r="6350" b="6350"/>
            <wp:docPr id="26" name="Imagen 26" descr="La secretaria de Educación, Betsy DeVos, es uno de los miembros más adinerados del gabinete de 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a secretaria de Educación, Betsy DeVos, es uno de los miembros más adinerados del gabinete de Tru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08650" cy="32512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secretaria de Educación, Betsy DeVos, es uno de los miembros más adinerados del gabinete de Trump.</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745D61"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Lo que la desigualdad extrema significa es la transferencia de poder económico y político a un puñado selecto de personas, quienes inevitablemente lo usarán par</w:t>
      </w:r>
      <w:r>
        <w:rPr>
          <w:rFonts w:ascii="Times New Roman" w:eastAsia="Times New Roman" w:hAnsi="Times New Roman" w:cs="Times New Roman"/>
          <w:sz w:val="24"/>
          <w:szCs w:val="24"/>
          <w:lang w:eastAsia="es-ES"/>
        </w:rPr>
        <w:t>a avanzar sus propios intereses”</w:t>
      </w:r>
      <w:r w:rsidR="00C532E3" w:rsidRPr="00745D61">
        <w:rPr>
          <w:rFonts w:ascii="Times New Roman" w:eastAsia="Times New Roman" w:hAnsi="Times New Roman" w:cs="Times New Roman"/>
          <w:sz w:val="24"/>
          <w:szCs w:val="24"/>
          <w:lang w:eastAsia="es-ES"/>
        </w:rPr>
        <w:t>, asegura.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 xml:space="preserve">La alta desigualdad debilita al crecimiento económico sostenido. Se manifiesta en bajo niveles educativos, un sistema de salud inadecuado y la ausencia de protección social para la clase media y los pobres, lo que a su vez limita sus oportunidades económicas </w:t>
      </w:r>
      <w:r>
        <w:rPr>
          <w:rFonts w:ascii="Times New Roman" w:eastAsia="Times New Roman" w:hAnsi="Times New Roman" w:cs="Times New Roman"/>
          <w:sz w:val="24"/>
          <w:szCs w:val="24"/>
          <w:lang w:eastAsia="es-ES"/>
        </w:rPr>
        <w:t>e inhibe el crecimiento general”</w:t>
      </w:r>
      <w:r w:rsidR="00C532E3" w:rsidRPr="00745D61">
        <w:rPr>
          <w:rFonts w:ascii="Times New Roman" w:eastAsia="Times New Roman" w:hAnsi="Times New Roman" w:cs="Times New Roman"/>
          <w:sz w:val="24"/>
          <w:szCs w:val="24"/>
          <w:lang w:eastAsia="es-ES"/>
        </w:rPr>
        <w:t>, advierte.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7.- El legado de la esclavitud</w:t>
      </w:r>
    </w:p>
    <w:p w:rsidR="00E814FC" w:rsidRPr="00745D61" w:rsidRDefault="00E814FC"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Al pensar en los pobres, los estereotipos raciales usualmente no están lejos de la superficie. Se asume que los pobres son mayoritariamente personas de</w:t>
      </w:r>
      <w:r>
        <w:rPr>
          <w:rFonts w:ascii="Times New Roman" w:eastAsia="Times New Roman" w:hAnsi="Times New Roman" w:cs="Times New Roman"/>
          <w:sz w:val="24"/>
          <w:szCs w:val="24"/>
          <w:lang w:eastAsia="es-ES"/>
        </w:rPr>
        <w:t xml:space="preserve"> color, afroestadounidenses o “inmigrantes' hispanos”</w:t>
      </w:r>
      <w:r w:rsidR="00C532E3" w:rsidRPr="00745D61">
        <w:rPr>
          <w:rFonts w:ascii="Times New Roman" w:eastAsia="Times New Roman" w:hAnsi="Times New Roman" w:cs="Times New Roman"/>
          <w:sz w:val="24"/>
          <w:szCs w:val="24"/>
          <w:lang w:eastAsia="es-ES"/>
        </w:rPr>
        <w:t>.</w:t>
      </w: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8C2830">
        <w:rPr>
          <w:rFonts w:ascii="Times New Roman" w:eastAsia="Times New Roman" w:hAnsi="Times New Roman" w:cs="Times New Roman"/>
          <w:sz w:val="24"/>
          <w:szCs w:val="24"/>
          <w:lang w:eastAsia="es-ES"/>
        </w:rPr>
        <w:t>La realidad es que </w:t>
      </w:r>
      <w:r w:rsidR="00C532E3" w:rsidRPr="008C2830">
        <w:rPr>
          <w:rFonts w:ascii="Times New Roman" w:eastAsia="Times New Roman" w:hAnsi="Times New Roman" w:cs="Times New Roman"/>
          <w:bCs/>
          <w:sz w:val="24"/>
          <w:szCs w:val="24"/>
          <w:lang w:eastAsia="es-ES"/>
        </w:rPr>
        <w:t>hay ocho millones más de pobres blancos que de pobres negros</w:t>
      </w:r>
      <w:r w:rsidR="00C532E3" w:rsidRPr="008C2830">
        <w:rPr>
          <w:rFonts w:ascii="Times New Roman" w:eastAsia="Times New Roman" w:hAnsi="Times New Roman" w:cs="Times New Roman"/>
          <w:sz w:val="24"/>
          <w:szCs w:val="24"/>
          <w:lang w:eastAsia="es-ES"/>
        </w:rPr>
        <w:t>. El rostro de la pobreza en Estados Unidos no solamente es negro o hispano, sino también blanco, asiá</w:t>
      </w:r>
      <w:r>
        <w:rPr>
          <w:rFonts w:ascii="Times New Roman" w:eastAsia="Times New Roman" w:hAnsi="Times New Roman" w:cs="Times New Roman"/>
          <w:sz w:val="24"/>
          <w:szCs w:val="24"/>
          <w:lang w:eastAsia="es-ES"/>
        </w:rPr>
        <w:t>tico y de muchos otros orígenes”</w:t>
      </w:r>
      <w:r w:rsidR="00C532E3" w:rsidRPr="008C2830">
        <w:rPr>
          <w:rFonts w:ascii="Times New Roman" w:eastAsia="Times New Roman" w:hAnsi="Times New Roman" w:cs="Times New Roman"/>
          <w:sz w:val="24"/>
          <w:szCs w:val="24"/>
          <w:lang w:eastAsia="es-ES"/>
        </w:rPr>
        <w:t>, afirma Alston.</w:t>
      </w:r>
    </w:p>
    <w:p w:rsidR="008C2830"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8C2830" w:rsidRPr="00745D61" w:rsidRDefault="008C2830" w:rsidP="008C2830">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relator de la ONU considera que la estadounidense sigue siendo una sociedad crónicamente segregada.</w:t>
      </w:r>
    </w:p>
    <w:p w:rsidR="008C2830" w:rsidRPr="00745D61" w:rsidRDefault="008C2830" w:rsidP="008C2830">
      <w:pPr>
        <w:shd w:val="clear" w:color="auto" w:fill="FDFDFD"/>
        <w:spacing w:after="0" w:line="240" w:lineRule="auto"/>
        <w:jc w:val="both"/>
        <w:rPr>
          <w:rFonts w:ascii="Times New Roman" w:eastAsia="Times New Roman" w:hAnsi="Times New Roman" w:cs="Times New Roman"/>
          <w:sz w:val="24"/>
          <w:szCs w:val="24"/>
          <w:lang w:eastAsia="es-ES"/>
        </w:rPr>
      </w:pPr>
    </w:p>
    <w:p w:rsidR="008C2830" w:rsidRPr="008C2830" w:rsidRDefault="008C2830" w:rsidP="008C2830">
      <w:pPr>
        <w:shd w:val="clear" w:color="auto" w:fill="FDFDFD"/>
        <w:spacing w:after="0" w:line="240" w:lineRule="auto"/>
        <w:jc w:val="both"/>
        <w:rPr>
          <w:rFonts w:ascii="Times New Roman" w:eastAsia="Times New Roman" w:hAnsi="Times New Roman" w:cs="Times New Roman"/>
          <w:sz w:val="24"/>
          <w:szCs w:val="24"/>
          <w:lang w:eastAsia="es-ES"/>
        </w:rPr>
      </w:pPr>
      <w:r w:rsidRPr="008C2830">
        <w:rPr>
          <w:rFonts w:ascii="Times New Roman" w:eastAsia="Times New Roman" w:hAnsi="Times New Roman" w:cs="Times New Roman"/>
          <w:sz w:val="24"/>
          <w:szCs w:val="24"/>
          <w:lang w:eastAsia="es-ES"/>
        </w:rPr>
        <w:t>Señala que </w:t>
      </w:r>
      <w:r w:rsidRPr="008C2830">
        <w:rPr>
          <w:rFonts w:ascii="Times New Roman" w:eastAsia="Times New Roman" w:hAnsi="Times New Roman" w:cs="Times New Roman"/>
          <w:bCs/>
          <w:sz w:val="24"/>
          <w:szCs w:val="24"/>
          <w:lang w:eastAsia="es-ES"/>
        </w:rPr>
        <w:t>los negros tienen 2,5 más probabilidades que los blancos de vivir en la pobreza</w:t>
      </w:r>
      <w:r w:rsidRPr="008C2830">
        <w:rPr>
          <w:rFonts w:ascii="Times New Roman" w:eastAsia="Times New Roman" w:hAnsi="Times New Roman" w:cs="Times New Roman"/>
          <w:sz w:val="24"/>
          <w:szCs w:val="24"/>
          <w:lang w:eastAsia="es-ES"/>
        </w:rPr>
        <w:t>, una tasa de mortalidad infantil 2,3 veces superior.</w:t>
      </w:r>
    </w:p>
    <w:p w:rsidR="008C2830" w:rsidRPr="00745D61" w:rsidRDefault="008C2830" w:rsidP="008C2830">
      <w:pPr>
        <w:shd w:val="clear" w:color="auto" w:fill="FDFDFD"/>
        <w:spacing w:after="0" w:line="240" w:lineRule="auto"/>
        <w:jc w:val="both"/>
        <w:rPr>
          <w:rFonts w:ascii="Times New Roman" w:eastAsia="Times New Roman" w:hAnsi="Times New Roman" w:cs="Times New Roman"/>
          <w:sz w:val="24"/>
          <w:szCs w:val="24"/>
          <w:lang w:eastAsia="es-ES"/>
        </w:rPr>
      </w:pPr>
    </w:p>
    <w:p w:rsidR="008C2830" w:rsidRPr="00745D61" w:rsidRDefault="008C2830" w:rsidP="008C2830">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Su nivel de desempleo duplica el de los blancos y usualmente ganan solo 82,5 centavos para cada dólar que obtienen estos. Además su tasa de encarcelamiento es 6,4 veces mayor.</w:t>
      </w:r>
    </w:p>
    <w:p w:rsidR="008C2830" w:rsidRPr="00745D61" w:rsidRDefault="008C2830" w:rsidP="008C2830">
      <w:pPr>
        <w:shd w:val="clear" w:color="auto" w:fill="FDFDFD"/>
        <w:spacing w:after="0" w:line="240" w:lineRule="auto"/>
        <w:jc w:val="both"/>
        <w:rPr>
          <w:rFonts w:ascii="Times New Roman" w:eastAsia="Times New Roman" w:hAnsi="Times New Roman" w:cs="Times New Roman"/>
          <w:sz w:val="24"/>
          <w:szCs w:val="24"/>
          <w:lang w:eastAsia="es-ES"/>
        </w:rPr>
      </w:pPr>
    </w:p>
    <w:p w:rsidR="008C2830" w:rsidRPr="008C2830"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12412A7B" wp14:editId="6907746B">
            <wp:extent cx="5702300" cy="2838450"/>
            <wp:effectExtent l="0" t="0" r="0" b="0"/>
            <wp:docPr id="27" name="Imagen 27" descr="Los afroestadounidenses, en general, siguen estando muy rezagados en los indicadores de biene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Los afroestadounidenses, en general, siguen estando muy rezagados en los indicadores de bienesta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2300" cy="28384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Los afroestadounidenses, en general, siguen estando muy rezagados en los indicadores de bienestar.</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745D61"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Estas vergonzosas estadísticas solo pueden ser explicadas por la duradera discriminación estructural basada en la raza, lo que refleja el legado durade</w:t>
      </w:r>
      <w:r>
        <w:rPr>
          <w:rFonts w:ascii="Times New Roman" w:eastAsia="Times New Roman" w:hAnsi="Times New Roman" w:cs="Times New Roman"/>
          <w:sz w:val="24"/>
          <w:szCs w:val="24"/>
          <w:lang w:eastAsia="es-ES"/>
        </w:rPr>
        <w:t>ro de la esclavitud”</w:t>
      </w:r>
      <w:r w:rsidR="00C532E3" w:rsidRPr="00745D61">
        <w:rPr>
          <w:rFonts w:ascii="Times New Roman" w:eastAsia="Times New Roman" w:hAnsi="Times New Roman" w:cs="Times New Roman"/>
          <w:sz w:val="24"/>
          <w:szCs w:val="24"/>
          <w:lang w:eastAsia="es-ES"/>
        </w:rPr>
        <w:t>, concluye Alston.</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pStyle w:val="Ttulo1"/>
        <w:shd w:val="clear" w:color="auto" w:fill="FDFDFD"/>
        <w:spacing w:before="0" w:beforeAutospacing="0" w:after="0" w:afterAutospacing="0"/>
        <w:jc w:val="both"/>
        <w:rPr>
          <w:b w:val="0"/>
          <w:bCs w:val="0"/>
          <w:sz w:val="24"/>
          <w:szCs w:val="24"/>
        </w:rPr>
      </w:pPr>
      <w:r w:rsidRPr="00745D61">
        <w:rPr>
          <w:rFonts w:eastAsiaTheme="minorHAnsi"/>
          <w:b w:val="0"/>
          <w:bCs w:val="0"/>
          <w:kern w:val="0"/>
          <w:sz w:val="24"/>
          <w:szCs w:val="24"/>
          <w:lang w:eastAsia="en-US"/>
        </w:rPr>
        <w:t xml:space="preserve">- </w:t>
      </w:r>
      <w:r w:rsidRPr="00745D61">
        <w:rPr>
          <w:b w:val="0"/>
          <w:bCs w:val="0"/>
          <w:sz w:val="24"/>
          <w:szCs w:val="24"/>
          <w:u w:val="single"/>
        </w:rPr>
        <w:t>Elecciones en Estados Unidos: por qué la desigualdad es mucho peor de lo que quizás te imaginas</w:t>
      </w:r>
      <w:r w:rsidRPr="00745D61">
        <w:rPr>
          <w:b w:val="0"/>
          <w:bCs w:val="0"/>
          <w:sz w:val="24"/>
          <w:szCs w:val="24"/>
        </w:rPr>
        <w:t xml:space="preserve"> (BBCMundo - </w:t>
      </w:r>
      <w:r w:rsidRPr="00745D61">
        <w:rPr>
          <w:bCs w:val="0"/>
          <w:sz w:val="24"/>
          <w:szCs w:val="24"/>
        </w:rPr>
        <w:t>5/11/18</w:t>
      </w:r>
      <w:r w:rsidRPr="00745D61">
        <w:rPr>
          <w:b w:val="0"/>
          <w:bCs w:val="0"/>
          <w:sz w:val="24"/>
          <w:szCs w:val="24"/>
        </w:rPr>
        <w:t>)</w:t>
      </w:r>
    </w:p>
    <w:p w:rsidR="008C2830" w:rsidRPr="00745D61" w:rsidRDefault="008C2830" w:rsidP="00C532E3">
      <w:pPr>
        <w:pStyle w:val="Ttulo1"/>
        <w:shd w:val="clear" w:color="auto" w:fill="FDFDFD"/>
        <w:spacing w:before="0" w:beforeAutospacing="0" w:after="0" w:afterAutospacing="0"/>
        <w:jc w:val="both"/>
        <w:rPr>
          <w:b w:val="0"/>
          <w:bCs w:val="0"/>
          <w:sz w:val="24"/>
          <w:szCs w:val="24"/>
        </w:rPr>
      </w:pPr>
    </w:p>
    <w:p w:rsidR="00C532E3" w:rsidRPr="00745D61" w:rsidRDefault="00C532E3" w:rsidP="00C532E3">
      <w:pPr>
        <w:shd w:val="clear" w:color="auto" w:fill="F2F2F2"/>
        <w:spacing w:line="240" w:lineRule="auto"/>
        <w:jc w:val="both"/>
        <w:rPr>
          <w:rFonts w:ascii="Times New Roman" w:hAnsi="Times New Roman" w:cs="Times New Roman"/>
          <w:sz w:val="24"/>
          <w:szCs w:val="24"/>
        </w:rPr>
      </w:pPr>
      <w:r w:rsidRPr="00745D61">
        <w:rPr>
          <w:rFonts w:ascii="Times New Roman" w:hAnsi="Times New Roman" w:cs="Times New Roman"/>
          <w:noProof/>
          <w:sz w:val="24"/>
          <w:szCs w:val="24"/>
          <w:lang w:eastAsia="es-ES"/>
        </w:rPr>
        <w:drawing>
          <wp:inline distT="0" distB="0" distL="0" distR="0" wp14:anchorId="5E0A0E80" wp14:editId="42DB3857">
            <wp:extent cx="5702300" cy="2635250"/>
            <wp:effectExtent l="0" t="0" r="0" b="0"/>
            <wp:docPr id="28" name="Imagen 28" descr="Muj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uje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02300" cy="2635250"/>
                    </a:xfrm>
                    <a:prstGeom prst="rect">
                      <a:avLst/>
                    </a:prstGeom>
                    <a:noFill/>
                    <a:ln>
                      <a:noFill/>
                    </a:ln>
                  </pic:spPr>
                </pic:pic>
              </a:graphicData>
            </a:graphic>
          </wp:inline>
        </w:drawing>
      </w:r>
      <w:r w:rsidRPr="00745D61">
        <w:rPr>
          <w:rFonts w:ascii="Times New Roman" w:hAnsi="Times New Roman" w:cs="Times New Roman"/>
          <w:sz w:val="24"/>
          <w:szCs w:val="24"/>
        </w:rPr>
        <w:t>Son muchos los que no tienen pa</w:t>
      </w:r>
      <w:r w:rsidR="008D25A0">
        <w:rPr>
          <w:rFonts w:ascii="Times New Roman" w:hAnsi="Times New Roman" w:cs="Times New Roman"/>
          <w:sz w:val="24"/>
          <w:szCs w:val="24"/>
        </w:rPr>
        <w:t>ra pagar un seguro médico en EE</w:t>
      </w:r>
      <w:r w:rsidRPr="00745D61">
        <w:rPr>
          <w:rFonts w:ascii="Times New Roman" w:hAnsi="Times New Roman" w:cs="Times New Roman"/>
          <w:sz w:val="24"/>
          <w:szCs w:val="24"/>
        </w:rPr>
        <w:t>UU.</w:t>
      </w:r>
    </w:p>
    <w:p w:rsidR="00C532E3" w:rsidRPr="008C2830" w:rsidRDefault="00C532E3" w:rsidP="00C532E3">
      <w:pPr>
        <w:pStyle w:val="bbc-bm53ic"/>
        <w:shd w:val="clear" w:color="auto" w:fill="FDFDFD"/>
        <w:spacing w:before="0" w:beforeAutospacing="0" w:after="0" w:afterAutospacing="0"/>
        <w:jc w:val="both"/>
        <w:rPr>
          <w:bCs/>
        </w:rPr>
      </w:pPr>
      <w:r w:rsidRPr="008C2830">
        <w:rPr>
          <w:bCs/>
        </w:rPr>
        <w:t>No es raro ver pasar un Lamborghini frente a una tienda de Louis Vuitton, Hermes o Bugatti en una de las economías más ricas del mundo.</w:t>
      </w:r>
    </w:p>
    <w:p w:rsidR="00C532E3" w:rsidRPr="008C2830"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Lo sorprendente es que con toda la riqueza que genera Estados Unidos, aún existan más de 40 millones de personas viviendo en la pobreza.</w:t>
      </w:r>
    </w:p>
    <w:p w:rsidR="00C532E3" w:rsidRPr="00745D61" w:rsidRDefault="00C532E3" w:rsidP="00C532E3">
      <w:pPr>
        <w:pStyle w:val="bbc-bm53ic"/>
        <w:shd w:val="clear" w:color="auto" w:fill="FDFDFD"/>
        <w:spacing w:before="0" w:beforeAutospacing="0" w:after="0" w:afterAutospacing="0"/>
        <w:jc w:val="both"/>
      </w:pPr>
      <w:r w:rsidRPr="00745D61">
        <w:lastRenderedPageBreak/>
        <w:t>Y que la desigualdad no baje, aunque a la economía le vaya cada vez mejor.</w:t>
      </w:r>
    </w:p>
    <w:p w:rsidR="00C532E3" w:rsidRPr="00745D61" w:rsidRDefault="00C532E3" w:rsidP="00C532E3">
      <w:pPr>
        <w:pStyle w:val="bbc-bm53ic"/>
        <w:shd w:val="clear" w:color="auto" w:fill="FDFDFD"/>
        <w:spacing w:before="0" w:beforeAutospacing="0" w:after="0" w:afterAutospacing="0"/>
        <w:jc w:val="both"/>
      </w:pPr>
    </w:p>
    <w:p w:rsidR="00C532E3" w:rsidRPr="008C2830" w:rsidRDefault="008C2830" w:rsidP="00C532E3">
      <w:pPr>
        <w:pStyle w:val="bbc-bm53ic"/>
        <w:shd w:val="clear" w:color="auto" w:fill="FDFDFD"/>
        <w:spacing w:before="0" w:beforeAutospacing="0" w:after="0" w:afterAutospacing="0"/>
        <w:jc w:val="both"/>
      </w:pPr>
      <w:r>
        <w:t>“</w:t>
      </w:r>
      <w:r w:rsidR="00C532E3" w:rsidRPr="008C2830">
        <w:t>Los ingresos del 1% más rico</w:t>
      </w:r>
      <w:r w:rsidR="00C532E3" w:rsidRPr="008C2830">
        <w:rPr>
          <w:bCs/>
        </w:rPr>
        <w:t> se han duplicado </w:t>
      </w:r>
      <w:r w:rsidR="00C532E3" w:rsidRPr="008C2830">
        <w:t>en l</w:t>
      </w:r>
      <w:r>
        <w:t>as últimas tres décadas y media”</w:t>
      </w:r>
      <w:r w:rsidR="00C532E3" w:rsidRPr="008C2830">
        <w:t>, le dice a BBC Mundo Mark Price, investigador del </w:t>
      </w:r>
      <w:r w:rsidR="00C532E3" w:rsidRPr="008C2830">
        <w:rPr>
          <w:bCs/>
        </w:rPr>
        <w:t>Economic Policy Institute</w:t>
      </w:r>
      <w:r w:rsidR="00C532E3" w:rsidRPr="008C2830">
        <w:t>, con sede en Washington, DC.</w:t>
      </w:r>
    </w:p>
    <w:p w:rsidR="008C2830" w:rsidRPr="008C2830" w:rsidRDefault="008C2830" w:rsidP="00C532E3">
      <w:pPr>
        <w:pStyle w:val="bbc-bm53ic"/>
        <w:shd w:val="clear" w:color="auto" w:fill="FDFDFD"/>
        <w:spacing w:before="0" w:beforeAutospacing="0" w:after="0" w:afterAutospacing="0"/>
        <w:jc w:val="both"/>
      </w:pPr>
    </w:p>
    <w:p w:rsidR="00C532E3" w:rsidRPr="00745D61" w:rsidRDefault="00C532E3" w:rsidP="00C532E3">
      <w:pPr>
        <w:shd w:val="clear" w:color="auto" w:fill="FDFDFD"/>
        <w:spacing w:line="240" w:lineRule="auto"/>
        <w:jc w:val="both"/>
        <w:rPr>
          <w:rFonts w:ascii="Times New Roman" w:hAnsi="Times New Roman" w:cs="Times New Roman"/>
          <w:sz w:val="24"/>
          <w:szCs w:val="24"/>
        </w:rPr>
      </w:pPr>
      <w:r w:rsidRPr="00745D61">
        <w:rPr>
          <w:rFonts w:ascii="Times New Roman" w:hAnsi="Times New Roman" w:cs="Times New Roman"/>
          <w:noProof/>
          <w:sz w:val="24"/>
          <w:szCs w:val="24"/>
          <w:lang w:eastAsia="es-ES"/>
        </w:rPr>
        <w:drawing>
          <wp:inline distT="0" distB="0" distL="0" distR="0" wp14:anchorId="6F0D3466" wp14:editId="68A0223E">
            <wp:extent cx="5708650" cy="2971800"/>
            <wp:effectExtent l="0" t="0" r="6350" b="0"/>
            <wp:docPr id="32" name="Imagen 32" descr="Bandera de EE. UU. en una zona pobre de Califor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andera de EE. UU. en una zona pobre de Californi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08650" cy="2971800"/>
                    </a:xfrm>
                    <a:prstGeom prst="rect">
                      <a:avLst/>
                    </a:prstGeom>
                    <a:noFill/>
                    <a:ln>
                      <a:noFill/>
                    </a:ln>
                  </pic:spPr>
                </pic:pic>
              </a:graphicData>
            </a:graphic>
          </wp:inline>
        </w:drawing>
      </w:r>
      <w:r w:rsidRPr="00745D61">
        <w:rPr>
          <w:rFonts w:ascii="Times New Roman" w:hAnsi="Times New Roman" w:cs="Times New Roman"/>
          <w:sz w:val="24"/>
          <w:szCs w:val="24"/>
        </w:rPr>
        <w:t>El 1% más rico concentra el 22% del total de los ingresos del país.</w:t>
      </w:r>
    </w:p>
    <w:p w:rsidR="00C532E3" w:rsidRPr="00745D61" w:rsidRDefault="00C532E3" w:rsidP="00C532E3">
      <w:pPr>
        <w:pStyle w:val="bbc-bm53ic"/>
        <w:shd w:val="clear" w:color="auto" w:fill="FDFDFD"/>
        <w:spacing w:before="0" w:beforeAutospacing="0" w:after="0" w:afterAutospacing="0"/>
        <w:jc w:val="both"/>
      </w:pPr>
      <w:r w:rsidRPr="00745D61">
        <w:t>El experto argumenta que la evidencia muestra que los salarios no han aumentado en relación al crecimiento económico.</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El salario mínimo (</w:t>
      </w:r>
      <w:r w:rsidR="008C2830">
        <w:t>que hoy está en 7,25% la hora) “</w:t>
      </w:r>
      <w:r w:rsidRPr="00745D61">
        <w:t>le permite a un trabajador comprar menos de lo que podía adquir</w:t>
      </w:r>
      <w:r w:rsidR="008C2830">
        <w:t>ir en 1968 con ese mismo dinero”</w:t>
      </w:r>
      <w:r w:rsidRPr="00745D61">
        <w:t>, agrega.</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Su análisis apunta a que la desigualdad de ingresos ha aumentado porque los trabajadores tienen menos poder de negociación a través de sindicatos, dado que las políticas laborales se han vuelto de una u otra manera más hostiles.</w:t>
      </w:r>
    </w:p>
    <w:p w:rsidR="00C532E3" w:rsidRPr="00745D61" w:rsidRDefault="00C532E3" w:rsidP="00C532E3">
      <w:pPr>
        <w:pStyle w:val="bbc-bm53ic"/>
        <w:shd w:val="clear" w:color="auto" w:fill="FDFDFD"/>
        <w:spacing w:before="0" w:beforeAutospacing="0" w:after="0" w:afterAutospacing="0"/>
        <w:jc w:val="both"/>
      </w:pPr>
    </w:p>
    <w:p w:rsidR="00C532E3" w:rsidRDefault="00C532E3" w:rsidP="00C532E3">
      <w:pPr>
        <w:pStyle w:val="Ttulo2"/>
        <w:shd w:val="clear" w:color="auto" w:fill="FDFDFD"/>
        <w:spacing w:before="0" w:beforeAutospacing="0" w:after="0" w:afterAutospacing="0"/>
        <w:jc w:val="both"/>
        <w:rPr>
          <w:sz w:val="24"/>
          <w:szCs w:val="24"/>
        </w:rPr>
      </w:pPr>
      <w:r w:rsidRPr="00745D61">
        <w:rPr>
          <w:sz w:val="24"/>
          <w:szCs w:val="24"/>
        </w:rPr>
        <w:t>Porcentaje de todo el ingreso que concentra el 1% más rico</w:t>
      </w:r>
    </w:p>
    <w:p w:rsidR="008C2830" w:rsidRPr="00745D61" w:rsidRDefault="008C2830" w:rsidP="00C532E3">
      <w:pPr>
        <w:pStyle w:val="Ttulo2"/>
        <w:shd w:val="clear" w:color="auto" w:fill="FDFDFD"/>
        <w:spacing w:before="0" w:beforeAutospacing="0" w:after="0" w:afterAutospacing="0"/>
        <w:jc w:val="both"/>
        <w:rPr>
          <w:sz w:val="24"/>
          <w:szCs w:val="24"/>
        </w:rPr>
      </w:pPr>
    </w:p>
    <w:p w:rsidR="00E814FC" w:rsidRPr="00E814FC" w:rsidRDefault="00E814FC" w:rsidP="00E814FC">
      <w:pPr>
        <w:shd w:val="clear" w:color="auto" w:fill="FDFDFD"/>
        <w:spacing w:line="240" w:lineRule="auto"/>
        <w:jc w:val="both"/>
        <w:rPr>
          <w:rFonts w:ascii="Times New Roman" w:hAnsi="Times New Roman" w:cs="Times New Roman"/>
          <w:sz w:val="24"/>
          <w:szCs w:val="24"/>
        </w:rPr>
      </w:pPr>
      <w:r w:rsidRPr="00E814FC">
        <w:rPr>
          <w:rFonts w:ascii="Times New Roman" w:hAnsi="Times New Roman" w:cs="Times New Roman"/>
          <w:b/>
          <w:sz w:val="24"/>
          <w:szCs w:val="24"/>
        </w:rPr>
        <w:t>Estados Unidos</w:t>
      </w:r>
      <w:r>
        <w:rPr>
          <w:rFonts w:ascii="Times New Roman" w:hAnsi="Times New Roman" w:cs="Times New Roman"/>
          <w:sz w:val="24"/>
          <w:szCs w:val="24"/>
        </w:rPr>
        <w:t xml:space="preserve"> (</w:t>
      </w:r>
      <w:r w:rsidRPr="00745D61">
        <w:rPr>
          <w:rFonts w:ascii="Times New Roman" w:hAnsi="Times New Roman" w:cs="Times New Roman"/>
          <w:sz w:val="24"/>
          <w:szCs w:val="24"/>
        </w:rPr>
        <w:t>Economic Policy Institute</w:t>
      </w:r>
      <w:r>
        <w:rPr>
          <w:rFonts w:ascii="Times New Roman" w:hAnsi="Times New Roman" w:cs="Times New Roman"/>
          <w:sz w:val="24"/>
          <w:szCs w:val="24"/>
        </w:rPr>
        <w:t>)</w:t>
      </w:r>
    </w:p>
    <w:p w:rsidR="00E814FC" w:rsidRPr="00E814FC" w:rsidRDefault="00E814FC" w:rsidP="00E814FC">
      <w:pPr>
        <w:shd w:val="clear" w:color="auto" w:fill="FDFDFD"/>
        <w:spacing w:line="240" w:lineRule="auto"/>
        <w:jc w:val="both"/>
        <w:rPr>
          <w:rFonts w:ascii="Times New Roman" w:hAnsi="Times New Roman" w:cs="Times New Roman"/>
          <w:sz w:val="24"/>
          <w:szCs w:val="24"/>
        </w:rPr>
      </w:pPr>
      <w:r w:rsidRPr="00E814FC">
        <w:rPr>
          <w:rFonts w:ascii="Times New Roman" w:hAnsi="Times New Roman" w:cs="Times New Roman"/>
          <w:sz w:val="24"/>
          <w:szCs w:val="24"/>
        </w:rPr>
        <w:t>•</w:t>
      </w:r>
      <w:r w:rsidRPr="00E814FC">
        <w:rPr>
          <w:rFonts w:ascii="Times New Roman" w:hAnsi="Times New Roman" w:cs="Times New Roman"/>
          <w:sz w:val="24"/>
          <w:szCs w:val="24"/>
        </w:rPr>
        <w:tab/>
      </w:r>
      <w:r>
        <w:rPr>
          <w:rFonts w:ascii="Times New Roman" w:hAnsi="Times New Roman" w:cs="Times New Roman"/>
          <w:sz w:val="24"/>
          <w:szCs w:val="24"/>
        </w:rPr>
        <w:t>22% 2015</w:t>
      </w:r>
    </w:p>
    <w:p w:rsidR="00E814FC" w:rsidRPr="00E814FC" w:rsidRDefault="00E814FC" w:rsidP="00E814FC">
      <w:pPr>
        <w:shd w:val="clear" w:color="auto" w:fill="FDFDFD"/>
        <w:spacing w:line="240" w:lineRule="auto"/>
        <w:jc w:val="both"/>
        <w:rPr>
          <w:rFonts w:ascii="Times New Roman" w:hAnsi="Times New Roman" w:cs="Times New Roman"/>
          <w:sz w:val="24"/>
          <w:szCs w:val="24"/>
        </w:rPr>
      </w:pPr>
      <w:r w:rsidRPr="00E814FC">
        <w:rPr>
          <w:rFonts w:ascii="Times New Roman" w:hAnsi="Times New Roman" w:cs="Times New Roman"/>
          <w:sz w:val="24"/>
          <w:szCs w:val="24"/>
        </w:rPr>
        <w:t>•</w:t>
      </w:r>
      <w:r w:rsidRPr="00E814FC">
        <w:rPr>
          <w:rFonts w:ascii="Times New Roman" w:hAnsi="Times New Roman" w:cs="Times New Roman"/>
          <w:sz w:val="24"/>
          <w:szCs w:val="24"/>
        </w:rPr>
        <w:tab/>
        <w:t>22% 2005</w:t>
      </w:r>
    </w:p>
    <w:p w:rsidR="00E814FC" w:rsidRPr="00E814FC" w:rsidRDefault="00E814FC" w:rsidP="00E814FC">
      <w:pPr>
        <w:shd w:val="clear" w:color="auto" w:fill="FDFDFD"/>
        <w:spacing w:line="240" w:lineRule="auto"/>
        <w:jc w:val="both"/>
        <w:rPr>
          <w:rFonts w:ascii="Times New Roman" w:hAnsi="Times New Roman" w:cs="Times New Roman"/>
          <w:sz w:val="24"/>
          <w:szCs w:val="24"/>
        </w:rPr>
      </w:pPr>
      <w:r w:rsidRPr="00E814FC">
        <w:rPr>
          <w:rFonts w:ascii="Times New Roman" w:hAnsi="Times New Roman" w:cs="Times New Roman"/>
          <w:sz w:val="24"/>
          <w:szCs w:val="24"/>
        </w:rPr>
        <w:t>•</w:t>
      </w:r>
      <w:r w:rsidRPr="00E814FC">
        <w:rPr>
          <w:rFonts w:ascii="Times New Roman" w:hAnsi="Times New Roman" w:cs="Times New Roman"/>
          <w:sz w:val="24"/>
          <w:szCs w:val="24"/>
        </w:rPr>
        <w:tab/>
        <w:t>15% 1995</w:t>
      </w:r>
    </w:p>
    <w:p w:rsidR="00E814FC" w:rsidRPr="00E814FC" w:rsidRDefault="00E814FC" w:rsidP="00E814FC">
      <w:pPr>
        <w:shd w:val="clear" w:color="auto" w:fill="FDFDFD"/>
        <w:spacing w:line="240" w:lineRule="auto"/>
        <w:jc w:val="both"/>
        <w:rPr>
          <w:rFonts w:ascii="Times New Roman" w:hAnsi="Times New Roman" w:cs="Times New Roman"/>
          <w:sz w:val="24"/>
          <w:szCs w:val="24"/>
        </w:rPr>
      </w:pPr>
      <w:r w:rsidRPr="00E814FC">
        <w:rPr>
          <w:rFonts w:ascii="Times New Roman" w:hAnsi="Times New Roman" w:cs="Times New Roman"/>
          <w:sz w:val="24"/>
          <w:szCs w:val="24"/>
        </w:rPr>
        <w:t>•</w:t>
      </w:r>
      <w:r w:rsidRPr="00E814FC">
        <w:rPr>
          <w:rFonts w:ascii="Times New Roman" w:hAnsi="Times New Roman" w:cs="Times New Roman"/>
          <w:sz w:val="24"/>
          <w:szCs w:val="24"/>
        </w:rPr>
        <w:tab/>
        <w:t>13% 1985</w:t>
      </w:r>
    </w:p>
    <w:p w:rsidR="00E814FC" w:rsidRDefault="00E814FC" w:rsidP="00E814FC">
      <w:pPr>
        <w:shd w:val="clear" w:color="auto" w:fill="FDFDFD"/>
        <w:spacing w:line="240" w:lineRule="auto"/>
        <w:jc w:val="both"/>
        <w:rPr>
          <w:rFonts w:ascii="Times New Roman" w:hAnsi="Times New Roman" w:cs="Times New Roman"/>
          <w:sz w:val="24"/>
          <w:szCs w:val="24"/>
        </w:rPr>
      </w:pPr>
      <w:r w:rsidRPr="00E814FC">
        <w:rPr>
          <w:rFonts w:ascii="Times New Roman" w:hAnsi="Times New Roman" w:cs="Times New Roman"/>
          <w:sz w:val="24"/>
          <w:szCs w:val="24"/>
        </w:rPr>
        <w:t>•</w:t>
      </w:r>
      <w:r w:rsidRPr="00E814FC">
        <w:rPr>
          <w:rFonts w:ascii="Times New Roman" w:hAnsi="Times New Roman" w:cs="Times New Roman"/>
          <w:sz w:val="24"/>
          <w:szCs w:val="24"/>
        </w:rPr>
        <w:tab/>
      </w:r>
      <w:r>
        <w:rPr>
          <w:rFonts w:ascii="Times New Roman" w:hAnsi="Times New Roman" w:cs="Times New Roman"/>
          <w:sz w:val="24"/>
          <w:szCs w:val="24"/>
        </w:rPr>
        <w:t xml:space="preserve">  </w:t>
      </w:r>
      <w:r w:rsidRPr="00E814FC">
        <w:rPr>
          <w:rFonts w:ascii="Times New Roman" w:hAnsi="Times New Roman" w:cs="Times New Roman"/>
          <w:sz w:val="24"/>
          <w:szCs w:val="24"/>
        </w:rPr>
        <w:t>9% 1975</w:t>
      </w:r>
    </w:p>
    <w:p w:rsidR="00C532E3" w:rsidRPr="008C2830" w:rsidRDefault="00C532E3" w:rsidP="00C532E3">
      <w:pPr>
        <w:pStyle w:val="bbc-bm53ic"/>
        <w:shd w:val="clear" w:color="auto" w:fill="FDFDFD"/>
        <w:spacing w:before="0" w:beforeAutospacing="0" w:after="0" w:afterAutospacing="0"/>
        <w:jc w:val="both"/>
      </w:pPr>
      <w:r w:rsidRPr="00745D61">
        <w:t>A eso se suma, dice Price, que la oferta laboral se está concentrando en menos empleadores y que ciertas compañías del mismo sector hacen acuerdos para mantener los salarios estancados, un fenómeno que los economistas describen como el </w:t>
      </w:r>
      <w:r w:rsidR="008C2830">
        <w:rPr>
          <w:bCs/>
        </w:rPr>
        <w:t>“poder monopsónico”</w:t>
      </w:r>
      <w:r w:rsidRPr="008C2830">
        <w:t>.</w:t>
      </w:r>
    </w:p>
    <w:p w:rsidR="00C532E3" w:rsidRPr="00745D61" w:rsidRDefault="00C532E3" w:rsidP="00C532E3">
      <w:pPr>
        <w:pStyle w:val="bbc-bm53ic"/>
        <w:shd w:val="clear" w:color="auto" w:fill="FDFDFD"/>
        <w:spacing w:before="0" w:beforeAutospacing="0" w:after="0" w:afterAutospacing="0"/>
        <w:jc w:val="both"/>
      </w:pPr>
      <w:r w:rsidRPr="00745D61">
        <w:lastRenderedPageBreak/>
        <w:t>En una línea de investigación similar, el relator sobre pobreza extrema y derechos humanos de la ONU, Philip G. Alston, publicó a mediados de este año un informe bastante lapidario en el que afirma que Estados Unidos es </w:t>
      </w:r>
      <w:r w:rsidRPr="008C2830">
        <w:rPr>
          <w:bCs/>
        </w:rPr>
        <w:t>el país rico con mayores niveles de desigualdad</w:t>
      </w:r>
      <w:r w:rsidRPr="00745D61">
        <w:rPr>
          <w:b/>
          <w:bCs/>
        </w:rPr>
        <w:t> </w:t>
      </w:r>
      <w:r w:rsidRPr="00745D61">
        <w:t>de ingreso y de riqueza.</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8C2830" w:rsidP="00C532E3">
      <w:pPr>
        <w:pStyle w:val="bbc-bm53ic"/>
        <w:shd w:val="clear" w:color="auto" w:fill="FDFDFD"/>
        <w:spacing w:before="0" w:beforeAutospacing="0" w:after="0" w:afterAutospacing="0"/>
        <w:jc w:val="both"/>
      </w:pPr>
      <w:r>
        <w:t>“</w:t>
      </w:r>
      <w:r w:rsidR="00C532E3" w:rsidRPr="00745D61">
        <w:t>Lo que la desigualdad extrema significa es la transferencia de poder económico y político a un puñado selecto de personas, quienes inevitablemente lo usarán par</w:t>
      </w:r>
      <w:r>
        <w:t>a avanzar sus propios intereses”</w:t>
      </w:r>
      <w:r w:rsidR="00C532E3" w:rsidRPr="00745D61">
        <w:t>, dijo Alston.</w:t>
      </w:r>
    </w:p>
    <w:p w:rsidR="00C532E3" w:rsidRPr="00745D61" w:rsidRDefault="00C532E3" w:rsidP="00C532E3">
      <w:pPr>
        <w:pStyle w:val="bbc-bm53ic"/>
        <w:shd w:val="clear" w:color="auto" w:fill="FDFDFD"/>
        <w:spacing w:before="0" w:beforeAutospacing="0" w:after="0" w:afterAutospacing="0"/>
        <w:jc w:val="both"/>
      </w:pPr>
    </w:p>
    <w:p w:rsidR="00C532E3" w:rsidRDefault="008C2830" w:rsidP="00C532E3">
      <w:pPr>
        <w:pStyle w:val="bbc-bm53ic"/>
        <w:shd w:val="clear" w:color="auto" w:fill="FDFDFD"/>
        <w:spacing w:before="0" w:beforeAutospacing="0" w:after="0" w:afterAutospacing="0"/>
        <w:jc w:val="both"/>
      </w:pPr>
      <w:r>
        <w:t>La desigualdad “</w:t>
      </w:r>
      <w:r w:rsidR="00C532E3" w:rsidRPr="00745D61">
        <w:t xml:space="preserve">se manifiesta en bajos niveles educativos, un sistema de salud inadecuado y la ausencia de protección social para la clase media y los pobres, lo que a su vez limita sus oportunidades económicas </w:t>
      </w:r>
      <w:r>
        <w:t>e inhibe el crecimiento general”</w:t>
      </w:r>
      <w:r w:rsidR="00C532E3" w:rsidRPr="00745D61">
        <w:t>, agregó.</w:t>
      </w:r>
    </w:p>
    <w:p w:rsidR="00E814FC" w:rsidRPr="00745D61" w:rsidRDefault="00E814FC" w:rsidP="00C532E3">
      <w:pPr>
        <w:pStyle w:val="bbc-bm53ic"/>
        <w:shd w:val="clear" w:color="auto" w:fill="FDFDFD"/>
        <w:spacing w:before="0" w:beforeAutospacing="0" w:after="0" w:afterAutospacing="0"/>
        <w:jc w:val="both"/>
      </w:pPr>
    </w:p>
    <w:p w:rsidR="00C532E3" w:rsidRPr="00E814FC" w:rsidRDefault="00C532E3" w:rsidP="00E814FC">
      <w:pPr>
        <w:shd w:val="clear" w:color="auto" w:fill="FDFDFD"/>
        <w:spacing w:line="240" w:lineRule="auto"/>
        <w:jc w:val="both"/>
        <w:rPr>
          <w:rFonts w:ascii="Times New Roman" w:hAnsi="Times New Roman" w:cs="Times New Roman"/>
          <w:sz w:val="24"/>
          <w:szCs w:val="24"/>
        </w:rPr>
      </w:pPr>
      <w:r w:rsidRPr="00745D61">
        <w:rPr>
          <w:rFonts w:ascii="Times New Roman" w:hAnsi="Times New Roman" w:cs="Times New Roman"/>
          <w:noProof/>
          <w:sz w:val="24"/>
          <w:szCs w:val="24"/>
          <w:lang w:eastAsia="es-ES"/>
        </w:rPr>
        <w:drawing>
          <wp:inline distT="0" distB="0" distL="0" distR="0" wp14:anchorId="2D772246" wp14:editId="4E6A96F8">
            <wp:extent cx="5676900" cy="2838450"/>
            <wp:effectExtent l="0" t="0" r="0" b="0"/>
            <wp:docPr id="34" name="Imagen 34" descr="Ciclistas en una comunidad pobre de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iclistas en una comunidad pobre de Estados Unido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6900" cy="2838450"/>
                    </a:xfrm>
                    <a:prstGeom prst="rect">
                      <a:avLst/>
                    </a:prstGeom>
                    <a:noFill/>
                    <a:ln>
                      <a:noFill/>
                    </a:ln>
                  </pic:spPr>
                </pic:pic>
              </a:graphicData>
            </a:graphic>
          </wp:inline>
        </w:drawing>
      </w:r>
      <w:r w:rsidRPr="00E814FC">
        <w:rPr>
          <w:rFonts w:ascii="Times New Roman" w:hAnsi="Times New Roman" w:cs="Times New Roman"/>
          <w:sz w:val="24"/>
          <w:szCs w:val="24"/>
        </w:rPr>
        <w:t>Un informe de la ONU señala que Estados Unidos es el país rico con mayores niveles de desigualdad.</w:t>
      </w:r>
    </w:p>
    <w:p w:rsidR="00C532E3" w:rsidRPr="008C2830" w:rsidRDefault="00C532E3" w:rsidP="00C532E3">
      <w:pPr>
        <w:pStyle w:val="bbc-bm53ic"/>
        <w:shd w:val="clear" w:color="auto" w:fill="FDFDFD"/>
        <w:spacing w:before="0" w:beforeAutospacing="0" w:after="0" w:afterAutospacing="0"/>
        <w:jc w:val="both"/>
      </w:pPr>
      <w:r w:rsidRPr="008C2830">
        <w:t>El gobierno de </w:t>
      </w:r>
      <w:r w:rsidRPr="008C2830">
        <w:rPr>
          <w:bCs/>
        </w:rPr>
        <w:t>Donald Trump</w:t>
      </w:r>
      <w:r w:rsidRPr="008C2830">
        <w:t> criticó duramente el informe de Naciones Unidas, acusándolo d</w:t>
      </w:r>
      <w:r w:rsidR="008C2830">
        <w:t>e contener “cifras exageradas”</w:t>
      </w:r>
      <w:r w:rsidR="00E814FC" w:rsidRPr="008C2830">
        <w:t xml:space="preserve">. </w:t>
      </w:r>
      <w:r w:rsidRPr="008C2830">
        <w:t>La embajadora de Estados Unidos en la ONU en ese entonces, </w:t>
      </w:r>
      <w:r w:rsidRPr="008C2830">
        <w:rPr>
          <w:bCs/>
        </w:rPr>
        <w:t>Nikki Haley</w:t>
      </w:r>
      <w:r w:rsidRPr="008C2830">
        <w:t>, dijo que el informe era</w:t>
      </w:r>
      <w:r w:rsidR="008C2830">
        <w:rPr>
          <w:bCs/>
        </w:rPr>
        <w:t> engañoso y está “motivado por razones políticas”</w:t>
      </w:r>
      <w:r w:rsidRPr="008C2830">
        <w:rPr>
          <w:bCs/>
        </w:rPr>
        <w:t>.</w:t>
      </w:r>
    </w:p>
    <w:p w:rsidR="00C532E3" w:rsidRPr="008C2830" w:rsidRDefault="00C532E3" w:rsidP="00C532E3">
      <w:pPr>
        <w:pStyle w:val="bbc-bm53ic"/>
        <w:shd w:val="clear" w:color="auto" w:fill="FDFDFD"/>
        <w:spacing w:before="0" w:beforeAutospacing="0" w:after="0" w:afterAutospacing="0"/>
        <w:jc w:val="both"/>
      </w:pPr>
    </w:p>
    <w:p w:rsidR="00C532E3" w:rsidRPr="00745D61" w:rsidRDefault="008C2830" w:rsidP="00C532E3">
      <w:pPr>
        <w:pStyle w:val="bbc-bm53ic"/>
        <w:shd w:val="clear" w:color="auto" w:fill="FDFDFD"/>
        <w:spacing w:before="0" w:beforeAutospacing="0" w:after="0" w:afterAutospacing="0"/>
        <w:jc w:val="both"/>
      </w:pPr>
      <w:r>
        <w:t>También acusó al relator de “desperdiciar”</w:t>
      </w:r>
      <w:r w:rsidR="00C532E3" w:rsidRPr="00745D61">
        <w:t xml:space="preserve"> los recursos de l</w:t>
      </w:r>
      <w:r>
        <w:t>a ONU al investigar la pobreza “</w:t>
      </w:r>
      <w:r w:rsidR="00C532E3" w:rsidRPr="00745D61">
        <w:t xml:space="preserve">en el </w:t>
      </w:r>
      <w:r>
        <w:t>país más rico y libre del mundo”</w:t>
      </w:r>
      <w:r w:rsidR="00C532E3" w:rsidRPr="00745D61">
        <w:t xml:space="preserve"> en lugar de centrarse en países donde los gobiernos causan el sufrimiento de su propia población como Burundi o la República Democrática del Congo.</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8C2830" w:rsidP="00C532E3">
      <w:pPr>
        <w:pStyle w:val="Ttulo2"/>
        <w:shd w:val="clear" w:color="auto" w:fill="FDFDFD"/>
        <w:spacing w:before="0" w:beforeAutospacing="0" w:after="0" w:afterAutospacing="0"/>
        <w:jc w:val="both"/>
        <w:rPr>
          <w:sz w:val="24"/>
          <w:szCs w:val="24"/>
        </w:rPr>
      </w:pPr>
      <w:r>
        <w:rPr>
          <w:sz w:val="24"/>
          <w:szCs w:val="24"/>
        </w:rPr>
        <w:t>Los que “ocultan su riqueza”</w:t>
      </w:r>
    </w:p>
    <w:p w:rsidR="00C532E3" w:rsidRPr="00745D61" w:rsidRDefault="00C532E3" w:rsidP="00C532E3">
      <w:pPr>
        <w:pStyle w:val="Ttulo2"/>
        <w:shd w:val="clear" w:color="auto" w:fill="FDFDFD"/>
        <w:spacing w:before="0" w:beforeAutospacing="0" w:after="0" w:afterAutospacing="0"/>
        <w:jc w:val="both"/>
        <w:rPr>
          <w:sz w:val="24"/>
          <w:szCs w:val="24"/>
        </w:rPr>
      </w:pPr>
    </w:p>
    <w:p w:rsidR="00C532E3" w:rsidRPr="00745D61" w:rsidRDefault="00C532E3" w:rsidP="00C532E3">
      <w:pPr>
        <w:pStyle w:val="bbc-bm53ic"/>
        <w:shd w:val="clear" w:color="auto" w:fill="FDFDFD"/>
        <w:spacing w:before="0" w:beforeAutospacing="0" w:after="0" w:afterAutospacing="0"/>
        <w:jc w:val="both"/>
      </w:pPr>
      <w:r w:rsidRPr="00745D61">
        <w:t>Economistas como Gabriel Zucman, de la Universidad de California en Berkeley, han sumado un ingrediente adicional al debate sobre la desigualdad.</w:t>
      </w:r>
    </w:p>
    <w:p w:rsidR="00C532E3" w:rsidRPr="00745D61" w:rsidRDefault="00C532E3" w:rsidP="00C532E3">
      <w:pPr>
        <w:pStyle w:val="bbc-bm53ic"/>
        <w:shd w:val="clear" w:color="auto" w:fill="FDFDFD"/>
        <w:spacing w:before="0" w:beforeAutospacing="0" w:after="0" w:afterAutospacing="0"/>
        <w:jc w:val="both"/>
      </w:pPr>
    </w:p>
    <w:p w:rsidR="00C532E3" w:rsidRPr="008C2830" w:rsidRDefault="00C532E3" w:rsidP="00C532E3">
      <w:pPr>
        <w:pStyle w:val="bbc-bm53ic"/>
        <w:shd w:val="clear" w:color="auto" w:fill="FDFDFD"/>
        <w:spacing w:before="0" w:beforeAutospacing="0" w:after="0" w:afterAutospacing="0"/>
        <w:jc w:val="both"/>
        <w:rPr>
          <w:bCs/>
        </w:rPr>
      </w:pPr>
      <w:r w:rsidRPr="008C2830">
        <w:t>Argumentan que la riqueza global está siendo </w:t>
      </w:r>
      <w:r w:rsidRPr="008C2830">
        <w:rPr>
          <w:bCs/>
        </w:rPr>
        <w:t>subestimada</w:t>
      </w:r>
      <w:r w:rsidRPr="008C2830">
        <w:t> drásticamente en las estadísticas oficiales porque los multimillonarios </w:t>
      </w:r>
      <w:r w:rsidRPr="008C2830">
        <w:rPr>
          <w:bCs/>
        </w:rPr>
        <w:t>eluden una gran cantidad de impuestos.</w:t>
      </w:r>
    </w:p>
    <w:p w:rsidR="00E814FC" w:rsidRPr="008C2830" w:rsidRDefault="00E814FC" w:rsidP="00C532E3">
      <w:pPr>
        <w:pStyle w:val="bbc-bm53ic"/>
        <w:shd w:val="clear" w:color="auto" w:fill="FDFDFD"/>
        <w:spacing w:before="0" w:beforeAutospacing="0" w:after="0" w:afterAutospacing="0"/>
        <w:jc w:val="both"/>
      </w:pPr>
    </w:p>
    <w:p w:rsidR="00C532E3" w:rsidRPr="00E814FC" w:rsidRDefault="00C532E3" w:rsidP="00E814FC">
      <w:pPr>
        <w:shd w:val="clear" w:color="auto" w:fill="FDFDFD"/>
        <w:spacing w:line="240" w:lineRule="auto"/>
        <w:jc w:val="both"/>
      </w:pPr>
      <w:r w:rsidRPr="00745D61">
        <w:rPr>
          <w:rFonts w:ascii="Times New Roman" w:hAnsi="Times New Roman" w:cs="Times New Roman"/>
          <w:noProof/>
          <w:sz w:val="24"/>
          <w:szCs w:val="24"/>
          <w:lang w:eastAsia="es-ES"/>
        </w:rPr>
        <w:lastRenderedPageBreak/>
        <w:drawing>
          <wp:inline distT="0" distB="0" distL="0" distR="0" wp14:anchorId="5394D5AF" wp14:editId="0FD66C2D">
            <wp:extent cx="5759450" cy="2101850"/>
            <wp:effectExtent l="0" t="0" r="0" b="0"/>
            <wp:docPr id="35" name="Imagen 35" descr="Barras de o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arras de or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9450" cy="2101850"/>
                    </a:xfrm>
                    <a:prstGeom prst="rect">
                      <a:avLst/>
                    </a:prstGeom>
                    <a:noFill/>
                    <a:ln>
                      <a:noFill/>
                    </a:ln>
                  </pic:spPr>
                </pic:pic>
              </a:graphicData>
            </a:graphic>
          </wp:inline>
        </w:drawing>
      </w:r>
      <w:r w:rsidRPr="00E814FC">
        <w:rPr>
          <w:rFonts w:ascii="Times New Roman" w:hAnsi="Times New Roman" w:cs="Times New Roman"/>
          <w:sz w:val="24"/>
          <w:szCs w:val="24"/>
        </w:rPr>
        <w:t>La elusión y evasión de impuestos aumentan la desigualdad.</w:t>
      </w:r>
    </w:p>
    <w:p w:rsidR="00C532E3" w:rsidRPr="00745D61" w:rsidRDefault="00C532E3" w:rsidP="00C532E3">
      <w:pPr>
        <w:pStyle w:val="bbc-bm53ic"/>
        <w:shd w:val="clear" w:color="auto" w:fill="FDFDFD"/>
        <w:spacing w:before="0" w:beforeAutospacing="0" w:after="0" w:afterAutospacing="0"/>
        <w:jc w:val="both"/>
      </w:pPr>
      <w:r w:rsidRPr="00745D61">
        <w:t>Lo hacen principalmente desviando recursos a paraísos fiscales que tienen una carga impositiva sustancialmente menor.</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Esa es la razón por la cual los ver</w:t>
      </w:r>
      <w:r w:rsidR="008C2830">
        <w:t>daderos niveles de desigualdad “son muy superiores”</w:t>
      </w:r>
      <w:r w:rsidRPr="00745D61">
        <w:t xml:space="preserve"> a lo que se conoce públicamente, argumenta Zucman.</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Es la </w:t>
      </w:r>
      <w:r w:rsidRPr="008C2830">
        <w:rPr>
          <w:bCs/>
        </w:rPr>
        <w:t>sombra que se esconde detrás de los informes oficiales</w:t>
      </w:r>
      <w:r w:rsidRPr="00745D61">
        <w:t> y que revela un problema aún mucho mayor.</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El investigador sostiene que las grandes empresas multinacionales trasladan cerca de la mitad de sus ganancias a paraísos fiscales.</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Lo hacen de manera legal, pero ese tipo de artificios financieros genera un impacto negativo en el país de origen para el resto de la población.</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Por ejemplo, las grandes empresas estadounidenses reportan más ganancias en</w:t>
      </w:r>
      <w:r w:rsidRPr="00745D61">
        <w:rPr>
          <w:b/>
          <w:bCs/>
        </w:rPr>
        <w:t> </w:t>
      </w:r>
      <w:r w:rsidRPr="008C2830">
        <w:rPr>
          <w:bCs/>
        </w:rPr>
        <w:t>Irlanda </w:t>
      </w:r>
      <w:r w:rsidRPr="00745D61">
        <w:t>(uno de los mayores destinos para elusión de impuestos en el mundo) que en China, Japón, Alemania, Francia y México en su conjunto.</w:t>
      </w:r>
    </w:p>
    <w:p w:rsidR="00C532E3" w:rsidRPr="00745D61" w:rsidRDefault="00C532E3" w:rsidP="00C532E3">
      <w:pPr>
        <w:pStyle w:val="bbc-bm53ic"/>
        <w:shd w:val="clear" w:color="auto" w:fill="FDFDFD"/>
        <w:spacing w:before="0" w:beforeAutospacing="0" w:after="0" w:afterAutospacing="0"/>
        <w:jc w:val="both"/>
      </w:pPr>
    </w:p>
    <w:p w:rsidR="00C532E3" w:rsidRPr="00E814FC" w:rsidRDefault="00C532E3" w:rsidP="00E814FC">
      <w:pPr>
        <w:shd w:val="clear" w:color="auto" w:fill="FDFDFD"/>
        <w:spacing w:line="240" w:lineRule="auto"/>
        <w:jc w:val="both"/>
        <w:rPr>
          <w:rFonts w:ascii="Times New Roman" w:hAnsi="Times New Roman" w:cs="Times New Roman"/>
          <w:sz w:val="24"/>
          <w:szCs w:val="24"/>
        </w:rPr>
      </w:pPr>
      <w:r w:rsidRPr="00745D61">
        <w:rPr>
          <w:rFonts w:ascii="Times New Roman" w:hAnsi="Times New Roman" w:cs="Times New Roman"/>
          <w:noProof/>
          <w:sz w:val="24"/>
          <w:szCs w:val="24"/>
          <w:lang w:eastAsia="es-ES"/>
        </w:rPr>
        <w:drawing>
          <wp:inline distT="0" distB="0" distL="0" distR="0" wp14:anchorId="46BA0A79" wp14:editId="6A308EA9">
            <wp:extent cx="5689600" cy="2565400"/>
            <wp:effectExtent l="0" t="0" r="6350" b="6350"/>
            <wp:docPr id="36" name="Imagen 36" descr="Rascacie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Rascacielo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89600" cy="2565400"/>
                    </a:xfrm>
                    <a:prstGeom prst="rect">
                      <a:avLst/>
                    </a:prstGeom>
                    <a:noFill/>
                    <a:ln>
                      <a:noFill/>
                    </a:ln>
                  </pic:spPr>
                </pic:pic>
              </a:graphicData>
            </a:graphic>
          </wp:inline>
        </w:drawing>
      </w:r>
      <w:r w:rsidR="00E814FC" w:rsidRPr="00E814FC">
        <w:rPr>
          <w:rFonts w:ascii="Times New Roman" w:hAnsi="Times New Roman" w:cs="Times New Roman"/>
          <w:sz w:val="24"/>
          <w:szCs w:val="24"/>
        </w:rPr>
        <w:t>I</w:t>
      </w:r>
      <w:r w:rsidRPr="00E814FC">
        <w:rPr>
          <w:rFonts w:ascii="Times New Roman" w:hAnsi="Times New Roman" w:cs="Times New Roman"/>
          <w:sz w:val="24"/>
          <w:szCs w:val="24"/>
        </w:rPr>
        <w:t>rlanda es uno de los principales destinos para elusión de impuestos.</w:t>
      </w:r>
    </w:p>
    <w:p w:rsidR="00C532E3" w:rsidRPr="00745D61" w:rsidRDefault="00C532E3" w:rsidP="00C532E3">
      <w:pPr>
        <w:pStyle w:val="bbc-bm53ic"/>
        <w:shd w:val="clear" w:color="auto" w:fill="FDFDFD"/>
        <w:spacing w:before="0" w:beforeAutospacing="0" w:after="0" w:afterAutospacing="0"/>
        <w:jc w:val="both"/>
      </w:pPr>
      <w:r w:rsidRPr="00745D61">
        <w:lastRenderedPageBreak/>
        <w:t>También está el caso de las empresas que evaden impuestos fuera de la ley, pero como no tienen un libro de co</w:t>
      </w:r>
      <w:r w:rsidR="008C2830">
        <w:t>ntabilidad que diga “</w:t>
      </w:r>
      <w:r w:rsidRPr="00745D61">
        <w:t>reg</w:t>
      </w:r>
      <w:r w:rsidR="008C2830">
        <w:t>istro de transacciones ilegales”</w:t>
      </w:r>
      <w:r w:rsidRPr="00745D61">
        <w:t>, no se puede cuantificar.</w:t>
      </w:r>
    </w:p>
    <w:p w:rsidR="00C532E3" w:rsidRPr="00745D61" w:rsidRDefault="00C532E3" w:rsidP="00C532E3">
      <w:pPr>
        <w:pStyle w:val="bbc-bm53ic"/>
        <w:shd w:val="clear" w:color="auto" w:fill="FDFDFD"/>
        <w:spacing w:before="0" w:beforeAutospacing="0" w:after="0" w:afterAutospacing="0"/>
        <w:jc w:val="both"/>
      </w:pPr>
    </w:p>
    <w:p w:rsidR="00C532E3" w:rsidRPr="008C2830" w:rsidRDefault="00C532E3" w:rsidP="00C532E3">
      <w:pPr>
        <w:pStyle w:val="bbc-bm53ic"/>
        <w:shd w:val="clear" w:color="auto" w:fill="FDFDFD"/>
        <w:spacing w:before="0" w:beforeAutospacing="0" w:after="0" w:afterAutospacing="0"/>
        <w:jc w:val="both"/>
      </w:pPr>
      <w:r w:rsidRPr="008C2830">
        <w:t>Sin embargo, </w:t>
      </w:r>
      <w:r w:rsidRPr="008C2830">
        <w:rPr>
          <w:bCs/>
        </w:rPr>
        <w:t>Zucman</w:t>
      </w:r>
      <w:r w:rsidRPr="008C2830">
        <w:t> y su equipo han estudiado transacciones informadas por el </w:t>
      </w:r>
      <w:r w:rsidRPr="008C2830">
        <w:rPr>
          <w:bCs/>
        </w:rPr>
        <w:t>Bank for International Settlements</w:t>
      </w:r>
      <w:r w:rsidRPr="008C2830">
        <w:t> que perm</w:t>
      </w:r>
      <w:r w:rsidR="008C2830">
        <w:t>iten hacer aproximaciones a la “</w:t>
      </w:r>
      <w:r w:rsidRPr="008C2830">
        <w:t>riqueza escondida e</w:t>
      </w:r>
      <w:r w:rsidR="008C2830">
        <w:t>n el exterior”</w:t>
      </w:r>
      <w:r w:rsidRPr="008C2830">
        <w:t>.</w:t>
      </w:r>
    </w:p>
    <w:p w:rsidR="00C532E3" w:rsidRPr="008C2830" w:rsidRDefault="00C532E3" w:rsidP="00C532E3">
      <w:pPr>
        <w:pStyle w:val="bbc-bm53ic"/>
        <w:shd w:val="clear" w:color="auto" w:fill="FDFDFD"/>
        <w:spacing w:before="0" w:beforeAutospacing="0" w:after="0" w:afterAutospacing="0"/>
        <w:jc w:val="both"/>
      </w:pPr>
    </w:p>
    <w:p w:rsidR="00C532E3" w:rsidRPr="00745D61" w:rsidRDefault="00C532E3" w:rsidP="00C532E3">
      <w:pPr>
        <w:pStyle w:val="bbc-bm53ic"/>
        <w:shd w:val="clear" w:color="auto" w:fill="FDFDFD"/>
        <w:spacing w:before="0" w:beforeAutospacing="0" w:after="0" w:afterAutospacing="0"/>
        <w:jc w:val="both"/>
      </w:pPr>
      <w:r w:rsidRPr="00745D61">
        <w:t>Por lo pronto estiman que cerca de un 10% de todo el Producto Interno Bruto mundial está perdido en diversos paraísos fiscales.</w:t>
      </w:r>
    </w:p>
    <w:p w:rsidR="00C532E3" w:rsidRPr="00745D61" w:rsidRDefault="00C532E3" w:rsidP="00C532E3">
      <w:pPr>
        <w:pStyle w:val="bbc-bm53ic"/>
        <w:shd w:val="clear" w:color="auto" w:fill="FDFDFD"/>
        <w:spacing w:before="0" w:beforeAutospacing="0" w:after="0" w:afterAutospacing="0"/>
        <w:jc w:val="both"/>
      </w:pPr>
    </w:p>
    <w:p w:rsidR="00C532E3" w:rsidRPr="00745D61" w:rsidRDefault="008C2830" w:rsidP="00C532E3">
      <w:pPr>
        <w:pStyle w:val="bbc-bm53ic"/>
        <w:shd w:val="clear" w:color="auto" w:fill="FDFDFD"/>
        <w:spacing w:before="0" w:beforeAutospacing="0" w:after="0" w:afterAutospacing="0"/>
        <w:jc w:val="both"/>
      </w:pPr>
      <w:r>
        <w:t>“</w:t>
      </w:r>
      <w:r w:rsidR="00C532E3" w:rsidRPr="00745D61">
        <w:t>Los trabajadores no tienen cómo esconder sus ganancias, están obligados a pagar sus impuestos. Las empresas n</w:t>
      </w:r>
      <w:r>
        <w:t>o”</w:t>
      </w:r>
      <w:r w:rsidR="00C532E3" w:rsidRPr="00745D61">
        <w:t>, argumenta Mark Price.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r w:rsidRPr="00745D61">
        <w:rPr>
          <w:rFonts w:ascii="Times New Roman" w:eastAsia="Times New Roman" w:hAnsi="Times New Roman" w:cs="Times New Roman"/>
          <w:kern w:val="36"/>
          <w:sz w:val="24"/>
          <w:szCs w:val="24"/>
          <w:lang w:eastAsia="es-ES"/>
        </w:rPr>
        <w:t xml:space="preserve">- </w:t>
      </w:r>
      <w:r w:rsidRPr="00745D61">
        <w:rPr>
          <w:rFonts w:ascii="Times New Roman" w:eastAsia="Times New Roman" w:hAnsi="Times New Roman" w:cs="Times New Roman"/>
          <w:kern w:val="36"/>
          <w:sz w:val="24"/>
          <w:szCs w:val="24"/>
          <w:u w:val="single"/>
          <w:lang w:eastAsia="es-ES"/>
        </w:rPr>
        <w:t>Pobreza en Estados Unidos: cómo es vivir en Escobares, la ciudad más pobre del país más rico del mundo</w:t>
      </w:r>
      <w:r w:rsidRPr="00745D61">
        <w:rPr>
          <w:rFonts w:ascii="Times New Roman" w:eastAsia="Times New Roman" w:hAnsi="Times New Roman" w:cs="Times New Roman"/>
          <w:kern w:val="36"/>
          <w:sz w:val="24"/>
          <w:szCs w:val="24"/>
          <w:lang w:eastAsia="es-ES"/>
        </w:rPr>
        <w:t xml:space="preserve"> (BBCMundo - </w:t>
      </w:r>
      <w:r w:rsidRPr="00745D61">
        <w:rPr>
          <w:rFonts w:ascii="Times New Roman" w:eastAsia="Times New Roman" w:hAnsi="Times New Roman" w:cs="Times New Roman"/>
          <w:b/>
          <w:kern w:val="36"/>
          <w:sz w:val="24"/>
          <w:szCs w:val="24"/>
          <w:lang w:eastAsia="es-ES"/>
        </w:rPr>
        <w:t>8/2/19</w:t>
      </w:r>
      <w:r w:rsidRPr="00745D61">
        <w:rPr>
          <w:rFonts w:ascii="Times New Roman" w:eastAsia="Times New Roman" w:hAnsi="Times New Roman" w:cs="Times New Roman"/>
          <w:kern w:val="36"/>
          <w:sz w:val="24"/>
          <w:szCs w:val="24"/>
          <w:lang w:eastAsia="es-ES"/>
        </w:rPr>
        <w:t>)</w:t>
      </w:r>
    </w:p>
    <w:p w:rsidR="00C532E3" w:rsidRPr="00745D61" w:rsidRDefault="00C532E3" w:rsidP="00C532E3">
      <w:p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(Por Cecilia Barría)</w:t>
      </w:r>
    </w:p>
    <w:p w:rsidR="00C532E3" w:rsidRPr="008C2830" w:rsidRDefault="008C2830" w:rsidP="00C532E3">
      <w:pPr>
        <w:shd w:val="clear" w:color="auto" w:fill="FDFDFD"/>
        <w:spacing w:after="0" w:line="240" w:lineRule="auto"/>
        <w:jc w:val="both"/>
        <w:rPr>
          <w:rFonts w:ascii="Times New Roman" w:eastAsia="Times New Roman" w:hAnsi="Times New Roman" w:cs="Times New Roman"/>
          <w:bCs/>
          <w:sz w:val="24"/>
          <w:szCs w:val="24"/>
          <w:lang w:eastAsia="es-ES"/>
        </w:rPr>
      </w:pPr>
      <w:r>
        <w:rPr>
          <w:rFonts w:ascii="Times New Roman" w:eastAsia="Times New Roman" w:hAnsi="Times New Roman" w:cs="Times New Roman"/>
          <w:bCs/>
          <w:sz w:val="24"/>
          <w:szCs w:val="24"/>
          <w:lang w:eastAsia="es-ES"/>
        </w:rPr>
        <w:t>En el corazón de la “América profunda”</w:t>
      </w:r>
      <w:r w:rsidR="00C532E3" w:rsidRPr="008C2830">
        <w:rPr>
          <w:rFonts w:ascii="Times New Roman" w:eastAsia="Times New Roman" w:hAnsi="Times New Roman" w:cs="Times New Roman"/>
          <w:bCs/>
          <w:sz w:val="24"/>
          <w:szCs w:val="24"/>
          <w:lang w:eastAsia="es-ES"/>
        </w:rPr>
        <w:t>, Escobares City (Texas) es la ciudad más pobre en el país más rico del mundo.</w:t>
      </w:r>
    </w:p>
    <w:p w:rsidR="00C532E3" w:rsidRPr="008C2830"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Emplazada a la orilla del Río Bravo -la frontera natural que separa a México de Estados Unidos- nunca aparece en el </w:t>
      </w:r>
      <w:r w:rsidRPr="00745D61">
        <w:rPr>
          <w:rFonts w:ascii="Times New Roman" w:eastAsia="Times New Roman" w:hAnsi="Times New Roman" w:cs="Times New Roman"/>
          <w:i/>
          <w:iCs/>
          <w:sz w:val="24"/>
          <w:szCs w:val="24"/>
          <w:lang w:eastAsia="es-ES"/>
        </w:rPr>
        <w:t>ranking </w:t>
      </w:r>
      <w:r w:rsidRPr="00745D61">
        <w:rPr>
          <w:rFonts w:ascii="Times New Roman" w:eastAsia="Times New Roman" w:hAnsi="Times New Roman" w:cs="Times New Roman"/>
          <w:sz w:val="24"/>
          <w:szCs w:val="24"/>
          <w:lang w:eastAsia="es-ES"/>
        </w:rPr>
        <w:t>de las urbes más pobres de Estados Unidos porque con sus 2.512 habitantes, suele ser considerada demasiado pequeña para contarla en las estadísticas.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Pero si consideramos todas las ciudades estadounidenses con al menos 1.000 personas, Escobares es -por lejos- la que lidera la lista, con un </w:t>
      </w:r>
      <w:r w:rsidRPr="008C2830">
        <w:rPr>
          <w:rFonts w:ascii="Times New Roman" w:eastAsia="Times New Roman" w:hAnsi="Times New Roman" w:cs="Times New Roman"/>
          <w:bCs/>
          <w:sz w:val="24"/>
          <w:szCs w:val="24"/>
          <w:lang w:eastAsia="es-ES"/>
        </w:rPr>
        <w:t>62,4% de su población viviendo bajo la línea de pobreza</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según la Oficina del Censo.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2F2F2"/>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5A95DD85" wp14:editId="426019C6">
            <wp:extent cx="5727700" cy="2698750"/>
            <wp:effectExtent l="0" t="0" r="6350" b="6350"/>
            <wp:docPr id="39" name="Imagen 39" descr="Casa-trailer en Escobares City, Tex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asa-trailer en Escobares City, Texa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27700" cy="2698750"/>
                    </a:xfrm>
                    <a:prstGeom prst="rect">
                      <a:avLst/>
                    </a:prstGeom>
                    <a:noFill/>
                    <a:ln>
                      <a:noFill/>
                    </a:ln>
                  </pic:spPr>
                </pic:pic>
              </a:graphicData>
            </a:graphic>
          </wp:inline>
        </w:drawing>
      </w:r>
      <w:r w:rsidRPr="00745D61">
        <w:rPr>
          <w:rFonts w:ascii="Times New Roman" w:eastAsia="Times New Roman" w:hAnsi="Times New Roman" w:cs="Times New Roman"/>
          <w:sz w:val="24"/>
          <w:szCs w:val="24"/>
          <w:lang w:eastAsia="es-ES"/>
        </w:rPr>
        <w:t>El 62,4% de la población de Escobares, Texas, vive bajo la línea de la pobreza, según la Oficina del Censo.</w:t>
      </w:r>
    </w:p>
    <w:p w:rsidR="00C532E3" w:rsidRPr="00745D61" w:rsidRDefault="00C532E3" w:rsidP="00C532E3">
      <w:pPr>
        <w:shd w:val="clear" w:color="auto" w:fill="F2F2F2"/>
        <w:spacing w:after="0" w:line="240" w:lineRule="auto"/>
        <w:jc w:val="both"/>
        <w:rPr>
          <w:rFonts w:ascii="Times New Roman" w:eastAsia="Times New Roman" w:hAnsi="Times New Roman" w:cs="Times New Roman"/>
          <w:sz w:val="24"/>
          <w:szCs w:val="24"/>
          <w:lang w:eastAsia="es-ES"/>
        </w:rPr>
      </w:pPr>
    </w:p>
    <w:p w:rsidR="00C532E3" w:rsidRDefault="008C2830"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C532E3" w:rsidRPr="008C2830">
        <w:rPr>
          <w:rFonts w:ascii="Times New Roman" w:eastAsia="Times New Roman" w:hAnsi="Times New Roman" w:cs="Times New Roman"/>
          <w:bCs/>
          <w:sz w:val="24"/>
          <w:szCs w:val="24"/>
          <w:lang w:eastAsia="es-ES"/>
        </w:rPr>
        <w:t>A veces no hay para comer</w:t>
      </w:r>
      <w:r w:rsidR="00C532E3" w:rsidRPr="00745D61">
        <w:rPr>
          <w:rFonts w:ascii="Times New Roman" w:eastAsia="Times New Roman" w:hAnsi="Times New Roman" w:cs="Times New Roman"/>
          <w:sz w:val="24"/>
          <w:szCs w:val="24"/>
          <w:lang w:eastAsia="es-ES"/>
        </w:rPr>
        <w:t xml:space="preserve">. Gracias a Dios tengo familiares que me invitan un </w:t>
      </w:r>
      <w:r w:rsidR="00F90457">
        <w:rPr>
          <w:rFonts w:ascii="Times New Roman" w:eastAsia="Times New Roman" w:hAnsi="Times New Roman" w:cs="Times New Roman"/>
          <w:sz w:val="24"/>
          <w:szCs w:val="24"/>
          <w:lang w:eastAsia="es-ES"/>
        </w:rPr>
        <w:t>plato, pero pos me da vergüenza”</w:t>
      </w:r>
      <w:r w:rsidR="00C532E3" w:rsidRPr="00745D61">
        <w:rPr>
          <w:rFonts w:ascii="Times New Roman" w:eastAsia="Times New Roman" w:hAnsi="Times New Roman" w:cs="Times New Roman"/>
          <w:sz w:val="24"/>
          <w:szCs w:val="24"/>
          <w:lang w:eastAsia="es-ES"/>
        </w:rPr>
        <w:t>, cuenta Débora Hernández, ciudadana estadounidense, nacida y criada en un territorio donde ya no hay </w:t>
      </w:r>
      <w:r w:rsidR="00C532E3" w:rsidRPr="00745D61">
        <w:rPr>
          <w:rFonts w:ascii="Times New Roman" w:eastAsia="Times New Roman" w:hAnsi="Times New Roman" w:cs="Times New Roman"/>
          <w:i/>
          <w:iCs/>
          <w:sz w:val="24"/>
          <w:szCs w:val="24"/>
          <w:lang w:eastAsia="es-ES"/>
        </w:rPr>
        <w:t>cowboys</w:t>
      </w:r>
      <w:r w:rsidR="00C532E3" w:rsidRPr="00745D61">
        <w:rPr>
          <w:rFonts w:ascii="Times New Roman" w:eastAsia="Times New Roman" w:hAnsi="Times New Roman" w:cs="Times New Roman"/>
          <w:sz w:val="24"/>
          <w:szCs w:val="24"/>
          <w:lang w:eastAsia="es-ES"/>
        </w:rPr>
        <w:t>, ni actividad ganadera que mueva la economía local.</w:t>
      </w:r>
    </w:p>
    <w:p w:rsidR="003E008B" w:rsidRPr="00745D61" w:rsidRDefault="003E008B"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No habla inglés y apenas sabe leer.</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Tuve siete hijos y seis se me murieron</w:t>
      </w:r>
      <w:r w:rsidR="00C532E3" w:rsidRPr="00745D61">
        <w:rPr>
          <w:rFonts w:ascii="Times New Roman" w:eastAsia="Times New Roman" w:hAnsi="Times New Roman" w:cs="Times New Roman"/>
          <w:b/>
          <w:bCs/>
          <w:sz w:val="24"/>
          <w:szCs w:val="24"/>
          <w:lang w:eastAsia="es-ES"/>
        </w:rPr>
        <w:t>.</w:t>
      </w:r>
      <w:r w:rsidR="00C532E3" w:rsidRPr="00745D61">
        <w:rPr>
          <w:rFonts w:ascii="Times New Roman" w:eastAsia="Times New Roman" w:hAnsi="Times New Roman" w:cs="Times New Roman"/>
          <w:sz w:val="24"/>
          <w:szCs w:val="24"/>
          <w:lang w:eastAsia="es-ES"/>
        </w:rPr>
        <w:t> Me queda Berenice, que po</w:t>
      </w:r>
      <w:r>
        <w:rPr>
          <w:rFonts w:ascii="Times New Roman" w:eastAsia="Times New Roman" w:hAnsi="Times New Roman" w:cs="Times New Roman"/>
          <w:sz w:val="24"/>
          <w:szCs w:val="24"/>
          <w:lang w:eastAsia="es-ES"/>
        </w:rPr>
        <w:t>r suerte un doctor me la salvó”</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de qué se murieron sus hijos?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Pos no sé. Nunca me dijeron ni de qué se murieron, ni me dieron un papel. Yo cr</w:t>
      </w:r>
      <w:r>
        <w:rPr>
          <w:rFonts w:ascii="Times New Roman" w:eastAsia="Times New Roman" w:hAnsi="Times New Roman" w:cs="Times New Roman"/>
          <w:sz w:val="24"/>
          <w:szCs w:val="24"/>
          <w:lang w:eastAsia="es-ES"/>
        </w:rPr>
        <w:t>eo que los mataron los doctores”</w:t>
      </w:r>
      <w:r w:rsidR="00C532E3" w:rsidRPr="00745D61">
        <w:rPr>
          <w:rFonts w:ascii="Times New Roman" w:eastAsia="Times New Roman" w:hAnsi="Times New Roman" w:cs="Times New Roman"/>
          <w:sz w:val="24"/>
          <w:szCs w:val="24"/>
          <w:lang w:eastAsia="es-ES"/>
        </w:rPr>
        <w:t>, dice hablando tranquilamente, pero sin ninguna prueba.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Ella no sabe. No sabe realmente qué fue lo que pasó. Quizás fue una enfermedad genética, quizás su propia negligencia. No sabe y probablemente nunca lo sabrá porque tampoco entiende mucho de esas cosas.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Cuando era pequeña la enviaron a una escuela para niños con necesidades especiales y, aunque terminó la primaria, cuenta que no aprendió nada.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7BC999CB" wp14:editId="001DEAEC">
            <wp:extent cx="5784850" cy="3225800"/>
            <wp:effectExtent l="0" t="0" r="6350" b="0"/>
            <wp:docPr id="33" name="Imagen 33" descr="Casa-trailer en Escobares City, Tex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asa-trailer en Escobares City, Texa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84850" cy="32258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98% de los habitantes de Escobares City tiene origen hispano.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Básicamente, Débora no tiene muy claro cómo funciona el mundo.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ahí está con su marido desempleado desde octubre, con su Berenice de 3 años, con el techo de la cocina que se le llueve, con la casa hecha un desastre por dentro, preguntándose si las cosas algún día serán diferentes.</w:t>
      </w:r>
    </w:p>
    <w:p w:rsidR="003E008B" w:rsidRDefault="003E008B"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3E008B" w:rsidRDefault="003E008B"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3E008B" w:rsidRDefault="003E008B"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lastRenderedPageBreak/>
        <w:t>“</w:t>
      </w:r>
      <w:r w:rsidR="00C532E3" w:rsidRPr="00745D61">
        <w:rPr>
          <w:rFonts w:ascii="Times New Roman" w:eastAsia="Times New Roman" w:hAnsi="Times New Roman" w:cs="Times New Roman"/>
          <w:b/>
          <w:bCs/>
          <w:sz w:val="24"/>
          <w:szCs w:val="24"/>
          <w:lang w:eastAsia="es-ES"/>
        </w:rPr>
        <w:t>Hay qu</w:t>
      </w:r>
      <w:r>
        <w:rPr>
          <w:rFonts w:ascii="Times New Roman" w:eastAsia="Times New Roman" w:hAnsi="Times New Roman" w:cs="Times New Roman"/>
          <w:b/>
          <w:bCs/>
          <w:sz w:val="24"/>
          <w:szCs w:val="24"/>
          <w:lang w:eastAsia="es-ES"/>
        </w:rPr>
        <w:t>e salir de aquí... o no comemos”</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Además de unos comercios que funcionan a la orilla de la carretera 83 (que une Laredo con Harlingen, en el Valle del Río Grande), no hay más fuentes de trabajo en Escobares.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Entonces la gente se va a buscar empleo fuera de la ciudad.</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A los que tenemos papeles,</w:t>
      </w:r>
      <w:r>
        <w:rPr>
          <w:rFonts w:ascii="Times New Roman" w:eastAsia="Times New Roman" w:hAnsi="Times New Roman" w:cs="Times New Roman"/>
          <w:sz w:val="24"/>
          <w:szCs w:val="24"/>
          <w:lang w:eastAsia="es-ES"/>
        </w:rPr>
        <w:t xml:space="preserve"> nos sale trabajo para el norte”</w:t>
      </w:r>
      <w:r w:rsidR="00C532E3" w:rsidRPr="00745D61">
        <w:rPr>
          <w:rFonts w:ascii="Times New Roman" w:eastAsia="Times New Roman" w:hAnsi="Times New Roman" w:cs="Times New Roman"/>
          <w:sz w:val="24"/>
          <w:szCs w:val="24"/>
          <w:lang w:eastAsia="es-ES"/>
        </w:rPr>
        <w:t>, cuenta Homero Rosales.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Lo malo es que hay que dejar a la familia abandonada por uno, dos o tres meses. Pero eso es lo que hay que hacer, hay qu</w:t>
      </w:r>
      <w:r>
        <w:rPr>
          <w:rFonts w:ascii="Times New Roman" w:eastAsia="Times New Roman" w:hAnsi="Times New Roman" w:cs="Times New Roman"/>
          <w:sz w:val="24"/>
          <w:szCs w:val="24"/>
          <w:lang w:eastAsia="es-ES"/>
        </w:rPr>
        <w:t>e salir de aquí... o no comemos”</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Padre de cuatro hijos, Homero trabaja en la ciudad de Pecos, a unas nueve horas de Escobares, construyendo </w:t>
      </w:r>
      <w:r w:rsidRPr="00F90457">
        <w:rPr>
          <w:rFonts w:ascii="Times New Roman" w:eastAsia="Times New Roman" w:hAnsi="Times New Roman" w:cs="Times New Roman"/>
          <w:bCs/>
          <w:sz w:val="24"/>
          <w:szCs w:val="24"/>
          <w:lang w:eastAsia="es-ES"/>
        </w:rPr>
        <w:t>oleoductos petroleros</w:t>
      </w:r>
      <w:r w:rsidRPr="00F90457">
        <w:rPr>
          <w:rFonts w:ascii="Times New Roman" w:eastAsia="Times New Roman" w:hAnsi="Times New Roman" w:cs="Times New Roman"/>
          <w:sz w:val="24"/>
          <w:szCs w:val="24"/>
          <w:lang w:eastAsia="es-ES"/>
        </w:rPr>
        <w:t> en el oeste de Texas.</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 xml:space="preserve">No más salió de la escuela, mi hijo mayor se fue a trabajar </w:t>
      </w:r>
      <w:r>
        <w:rPr>
          <w:rFonts w:ascii="Times New Roman" w:eastAsia="Times New Roman" w:hAnsi="Times New Roman" w:cs="Times New Roman"/>
          <w:sz w:val="24"/>
          <w:szCs w:val="24"/>
          <w:lang w:eastAsia="es-ES"/>
        </w:rPr>
        <w:t>conmigo porque aquí no hay nada”</w:t>
      </w:r>
      <w:r w:rsidR="00C532E3" w:rsidRPr="00745D61">
        <w:rPr>
          <w:rFonts w:ascii="Times New Roman" w:eastAsia="Times New Roman" w:hAnsi="Times New Roman" w:cs="Times New Roman"/>
          <w:sz w:val="24"/>
          <w:szCs w:val="24"/>
          <w:lang w:eastAsia="es-ES"/>
        </w:rPr>
        <w:t>.</w:t>
      </w:r>
    </w:p>
    <w:p w:rsidR="00F90457"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16CA220C" wp14:editId="6388F6AF">
            <wp:extent cx="5676900" cy="3333750"/>
            <wp:effectExtent l="0" t="0" r="0" b="0"/>
            <wp:docPr id="31" name="Imagen 31" descr="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bc"/>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76900" cy="33337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Los que no se van a trabajar a los oleoductos ni consiguen algún empleo en las ciudades vecinas, viven de las llamadas </w:t>
      </w:r>
      <w:r w:rsidR="00F90457">
        <w:rPr>
          <w:rFonts w:ascii="Times New Roman" w:eastAsia="Times New Roman" w:hAnsi="Times New Roman" w:cs="Times New Roman"/>
          <w:bCs/>
          <w:sz w:val="24"/>
          <w:szCs w:val="24"/>
          <w:lang w:eastAsia="es-ES"/>
        </w:rPr>
        <w:t>“estampillas”</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i/>
          <w:iCs/>
          <w:sz w:val="24"/>
          <w:szCs w:val="24"/>
          <w:lang w:eastAsia="es-ES"/>
        </w:rPr>
        <w:t>food stamps</w:t>
      </w:r>
      <w:r w:rsidRPr="00745D61">
        <w:rPr>
          <w:rFonts w:ascii="Times New Roman" w:eastAsia="Times New Roman" w:hAnsi="Times New Roman" w:cs="Times New Roman"/>
          <w:sz w:val="24"/>
          <w:szCs w:val="24"/>
          <w:lang w:eastAsia="es-ES"/>
        </w:rPr>
        <w:t>, en inglés), una ayuda social para comprar alimentos.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Otros trabajan un par de meses y luego cobran el seguro de desempleo. Y otros prefieren no contar.</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Como sea, cada quien se las arregla para salvar el día a día, en un lugar del mundo donde no hay transporte público, ni hospital, ni servicio de urgencia. A miles de kilómetros de Wall Street, pero bajo la misma bandera.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Con gigantescos contrastes, Estados Unidos tiene una tasa oficial de pobreza 12,3%, que afecta a cerca de </w:t>
      </w:r>
      <w:r w:rsidRPr="00F90457">
        <w:rPr>
          <w:rFonts w:ascii="Times New Roman" w:eastAsia="Times New Roman" w:hAnsi="Times New Roman" w:cs="Times New Roman"/>
          <w:bCs/>
          <w:sz w:val="24"/>
          <w:szCs w:val="24"/>
          <w:lang w:eastAsia="es-ES"/>
        </w:rPr>
        <w:t>40 millones de personas</w:t>
      </w:r>
      <w:r w:rsidRPr="00F90457">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lastRenderedPageBreak/>
        <w:drawing>
          <wp:inline distT="0" distB="0" distL="0" distR="0" wp14:anchorId="186C74FE" wp14:editId="13D10307">
            <wp:extent cx="5721350" cy="2673350"/>
            <wp:effectExtent l="0" t="0" r="0" b="0"/>
            <wp:docPr id="30" name="Imagen 30" descr="Auto abandon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uto abandonad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21350" cy="267335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12,3% de la población en EEUU vive bajo la línea de la pobreza, cerca de 40 millones de personas.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00C532E3" w:rsidRPr="00745D61">
        <w:rPr>
          <w:rFonts w:ascii="Times New Roman" w:eastAsia="Times New Roman" w:hAnsi="Times New Roman" w:cs="Times New Roman"/>
          <w:sz w:val="24"/>
          <w:szCs w:val="24"/>
          <w:lang w:eastAsia="es-ES"/>
        </w:rPr>
        <w:t xml:space="preserve">a mayor concentración de </w:t>
      </w:r>
      <w:r>
        <w:rPr>
          <w:rFonts w:ascii="Times New Roman" w:eastAsia="Times New Roman" w:hAnsi="Times New Roman" w:cs="Times New Roman"/>
          <w:sz w:val="24"/>
          <w:szCs w:val="24"/>
          <w:lang w:eastAsia="es-ES"/>
        </w:rPr>
        <w:t>pobreza está en el sur del país”</w:t>
      </w:r>
      <w:r w:rsidR="00C532E3" w:rsidRPr="00745D61">
        <w:rPr>
          <w:rFonts w:ascii="Times New Roman" w:eastAsia="Times New Roman" w:hAnsi="Times New Roman" w:cs="Times New Roman"/>
          <w:sz w:val="24"/>
          <w:szCs w:val="24"/>
          <w:lang w:eastAsia="es-ES"/>
        </w:rPr>
        <w:t>, le explica a BBC Mundo, Rakesh Kochhar, investigador del centro de estudios </w:t>
      </w:r>
      <w:r w:rsidR="00C532E3" w:rsidRPr="00745D61">
        <w:rPr>
          <w:rFonts w:ascii="Times New Roman" w:eastAsia="Times New Roman" w:hAnsi="Times New Roman" w:cs="Times New Roman"/>
          <w:i/>
          <w:iCs/>
          <w:sz w:val="24"/>
          <w:szCs w:val="24"/>
          <w:lang w:eastAsia="es-ES"/>
        </w:rPr>
        <w:t>Pew Research Center</w:t>
      </w:r>
      <w:r w:rsidR="00C532E3" w:rsidRPr="00745D61">
        <w:rPr>
          <w:rFonts w:ascii="Times New Roman" w:eastAsia="Times New Roman" w:hAnsi="Times New Roman" w:cs="Times New Roman"/>
          <w:sz w:val="24"/>
          <w:szCs w:val="24"/>
          <w:lang w:eastAsia="es-ES"/>
        </w:rPr>
        <w:t> en Washington.</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Los estados más pobres son Misisipi, Luisiana y Nuevo México</w:t>
      </w:r>
      <w:r w:rsidR="00F90457">
        <w:rPr>
          <w:rFonts w:ascii="Times New Roman" w:eastAsia="Times New Roman" w:hAnsi="Times New Roman" w:cs="Times New Roman"/>
          <w:sz w:val="24"/>
          <w:szCs w:val="24"/>
          <w:lang w:eastAsia="es-ES"/>
        </w:rPr>
        <w:t>, mientras que a nivel étnico, “</w:t>
      </w:r>
      <w:r w:rsidRPr="00745D61">
        <w:rPr>
          <w:rFonts w:ascii="Times New Roman" w:eastAsia="Times New Roman" w:hAnsi="Times New Roman" w:cs="Times New Roman"/>
          <w:sz w:val="24"/>
          <w:szCs w:val="24"/>
          <w:lang w:eastAsia="es-ES"/>
        </w:rPr>
        <w:t>los hispanos y la población negra han tenido históricamente mayores tasas de pobrez</w:t>
      </w:r>
      <w:r w:rsidR="00F90457">
        <w:rPr>
          <w:rFonts w:ascii="Times New Roman" w:eastAsia="Times New Roman" w:hAnsi="Times New Roman" w:cs="Times New Roman"/>
          <w:sz w:val="24"/>
          <w:szCs w:val="24"/>
          <w:lang w:eastAsia="es-ES"/>
        </w:rPr>
        <w:t>a”</w:t>
      </w:r>
      <w:r w:rsidRPr="00745D61">
        <w:rPr>
          <w:rFonts w:ascii="Times New Roman" w:eastAsia="Times New Roman" w:hAnsi="Times New Roman" w:cs="Times New Roman"/>
          <w:sz w:val="24"/>
          <w:szCs w:val="24"/>
          <w:lang w:eastAsia="es-ES"/>
        </w:rPr>
        <w:t>, apunta Kochhar.</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w:t>
      </w:r>
      <w:r w:rsidR="00C532E3" w:rsidRPr="00745D61">
        <w:rPr>
          <w:rFonts w:ascii="Times New Roman" w:eastAsia="Times New Roman" w:hAnsi="Times New Roman" w:cs="Times New Roman"/>
          <w:b/>
          <w:bCs/>
          <w:sz w:val="24"/>
          <w:szCs w:val="24"/>
          <w:lang w:eastAsia="es-ES"/>
        </w:rPr>
        <w:t>Ah</w:t>
      </w:r>
      <w:r>
        <w:rPr>
          <w:rFonts w:ascii="Times New Roman" w:eastAsia="Times New Roman" w:hAnsi="Times New Roman" w:cs="Times New Roman"/>
          <w:b/>
          <w:bCs/>
          <w:sz w:val="24"/>
          <w:szCs w:val="24"/>
          <w:lang w:eastAsia="es-ES"/>
        </w:rPr>
        <w:t>ora tenemos un carro de bombero”</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Hace 13 años Escobares City no existía. En 2005 consiguió oficialmente el estatus de ciudad, dado que hasta antes de esa fecha la comunidad de Escobares no pertenecía a ninguna jurisdicción administrativa.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546DD359" wp14:editId="1451D2D4">
            <wp:extent cx="5721350" cy="2844800"/>
            <wp:effectExtent l="0" t="0" r="0" b="0"/>
            <wp:docPr id="29" name="Imagen 29" descr="Cartel &quot;Welcome to the city of Escobar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artel &quot;Welcome to the city of Escobares&quo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21350" cy="2844800"/>
                    </a:xfrm>
                    <a:prstGeom prst="rect">
                      <a:avLst/>
                    </a:prstGeom>
                    <a:noFill/>
                    <a:ln>
                      <a:noFill/>
                    </a:ln>
                  </pic:spPr>
                </pic:pic>
              </a:graphicData>
            </a:graphic>
          </wp:inline>
        </w:drawing>
      </w:r>
      <w:r w:rsidRPr="00745D61">
        <w:rPr>
          <w:rFonts w:ascii="Times New Roman" w:eastAsia="Times New Roman" w:hAnsi="Times New Roman" w:cs="Times New Roman"/>
          <w:sz w:val="24"/>
          <w:szCs w:val="24"/>
          <w:lang w:eastAsia="es-ES"/>
        </w:rPr>
        <w:t>Escobares se convirtió en ciudad en 2005, luego que los vecinos se organizaran para conseguir una administración autónoma.</w:t>
      </w:r>
    </w:p>
    <w:p w:rsidR="00F90457"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F90457" w:rsidRPr="00F90457" w:rsidRDefault="00F90457" w:rsidP="00F90457">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lastRenderedPageBreak/>
        <w:t>Se podría decir que estaba en </w:t>
      </w:r>
      <w:r w:rsidRPr="00F90457">
        <w:rPr>
          <w:rFonts w:ascii="Times New Roman" w:eastAsia="Times New Roman" w:hAnsi="Times New Roman" w:cs="Times New Roman"/>
          <w:bCs/>
          <w:sz w:val="24"/>
          <w:szCs w:val="24"/>
          <w:lang w:eastAsia="es-ES"/>
        </w:rPr>
        <w:t>“tierra de nadie”.</w:t>
      </w:r>
      <w:r w:rsidRPr="00F90457">
        <w:rPr>
          <w:rFonts w:ascii="Times New Roman" w:eastAsia="Times New Roman" w:hAnsi="Times New Roman" w:cs="Times New Roman"/>
          <w:sz w:val="24"/>
          <w:szCs w:val="24"/>
          <w:lang w:eastAsia="es-ES"/>
        </w:rPr>
        <w:t> Pero cuando un grupo de vecinos escuchó que Roma, la ciudad adyacente, estaba haciendo gestiones para incorporar una parte de Escobares a su territorio, las cosas cambiaron.</w:t>
      </w:r>
    </w:p>
    <w:p w:rsidR="00F90457" w:rsidRPr="00F90457" w:rsidRDefault="00F90457" w:rsidP="00F90457">
      <w:pPr>
        <w:shd w:val="clear" w:color="auto" w:fill="FDFDFD"/>
        <w:spacing w:after="0" w:line="240" w:lineRule="auto"/>
        <w:jc w:val="both"/>
        <w:rPr>
          <w:rFonts w:ascii="Times New Roman" w:eastAsia="Times New Roman" w:hAnsi="Times New Roman" w:cs="Times New Roman"/>
          <w:sz w:val="24"/>
          <w:szCs w:val="24"/>
          <w:lang w:eastAsia="es-ES"/>
        </w:rPr>
      </w:pPr>
    </w:p>
    <w:p w:rsidR="00F90457" w:rsidRPr="00745D61" w:rsidRDefault="00F90457" w:rsidP="00F90457">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Como no veían ninguna ventaja en el plan de sus vecinos, tomaron el toro por las astas.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¿Y por qué no</w:t>
      </w:r>
      <w:r>
        <w:rPr>
          <w:rFonts w:ascii="Times New Roman" w:eastAsia="Times New Roman" w:hAnsi="Times New Roman" w:cs="Times New Roman"/>
          <w:sz w:val="24"/>
          <w:szCs w:val="24"/>
          <w:lang w:eastAsia="es-ES"/>
        </w:rPr>
        <w:t xml:space="preserve"> hacemos nuestra propia ciudad?”</w:t>
      </w:r>
      <w:r w:rsidR="00C532E3" w:rsidRPr="00745D61">
        <w:rPr>
          <w:rFonts w:ascii="Times New Roman" w:eastAsia="Times New Roman" w:hAnsi="Times New Roman" w:cs="Times New Roman"/>
          <w:sz w:val="24"/>
          <w:szCs w:val="24"/>
          <w:lang w:eastAsia="es-ES"/>
        </w:rPr>
        <w:t>, se preguntaron.</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eso fue lo que hicieron. Dibujando en un papel los límites de la futura urbe, se dieron a la tarea de averiguar cómo se inventa una ciudad desde cero.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Convocaron a los vecinos y organizaron una votación donde resultó electo el primer y único alcalde que ha tenido Escobares: </w:t>
      </w:r>
      <w:r w:rsidRPr="00F90457">
        <w:rPr>
          <w:rFonts w:ascii="Times New Roman" w:eastAsia="Times New Roman" w:hAnsi="Times New Roman" w:cs="Times New Roman"/>
          <w:bCs/>
          <w:sz w:val="24"/>
          <w:szCs w:val="24"/>
          <w:lang w:eastAsia="es-ES"/>
        </w:rPr>
        <w:t>Noel Escobar</w:t>
      </w:r>
      <w:r w:rsidRPr="00F90457">
        <w:rPr>
          <w:rFonts w:ascii="Times New Roman" w:eastAsia="Times New Roman" w:hAnsi="Times New Roman" w:cs="Times New Roman"/>
          <w:sz w:val="24"/>
          <w:szCs w:val="24"/>
          <w:lang w:eastAsia="es-ES"/>
        </w:rPr>
        <w:t>.</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sz w:val="24"/>
          <w:szCs w:val="24"/>
          <w:lang w:eastAsia="es-ES"/>
        </w:rPr>
        <w:t>Gracias a que nos convertimos en ciudad, ahora tenemos un carro de bomberos, </w:t>
      </w:r>
      <w:r w:rsidR="00C532E3" w:rsidRPr="00F90457">
        <w:rPr>
          <w:rFonts w:ascii="Times New Roman" w:eastAsia="Times New Roman" w:hAnsi="Times New Roman" w:cs="Times New Roman"/>
          <w:bCs/>
          <w:sz w:val="24"/>
          <w:szCs w:val="24"/>
          <w:lang w:eastAsia="es-ES"/>
        </w:rPr>
        <w:t>cinco policías </w:t>
      </w:r>
      <w:r>
        <w:rPr>
          <w:rFonts w:ascii="Times New Roman" w:eastAsia="Times New Roman" w:hAnsi="Times New Roman" w:cs="Times New Roman"/>
          <w:sz w:val="24"/>
          <w:szCs w:val="24"/>
          <w:lang w:eastAsia="es-ES"/>
        </w:rPr>
        <w:t>y un camión de la basura”</w:t>
      </w:r>
      <w:r w:rsidR="00C532E3" w:rsidRPr="00F90457">
        <w:rPr>
          <w:rFonts w:ascii="Times New Roman" w:eastAsia="Times New Roman" w:hAnsi="Times New Roman" w:cs="Times New Roman"/>
          <w:sz w:val="24"/>
          <w:szCs w:val="24"/>
          <w:lang w:eastAsia="es-ES"/>
        </w:rPr>
        <w:t>, cuenta emocionado.</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sz w:val="24"/>
          <w:szCs w:val="24"/>
          <w:lang w:eastAsia="es-ES"/>
        </w:rPr>
        <w:t xml:space="preserve">Hemos conseguido subsidios y préstamos del gobierno federal para pavimentar calles y para </w:t>
      </w:r>
      <w:r>
        <w:rPr>
          <w:rFonts w:ascii="Times New Roman" w:eastAsia="Times New Roman" w:hAnsi="Times New Roman" w:cs="Times New Roman"/>
          <w:sz w:val="24"/>
          <w:szCs w:val="24"/>
          <w:lang w:eastAsia="es-ES"/>
        </w:rPr>
        <w:t>mejorar los sistemas de drenaje”.”</w:t>
      </w:r>
    </w:p>
    <w:p w:rsidR="00F90457" w:rsidRPr="00F90457"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sz w:val="24"/>
          <w:szCs w:val="24"/>
          <w:lang w:eastAsia="es-ES"/>
        </w:rPr>
        <w:t>Todo eso lo hemos logr</w:t>
      </w:r>
      <w:r>
        <w:rPr>
          <w:rFonts w:ascii="Times New Roman" w:eastAsia="Times New Roman" w:hAnsi="Times New Roman" w:cs="Times New Roman"/>
          <w:sz w:val="24"/>
          <w:szCs w:val="24"/>
          <w:lang w:eastAsia="es-ES"/>
        </w:rPr>
        <w:t>ado con nuestro propio esfuerzo”</w:t>
      </w:r>
      <w:r w:rsidR="00C532E3" w:rsidRPr="00F90457">
        <w:rPr>
          <w:rFonts w:ascii="Times New Roman" w:eastAsia="Times New Roman" w:hAnsi="Times New Roman" w:cs="Times New Roman"/>
          <w:sz w:val="24"/>
          <w:szCs w:val="24"/>
          <w:lang w:eastAsia="es-ES"/>
        </w:rPr>
        <w:t>, explica el alcalde de 83 años</w:t>
      </w:r>
      <w:r>
        <w:rPr>
          <w:rFonts w:ascii="Times New Roman" w:eastAsia="Times New Roman" w:hAnsi="Times New Roman" w:cs="Times New Roman"/>
          <w:sz w:val="24"/>
          <w:szCs w:val="24"/>
          <w:lang w:eastAsia="es-ES"/>
        </w:rPr>
        <w:t>, más conocido en la zona como “El Mayor”</w:t>
      </w:r>
      <w:r w:rsidR="00C532E3" w:rsidRPr="00F90457">
        <w:rPr>
          <w:rFonts w:ascii="Times New Roman" w:eastAsia="Times New Roman" w:hAnsi="Times New Roman" w:cs="Times New Roman"/>
          <w:sz w:val="24"/>
          <w:szCs w:val="24"/>
          <w:lang w:eastAsia="es-ES"/>
        </w:rPr>
        <w:t>, una traducción informal de la palabra que se usa en inglés para referirse a un alcalde.</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Es que en Escobares se habla español, se comen tacos, se escucha música ranchera. Como si se tratara de un pequeño enclave mexicano en territorio estadounidense, donde la única frontera es un río que en la noche ve pasar las sombras.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Al borde del río</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Sin una plaza central ni nada que se le parezca, Escobares es una pequeña ciudad partida en dos por la autopista 83.</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Hacia el este de la carretera, hay un caserío en medio de calles polvorientas, ubicado detrás del cementerio. Por ahí no hay cultivos, ni ganado, ni tampoco mucha gente. A ratos solo se escucha el viento o un perro que ladra a la distancia, como si el reloj se hubiera estropeado.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Al otro lado de la autopista, después de caminar unos pocos minutos, aparece el río. Aquí en vez del viento y los perros, se escucha un helicóptero de la Patrulla Fronteriza (Border Patrol), seguido por una camioneta que se acerca a inspeccionar quiénes son los extraños.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en el cielo, un radar de vigilancia aerostático (</w:t>
      </w:r>
      <w:r w:rsidRPr="00745D61">
        <w:rPr>
          <w:rFonts w:ascii="Times New Roman" w:eastAsia="Times New Roman" w:hAnsi="Times New Roman" w:cs="Times New Roman"/>
          <w:i/>
          <w:iCs/>
          <w:sz w:val="24"/>
          <w:szCs w:val="24"/>
          <w:lang w:eastAsia="es-ES"/>
        </w:rPr>
        <w:t>Tethered Aerostat Radar System</w:t>
      </w:r>
      <w:r w:rsidRPr="00745D61">
        <w:rPr>
          <w:rFonts w:ascii="Times New Roman" w:eastAsia="Times New Roman" w:hAnsi="Times New Roman" w:cs="Times New Roman"/>
          <w:sz w:val="24"/>
          <w:szCs w:val="24"/>
          <w:lang w:eastAsia="es-ES"/>
        </w:rPr>
        <w:t>) sigue atentamente cada movimiento.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sz w:val="24"/>
          <w:szCs w:val="24"/>
          <w:lang w:eastAsia="es-ES"/>
        </w:rPr>
        <w:t>Por aquí mismo, donde estoy parado, p</w:t>
      </w:r>
      <w:r>
        <w:rPr>
          <w:rFonts w:ascii="Times New Roman" w:eastAsia="Times New Roman" w:hAnsi="Times New Roman" w:cs="Times New Roman"/>
          <w:sz w:val="24"/>
          <w:szCs w:val="24"/>
          <w:lang w:eastAsia="es-ES"/>
        </w:rPr>
        <w:t>asan los inmigrantes y la droga”</w:t>
      </w:r>
      <w:r w:rsidR="00C532E3" w:rsidRPr="00F90457">
        <w:rPr>
          <w:rFonts w:ascii="Times New Roman" w:eastAsia="Times New Roman" w:hAnsi="Times New Roman" w:cs="Times New Roman"/>
          <w:sz w:val="24"/>
          <w:szCs w:val="24"/>
          <w:lang w:eastAsia="es-ES"/>
        </w:rPr>
        <w:t>, cuenta </w:t>
      </w:r>
      <w:r w:rsidR="00C532E3" w:rsidRPr="00F90457">
        <w:rPr>
          <w:rFonts w:ascii="Times New Roman" w:eastAsia="Times New Roman" w:hAnsi="Times New Roman" w:cs="Times New Roman"/>
          <w:bCs/>
          <w:sz w:val="24"/>
          <w:szCs w:val="24"/>
          <w:lang w:eastAsia="es-ES"/>
        </w:rPr>
        <w:t>Ruperto Escobar</w:t>
      </w:r>
      <w:r w:rsidR="00C532E3" w:rsidRPr="00F90457">
        <w:rPr>
          <w:rFonts w:ascii="Times New Roman" w:eastAsia="Times New Roman" w:hAnsi="Times New Roman" w:cs="Times New Roman"/>
          <w:sz w:val="24"/>
          <w:szCs w:val="24"/>
          <w:lang w:eastAsia="es-ES"/>
        </w:rPr>
        <w:t>, dueño de un rancho que termina en el río y alcalde suplente de la ciudad.</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A veces en</w:t>
      </w:r>
      <w:r>
        <w:rPr>
          <w:rFonts w:ascii="Times New Roman" w:eastAsia="Times New Roman" w:hAnsi="Times New Roman" w:cs="Times New Roman"/>
          <w:sz w:val="24"/>
          <w:szCs w:val="24"/>
          <w:lang w:eastAsia="es-ES"/>
        </w:rPr>
        <w:t xml:space="preserve"> la noche se escuchan balaceras”</w:t>
      </w:r>
      <w:r w:rsidR="00C532E3" w:rsidRPr="00745D61">
        <w:rPr>
          <w:rFonts w:ascii="Times New Roman" w:eastAsia="Times New Roman" w:hAnsi="Times New Roman" w:cs="Times New Roman"/>
          <w:sz w:val="24"/>
          <w:szCs w:val="24"/>
          <w:lang w:eastAsia="es-ES"/>
        </w:rPr>
        <w:t>, dice con su sombrero texano blanco.</w:t>
      </w:r>
    </w:p>
    <w:p w:rsidR="00F90457"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Y cuando baja el nivel del</w:t>
      </w:r>
      <w:r>
        <w:rPr>
          <w:rFonts w:ascii="Times New Roman" w:eastAsia="Times New Roman" w:hAnsi="Times New Roman" w:cs="Times New Roman"/>
          <w:sz w:val="24"/>
          <w:szCs w:val="24"/>
          <w:lang w:eastAsia="es-ES"/>
        </w:rPr>
        <w:t xml:space="preserve"> agua, algunos cruzan caminando”</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Para el que no ha estado antes en aquella zona, es impactante ver que el ancho del río es de apenas unos 20 metros.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sz w:val="24"/>
          <w:szCs w:val="24"/>
          <w:lang w:eastAsia="es-ES"/>
        </w:rPr>
        <w:t>Por eso </w:t>
      </w:r>
      <w:r w:rsidR="00C532E3" w:rsidRPr="00F90457">
        <w:rPr>
          <w:rFonts w:ascii="Times New Roman" w:eastAsia="Times New Roman" w:hAnsi="Times New Roman" w:cs="Times New Roman"/>
          <w:bCs/>
          <w:sz w:val="24"/>
          <w:szCs w:val="24"/>
          <w:lang w:eastAsia="es-ES"/>
        </w:rPr>
        <w:t>yo estoy a favor del muro</w:t>
      </w:r>
      <w:r w:rsidR="00C532E3" w:rsidRPr="00F90457">
        <w:rPr>
          <w:rFonts w:ascii="Times New Roman" w:eastAsia="Times New Roman" w:hAnsi="Times New Roman" w:cs="Times New Roman"/>
          <w:sz w:val="24"/>
          <w:szCs w:val="24"/>
          <w:lang w:eastAsia="es-ES"/>
        </w:rPr>
        <w:t xml:space="preserve">, aunque la mayoría de los que viven </w:t>
      </w:r>
      <w:r>
        <w:rPr>
          <w:rFonts w:ascii="Times New Roman" w:eastAsia="Times New Roman" w:hAnsi="Times New Roman" w:cs="Times New Roman"/>
          <w:sz w:val="24"/>
          <w:szCs w:val="24"/>
          <w:lang w:eastAsia="es-ES"/>
        </w:rPr>
        <w:t>aquí no esté de acuerdo conmigo”</w:t>
      </w:r>
      <w:r w:rsidR="00C532E3" w:rsidRPr="00F90457">
        <w:rPr>
          <w:rFonts w:ascii="Times New Roman" w:eastAsia="Times New Roman" w:hAnsi="Times New Roman" w:cs="Times New Roman"/>
          <w:sz w:val="24"/>
          <w:szCs w:val="24"/>
          <w:lang w:eastAsia="es-ES"/>
        </w:rPr>
        <w:t>, asegura Ruperto, en relación a los planes del presidente Donald Trump.</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De construirse, Ruperto perdería gran parte de su terreno, pero eso a él no le importa porque está convencido de que no le va a afectar.</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sz w:val="24"/>
          <w:szCs w:val="24"/>
          <w:lang w:eastAsia="es-ES"/>
        </w:rPr>
        <w:t>Cuando construyan el muro justo aquí, al lado de mi casa, me van a dejar un </w:t>
      </w:r>
      <w:r w:rsidR="00C532E3" w:rsidRPr="00F90457">
        <w:rPr>
          <w:rFonts w:ascii="Times New Roman" w:eastAsia="Times New Roman" w:hAnsi="Times New Roman" w:cs="Times New Roman"/>
          <w:bCs/>
          <w:sz w:val="24"/>
          <w:szCs w:val="24"/>
          <w:lang w:eastAsia="es-ES"/>
        </w:rPr>
        <w:t>portón a control remoto</w:t>
      </w:r>
      <w:r w:rsidR="00C532E3" w:rsidRPr="00F90457">
        <w:rPr>
          <w:rFonts w:ascii="Times New Roman" w:eastAsia="Times New Roman" w:hAnsi="Times New Roman" w:cs="Times New Roman"/>
          <w:sz w:val="24"/>
          <w:szCs w:val="24"/>
          <w:lang w:eastAsia="es-ES"/>
        </w:rPr>
        <w:t> para q</w:t>
      </w:r>
      <w:r>
        <w:rPr>
          <w:rFonts w:ascii="Times New Roman" w:eastAsia="Times New Roman" w:hAnsi="Times New Roman" w:cs="Times New Roman"/>
          <w:sz w:val="24"/>
          <w:szCs w:val="24"/>
          <w:lang w:eastAsia="es-ES"/>
        </w:rPr>
        <w:t>ue yo pueda pasar cuando quiera”</w:t>
      </w:r>
      <w:r w:rsidR="00C532E3" w:rsidRPr="00F90457">
        <w:rPr>
          <w:rFonts w:ascii="Times New Roman" w:eastAsia="Times New Roman" w:hAnsi="Times New Roman" w:cs="Times New Roman"/>
          <w:sz w:val="24"/>
          <w:szCs w:val="24"/>
          <w:lang w:eastAsia="es-ES"/>
        </w:rPr>
        <w:t>.</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Sus vecinos, sin embargo, no piensan lo mismo.</w:t>
      </w: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Escapando del narcotráfico</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98% de la población de Escobares es hispana de origen mexicano.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Algunos nacidos ahí, otros nacionalizados, otros con</w:t>
      </w:r>
      <w:r w:rsidR="00F90457">
        <w:rPr>
          <w:rFonts w:ascii="Times New Roman" w:eastAsia="Times New Roman" w:hAnsi="Times New Roman" w:cs="Times New Roman"/>
          <w:sz w:val="24"/>
          <w:szCs w:val="24"/>
          <w:lang w:eastAsia="es-ES"/>
        </w:rPr>
        <w:t xml:space="preserve"> permiso de residencia y otros “sin papeles”</w:t>
      </w:r>
      <w:r w:rsidRPr="00F90457">
        <w:rPr>
          <w:rFonts w:ascii="Times New Roman" w:eastAsia="Times New Roman" w:hAnsi="Times New Roman" w:cs="Times New Roman"/>
          <w:sz w:val="24"/>
          <w:szCs w:val="24"/>
          <w:lang w:eastAsia="es-ES"/>
        </w:rPr>
        <w:t xml:space="preserve"> que se escapan de los </w:t>
      </w:r>
      <w:r w:rsidRPr="00F90457">
        <w:rPr>
          <w:rFonts w:ascii="Times New Roman" w:eastAsia="Times New Roman" w:hAnsi="Times New Roman" w:cs="Times New Roman"/>
          <w:bCs/>
          <w:sz w:val="24"/>
          <w:szCs w:val="24"/>
          <w:lang w:eastAsia="es-ES"/>
        </w:rPr>
        <w:t>asesinatos y secuestros </w:t>
      </w:r>
      <w:r w:rsidRPr="00F90457">
        <w:rPr>
          <w:rFonts w:ascii="Times New Roman" w:eastAsia="Times New Roman" w:hAnsi="Times New Roman" w:cs="Times New Roman"/>
          <w:sz w:val="24"/>
          <w:szCs w:val="24"/>
          <w:lang w:eastAsia="es-ES"/>
        </w:rPr>
        <w:t>en el estado mexicano de Tamaulipas.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A mi Lucerito me la desaparecieron c</w:t>
      </w:r>
      <w:r>
        <w:rPr>
          <w:rFonts w:ascii="Times New Roman" w:eastAsia="Times New Roman" w:hAnsi="Times New Roman" w:cs="Times New Roman"/>
          <w:sz w:val="24"/>
          <w:szCs w:val="24"/>
          <w:lang w:eastAsia="es-ES"/>
        </w:rPr>
        <w:t>on apenas 15 años”</w:t>
      </w:r>
      <w:r w:rsidR="00C532E3" w:rsidRPr="00745D61">
        <w:rPr>
          <w:rFonts w:ascii="Times New Roman" w:eastAsia="Times New Roman" w:hAnsi="Times New Roman" w:cs="Times New Roman"/>
          <w:sz w:val="24"/>
          <w:szCs w:val="24"/>
          <w:lang w:eastAsia="es-ES"/>
        </w:rPr>
        <w:t>, cuenta entre lágrimas una señora indocumentada, cuya hija nunca más regresó a Estados Unidos, después de cruzar hacia el lado mexicano.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 xml:space="preserve">Ella me dijo: mami, ahorita vengo. Pero nunca llegó. Dicen que la mataron... yo no </w:t>
      </w:r>
      <w:r w:rsidRPr="00745D61">
        <w:rPr>
          <w:rFonts w:ascii="Times New Roman" w:eastAsia="Times New Roman" w:hAnsi="Times New Roman" w:cs="Times New Roman"/>
          <w:sz w:val="24"/>
          <w:szCs w:val="24"/>
          <w:lang w:eastAsia="es-ES"/>
        </w:rPr>
        <w:t>sé</w:t>
      </w:r>
      <w:r>
        <w:rPr>
          <w:rFonts w:ascii="Times New Roman" w:eastAsia="Times New Roman" w:hAnsi="Times New Roman" w:cs="Times New Roman"/>
          <w:sz w:val="24"/>
          <w:szCs w:val="24"/>
          <w:lang w:eastAsia="es-ES"/>
        </w:rPr>
        <w:t xml:space="preserve"> ni quién”</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“¿Me puede ayudar a encontrarla?”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“Estoy orgulloso de mi trabajo”</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 primera vista Escobares no parece la ciudad más pobre de Estados Unidos.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Aquí no hay </w:t>
      </w:r>
      <w:r w:rsidRPr="00745D61">
        <w:rPr>
          <w:rFonts w:ascii="Times New Roman" w:eastAsia="Times New Roman" w:hAnsi="Times New Roman" w:cs="Times New Roman"/>
          <w:i/>
          <w:iCs/>
          <w:sz w:val="24"/>
          <w:szCs w:val="24"/>
          <w:lang w:eastAsia="es-ES"/>
        </w:rPr>
        <w:t>homeless</w:t>
      </w:r>
      <w:r w:rsidRPr="00745D61">
        <w:rPr>
          <w:rFonts w:ascii="Times New Roman" w:eastAsia="Times New Roman" w:hAnsi="Times New Roman" w:cs="Times New Roman"/>
          <w:sz w:val="24"/>
          <w:szCs w:val="24"/>
          <w:lang w:eastAsia="es-ES"/>
        </w:rPr>
        <w:t> adictos como los que viven en las calles de Los Ángeles, ni la pobreza de los suburbios racialmente segregados en los grandes centros urbanos como Detroit o Baltimore.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 xml:space="preserve">Pero al adentrarse por las calles interiores, poco a poco se dejan ver las </w:t>
      </w:r>
      <w:r w:rsidRPr="00F90457">
        <w:rPr>
          <w:rFonts w:ascii="Times New Roman" w:eastAsia="Times New Roman" w:hAnsi="Times New Roman" w:cs="Times New Roman"/>
          <w:sz w:val="24"/>
          <w:szCs w:val="24"/>
          <w:lang w:eastAsia="es-ES"/>
        </w:rPr>
        <w:t>llamadas </w:t>
      </w:r>
      <w:r w:rsidRPr="00F90457">
        <w:rPr>
          <w:rFonts w:ascii="Times New Roman" w:eastAsia="Times New Roman" w:hAnsi="Times New Roman" w:cs="Times New Roman"/>
          <w:bCs/>
          <w:sz w:val="24"/>
          <w:szCs w:val="24"/>
          <w:lang w:eastAsia="es-ES"/>
        </w:rPr>
        <w:t>casas-tráiler</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viviendas prefabricadas de material ligero que se pueden llevar de un lugar a otro.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Raúl Renovato, un trabajador de 31 años que llegó desde México cuando tenía apenas 6 años, vive en una de las casas-tráiler de Escobares junto a su pareja y sus cuatro hijos.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bCs/>
          <w:sz w:val="24"/>
          <w:szCs w:val="24"/>
          <w:lang w:eastAsia="es-ES"/>
        </w:rPr>
        <w:t>Esto no es el sueño americano</w:t>
      </w: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sz w:val="24"/>
          <w:szCs w:val="24"/>
          <w:lang w:eastAsia="es-ES"/>
        </w:rPr>
        <w:t>,</w:t>
      </w:r>
      <w:r w:rsidR="003E008B">
        <w:rPr>
          <w:rFonts w:ascii="Times New Roman" w:eastAsia="Times New Roman" w:hAnsi="Times New Roman" w:cs="Times New Roman"/>
          <w:sz w:val="24"/>
          <w:szCs w:val="24"/>
          <w:lang w:eastAsia="es-ES"/>
        </w:rPr>
        <w:t xml:space="preserve"> dice. “</w:t>
      </w:r>
      <w:r w:rsidR="00C532E3" w:rsidRPr="00745D61">
        <w:rPr>
          <w:rFonts w:ascii="Times New Roman" w:eastAsia="Times New Roman" w:hAnsi="Times New Roman" w:cs="Times New Roman"/>
          <w:sz w:val="24"/>
          <w:szCs w:val="24"/>
          <w:lang w:eastAsia="es-ES"/>
        </w:rPr>
        <w:t>Pero el</w:t>
      </w:r>
      <w:r w:rsidR="003E008B">
        <w:rPr>
          <w:rFonts w:ascii="Times New Roman" w:eastAsia="Times New Roman" w:hAnsi="Times New Roman" w:cs="Times New Roman"/>
          <w:sz w:val="24"/>
          <w:szCs w:val="24"/>
          <w:lang w:eastAsia="es-ES"/>
        </w:rPr>
        <w:t xml:space="preserve"> que quiere progresar, progresa”</w:t>
      </w:r>
      <w:r w:rsidR="00C532E3" w:rsidRPr="00745D61">
        <w:rPr>
          <w:rFonts w:ascii="Times New Roman" w:eastAsia="Times New Roman" w:hAnsi="Times New Roman" w:cs="Times New Roman"/>
          <w:sz w:val="24"/>
          <w:szCs w:val="24"/>
          <w:lang w:eastAsia="es-ES"/>
        </w:rPr>
        <w:t>.</w:t>
      </w:r>
    </w:p>
    <w:p w:rsidR="00F90457"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Raúl trabaja en una empresa de recolección de basura en la ciudad de Roma y está a punto de montar su propio negocio de venta de </w:t>
      </w:r>
      <w:r w:rsidRPr="00745D61">
        <w:rPr>
          <w:rFonts w:ascii="Times New Roman" w:eastAsia="Times New Roman" w:hAnsi="Times New Roman" w:cs="Times New Roman"/>
          <w:i/>
          <w:iCs/>
          <w:sz w:val="24"/>
          <w:szCs w:val="24"/>
          <w:lang w:eastAsia="es-ES"/>
        </w:rPr>
        <w:t>hot-dogs</w:t>
      </w:r>
      <w:r w:rsidRPr="00745D61">
        <w:rPr>
          <w:rFonts w:ascii="Times New Roman" w:eastAsia="Times New Roman" w:hAnsi="Times New Roman" w:cs="Times New Roman"/>
          <w:sz w:val="24"/>
          <w:szCs w:val="24"/>
          <w:lang w:eastAsia="es-ES"/>
        </w:rPr>
        <w:t>, para mejorar el salario.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C532E3" w:rsidRPr="00745D61">
        <w:rPr>
          <w:rFonts w:ascii="Times New Roman" w:eastAsia="Times New Roman" w:hAnsi="Times New Roman" w:cs="Times New Roman"/>
          <w:sz w:val="24"/>
          <w:szCs w:val="24"/>
          <w:lang w:eastAsia="es-ES"/>
        </w:rPr>
        <w:t>Estoy orgulloso de mi trabaj</w:t>
      </w:r>
      <w:r>
        <w:rPr>
          <w:rFonts w:ascii="Times New Roman" w:eastAsia="Times New Roman" w:hAnsi="Times New Roman" w:cs="Times New Roman"/>
          <w:sz w:val="24"/>
          <w:szCs w:val="24"/>
          <w:lang w:eastAsia="es-ES"/>
        </w:rPr>
        <w:t>o, porque es un trabajo honrado”</w:t>
      </w:r>
      <w:r w:rsidR="00C532E3" w:rsidRPr="00745D61">
        <w:rPr>
          <w:rFonts w:ascii="Times New Roman" w:eastAsia="Times New Roman" w:hAnsi="Times New Roman" w:cs="Times New Roman"/>
          <w:sz w:val="24"/>
          <w:szCs w:val="24"/>
          <w:lang w:eastAsia="es-ES"/>
        </w:rPr>
        <w:t>. El mismo empleo que le permitió comprarse su casa y ponerle aire acondicionado.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De hecho, hasta la municipalidad y la estación de policía de Esco</w:t>
      </w:r>
      <w:r w:rsidR="00F90457">
        <w:rPr>
          <w:rFonts w:ascii="Times New Roman" w:eastAsia="Times New Roman" w:hAnsi="Times New Roman" w:cs="Times New Roman"/>
          <w:sz w:val="24"/>
          <w:szCs w:val="24"/>
          <w:lang w:eastAsia="es-ES"/>
        </w:rPr>
        <w:t>bares comparten una especie de “oficina-tráiler”</w:t>
      </w:r>
      <w:r w:rsidRPr="00745D61">
        <w:rPr>
          <w:rFonts w:ascii="Times New Roman" w:eastAsia="Times New Roman" w:hAnsi="Times New Roman" w:cs="Times New Roman"/>
          <w:sz w:val="24"/>
          <w:szCs w:val="24"/>
          <w:lang w:eastAsia="es-ES"/>
        </w:rPr>
        <w:t>, porque es más económico que hacer una edificación de material sólido.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2211CC29" wp14:editId="1FD1FCC4">
            <wp:extent cx="5702300" cy="3175000"/>
            <wp:effectExtent l="0" t="0" r="0" b="6350"/>
            <wp:docPr id="23" name="Imagen 23" descr="Casa-trailer en Escobares City, Tex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asa-trailer en Escobares City, Texa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02300" cy="31750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Las casa-tráiler son comunes en Escobares City.</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en ese mismo terreno, está estacionado el carro de bomberos, el camión de la basura, una pequeña oficina de desarrollo económico y un centro comunitario.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F90457"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F90457">
        <w:rPr>
          <w:rFonts w:ascii="Times New Roman" w:eastAsia="Times New Roman" w:hAnsi="Times New Roman" w:cs="Times New Roman"/>
          <w:sz w:val="24"/>
          <w:szCs w:val="24"/>
          <w:lang w:eastAsia="es-ES"/>
        </w:rPr>
        <w:t>Aquí lo que nos hace falta es que llegue </w:t>
      </w:r>
      <w:r w:rsidR="00C532E3" w:rsidRPr="00F90457">
        <w:rPr>
          <w:rFonts w:ascii="Times New Roman" w:eastAsia="Times New Roman" w:hAnsi="Times New Roman" w:cs="Times New Roman"/>
          <w:bCs/>
          <w:sz w:val="24"/>
          <w:szCs w:val="24"/>
          <w:lang w:eastAsia="es-ES"/>
        </w:rPr>
        <w:t>una empresa grande</w:t>
      </w:r>
      <w:r>
        <w:rPr>
          <w:rFonts w:ascii="Times New Roman" w:eastAsia="Times New Roman" w:hAnsi="Times New Roman" w:cs="Times New Roman"/>
          <w:sz w:val="24"/>
          <w:szCs w:val="24"/>
          <w:lang w:eastAsia="es-ES"/>
        </w:rPr>
        <w:t> para que tengamos trabajo”</w:t>
      </w:r>
      <w:r w:rsidR="00C532E3" w:rsidRPr="00F90457">
        <w:rPr>
          <w:rFonts w:ascii="Times New Roman" w:eastAsia="Times New Roman" w:hAnsi="Times New Roman" w:cs="Times New Roman"/>
          <w:sz w:val="24"/>
          <w:szCs w:val="24"/>
          <w:lang w:eastAsia="es-ES"/>
        </w:rPr>
        <w:t>, dice el alcalde, entusiasmado con la idea de que un día la ciudad despegue.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 xml:space="preserve">Me gustaría ver un Escobares con negocios, con empleos, con un parque, con una calle principal y con todos los </w:t>
      </w:r>
      <w:r>
        <w:rPr>
          <w:rFonts w:ascii="Times New Roman" w:eastAsia="Times New Roman" w:hAnsi="Times New Roman" w:cs="Times New Roman"/>
          <w:sz w:val="24"/>
          <w:szCs w:val="24"/>
          <w:lang w:eastAsia="es-ES"/>
        </w:rPr>
        <w:t>servicios que necesita la gente”</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sí me imagino el futuro”</w:t>
      </w:r>
      <w:r w:rsidR="00C532E3" w:rsidRPr="00745D61">
        <w:rPr>
          <w:rFonts w:ascii="Times New Roman" w:eastAsia="Times New Roman" w:hAnsi="Times New Roman" w:cs="Times New Roman"/>
          <w:sz w:val="24"/>
          <w:szCs w:val="24"/>
          <w:lang w:eastAsia="es-ES"/>
        </w:rPr>
        <w:t>.</w:t>
      </w:r>
    </w:p>
    <w:p w:rsidR="00F90457"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r w:rsidRPr="00745D61">
        <w:rPr>
          <w:rFonts w:ascii="Times New Roman" w:eastAsia="Times New Roman" w:hAnsi="Times New Roman" w:cs="Times New Roman"/>
          <w:kern w:val="36"/>
          <w:sz w:val="24"/>
          <w:szCs w:val="24"/>
          <w:lang w:eastAsia="es-ES"/>
        </w:rPr>
        <w:t xml:space="preserve">- </w:t>
      </w:r>
      <w:r w:rsidRPr="00745D61">
        <w:rPr>
          <w:rFonts w:ascii="Times New Roman" w:eastAsia="Times New Roman" w:hAnsi="Times New Roman" w:cs="Times New Roman"/>
          <w:kern w:val="36"/>
          <w:sz w:val="24"/>
          <w:szCs w:val="24"/>
          <w:u w:val="single"/>
          <w:lang w:eastAsia="es-ES"/>
        </w:rPr>
        <w:t>Los desiertos de comida por los que cada año mueren miles de personas en Estados Unidos</w:t>
      </w:r>
      <w:r w:rsidRPr="00745D61">
        <w:rPr>
          <w:rFonts w:ascii="Times New Roman" w:eastAsia="Times New Roman" w:hAnsi="Times New Roman" w:cs="Times New Roman"/>
          <w:kern w:val="36"/>
          <w:sz w:val="24"/>
          <w:szCs w:val="24"/>
          <w:lang w:eastAsia="es-ES"/>
        </w:rPr>
        <w:t xml:space="preserve"> (BBCMundo - </w:t>
      </w:r>
      <w:r w:rsidRPr="00745D61">
        <w:rPr>
          <w:rFonts w:ascii="Times New Roman" w:eastAsia="Times New Roman" w:hAnsi="Times New Roman" w:cs="Times New Roman"/>
          <w:b/>
          <w:kern w:val="36"/>
          <w:sz w:val="24"/>
          <w:szCs w:val="24"/>
          <w:lang w:eastAsia="es-ES"/>
        </w:rPr>
        <w:t>31/5/21</w:t>
      </w:r>
      <w:r w:rsidRPr="00745D61">
        <w:rPr>
          <w:rFonts w:ascii="Times New Roman" w:eastAsia="Times New Roman" w:hAnsi="Times New Roman" w:cs="Times New Roman"/>
          <w:kern w:val="36"/>
          <w:sz w:val="24"/>
          <w:szCs w:val="24"/>
          <w:lang w:eastAsia="es-ES"/>
        </w:rPr>
        <w:t>)</w:t>
      </w:r>
    </w:p>
    <w:p w:rsidR="00C532E3" w:rsidRDefault="00C532E3" w:rsidP="00C532E3">
      <w:p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(Por Cecilia Barría)</w:t>
      </w:r>
    </w:p>
    <w:p w:rsidR="00F90457" w:rsidRPr="00F90457" w:rsidRDefault="00F90457" w:rsidP="00F90457">
      <w:pPr>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A dos cuadras del mar, en medio de hoteles de lujo y altas torres de apartamentos que dan a Biscayne Boulevard, en la mejor parte del Downtown de Miami, el dinero está a la vista.</w:t>
      </w:r>
    </w:p>
    <w:p w:rsidR="00F90457" w:rsidRPr="00745D61" w:rsidRDefault="00F90457" w:rsidP="00C532E3">
      <w:p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2F2F2"/>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lastRenderedPageBreak/>
        <w:drawing>
          <wp:inline distT="0" distB="0" distL="0" distR="0" wp14:anchorId="55DAA3B3" wp14:editId="3FC6E238">
            <wp:extent cx="5695950" cy="2717800"/>
            <wp:effectExtent l="0" t="0" r="0" b="6350"/>
            <wp:docPr id="21" name="Imagen 21" descr="Banco de comida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co de comida en EE.UU."/>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95950" cy="27178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Existen miles de desiertos de comida en Estados Unidos.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Aquí no hay crisis ni pandemia, o al menos no lo parece. Pero basta con caminar cinco cuadras para descubrir que hay otro Miami. Ese que no se ve, ese que existe a la sombra de la opulencia. En Overtown, uno de los barrios más pobres de la ciudad, es difícil encontrar comida nutritiva. Lo que abundan son los negocios de la esquina que venden productos envasados, gaseosas, comida rápida, cerveza, tabaco y billetes de lotería.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4BE1502A" wp14:editId="1DCD4296">
            <wp:extent cx="5638800" cy="2559050"/>
            <wp:effectExtent l="0" t="0" r="0" b="0"/>
            <wp:docPr id="22" name="Imagen 22" descr="Overt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vertow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38800" cy="2559050"/>
                    </a:xfrm>
                    <a:prstGeom prst="rect">
                      <a:avLst/>
                    </a:prstGeom>
                    <a:noFill/>
                    <a:ln>
                      <a:noFill/>
                    </a:ln>
                  </pic:spPr>
                </pic:pic>
              </a:graphicData>
            </a:graphic>
          </wp:inline>
        </w:drawing>
      </w:r>
      <w:r w:rsidRPr="00745D61">
        <w:rPr>
          <w:rFonts w:ascii="Times New Roman" w:eastAsia="Times New Roman" w:hAnsi="Times New Roman" w:cs="Times New Roman"/>
          <w:sz w:val="24"/>
          <w:szCs w:val="24"/>
          <w:lang w:eastAsia="es-ES"/>
        </w:rPr>
        <w:t>Overtown y Liberty son algunos de los barrios más pobres de Miami.</w:t>
      </w:r>
    </w:p>
    <w:p w:rsidR="00236953" w:rsidRPr="00745D61" w:rsidRDefault="0023695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F90457"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Yo no compro en esas tienditas porque no hay c</w:t>
      </w:r>
      <w:r w:rsidR="001B2CBE">
        <w:rPr>
          <w:rFonts w:ascii="Times New Roman" w:eastAsia="Times New Roman" w:hAnsi="Times New Roman" w:cs="Times New Roman"/>
          <w:sz w:val="24"/>
          <w:szCs w:val="24"/>
          <w:lang w:eastAsia="es-ES"/>
        </w:rPr>
        <w:t>osas para cocinar y es muy caro”</w:t>
      </w:r>
      <w:r w:rsidR="00C532E3" w:rsidRPr="00745D61">
        <w:rPr>
          <w:rFonts w:ascii="Times New Roman" w:eastAsia="Times New Roman" w:hAnsi="Times New Roman" w:cs="Times New Roman"/>
          <w:sz w:val="24"/>
          <w:szCs w:val="24"/>
          <w:lang w:eastAsia="es-ES"/>
        </w:rPr>
        <w:t>, cuenta Zenaida Bonilla, madre de cuatro hijos, mientras hace la fila en un centro de distribución de comida gratuita en la calle 12 con la tercera avenida, en el noroeste de Miami.</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Overtown es uno de los miles “desiertos de comida”</w:t>
      </w:r>
      <w:r w:rsidR="00C532E3" w:rsidRPr="00745D61">
        <w:rPr>
          <w:rFonts w:ascii="Times New Roman" w:eastAsia="Times New Roman" w:hAnsi="Times New Roman" w:cs="Times New Roman"/>
          <w:sz w:val="24"/>
          <w:szCs w:val="24"/>
          <w:lang w:eastAsia="es-ES"/>
        </w:rPr>
        <w:t xml:space="preserve"> en los que viven </w:t>
      </w:r>
      <w:r w:rsidR="00C532E3" w:rsidRPr="001B2CBE">
        <w:rPr>
          <w:rFonts w:ascii="Times New Roman" w:eastAsia="Times New Roman" w:hAnsi="Times New Roman" w:cs="Times New Roman"/>
          <w:bCs/>
          <w:sz w:val="24"/>
          <w:szCs w:val="24"/>
          <w:lang w:eastAsia="es-ES"/>
        </w:rPr>
        <w:t>47,4 millones de personas en Estados Unidos,</w:t>
      </w:r>
      <w:r w:rsidR="00C532E3" w:rsidRPr="00745D61">
        <w:rPr>
          <w:rFonts w:ascii="Times New Roman" w:eastAsia="Times New Roman" w:hAnsi="Times New Roman" w:cs="Times New Roman"/>
          <w:b/>
          <w:bCs/>
          <w:sz w:val="24"/>
          <w:szCs w:val="24"/>
          <w:lang w:eastAsia="es-ES"/>
        </w:rPr>
        <w:t> </w:t>
      </w:r>
      <w:r w:rsidR="00C532E3" w:rsidRPr="00745D61">
        <w:rPr>
          <w:rFonts w:ascii="Times New Roman" w:eastAsia="Times New Roman" w:hAnsi="Times New Roman" w:cs="Times New Roman"/>
          <w:sz w:val="24"/>
          <w:szCs w:val="24"/>
          <w:lang w:eastAsia="es-ES"/>
        </w:rPr>
        <w:t>según Alana Rhone, experta de la División de Economía Alimentaria del De</w:t>
      </w:r>
      <w:r>
        <w:rPr>
          <w:rFonts w:ascii="Times New Roman" w:eastAsia="Times New Roman" w:hAnsi="Times New Roman" w:cs="Times New Roman"/>
          <w:sz w:val="24"/>
          <w:szCs w:val="24"/>
          <w:lang w:eastAsia="es-ES"/>
        </w:rPr>
        <w:t>partamento de Agricultura de EEUU</w:t>
      </w:r>
      <w:r w:rsidR="00C532E3" w:rsidRPr="00745D61">
        <w:rPr>
          <w:rFonts w:ascii="Times New Roman" w:eastAsia="Times New Roman" w:hAnsi="Times New Roman" w:cs="Times New Roman"/>
          <w:sz w:val="24"/>
          <w:szCs w:val="24"/>
          <w:lang w:eastAsia="es-ES"/>
        </w:rPr>
        <w:t xml:space="preserve"> (USDA, por sus siglas en inglés).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Se les llama desiertos, explica, pero en realidad son barrios donde viven personas de bajos ingresos con poco acceso a comida saludable.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Una de cada siete personas vive en uno de ellos. Y lo grave es que su salud corre peligro.</w:t>
      </w:r>
    </w:p>
    <w:p w:rsidR="00C532E3" w:rsidRPr="001B2CBE"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1B2CBE">
        <w:rPr>
          <w:rFonts w:ascii="Times New Roman" w:eastAsia="Times New Roman" w:hAnsi="Times New Roman" w:cs="Times New Roman"/>
          <w:sz w:val="24"/>
          <w:szCs w:val="24"/>
          <w:lang w:eastAsia="es-ES"/>
        </w:rPr>
        <w:t>Los que viven en desiertos de comida están </w:t>
      </w:r>
      <w:r w:rsidR="00C532E3" w:rsidRPr="001B2CBE">
        <w:rPr>
          <w:rFonts w:ascii="Times New Roman" w:eastAsia="Times New Roman" w:hAnsi="Times New Roman" w:cs="Times New Roman"/>
          <w:bCs/>
          <w:sz w:val="24"/>
          <w:szCs w:val="24"/>
          <w:lang w:eastAsia="es-ES"/>
        </w:rPr>
        <w:t>expuestos a morir 15 años antes</w:t>
      </w:r>
      <w:r w:rsidR="00C532E3" w:rsidRPr="001B2CBE">
        <w:rPr>
          <w:rFonts w:ascii="Times New Roman" w:eastAsia="Times New Roman" w:hAnsi="Times New Roman" w:cs="Times New Roman"/>
          <w:sz w:val="24"/>
          <w:szCs w:val="24"/>
          <w:lang w:eastAsia="es-ES"/>
        </w:rPr>
        <w:t> que el resto de la població</w:t>
      </w:r>
      <w:r>
        <w:rPr>
          <w:rFonts w:ascii="Times New Roman" w:eastAsia="Times New Roman" w:hAnsi="Times New Roman" w:cs="Times New Roman"/>
          <w:sz w:val="24"/>
          <w:szCs w:val="24"/>
          <w:lang w:eastAsia="es-ES"/>
        </w:rPr>
        <w:t>n por graves problemas de salud”</w:t>
      </w:r>
      <w:r w:rsidR="00C532E3" w:rsidRPr="001B2CBE">
        <w:rPr>
          <w:rFonts w:ascii="Times New Roman" w:eastAsia="Times New Roman" w:hAnsi="Times New Roman" w:cs="Times New Roman"/>
          <w:sz w:val="24"/>
          <w:szCs w:val="24"/>
          <w:lang w:eastAsia="es-ES"/>
        </w:rPr>
        <w:t>, sostiene el doctor Armen Henderson, quien trabaja en el hospital UHealth Tower y es académico de la Universidad de Miami.</w:t>
      </w:r>
    </w:p>
    <w:p w:rsidR="00236953" w:rsidRPr="001B2CBE" w:rsidRDefault="0023695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236953" w:rsidRPr="001B2CBE" w:rsidRDefault="00236953" w:rsidP="00236953">
      <w:pPr>
        <w:shd w:val="clear" w:color="auto" w:fill="FDFDFD"/>
        <w:spacing w:after="0" w:line="240" w:lineRule="auto"/>
        <w:jc w:val="both"/>
        <w:rPr>
          <w:rFonts w:ascii="Times New Roman" w:eastAsia="Times New Roman" w:hAnsi="Times New Roman" w:cs="Times New Roman"/>
          <w:sz w:val="24"/>
          <w:szCs w:val="24"/>
          <w:lang w:eastAsia="es-ES"/>
        </w:rPr>
      </w:pPr>
      <w:r w:rsidRPr="001B2CBE">
        <w:rPr>
          <w:rFonts w:ascii="Times New Roman" w:eastAsia="Times New Roman" w:hAnsi="Times New Roman" w:cs="Times New Roman"/>
          <w:sz w:val="24"/>
          <w:szCs w:val="24"/>
          <w:lang w:eastAsia="es-ES"/>
        </w:rPr>
        <w:t>Bien lo sabe él, que más de una noche se fue a la cama con hambre cuando era menor de edad y hasta llegó a vivir en la calle.</w:t>
      </w:r>
    </w:p>
    <w:p w:rsidR="00236953" w:rsidRPr="001B2CBE" w:rsidRDefault="00236953" w:rsidP="00236953">
      <w:pPr>
        <w:shd w:val="clear" w:color="auto" w:fill="FDFDFD"/>
        <w:spacing w:after="0" w:line="240" w:lineRule="auto"/>
        <w:jc w:val="both"/>
        <w:rPr>
          <w:rFonts w:ascii="Times New Roman" w:eastAsia="Times New Roman" w:hAnsi="Times New Roman" w:cs="Times New Roman"/>
          <w:sz w:val="24"/>
          <w:szCs w:val="24"/>
          <w:lang w:eastAsia="es-ES"/>
        </w:rPr>
      </w:pPr>
    </w:p>
    <w:p w:rsidR="00236953" w:rsidRPr="00236953" w:rsidRDefault="00236953" w:rsidP="00236953">
      <w:pPr>
        <w:shd w:val="clear" w:color="auto" w:fill="FDFDFD"/>
        <w:spacing w:after="0" w:line="240" w:lineRule="auto"/>
        <w:jc w:val="both"/>
        <w:rPr>
          <w:rFonts w:ascii="Times New Roman" w:eastAsia="Times New Roman" w:hAnsi="Times New Roman" w:cs="Times New Roman"/>
          <w:b/>
          <w:sz w:val="24"/>
          <w:szCs w:val="24"/>
          <w:lang w:eastAsia="es-ES"/>
        </w:rPr>
      </w:pPr>
      <w:r w:rsidRPr="001B2CBE">
        <w:rPr>
          <w:rFonts w:ascii="Times New Roman" w:eastAsia="Times New Roman" w:hAnsi="Times New Roman" w:cs="Times New Roman"/>
          <w:b/>
          <w:sz w:val="24"/>
          <w:szCs w:val="24"/>
          <w:lang w:eastAsia="es-ES"/>
        </w:rPr>
        <w:t>BBC -</w:t>
      </w:r>
      <w:r>
        <w:rPr>
          <w:rFonts w:ascii="Times New Roman" w:eastAsia="Times New Roman" w:hAnsi="Times New Roman" w:cs="Times New Roman"/>
          <w:sz w:val="24"/>
          <w:szCs w:val="24"/>
          <w:lang w:eastAsia="es-ES"/>
        </w:rPr>
        <w:t xml:space="preserve"> </w:t>
      </w:r>
      <w:r w:rsidRPr="00236953">
        <w:rPr>
          <w:rFonts w:ascii="Times New Roman" w:eastAsia="Times New Roman" w:hAnsi="Times New Roman" w:cs="Times New Roman"/>
          <w:b/>
          <w:sz w:val="24"/>
          <w:szCs w:val="24"/>
          <w:lang w:eastAsia="es-ES"/>
        </w:rPr>
        <w:t>Desiertos de comida</w:t>
      </w:r>
    </w:p>
    <w:p w:rsidR="00236953" w:rsidRPr="00236953" w:rsidRDefault="00236953" w:rsidP="00236953">
      <w:pPr>
        <w:shd w:val="clear" w:color="auto" w:fill="FDFDFD"/>
        <w:spacing w:after="0" w:line="240" w:lineRule="auto"/>
        <w:jc w:val="both"/>
        <w:rPr>
          <w:rFonts w:ascii="Times New Roman" w:eastAsia="Times New Roman" w:hAnsi="Times New Roman" w:cs="Times New Roman"/>
          <w:b/>
          <w:sz w:val="24"/>
          <w:szCs w:val="24"/>
          <w:lang w:eastAsia="es-ES"/>
        </w:rPr>
      </w:pPr>
      <w:r w:rsidRPr="00236953">
        <w:rPr>
          <w:rFonts w:ascii="Times New Roman" w:eastAsia="Times New Roman" w:hAnsi="Times New Roman" w:cs="Times New Roman"/>
          <w:b/>
          <w:sz w:val="24"/>
          <w:szCs w:val="24"/>
          <w:lang w:eastAsia="es-ES"/>
        </w:rPr>
        <w:t>Estados Unidos</w:t>
      </w:r>
    </w:p>
    <w:p w:rsidR="00236953" w:rsidRDefault="00236953" w:rsidP="00236953">
      <w:pPr>
        <w:shd w:val="clear" w:color="auto" w:fill="FDFDFD"/>
        <w:spacing w:after="0" w:line="240" w:lineRule="auto"/>
        <w:jc w:val="both"/>
        <w:rPr>
          <w:rFonts w:ascii="Times New Roman" w:eastAsia="Times New Roman" w:hAnsi="Times New Roman" w:cs="Times New Roman"/>
          <w:sz w:val="24"/>
          <w:szCs w:val="24"/>
          <w:lang w:eastAsia="es-ES"/>
        </w:rPr>
      </w:pPr>
    </w:p>
    <w:p w:rsidR="00236953" w:rsidRPr="00236953" w:rsidRDefault="00236953" w:rsidP="00236953">
      <w:pPr>
        <w:shd w:val="clear" w:color="auto" w:fill="FDFDFD"/>
        <w:spacing w:after="0" w:line="240" w:lineRule="auto"/>
        <w:jc w:val="both"/>
        <w:rPr>
          <w:rFonts w:ascii="Times New Roman" w:eastAsia="Times New Roman" w:hAnsi="Times New Roman" w:cs="Times New Roman"/>
          <w:sz w:val="24"/>
          <w:szCs w:val="24"/>
          <w:lang w:eastAsia="es-ES"/>
        </w:rPr>
      </w:pPr>
      <w:r w:rsidRPr="00236953">
        <w:rPr>
          <w:rFonts w:ascii="Times New Roman" w:eastAsia="Times New Roman" w:hAnsi="Times New Roman" w:cs="Times New Roman"/>
          <w:sz w:val="24"/>
          <w:szCs w:val="24"/>
          <w:lang w:eastAsia="es-ES"/>
        </w:rPr>
        <w:t>•</w:t>
      </w:r>
      <w:r w:rsidRPr="00236953">
        <w:rPr>
          <w:rFonts w:ascii="Times New Roman" w:eastAsia="Times New Roman" w:hAnsi="Times New Roman" w:cs="Times New Roman"/>
          <w:sz w:val="24"/>
          <w:szCs w:val="24"/>
          <w:lang w:eastAsia="es-ES"/>
        </w:rPr>
        <w:tab/>
        <w:t>47,4 millones de personas viven en barrios de bajos ingresos y poco acceso a comida saludable.</w:t>
      </w:r>
    </w:p>
    <w:p w:rsidR="00236953" w:rsidRPr="00236953" w:rsidRDefault="00236953" w:rsidP="00236953">
      <w:pPr>
        <w:shd w:val="clear" w:color="auto" w:fill="FDFDFD"/>
        <w:spacing w:after="0" w:line="240" w:lineRule="auto"/>
        <w:jc w:val="both"/>
        <w:rPr>
          <w:rFonts w:ascii="Times New Roman" w:eastAsia="Times New Roman" w:hAnsi="Times New Roman" w:cs="Times New Roman"/>
          <w:sz w:val="24"/>
          <w:szCs w:val="24"/>
          <w:lang w:eastAsia="es-ES"/>
        </w:rPr>
      </w:pPr>
    </w:p>
    <w:p w:rsidR="00236953" w:rsidRPr="00236953" w:rsidRDefault="00236953" w:rsidP="00236953">
      <w:pPr>
        <w:shd w:val="clear" w:color="auto" w:fill="FDFDFD"/>
        <w:spacing w:after="0" w:line="240" w:lineRule="auto"/>
        <w:jc w:val="both"/>
        <w:rPr>
          <w:rFonts w:ascii="Times New Roman" w:eastAsia="Times New Roman" w:hAnsi="Times New Roman" w:cs="Times New Roman"/>
          <w:sz w:val="24"/>
          <w:szCs w:val="24"/>
          <w:lang w:eastAsia="es-ES"/>
        </w:rPr>
      </w:pPr>
      <w:r w:rsidRPr="00236953">
        <w:rPr>
          <w:rFonts w:ascii="Times New Roman" w:eastAsia="Times New Roman" w:hAnsi="Times New Roman" w:cs="Times New Roman"/>
          <w:sz w:val="24"/>
          <w:szCs w:val="24"/>
          <w:lang w:eastAsia="es-ES"/>
        </w:rPr>
        <w:t>Fuente: USDA (Este cálculo considera una zona donde más de 100 casas no tienen vehículo y están a más de media milla del supermercado más cercano).</w:t>
      </w:r>
    </w:p>
    <w:p w:rsidR="00236953" w:rsidRPr="00236953" w:rsidRDefault="00236953" w:rsidP="00236953">
      <w:pPr>
        <w:shd w:val="clear" w:color="auto" w:fill="FDFDFD"/>
        <w:spacing w:after="0" w:line="240" w:lineRule="auto"/>
        <w:jc w:val="both"/>
        <w:rPr>
          <w:rFonts w:ascii="Times New Roman" w:eastAsia="Times New Roman" w:hAnsi="Times New Roman" w:cs="Times New Roman"/>
          <w:sz w:val="24"/>
          <w:szCs w:val="24"/>
          <w:lang w:eastAsia="es-ES"/>
        </w:rPr>
      </w:pPr>
    </w:p>
    <w:p w:rsidR="00236953" w:rsidRPr="00236953" w:rsidRDefault="00236953" w:rsidP="00236953">
      <w:pPr>
        <w:shd w:val="clear" w:color="auto" w:fill="FDFDFD"/>
        <w:spacing w:after="0" w:line="240" w:lineRule="auto"/>
        <w:jc w:val="both"/>
        <w:rPr>
          <w:rFonts w:ascii="Times New Roman" w:eastAsia="Times New Roman" w:hAnsi="Times New Roman" w:cs="Times New Roman"/>
          <w:sz w:val="24"/>
          <w:szCs w:val="24"/>
          <w:lang w:eastAsia="es-ES"/>
        </w:rPr>
      </w:pPr>
      <w:r w:rsidRPr="00236953">
        <w:rPr>
          <w:rFonts w:ascii="Times New Roman" w:eastAsia="Times New Roman" w:hAnsi="Times New Roman" w:cs="Times New Roman"/>
          <w:sz w:val="24"/>
          <w:szCs w:val="24"/>
          <w:lang w:eastAsia="es-ES"/>
        </w:rPr>
        <w:t>Una mala nutrición contribuye al desarrollo de enfermedades cardiovasculares, diabetes, hipertensión arterial y obesidad, entre muchas otras.</w:t>
      </w:r>
    </w:p>
    <w:p w:rsidR="00236953" w:rsidRPr="00745D61" w:rsidRDefault="0023695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1B2CBE"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1B2CBE">
        <w:rPr>
          <w:rFonts w:ascii="Times New Roman" w:eastAsia="Times New Roman" w:hAnsi="Times New Roman" w:cs="Times New Roman"/>
          <w:sz w:val="24"/>
          <w:szCs w:val="24"/>
          <w:lang w:eastAsia="es-ES"/>
        </w:rPr>
        <w:t>Y en el caso de los niños retrasa el crecimiento, puede </w:t>
      </w:r>
      <w:r w:rsidRPr="001B2CBE">
        <w:rPr>
          <w:rFonts w:ascii="Times New Roman" w:eastAsia="Times New Roman" w:hAnsi="Times New Roman" w:cs="Times New Roman"/>
          <w:bCs/>
          <w:sz w:val="24"/>
          <w:szCs w:val="24"/>
          <w:lang w:eastAsia="es-ES"/>
        </w:rPr>
        <w:t>perjudicar su desarrollo cerebral</w:t>
      </w:r>
      <w:r w:rsidRPr="001B2CBE">
        <w:rPr>
          <w:rFonts w:ascii="Times New Roman" w:eastAsia="Times New Roman" w:hAnsi="Times New Roman" w:cs="Times New Roman"/>
          <w:sz w:val="24"/>
          <w:szCs w:val="24"/>
          <w:lang w:eastAsia="es-ES"/>
        </w:rPr>
        <w:t>, interferir con su aprendizaje y debilitar el sistema inmunológico.</w:t>
      </w:r>
    </w:p>
    <w:p w:rsidR="00236953" w:rsidRPr="00745D61" w:rsidRDefault="0023695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2BCD31A2" wp14:editId="79F5ED9D">
            <wp:extent cx="5664200" cy="2889250"/>
            <wp:effectExtent l="0" t="0" r="0" b="6350"/>
            <wp:docPr id="13" name="Imagen 13" descr="Ni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iño"/>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64200" cy="2889250"/>
                    </a:xfrm>
                    <a:prstGeom prst="rect">
                      <a:avLst/>
                    </a:prstGeom>
                    <a:noFill/>
                    <a:ln>
                      <a:noFill/>
                    </a:ln>
                  </pic:spPr>
                </pic:pic>
              </a:graphicData>
            </a:graphic>
          </wp:inline>
        </w:drawing>
      </w: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mala nutrición en los niños retrasa el crecimiento, puede perjudicar su desarrollo cerebral, interferir con su aprendizaje y debilitar el sistema inmunológico.</w:t>
      </w:r>
    </w:p>
    <w:p w:rsidR="001B2CBE"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paradoja es que no estamos hablando de un país latinoamericano hundido en la pobreza. Este grave problema nutricional ocurre en uno de los países más ricos del mundo.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César Mendoza, cardiólogo del hospital Jackson Memorial de Miami, cuenta que una gran parte de los pacientes que llegan al centro de salud no han visto un médico en muchos años y no conocen el impacto que puede tener una mala dieta.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1B2CBE"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C532E3" w:rsidRPr="001B2CBE">
        <w:rPr>
          <w:rFonts w:ascii="Times New Roman" w:eastAsia="Times New Roman" w:hAnsi="Times New Roman" w:cs="Times New Roman"/>
          <w:sz w:val="24"/>
          <w:szCs w:val="24"/>
          <w:lang w:eastAsia="es-ES"/>
        </w:rPr>
        <w:t>Las </w:t>
      </w:r>
      <w:r w:rsidR="00C532E3" w:rsidRPr="001B2CBE">
        <w:rPr>
          <w:rFonts w:ascii="Times New Roman" w:eastAsia="Times New Roman" w:hAnsi="Times New Roman" w:cs="Times New Roman"/>
          <w:bCs/>
          <w:sz w:val="24"/>
          <w:szCs w:val="24"/>
          <w:lang w:eastAsia="es-ES"/>
        </w:rPr>
        <w:t>enfermedades cardiovasculares</w:t>
      </w:r>
      <w:r w:rsidR="00C532E3" w:rsidRPr="001B2CBE">
        <w:rPr>
          <w:rFonts w:ascii="Times New Roman" w:eastAsia="Times New Roman" w:hAnsi="Times New Roman" w:cs="Times New Roman"/>
          <w:sz w:val="24"/>
          <w:szCs w:val="24"/>
          <w:lang w:eastAsia="es-ES"/>
        </w:rPr>
        <w:t xml:space="preserve"> siguen siendo la principal causa de muerte </w:t>
      </w:r>
      <w:r>
        <w:rPr>
          <w:rFonts w:ascii="Times New Roman" w:eastAsia="Times New Roman" w:hAnsi="Times New Roman" w:cs="Times New Roman"/>
          <w:sz w:val="24"/>
          <w:szCs w:val="24"/>
          <w:lang w:eastAsia="es-ES"/>
        </w:rPr>
        <w:t>en Estados Unidos y en el mundo”</w:t>
      </w:r>
      <w:r w:rsidR="00C532E3" w:rsidRPr="001B2CBE">
        <w:rPr>
          <w:rFonts w:ascii="Times New Roman" w:eastAsia="Times New Roman" w:hAnsi="Times New Roman" w:cs="Times New Roman"/>
          <w:sz w:val="24"/>
          <w:szCs w:val="24"/>
          <w:lang w:eastAsia="es-ES"/>
        </w:rPr>
        <w:t>, dice Mendoza.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Liberty City</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No lejos del hospital está Liberty City, otro histórico desierto de comida que en la década de los 60 recibió a muchas familias pobres que fueron desplazadas de Overtown tras la construcción de la carretera Interestatal 95.</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Convertido en un gueto con altos niveles de criminalidad, el barrio ha mantenido por décadas las marcas de la segregación racial que impiden el flujo de capital hacia la zona. No hay grandes supermercados, ni tampoco tiendas que vendan frutas y verduras.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medio de un paisaje desolador, hay un pequeño </w:t>
      </w:r>
      <w:r w:rsidRPr="001B2CBE">
        <w:rPr>
          <w:rFonts w:ascii="Times New Roman" w:eastAsia="Times New Roman" w:hAnsi="Times New Roman" w:cs="Times New Roman"/>
          <w:bCs/>
          <w:sz w:val="24"/>
          <w:szCs w:val="24"/>
          <w:lang w:eastAsia="es-ES"/>
        </w:rPr>
        <w:t>huerto urbano</w:t>
      </w:r>
      <w:r w:rsidRPr="00745D61">
        <w:rPr>
          <w:rFonts w:ascii="Times New Roman" w:eastAsia="Times New Roman" w:hAnsi="Times New Roman" w:cs="Times New Roman"/>
          <w:sz w:val="24"/>
          <w:szCs w:val="24"/>
          <w:lang w:eastAsia="es-ES"/>
        </w:rPr>
        <w:t> en la calle 60 con la 18. Nicole Fowles lo cuida como si fuera un oasis en medio del desierto.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Aquí puede venir cualquier persona y llevars</w:t>
      </w:r>
      <w:r>
        <w:rPr>
          <w:rFonts w:ascii="Times New Roman" w:eastAsia="Times New Roman" w:hAnsi="Times New Roman" w:cs="Times New Roman"/>
          <w:sz w:val="24"/>
          <w:szCs w:val="24"/>
          <w:lang w:eastAsia="es-ES"/>
        </w:rPr>
        <w:t>e lo que quiera. Todo es gratis”</w:t>
      </w:r>
      <w:r w:rsidR="00C532E3" w:rsidRPr="00745D61">
        <w:rPr>
          <w:rFonts w:ascii="Times New Roman" w:eastAsia="Times New Roman" w:hAnsi="Times New Roman" w:cs="Times New Roman"/>
          <w:sz w:val="24"/>
          <w:szCs w:val="24"/>
          <w:lang w:eastAsia="es-ES"/>
        </w:rPr>
        <w:t>, dice.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6AA9911A" wp14:editId="06307009">
            <wp:extent cx="5683250" cy="2870200"/>
            <wp:effectExtent l="0" t="0" r="0" b="6350"/>
            <wp:docPr id="11" name="Imagen 11" descr="Nicole Fow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icole Fowle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83250" cy="28702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Nicole Fowles está encargada de cuidar el huerto urbano de Liberty City.</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Este es uno de los ocho </w:t>
      </w:r>
      <w:r w:rsidRPr="001B2CBE">
        <w:rPr>
          <w:rFonts w:ascii="Times New Roman" w:eastAsia="Times New Roman" w:hAnsi="Times New Roman" w:cs="Times New Roman"/>
          <w:bCs/>
          <w:sz w:val="24"/>
          <w:szCs w:val="24"/>
          <w:lang w:eastAsia="es-ES"/>
        </w:rPr>
        <w:t>huertos urbanos</w:t>
      </w:r>
      <w:r w:rsidR="001B2CBE">
        <w:rPr>
          <w:rFonts w:ascii="Times New Roman" w:eastAsia="Times New Roman" w:hAnsi="Times New Roman" w:cs="Times New Roman"/>
          <w:sz w:val="24"/>
          <w:szCs w:val="24"/>
          <w:lang w:eastAsia="es-ES"/>
        </w:rPr>
        <w:t> que la organización “Health in the Hood”</w:t>
      </w:r>
      <w:r w:rsidRPr="00745D61">
        <w:rPr>
          <w:rFonts w:ascii="Times New Roman" w:eastAsia="Times New Roman" w:hAnsi="Times New Roman" w:cs="Times New Roman"/>
          <w:sz w:val="24"/>
          <w:szCs w:val="24"/>
          <w:lang w:eastAsia="es-ES"/>
        </w:rPr>
        <w:t xml:space="preserve"> ha creado en los desiertos de comida de Miami.</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Su fundadora, Asha Loring, cuenta que estos huertos -financiados con el aporte de donantes y subvenciones públicas- permiten mejorar la dieta de cientos de familias durante algunos meses del año.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esfuerzo ha valido la pena”</w:t>
      </w:r>
      <w:r w:rsidR="00C532E3" w:rsidRPr="00745D61">
        <w:rPr>
          <w:rFonts w:ascii="Times New Roman" w:eastAsia="Times New Roman" w:hAnsi="Times New Roman" w:cs="Times New Roman"/>
          <w:sz w:val="24"/>
          <w:szCs w:val="24"/>
          <w:lang w:eastAsia="es-ES"/>
        </w:rPr>
        <w:t>, apunta.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“No es rentable”</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Los grandes supermercados no se instalan en los desiertos de comida porque no es ren</w:t>
      </w:r>
      <w:r>
        <w:rPr>
          <w:rFonts w:ascii="Times New Roman" w:eastAsia="Times New Roman" w:hAnsi="Times New Roman" w:cs="Times New Roman"/>
          <w:sz w:val="24"/>
          <w:szCs w:val="24"/>
          <w:lang w:eastAsia="es-ES"/>
        </w:rPr>
        <w:t>table”</w:t>
      </w:r>
      <w:r w:rsidR="00C532E3" w:rsidRPr="00745D61">
        <w:rPr>
          <w:rFonts w:ascii="Times New Roman" w:eastAsia="Times New Roman" w:hAnsi="Times New Roman" w:cs="Times New Roman"/>
          <w:sz w:val="24"/>
          <w:szCs w:val="24"/>
          <w:lang w:eastAsia="es-ES"/>
        </w:rPr>
        <w:t>, explica Paco Vélez, director ejecutivo de </w:t>
      </w:r>
      <w:r w:rsidR="00C532E3" w:rsidRPr="00745D61">
        <w:rPr>
          <w:rFonts w:ascii="Times New Roman" w:eastAsia="Times New Roman" w:hAnsi="Times New Roman" w:cs="Times New Roman"/>
          <w:i/>
          <w:iCs/>
          <w:sz w:val="24"/>
          <w:szCs w:val="24"/>
          <w:lang w:eastAsia="es-ES"/>
        </w:rPr>
        <w:t>Feeding South Florida</w:t>
      </w:r>
      <w:r w:rsidR="00C532E3" w:rsidRPr="00745D61">
        <w:rPr>
          <w:rFonts w:ascii="Times New Roman" w:eastAsia="Times New Roman" w:hAnsi="Times New Roman" w:cs="Times New Roman"/>
          <w:sz w:val="24"/>
          <w:szCs w:val="24"/>
          <w:lang w:eastAsia="es-ES"/>
        </w:rPr>
        <w:t>, una organización sin fines de lucro.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lastRenderedPageBreak/>
        <w:drawing>
          <wp:inline distT="0" distB="0" distL="0" distR="0" wp14:anchorId="0B46B7BB" wp14:editId="330325B9">
            <wp:extent cx="5676900" cy="2882900"/>
            <wp:effectExtent l="0" t="0" r="0" b="0"/>
            <wp:docPr id="10" name="Imagen 10" descr="Cartel en Nueva Orle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rtel en Nueva Orlean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76900" cy="2882900"/>
                    </a:xfrm>
                    <a:prstGeom prst="rect">
                      <a:avLst/>
                    </a:prstGeom>
                    <a:noFill/>
                    <a:ln>
                      <a:noFill/>
                    </a:ln>
                  </pic:spPr>
                </pic:pic>
              </a:graphicData>
            </a:graphic>
          </wp:inline>
        </w:drawing>
      </w: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 xml:space="preserve">Los grandes supermercados no se instalan en los desiertos </w:t>
      </w:r>
      <w:r>
        <w:rPr>
          <w:rFonts w:ascii="Times New Roman" w:eastAsia="Times New Roman" w:hAnsi="Times New Roman" w:cs="Times New Roman"/>
          <w:sz w:val="24"/>
          <w:szCs w:val="24"/>
          <w:lang w:eastAsia="es-ES"/>
        </w:rPr>
        <w:t>de comida porque no es rentable”</w:t>
      </w:r>
      <w:r w:rsidR="00C532E3" w:rsidRPr="00745D61">
        <w:rPr>
          <w:rFonts w:ascii="Times New Roman" w:eastAsia="Times New Roman" w:hAnsi="Times New Roman" w:cs="Times New Roman"/>
          <w:sz w:val="24"/>
          <w:szCs w:val="24"/>
          <w:lang w:eastAsia="es-ES"/>
        </w:rPr>
        <w:t>, explica Paco Vélez.</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Eso hace que la gente termine comprando en el negocio de la esquina y como hay negocios que les dan crédito, algunas familias permanecen constantemente </w:t>
      </w:r>
      <w:r w:rsidRPr="001B2CBE">
        <w:rPr>
          <w:rFonts w:ascii="Times New Roman" w:eastAsia="Times New Roman" w:hAnsi="Times New Roman" w:cs="Times New Roman"/>
          <w:bCs/>
          <w:sz w:val="24"/>
          <w:szCs w:val="24"/>
          <w:lang w:eastAsia="es-ES"/>
        </w:rPr>
        <w:t>endeudadas</w:t>
      </w:r>
      <w:r w:rsidRPr="001B2CBE">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Vélez cree que una buena alternativa sería darle incentivos a esos comercios para que vendieran, por ejemplo, comida saludable congelada.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lo que ha resultado bastante efectivo, agrega, son las </w:t>
      </w:r>
      <w:r w:rsidRPr="001B2CBE">
        <w:rPr>
          <w:rFonts w:ascii="Times New Roman" w:eastAsia="Times New Roman" w:hAnsi="Times New Roman" w:cs="Times New Roman"/>
          <w:bCs/>
          <w:sz w:val="24"/>
          <w:szCs w:val="24"/>
          <w:lang w:eastAsia="es-ES"/>
        </w:rPr>
        <w:t>tiendas móviles</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que venden productos naturales a buen precio y que, al mismo tiempo, le enseñan a la gente a cocinar de una manera más saludable.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¿Dónde están?</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Para identificar dónde están los desiertos de comida, la USDA elaboró un mapa. Como se trata de un país de 328 millones de habitantes, la tarea no fue sencilla, y es por eso decidieron utilizar al menos cuatro grandes definiciones.</w:t>
      </w:r>
    </w:p>
    <w:p w:rsidR="001B2CBE"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1B2CBE" w:rsidRPr="00745D61" w:rsidRDefault="001B2CBE" w:rsidP="001B2CBE">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más conocida es aquella que define un desierto de comida como un lugar donde </w:t>
      </w:r>
      <w:r w:rsidRPr="001B2CBE">
        <w:rPr>
          <w:rFonts w:ascii="Times New Roman" w:eastAsia="Times New Roman" w:hAnsi="Times New Roman" w:cs="Times New Roman"/>
          <w:bCs/>
          <w:sz w:val="24"/>
          <w:szCs w:val="24"/>
          <w:lang w:eastAsia="es-ES"/>
        </w:rPr>
        <w:t>el supermercado más cercano</w:t>
      </w:r>
      <w:r w:rsidRPr="00745D61">
        <w:rPr>
          <w:rFonts w:ascii="Times New Roman" w:eastAsia="Times New Roman" w:hAnsi="Times New Roman" w:cs="Times New Roman"/>
          <w:sz w:val="24"/>
          <w:szCs w:val="24"/>
          <w:lang w:eastAsia="es-ES"/>
        </w:rPr>
        <w:t> está a más de una milla (1,6 kilómetros) en zonas urbanas, y a más de 10 millas (16 kilómetros) en zonas rurales.</w:t>
      </w:r>
    </w:p>
    <w:p w:rsidR="001B2CBE" w:rsidRPr="00745D61" w:rsidRDefault="001B2CBE" w:rsidP="001B2CBE">
      <w:pPr>
        <w:shd w:val="clear" w:color="auto" w:fill="FDFDFD"/>
        <w:spacing w:after="0" w:line="240" w:lineRule="auto"/>
        <w:jc w:val="both"/>
        <w:rPr>
          <w:rFonts w:ascii="Times New Roman" w:eastAsia="Times New Roman" w:hAnsi="Times New Roman" w:cs="Times New Roman"/>
          <w:sz w:val="24"/>
          <w:szCs w:val="24"/>
          <w:lang w:eastAsia="es-ES"/>
        </w:rPr>
      </w:pPr>
    </w:p>
    <w:p w:rsidR="001B2CBE" w:rsidRPr="00745D61" w:rsidRDefault="001B2CBE" w:rsidP="001B2CBE">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Sin embargo, para la economista Alana Rhone, es mejor incluir otros criterios como, por ejemplo, una zona donde más de 100 casas no tienen auto y están a más de 0,8 kilómetros del supermercado más cercano en un sector urbano.</w:t>
      </w:r>
    </w:p>
    <w:p w:rsidR="001B2CBE" w:rsidRPr="00745D61" w:rsidRDefault="001B2CBE" w:rsidP="001B2CBE">
      <w:pPr>
        <w:shd w:val="clear" w:color="auto" w:fill="FDFDFD"/>
        <w:spacing w:after="0" w:line="240" w:lineRule="auto"/>
        <w:jc w:val="both"/>
        <w:rPr>
          <w:rFonts w:ascii="Times New Roman" w:eastAsia="Times New Roman" w:hAnsi="Times New Roman" w:cs="Times New Roman"/>
          <w:sz w:val="24"/>
          <w:szCs w:val="24"/>
          <w:lang w:eastAsia="es-ES"/>
        </w:rPr>
      </w:pPr>
    </w:p>
    <w:p w:rsidR="001B2CBE" w:rsidRPr="00745D61" w:rsidRDefault="001B2CBE" w:rsidP="001B2CBE">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Así, según la definición que se utilice, cambia el número de personas que oficialmente viven en un desierto de comida en el territorio estadounidense.</w:t>
      </w:r>
    </w:p>
    <w:p w:rsidR="001B2CBE" w:rsidRPr="00745D61" w:rsidRDefault="001B2CBE" w:rsidP="001B2CBE">
      <w:pPr>
        <w:shd w:val="clear" w:color="auto" w:fill="FDFDFD"/>
        <w:spacing w:after="0" w:line="240" w:lineRule="auto"/>
        <w:jc w:val="both"/>
        <w:rPr>
          <w:rFonts w:ascii="Times New Roman" w:eastAsia="Times New Roman" w:hAnsi="Times New Roman" w:cs="Times New Roman"/>
          <w:sz w:val="24"/>
          <w:szCs w:val="24"/>
          <w:lang w:eastAsia="es-ES"/>
        </w:rPr>
      </w:pPr>
    </w:p>
    <w:p w:rsidR="001B2CBE"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lastRenderedPageBreak/>
        <w:drawing>
          <wp:inline distT="0" distB="0" distL="0" distR="0" wp14:anchorId="1ACB0B2B" wp14:editId="7A7825BE">
            <wp:extent cx="5740400" cy="4749800"/>
            <wp:effectExtent l="0" t="0" r="0" b="0"/>
            <wp:docPr id="9" name="Imagen 9" descr="Mapa desiertos de com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pa desiertos de comid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40400" cy="47498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3E008B"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“Cinturón de óxido”</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Default="003E008B"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medio de “Cinturón de Óxido”</w:t>
      </w:r>
      <w:r w:rsidR="00C532E3" w:rsidRPr="00745D61">
        <w:rPr>
          <w:rFonts w:ascii="Times New Roman" w:eastAsia="Times New Roman" w:hAnsi="Times New Roman" w:cs="Times New Roman"/>
          <w:sz w:val="24"/>
          <w:szCs w:val="24"/>
          <w:lang w:eastAsia="es-ES"/>
        </w:rPr>
        <w:t xml:space="preserve"> (</w:t>
      </w:r>
      <w:r w:rsidR="00C532E3" w:rsidRPr="00745D61">
        <w:rPr>
          <w:rFonts w:ascii="Times New Roman" w:eastAsia="Times New Roman" w:hAnsi="Times New Roman" w:cs="Times New Roman"/>
          <w:i/>
          <w:iCs/>
          <w:sz w:val="24"/>
          <w:szCs w:val="24"/>
          <w:lang w:eastAsia="es-ES"/>
        </w:rPr>
        <w:t>Rust Belt</w:t>
      </w:r>
      <w:r w:rsidR="00C532E3" w:rsidRPr="00745D61">
        <w:rPr>
          <w:rFonts w:ascii="Times New Roman" w:eastAsia="Times New Roman" w:hAnsi="Times New Roman" w:cs="Times New Roman"/>
          <w:sz w:val="24"/>
          <w:szCs w:val="24"/>
          <w:lang w:eastAsia="es-ES"/>
        </w:rPr>
        <w:t>) está la ciudad de </w:t>
      </w:r>
      <w:r w:rsidR="00C532E3" w:rsidRPr="00987770">
        <w:rPr>
          <w:rFonts w:ascii="Times New Roman" w:eastAsia="Times New Roman" w:hAnsi="Times New Roman" w:cs="Times New Roman"/>
          <w:bCs/>
          <w:sz w:val="24"/>
          <w:szCs w:val="24"/>
          <w:lang w:eastAsia="es-ES"/>
        </w:rPr>
        <w:t>Youngstown</w:t>
      </w:r>
      <w:r w:rsidR="00C532E3" w:rsidRPr="00745D61">
        <w:rPr>
          <w:rFonts w:ascii="Times New Roman" w:eastAsia="Times New Roman" w:hAnsi="Times New Roman" w:cs="Times New Roman"/>
          <w:sz w:val="24"/>
          <w:szCs w:val="24"/>
          <w:lang w:eastAsia="es-ES"/>
        </w:rPr>
        <w:t>, Ohio, un área que hace décadas fue la cuna de la industria manufacturera y que desde los 70 ha sufrido un duro proceso de desindustrialización.</w:t>
      </w:r>
    </w:p>
    <w:p w:rsidR="001B2CBE"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6E4CE1E8" wp14:editId="1683731A">
            <wp:extent cx="5651500" cy="2641600"/>
            <wp:effectExtent l="0" t="0" r="6350" b="6350"/>
            <wp:docPr id="8" name="Imagen 8" descr="Youngstown en los año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oungstown en los años 5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51500" cy="2641600"/>
                    </a:xfrm>
                    <a:prstGeom prst="rect">
                      <a:avLst/>
                    </a:prstGeom>
                    <a:noFill/>
                    <a:ln>
                      <a:noFill/>
                    </a:ln>
                  </pic:spPr>
                </pic:pic>
              </a:graphicData>
            </a:graphic>
          </wp:inline>
        </w:drawing>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Así era Youngstown, Ohio, en la década de los 50, cuan</w:t>
      </w:r>
      <w:r w:rsidR="00873824">
        <w:rPr>
          <w:rFonts w:ascii="Times New Roman" w:eastAsia="Times New Roman" w:hAnsi="Times New Roman" w:cs="Times New Roman"/>
          <w:sz w:val="24"/>
          <w:szCs w:val="24"/>
          <w:lang w:eastAsia="es-ES"/>
        </w:rPr>
        <w:t>do la industria del acero era bo</w:t>
      </w:r>
      <w:r w:rsidR="00873824" w:rsidRPr="00745D61">
        <w:rPr>
          <w:rFonts w:ascii="Times New Roman" w:eastAsia="Times New Roman" w:hAnsi="Times New Roman" w:cs="Times New Roman"/>
          <w:sz w:val="24"/>
          <w:szCs w:val="24"/>
          <w:lang w:eastAsia="es-ES"/>
        </w:rPr>
        <w:t>yante</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Con una historia ligada a los días de gloria de la producción de acero, hoy </w:t>
      </w:r>
      <w:r w:rsidRPr="001B2CBE">
        <w:rPr>
          <w:rFonts w:ascii="Times New Roman" w:eastAsia="Times New Roman" w:hAnsi="Times New Roman" w:cs="Times New Roman"/>
          <w:bCs/>
          <w:sz w:val="24"/>
          <w:szCs w:val="24"/>
          <w:lang w:eastAsia="es-ES"/>
        </w:rPr>
        <w:t>el 35% de la población de Youngstown vive en la pobreza</w:t>
      </w:r>
      <w:r w:rsidRPr="00745D61">
        <w:rPr>
          <w:rFonts w:ascii="Times New Roman" w:eastAsia="Times New Roman" w:hAnsi="Times New Roman" w:cs="Times New Roman"/>
          <w:sz w:val="24"/>
          <w:szCs w:val="24"/>
          <w:lang w:eastAsia="es-ES"/>
        </w:rPr>
        <w:t> y está plagado de desiertos de comida.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Maraline Kubik, de la fundación Mercy Health, cuenta que en las comunidades donde ella trabaja la gente vive en condiciones muy precarias.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Muchas personas tienen dificultades para cocinar en casa, ya sea porque les han desconectado los servicios básico</w:t>
      </w:r>
      <w:r>
        <w:rPr>
          <w:rFonts w:ascii="Times New Roman" w:eastAsia="Times New Roman" w:hAnsi="Times New Roman" w:cs="Times New Roman"/>
          <w:sz w:val="24"/>
          <w:szCs w:val="24"/>
          <w:lang w:eastAsia="es-ES"/>
        </w:rPr>
        <w:t>s o porque no tienen una cocina”</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Por otro lado, cuenta que es muy difícil llegar a los supermercados, especialmente para las personas mayores.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trayecto puede demorar más de una hora al sumar las caminatas hasta la parada de autobús, las conexiones y los tiempos de espera. Y el mayor inconveniente es el regreso a casa cargados de bolsas.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4BE35CA0" wp14:editId="6C653818">
            <wp:extent cx="5708650" cy="2438400"/>
            <wp:effectExtent l="0" t="0" r="6350" b="0"/>
            <wp:docPr id="7" name="Imagen 7" descr="Youngst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oungstow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08650" cy="2438400"/>
                    </a:xfrm>
                    <a:prstGeom prst="rect">
                      <a:avLst/>
                    </a:prstGeom>
                    <a:noFill/>
                    <a:ln>
                      <a:noFill/>
                    </a:ln>
                  </pic:spPr>
                </pic:pic>
              </a:graphicData>
            </a:graphic>
          </wp:inline>
        </w:drawing>
      </w:r>
      <w:r w:rsidRPr="00745D61">
        <w:rPr>
          <w:rFonts w:ascii="Times New Roman" w:eastAsia="Times New Roman" w:hAnsi="Times New Roman" w:cs="Times New Roman"/>
          <w:sz w:val="24"/>
          <w:szCs w:val="24"/>
          <w:lang w:eastAsia="es-ES"/>
        </w:rPr>
        <w:t>Youngstown ha hecho esfuerzos por atraer inversiones y apoyar la creación de nuevas empresas, pero aún tiene un nivel de pobreza de 35%.</w:t>
      </w:r>
    </w:p>
    <w:p w:rsidR="001B2CBE"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1B2CBE">
        <w:rPr>
          <w:rFonts w:ascii="Times New Roman" w:eastAsia="Times New Roman" w:hAnsi="Times New Roman" w:cs="Times New Roman"/>
          <w:bCs/>
          <w:sz w:val="24"/>
          <w:szCs w:val="24"/>
          <w:lang w:eastAsia="es-ES"/>
        </w:rPr>
        <w:t>Esta es una comunidad que está envejeciendo</w:t>
      </w:r>
      <w:r w:rsidR="00C532E3" w:rsidRPr="00745D61">
        <w:rPr>
          <w:rFonts w:ascii="Times New Roman" w:eastAsia="Times New Roman" w:hAnsi="Times New Roman" w:cs="Times New Roman"/>
          <w:sz w:val="24"/>
          <w:szCs w:val="24"/>
          <w:lang w:eastAsia="es-ES"/>
        </w:rPr>
        <w:t>. Tenemos muchas personas mayores, personas con discapacidades, abuelos que se hacen cargo de sus nietos, madres o padres solteros que tienen dificult</w:t>
      </w:r>
      <w:r>
        <w:rPr>
          <w:rFonts w:ascii="Times New Roman" w:eastAsia="Times New Roman" w:hAnsi="Times New Roman" w:cs="Times New Roman"/>
          <w:sz w:val="24"/>
          <w:szCs w:val="24"/>
          <w:lang w:eastAsia="es-ES"/>
        </w:rPr>
        <w:t>ades para comprar lejos de casa”</w:t>
      </w:r>
      <w:r w:rsidR="00C532E3" w:rsidRPr="00745D61">
        <w:rPr>
          <w:rFonts w:ascii="Times New Roman" w:eastAsia="Times New Roman" w:hAnsi="Times New Roman" w:cs="Times New Roman"/>
          <w:sz w:val="24"/>
          <w:szCs w:val="24"/>
          <w:lang w:eastAsia="es-ES"/>
        </w:rPr>
        <w:t>, explica Kubik.</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Pe</w:t>
      </w:r>
      <w:r w:rsidR="001B2CBE">
        <w:rPr>
          <w:rFonts w:ascii="Times New Roman" w:eastAsia="Times New Roman" w:hAnsi="Times New Roman" w:cs="Times New Roman"/>
          <w:sz w:val="24"/>
          <w:szCs w:val="24"/>
          <w:lang w:eastAsia="es-ES"/>
        </w:rPr>
        <w:t>se a las dificultades, agrega, “</w:t>
      </w:r>
      <w:r w:rsidRPr="00745D61">
        <w:rPr>
          <w:rFonts w:ascii="Times New Roman" w:eastAsia="Times New Roman" w:hAnsi="Times New Roman" w:cs="Times New Roman"/>
          <w:sz w:val="24"/>
          <w:szCs w:val="24"/>
          <w:lang w:eastAsia="es-ES"/>
        </w:rPr>
        <w:t xml:space="preserve">tenemos muchos centros de distribución de </w:t>
      </w:r>
      <w:r w:rsidR="001B2CBE">
        <w:rPr>
          <w:rFonts w:ascii="Times New Roman" w:eastAsia="Times New Roman" w:hAnsi="Times New Roman" w:cs="Times New Roman"/>
          <w:sz w:val="24"/>
          <w:szCs w:val="24"/>
          <w:lang w:eastAsia="es-ES"/>
        </w:rPr>
        <w:t>alimentos y comedores populares”</w:t>
      </w:r>
      <w:r w:rsidRPr="00745D61">
        <w:rPr>
          <w:rFonts w:ascii="Times New Roman" w:eastAsia="Times New Roman" w:hAnsi="Times New Roman" w:cs="Times New Roman"/>
          <w:sz w:val="24"/>
          <w:szCs w:val="24"/>
          <w:lang w:eastAsia="es-ES"/>
        </w:rPr>
        <w:t>. También las escuelas proveen desayunos y almuerzos. Y muchas personas tienen acceso a la ayuda alimentaria que entrega el gobierno a través de los llamados </w:t>
      </w:r>
      <w:r w:rsidRPr="00745D61">
        <w:rPr>
          <w:rFonts w:ascii="Times New Roman" w:eastAsia="Times New Roman" w:hAnsi="Times New Roman" w:cs="Times New Roman"/>
          <w:i/>
          <w:iCs/>
          <w:sz w:val="24"/>
          <w:szCs w:val="24"/>
          <w:lang w:eastAsia="es-ES"/>
        </w:rPr>
        <w:t>food stamps</w:t>
      </w:r>
      <w:r w:rsidRPr="00745D61">
        <w:rPr>
          <w:rFonts w:ascii="Times New Roman" w:eastAsia="Times New Roman" w:hAnsi="Times New Roman" w:cs="Times New Roman"/>
          <w:sz w:val="24"/>
          <w:szCs w:val="24"/>
          <w:lang w:eastAsia="es-ES"/>
        </w:rPr>
        <w:t> (cupones de alimentos).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Hay otros barrios de Youngstown donde la situación es menos precaria, pero igualmente difícil.</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3E008B"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w:t>
      </w:r>
      <w:r w:rsidR="001B2CBE">
        <w:rPr>
          <w:rFonts w:ascii="Times New Roman" w:eastAsia="Times New Roman" w:hAnsi="Times New Roman" w:cs="Times New Roman"/>
          <w:b/>
          <w:bCs/>
          <w:sz w:val="24"/>
          <w:szCs w:val="24"/>
          <w:lang w:eastAsia="es-ES"/>
        </w:rPr>
        <w:t>No hay competen</w:t>
      </w:r>
      <w:r>
        <w:rPr>
          <w:rFonts w:ascii="Times New Roman" w:eastAsia="Times New Roman" w:hAnsi="Times New Roman" w:cs="Times New Roman"/>
          <w:b/>
          <w:bCs/>
          <w:sz w:val="24"/>
          <w:szCs w:val="24"/>
          <w:lang w:eastAsia="es-ES"/>
        </w:rPr>
        <w:t>cia”</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 xml:space="preserve">Hace tres años tuve </w:t>
      </w:r>
      <w:r w:rsidR="00C532E3" w:rsidRPr="001B2CBE">
        <w:rPr>
          <w:rFonts w:ascii="Times New Roman" w:eastAsia="Times New Roman" w:hAnsi="Times New Roman" w:cs="Times New Roman"/>
          <w:sz w:val="24"/>
          <w:szCs w:val="24"/>
          <w:lang w:eastAsia="es-ES"/>
        </w:rPr>
        <w:t>un </w:t>
      </w:r>
      <w:r w:rsidR="00C532E3" w:rsidRPr="001B2CBE">
        <w:rPr>
          <w:rFonts w:ascii="Times New Roman" w:eastAsia="Times New Roman" w:hAnsi="Times New Roman" w:cs="Times New Roman"/>
          <w:bCs/>
          <w:sz w:val="24"/>
          <w:szCs w:val="24"/>
          <w:lang w:eastAsia="es-ES"/>
        </w:rPr>
        <w:t>accidente cerebrovascular</w:t>
      </w:r>
      <w:r w:rsidR="00C532E3" w:rsidRPr="00745D61">
        <w:rPr>
          <w:rFonts w:ascii="Times New Roman" w:eastAsia="Times New Roman" w:hAnsi="Times New Roman" w:cs="Times New Roman"/>
          <w:b/>
          <w:bCs/>
          <w:sz w:val="24"/>
          <w:szCs w:val="24"/>
          <w:lang w:eastAsia="es-ES"/>
        </w:rPr>
        <w:t> </w:t>
      </w:r>
      <w:r w:rsidR="00C532E3" w:rsidRPr="00745D61">
        <w:rPr>
          <w:rFonts w:ascii="Times New Roman" w:eastAsia="Times New Roman" w:hAnsi="Times New Roman" w:cs="Times New Roman"/>
          <w:sz w:val="24"/>
          <w:szCs w:val="24"/>
          <w:lang w:eastAsia="es-ES"/>
        </w:rPr>
        <w:t>y t</w:t>
      </w:r>
      <w:r>
        <w:rPr>
          <w:rFonts w:ascii="Times New Roman" w:eastAsia="Times New Roman" w:hAnsi="Times New Roman" w:cs="Times New Roman"/>
          <w:sz w:val="24"/>
          <w:szCs w:val="24"/>
          <w:lang w:eastAsia="es-ES"/>
        </w:rPr>
        <w:t>engo problemas para desplazarme”</w:t>
      </w:r>
      <w:r w:rsidR="00C532E3" w:rsidRPr="00745D61">
        <w:rPr>
          <w:rFonts w:ascii="Times New Roman" w:eastAsia="Times New Roman" w:hAnsi="Times New Roman" w:cs="Times New Roman"/>
          <w:sz w:val="24"/>
          <w:szCs w:val="24"/>
          <w:lang w:eastAsia="es-ES"/>
        </w:rPr>
        <w:t>, dice Mary Jane Brooks, una mujer de 75 años que consigue sus alimentos con ayuda de organizaciones sociales, de vecinos o por entrega a domicilio.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Cuenta que los precios siguen siendo muy eleva</w:t>
      </w:r>
      <w:r w:rsidR="001B2CBE">
        <w:rPr>
          <w:rFonts w:ascii="Times New Roman" w:eastAsia="Times New Roman" w:hAnsi="Times New Roman" w:cs="Times New Roman"/>
          <w:sz w:val="24"/>
          <w:szCs w:val="24"/>
          <w:lang w:eastAsia="es-ES"/>
        </w:rPr>
        <w:t>dos para su nivel de ingresos. “</w:t>
      </w:r>
      <w:r w:rsidRPr="00745D61">
        <w:rPr>
          <w:rFonts w:ascii="Times New Roman" w:eastAsia="Times New Roman" w:hAnsi="Times New Roman" w:cs="Times New Roman"/>
          <w:sz w:val="24"/>
          <w:szCs w:val="24"/>
          <w:lang w:eastAsia="es-ES"/>
        </w:rPr>
        <w:t>El problema es que no hay competencia y por eso ten</w:t>
      </w:r>
      <w:r w:rsidR="001B2CBE">
        <w:rPr>
          <w:rFonts w:ascii="Times New Roman" w:eastAsia="Times New Roman" w:hAnsi="Times New Roman" w:cs="Times New Roman"/>
          <w:sz w:val="24"/>
          <w:szCs w:val="24"/>
          <w:lang w:eastAsia="es-ES"/>
        </w:rPr>
        <w:t>emos que pagar lo que te cobran”</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0225E5FC" wp14:editId="02F4B25E">
            <wp:extent cx="5695950" cy="2965450"/>
            <wp:effectExtent l="0" t="0" r="0" b="6350"/>
            <wp:docPr id="6" name="Imagen 6" descr="Chica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hicago"/>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95950" cy="2965450"/>
                    </a:xfrm>
                    <a:prstGeom prst="rect">
                      <a:avLst/>
                    </a:prstGeom>
                    <a:noFill/>
                    <a:ln>
                      <a:noFill/>
                    </a:ln>
                  </pic:spPr>
                </pic:pic>
              </a:graphicData>
            </a:graphic>
          </wp:inline>
        </w:drawing>
      </w:r>
      <w:r w:rsidRPr="00745D61">
        <w:rPr>
          <w:rFonts w:ascii="Times New Roman" w:eastAsia="Times New Roman" w:hAnsi="Times New Roman" w:cs="Times New Roman"/>
          <w:sz w:val="24"/>
          <w:szCs w:val="24"/>
          <w:lang w:eastAsia="es-ES"/>
        </w:rPr>
        <w:t>Los desiertos de comida están repartidos por todos los estados del país. Este es un barrio de Chicago, que también fue una ciudad más próspera en el pasado.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1B2CBE"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eso coincide Pamela Huff, quien tuvo que cambiar sus hábitos alime</w:t>
      </w:r>
      <w:r w:rsidR="00A960F1">
        <w:rPr>
          <w:rFonts w:ascii="Times New Roman" w:eastAsia="Times New Roman" w:hAnsi="Times New Roman" w:cs="Times New Roman"/>
          <w:sz w:val="24"/>
          <w:szCs w:val="24"/>
          <w:lang w:eastAsia="es-ES"/>
        </w:rPr>
        <w:t xml:space="preserve">nticios por problemas de salud. </w:t>
      </w:r>
      <w:r w:rsidR="001B2CBE">
        <w:rPr>
          <w:rFonts w:ascii="Times New Roman" w:eastAsia="Times New Roman" w:hAnsi="Times New Roman" w:cs="Times New Roman"/>
          <w:sz w:val="24"/>
          <w:szCs w:val="24"/>
          <w:lang w:eastAsia="es-ES"/>
        </w:rPr>
        <w:t>“</w:t>
      </w:r>
      <w:r w:rsidRPr="001B2CBE">
        <w:rPr>
          <w:rFonts w:ascii="Times New Roman" w:eastAsia="Times New Roman" w:hAnsi="Times New Roman" w:cs="Times New Roman"/>
          <w:bCs/>
          <w:sz w:val="24"/>
          <w:szCs w:val="24"/>
          <w:lang w:eastAsia="es-ES"/>
        </w:rPr>
        <w:t>Tuve que enseñarme a comer de otra manera</w:t>
      </w:r>
      <w:r w:rsidRPr="001B2CBE">
        <w:rPr>
          <w:rFonts w:ascii="Times New Roman" w:eastAsia="Times New Roman" w:hAnsi="Times New Roman" w:cs="Times New Roman"/>
          <w:sz w:val="24"/>
          <w:szCs w:val="24"/>
          <w:lang w:eastAsia="es-ES"/>
        </w:rPr>
        <w:t>. Hice un esfuerzo por comer comida saludabl</w:t>
      </w:r>
      <w:r w:rsidR="001B2CBE">
        <w:rPr>
          <w:rFonts w:ascii="Times New Roman" w:eastAsia="Times New Roman" w:hAnsi="Times New Roman" w:cs="Times New Roman"/>
          <w:sz w:val="24"/>
          <w:szCs w:val="24"/>
          <w:lang w:eastAsia="es-ES"/>
        </w:rPr>
        <w:t>e y conseguí bajar la presión”</w:t>
      </w:r>
      <w:r w:rsidRPr="001B2CBE">
        <w:rPr>
          <w:rFonts w:ascii="Times New Roman" w:eastAsia="Times New Roman" w:hAnsi="Times New Roman" w:cs="Times New Roman"/>
          <w:sz w:val="24"/>
          <w:szCs w:val="24"/>
          <w:lang w:eastAsia="es-ES"/>
        </w:rPr>
        <w:t>, dice.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Un día fui al médico y me preguntó ¿qué estás comiendo?, porque no podía creer qu</w:t>
      </w:r>
      <w:r>
        <w:rPr>
          <w:rFonts w:ascii="Times New Roman" w:eastAsia="Times New Roman" w:hAnsi="Times New Roman" w:cs="Times New Roman"/>
          <w:sz w:val="24"/>
          <w:szCs w:val="24"/>
          <w:lang w:eastAsia="es-ES"/>
        </w:rPr>
        <w:t>e mi presión estuviera tan baja”</w:t>
      </w:r>
      <w:r w:rsidR="00C532E3" w:rsidRPr="00745D61">
        <w:rPr>
          <w:rFonts w:ascii="Times New Roman" w:eastAsia="Times New Roman" w:hAnsi="Times New Roman" w:cs="Times New Roman"/>
          <w:sz w:val="24"/>
          <w:szCs w:val="24"/>
          <w:lang w:eastAsia="es-ES"/>
        </w:rPr>
        <w:t>. Ahora cada vez que tiene la oportunidad va a los mercados callejeros de agricultores y toma el bus para ir al superme</w:t>
      </w:r>
      <w:r>
        <w:rPr>
          <w:rFonts w:ascii="Times New Roman" w:eastAsia="Times New Roman" w:hAnsi="Times New Roman" w:cs="Times New Roman"/>
          <w:sz w:val="24"/>
          <w:szCs w:val="24"/>
          <w:lang w:eastAsia="es-ES"/>
        </w:rPr>
        <w:t>rcado una vez cada dos semanas. “</w:t>
      </w:r>
      <w:r w:rsidR="00C532E3" w:rsidRPr="00745D61">
        <w:rPr>
          <w:rFonts w:ascii="Times New Roman" w:eastAsia="Times New Roman" w:hAnsi="Times New Roman" w:cs="Times New Roman"/>
          <w:sz w:val="24"/>
          <w:szCs w:val="24"/>
          <w:lang w:eastAsia="es-ES"/>
        </w:rPr>
        <w:t>Solo puedo</w:t>
      </w:r>
      <w:r>
        <w:rPr>
          <w:rFonts w:ascii="Times New Roman" w:eastAsia="Times New Roman" w:hAnsi="Times New Roman" w:cs="Times New Roman"/>
          <w:sz w:val="24"/>
          <w:szCs w:val="24"/>
          <w:lang w:eastAsia="es-ES"/>
        </w:rPr>
        <w:t xml:space="preserve"> cargar cuatro bolsas en el bus”</w:t>
      </w:r>
      <w:r w:rsidR="00C532E3" w:rsidRPr="00745D61">
        <w:rPr>
          <w:rFonts w:ascii="Times New Roman" w:eastAsia="Times New Roman" w:hAnsi="Times New Roman" w:cs="Times New Roman"/>
          <w:sz w:val="24"/>
          <w:szCs w:val="24"/>
          <w:lang w:eastAsia="es-ES"/>
        </w:rPr>
        <w:t>, explica.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Algunos miembros de la comunidad de Youngstown como Rose Carter, directora ejecutiva de la organización social ACTION, han trabajado intensamente para mejorar las condiciones alimentarias de la ciudad.</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Organizamos mercados de frutas y verduras con los agric</w:t>
      </w:r>
      <w:r>
        <w:rPr>
          <w:rFonts w:ascii="Times New Roman" w:eastAsia="Times New Roman" w:hAnsi="Times New Roman" w:cs="Times New Roman"/>
          <w:sz w:val="24"/>
          <w:szCs w:val="24"/>
          <w:lang w:eastAsia="es-ES"/>
        </w:rPr>
        <w:t>ultores locales”, dice llena de entusiasmo. “</w:t>
      </w:r>
      <w:r w:rsidR="00C532E3" w:rsidRPr="00745D61">
        <w:rPr>
          <w:rFonts w:ascii="Times New Roman" w:eastAsia="Times New Roman" w:hAnsi="Times New Roman" w:cs="Times New Roman"/>
          <w:sz w:val="24"/>
          <w:szCs w:val="24"/>
          <w:lang w:eastAsia="es-ES"/>
        </w:rPr>
        <w:t>Y le enseñamos a las personas a coci</w:t>
      </w:r>
      <w:r>
        <w:rPr>
          <w:rFonts w:ascii="Times New Roman" w:eastAsia="Times New Roman" w:hAnsi="Times New Roman" w:cs="Times New Roman"/>
          <w:sz w:val="24"/>
          <w:szCs w:val="24"/>
          <w:lang w:eastAsia="es-ES"/>
        </w:rPr>
        <w:t>nar de una manera más saludable”</w:t>
      </w:r>
      <w:r w:rsidR="00C532E3" w:rsidRPr="00745D61">
        <w:rPr>
          <w:rFonts w:ascii="Times New Roman" w:eastAsia="Times New Roman" w:hAnsi="Times New Roman" w:cs="Times New Roman"/>
          <w:sz w:val="24"/>
          <w:szCs w:val="24"/>
          <w:lang w:eastAsia="es-ES"/>
        </w:rPr>
        <w:t>.</w:t>
      </w:r>
    </w:p>
    <w:p w:rsidR="00236953" w:rsidRDefault="0023695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236953" w:rsidP="00236953">
      <w:pPr>
        <w:spacing w:line="240" w:lineRule="auto"/>
        <w:jc w:val="both"/>
        <w:rPr>
          <w:rFonts w:ascii="Times New Roman" w:eastAsia="Times New Roman" w:hAnsi="Times New Roman" w:cs="Times New Roman"/>
          <w:sz w:val="24"/>
          <w:szCs w:val="24"/>
          <w:lang w:eastAsia="es-ES"/>
        </w:rPr>
      </w:pPr>
      <w:r w:rsidRPr="00236953">
        <w:rPr>
          <w:rFonts w:ascii="Times New Roman" w:eastAsia="Times New Roman" w:hAnsi="Times New Roman" w:cs="Times New Roman"/>
          <w:sz w:val="24"/>
          <w:szCs w:val="24"/>
          <w:lang w:eastAsia="es-ES"/>
        </w:rPr>
        <w:t xml:space="preserve">Cuenta que hay muchas iniciativas innovadoras que han dado buenos resultados como un programa de la organización Products Perks Midwest enfocado en la gente que recibe beneficios sociales, donde por cada dólar que gastan en frutas y verduras, </w:t>
      </w:r>
      <w:r w:rsidRPr="001B2CBE">
        <w:rPr>
          <w:rFonts w:ascii="Times New Roman" w:eastAsia="Times New Roman" w:hAnsi="Times New Roman" w:cs="Times New Roman"/>
          <w:sz w:val="24"/>
          <w:szCs w:val="24"/>
          <w:lang w:eastAsia="es-ES"/>
        </w:rPr>
        <w:t xml:space="preserve">reciben un dólar </w:t>
      </w:r>
      <w:r w:rsidRPr="00236953">
        <w:rPr>
          <w:rFonts w:ascii="Times New Roman" w:eastAsia="Times New Roman" w:hAnsi="Times New Roman" w:cs="Times New Roman"/>
          <w:sz w:val="24"/>
          <w:szCs w:val="24"/>
          <w:lang w:eastAsia="es-ES"/>
        </w:rPr>
        <w:t>para comprar comida saludable.</w:t>
      </w:r>
    </w:p>
    <w:p w:rsidR="00C532E3" w:rsidRDefault="001B2CBE"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“Apartheid alimentario”</w:t>
      </w:r>
    </w:p>
    <w:p w:rsidR="001B2CBE" w:rsidRPr="00745D61" w:rsidRDefault="001B2CBE"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 xml:space="preserve">A Jill Clark, profesora de la Facultad de Políticas Públicas de la Universidad de Ohio que ha estudiado a fondo el </w:t>
      </w:r>
      <w:r w:rsidR="001B2CBE">
        <w:rPr>
          <w:rFonts w:ascii="Times New Roman" w:eastAsia="Times New Roman" w:hAnsi="Times New Roman" w:cs="Times New Roman"/>
          <w:sz w:val="24"/>
          <w:szCs w:val="24"/>
          <w:lang w:eastAsia="es-ES"/>
        </w:rPr>
        <w:t>tema, no le gusta la expresión “desiertos de comida”</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lastRenderedPageBreak/>
        <w:drawing>
          <wp:inline distT="0" distB="0" distL="0" distR="0" wp14:anchorId="006B6E03" wp14:editId="3468137F">
            <wp:extent cx="5670550" cy="2857500"/>
            <wp:effectExtent l="0" t="0" r="6350" b="0"/>
            <wp:docPr id="4" name="Imagen 4" descr="Persona recibiendo com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ersona recibiendo comid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70550" cy="2857500"/>
                    </a:xfrm>
                    <a:prstGeom prst="rect">
                      <a:avLst/>
                    </a:prstGeom>
                    <a:noFill/>
                    <a:ln>
                      <a:noFill/>
                    </a:ln>
                  </pic:spPr>
                </pic:pic>
              </a:graphicData>
            </a:graphic>
          </wp:inline>
        </w:drawing>
      </w: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“Te voy a desafiar”, dice. “</w:t>
      </w:r>
      <w:r w:rsidR="00C532E3" w:rsidRPr="00745D61">
        <w:rPr>
          <w:rFonts w:ascii="Times New Roman" w:eastAsia="Times New Roman" w:hAnsi="Times New Roman" w:cs="Times New Roman"/>
          <w:sz w:val="24"/>
          <w:szCs w:val="24"/>
          <w:lang w:eastAsia="es-ES"/>
        </w:rPr>
        <w:t>No son desiertos, esto es realmente un </w:t>
      </w:r>
      <w:r w:rsidR="00C532E3" w:rsidRPr="00745D61">
        <w:rPr>
          <w:rFonts w:ascii="Times New Roman" w:eastAsia="Times New Roman" w:hAnsi="Times New Roman" w:cs="Times New Roman"/>
          <w:i/>
          <w:iCs/>
          <w:sz w:val="24"/>
          <w:szCs w:val="24"/>
          <w:lang w:eastAsia="es-ES"/>
        </w:rPr>
        <w:t>apartheid </w:t>
      </w:r>
      <w:r>
        <w:rPr>
          <w:rFonts w:ascii="Times New Roman" w:eastAsia="Times New Roman" w:hAnsi="Times New Roman" w:cs="Times New Roman"/>
          <w:sz w:val="24"/>
          <w:szCs w:val="24"/>
          <w:lang w:eastAsia="es-ES"/>
        </w:rPr>
        <w:t>alimentario”</w:t>
      </w:r>
      <w:r w:rsidR="00C532E3" w:rsidRPr="00745D61">
        <w:rPr>
          <w:rFonts w:ascii="Times New Roman" w:eastAsia="Times New Roman" w:hAnsi="Times New Roman" w:cs="Times New Roman"/>
          <w:sz w:val="24"/>
          <w:szCs w:val="24"/>
          <w:lang w:eastAsia="es-ES"/>
        </w:rPr>
        <w:t>, señala Clark, argumentando que en el sistema de alimentación de Estados Unidos hay segregación según la raza, la clase y el género de las personas.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cap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Las zonas donde existe este </w:t>
      </w:r>
      <w:r w:rsidR="001B2CBE">
        <w:rPr>
          <w:rFonts w:ascii="Times New Roman" w:eastAsia="Times New Roman" w:hAnsi="Times New Roman" w:cs="Times New Roman"/>
          <w:i/>
          <w:iCs/>
          <w:sz w:val="24"/>
          <w:szCs w:val="24"/>
          <w:lang w:eastAsia="es-ES"/>
        </w:rPr>
        <w:t>“</w:t>
      </w:r>
      <w:r w:rsidRPr="00745D61">
        <w:rPr>
          <w:rFonts w:ascii="Times New Roman" w:eastAsia="Times New Roman" w:hAnsi="Times New Roman" w:cs="Times New Roman"/>
          <w:i/>
          <w:iCs/>
          <w:sz w:val="24"/>
          <w:szCs w:val="24"/>
          <w:lang w:eastAsia="es-ES"/>
        </w:rPr>
        <w:t xml:space="preserve">apartheid </w:t>
      </w:r>
      <w:r w:rsidR="001B2CBE">
        <w:rPr>
          <w:rFonts w:ascii="Times New Roman" w:eastAsia="Times New Roman" w:hAnsi="Times New Roman" w:cs="Times New Roman"/>
          <w:sz w:val="24"/>
          <w:szCs w:val="24"/>
          <w:lang w:eastAsia="es-ES"/>
        </w:rPr>
        <w:t>alimentario”</w:t>
      </w:r>
      <w:r w:rsidRPr="00745D61">
        <w:rPr>
          <w:rFonts w:ascii="Times New Roman" w:eastAsia="Times New Roman" w:hAnsi="Times New Roman" w:cs="Times New Roman"/>
          <w:sz w:val="24"/>
          <w:szCs w:val="24"/>
          <w:lang w:eastAsia="es-ES"/>
        </w:rPr>
        <w:t>, agrega, han sido objeto de una práctica con profundas raíces históricas llamada </w:t>
      </w:r>
      <w:r w:rsidRPr="00745D61">
        <w:rPr>
          <w:rFonts w:ascii="Times New Roman" w:eastAsia="Times New Roman" w:hAnsi="Times New Roman" w:cs="Times New Roman"/>
          <w:i/>
          <w:iCs/>
          <w:sz w:val="24"/>
          <w:szCs w:val="24"/>
          <w:lang w:eastAsia="es-ES"/>
        </w:rPr>
        <w:t>redlining</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w:t>
      </w:r>
      <w:r w:rsidRPr="00745D61">
        <w:rPr>
          <w:rFonts w:ascii="Times New Roman" w:eastAsia="Times New Roman" w:hAnsi="Times New Roman" w:cs="Times New Roman"/>
          <w:i/>
          <w:iCs/>
          <w:sz w:val="24"/>
          <w:szCs w:val="24"/>
          <w:lang w:eastAsia="es-ES"/>
        </w:rPr>
        <w:t>redlining </w:t>
      </w:r>
      <w:r w:rsidRPr="00745D61">
        <w:rPr>
          <w:rFonts w:ascii="Times New Roman" w:eastAsia="Times New Roman" w:hAnsi="Times New Roman" w:cs="Times New Roman"/>
          <w:sz w:val="24"/>
          <w:szCs w:val="24"/>
          <w:lang w:eastAsia="es-ES"/>
        </w:rPr>
        <w:t xml:space="preserve">proviene de la década de 1930, cuando se les negaban los créditos hipotecarios a las personas de barrios pobres </w:t>
      </w:r>
      <w:r w:rsidR="00A960F1">
        <w:rPr>
          <w:rFonts w:ascii="Times New Roman" w:eastAsia="Times New Roman" w:hAnsi="Times New Roman" w:cs="Times New Roman"/>
          <w:sz w:val="24"/>
          <w:szCs w:val="24"/>
          <w:lang w:eastAsia="es-ES"/>
        </w:rPr>
        <w:t xml:space="preserve">habitados por minorías étnicas. </w:t>
      </w:r>
      <w:r w:rsidRPr="00745D61">
        <w:rPr>
          <w:rFonts w:ascii="Times New Roman" w:eastAsia="Times New Roman" w:hAnsi="Times New Roman" w:cs="Times New Roman"/>
          <w:sz w:val="24"/>
          <w:szCs w:val="24"/>
          <w:lang w:eastAsia="es-ES"/>
        </w:rPr>
        <w:t>En aquella época se utilizaba </w:t>
      </w:r>
      <w:r w:rsidRPr="00A960F1">
        <w:rPr>
          <w:rFonts w:ascii="Times New Roman" w:eastAsia="Times New Roman" w:hAnsi="Times New Roman" w:cs="Times New Roman"/>
          <w:bCs/>
          <w:sz w:val="24"/>
          <w:szCs w:val="24"/>
          <w:lang w:eastAsia="es-ES"/>
        </w:rPr>
        <w:t>el color rojo</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 xml:space="preserve">en los mapas </w:t>
      </w:r>
      <w:r w:rsidR="001B2CBE">
        <w:rPr>
          <w:rFonts w:ascii="Times New Roman" w:eastAsia="Times New Roman" w:hAnsi="Times New Roman" w:cs="Times New Roman"/>
          <w:sz w:val="24"/>
          <w:szCs w:val="24"/>
          <w:lang w:eastAsia="es-ES"/>
        </w:rPr>
        <w:t>financieros para delimitar las “zonas peligrosas”</w:t>
      </w:r>
      <w:r w:rsidRPr="00745D61">
        <w:rPr>
          <w:rFonts w:ascii="Times New Roman" w:eastAsia="Times New Roman" w:hAnsi="Times New Roman" w:cs="Times New Roman"/>
          <w:sz w:val="24"/>
          <w:szCs w:val="24"/>
          <w:lang w:eastAsia="es-ES"/>
        </w:rPr>
        <w:t xml:space="preserve"> donde no había que invertir.</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Una línea roja que, con el paso del tiempo, ha marcado una gran diferencia en el acceso a la comida de mejor calidad.</w:t>
      </w:r>
    </w:p>
    <w:p w:rsidR="001B2CBE"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“Yo vivo en un barrio redlined”</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Eso lo ha experimentado en carne propia Marilyn Burns, habitante de Cleveland, Ohio.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Donde yo vivo es un barrio que fue marcado con líneas rojas. </w:t>
      </w:r>
      <w:r w:rsidR="00C532E3" w:rsidRPr="001B2CBE">
        <w:rPr>
          <w:rFonts w:ascii="Times New Roman" w:eastAsia="Times New Roman" w:hAnsi="Times New Roman" w:cs="Times New Roman"/>
          <w:bCs/>
          <w:sz w:val="24"/>
          <w:szCs w:val="24"/>
          <w:lang w:eastAsia="es-ES"/>
        </w:rPr>
        <w:t>Yo vivo en un barrio </w:t>
      </w:r>
      <w:r w:rsidR="00C532E3" w:rsidRPr="001B2CBE">
        <w:rPr>
          <w:rFonts w:ascii="Times New Roman" w:eastAsia="Times New Roman" w:hAnsi="Times New Roman" w:cs="Times New Roman"/>
          <w:bCs/>
          <w:i/>
          <w:iCs/>
          <w:sz w:val="24"/>
          <w:szCs w:val="24"/>
          <w:lang w:eastAsia="es-ES"/>
        </w:rPr>
        <w:t>redlined</w:t>
      </w:r>
      <w:r>
        <w:rPr>
          <w:rFonts w:ascii="Times New Roman" w:eastAsia="Times New Roman" w:hAnsi="Times New Roman" w:cs="Times New Roman"/>
          <w:bCs/>
          <w:sz w:val="24"/>
          <w:szCs w:val="24"/>
          <w:lang w:eastAsia="es-ES"/>
        </w:rPr>
        <w:t>”</w:t>
      </w:r>
      <w:r w:rsidR="00C532E3" w:rsidRPr="00745D61">
        <w:rPr>
          <w:rFonts w:ascii="Times New Roman" w:eastAsia="Times New Roman" w:hAnsi="Times New Roman" w:cs="Times New Roman"/>
          <w:sz w:val="24"/>
          <w:szCs w:val="24"/>
          <w:lang w:eastAsia="es-ES"/>
        </w:rPr>
        <w:t>. A sus 67 años, Burns vive en un sector de viviendas sociales que está tratando de conseguir una subvención del gobierno para ser renovado.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Cruza los dedos porque significaría mucho para levan</w:t>
      </w:r>
      <w:r>
        <w:rPr>
          <w:rFonts w:ascii="Times New Roman" w:eastAsia="Times New Roman" w:hAnsi="Times New Roman" w:cs="Times New Roman"/>
          <w:sz w:val="24"/>
          <w:szCs w:val="24"/>
          <w:lang w:eastAsia="es-ES"/>
        </w:rPr>
        <w:t>tar el espíritu de la comunidad”</w:t>
      </w:r>
      <w:r w:rsidR="00C532E3" w:rsidRPr="00745D61">
        <w:rPr>
          <w:rFonts w:ascii="Times New Roman" w:eastAsia="Times New Roman" w:hAnsi="Times New Roman" w:cs="Times New Roman"/>
          <w:sz w:val="24"/>
          <w:szCs w:val="24"/>
          <w:lang w:eastAsia="es-ES"/>
        </w:rPr>
        <w:t>, dice Burns. Líder social que durante años ha luchado por los derechos de su barrio, cuenta que vivir en un </w:t>
      </w:r>
      <w:r w:rsidR="00C532E3" w:rsidRPr="00745D61">
        <w:rPr>
          <w:rFonts w:ascii="Times New Roman" w:eastAsia="Times New Roman" w:hAnsi="Times New Roman" w:cs="Times New Roman"/>
          <w:i/>
          <w:iCs/>
          <w:sz w:val="24"/>
          <w:szCs w:val="24"/>
          <w:lang w:eastAsia="es-ES"/>
        </w:rPr>
        <w:t>apartheid</w:t>
      </w:r>
      <w:r w:rsidR="00C532E3" w:rsidRPr="00745D61">
        <w:rPr>
          <w:rFonts w:ascii="Times New Roman" w:eastAsia="Times New Roman" w:hAnsi="Times New Roman" w:cs="Times New Roman"/>
          <w:sz w:val="24"/>
          <w:szCs w:val="24"/>
          <w:lang w:eastAsia="es-ES"/>
        </w:rPr>
        <w:t> alimentario no solo tiene que ver con la comida.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Hay crimen, violencia doméstica, drogadicción, violencia armada.... tampoco hay trabajo y necesitamos más que un p</w:t>
      </w:r>
      <w:r>
        <w:rPr>
          <w:rFonts w:ascii="Times New Roman" w:eastAsia="Times New Roman" w:hAnsi="Times New Roman" w:cs="Times New Roman"/>
          <w:sz w:val="24"/>
          <w:szCs w:val="24"/>
          <w:lang w:eastAsia="es-ES"/>
        </w:rPr>
        <w:t>arche para resolver el problema”</w:t>
      </w:r>
      <w:r w:rsidR="00C532E3" w:rsidRPr="00745D61">
        <w:rPr>
          <w:rFonts w:ascii="Times New Roman" w:eastAsia="Times New Roman" w:hAnsi="Times New Roman" w:cs="Times New Roman"/>
          <w:sz w:val="24"/>
          <w:szCs w:val="24"/>
          <w:lang w:eastAsia="es-ES"/>
        </w:rPr>
        <w:t>, sostiene.</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1B2CBE"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Aquí hay gente que a veces no come y los que sí lo hacen, suelen c</w:t>
      </w:r>
      <w:r w:rsidR="00A960F1">
        <w:rPr>
          <w:rFonts w:ascii="Times New Roman" w:eastAsia="Times New Roman" w:hAnsi="Times New Roman" w:cs="Times New Roman"/>
          <w:sz w:val="24"/>
          <w:szCs w:val="24"/>
          <w:lang w:eastAsia="es-ES"/>
        </w:rPr>
        <w:t>omer comida que no es saludable”</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Pese a todas las dificultades, ella explica que hay muchos proyectos sociales en curso que buscan mejorar la alimentación de las personas y sus condiciones de vida.</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A960F1"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Siempre estamos buscando cómo colaborar con otras organizaciones y dónde consegu</w:t>
      </w:r>
      <w:r>
        <w:rPr>
          <w:rFonts w:ascii="Times New Roman" w:eastAsia="Times New Roman" w:hAnsi="Times New Roman" w:cs="Times New Roman"/>
          <w:sz w:val="24"/>
          <w:szCs w:val="24"/>
          <w:lang w:eastAsia="es-ES"/>
        </w:rPr>
        <w:t>ir recursos para salir adelante”</w:t>
      </w:r>
      <w:r w:rsidR="00C532E3" w:rsidRPr="00745D61">
        <w:rPr>
          <w:rFonts w:ascii="Times New Roman" w:eastAsia="Times New Roman" w:hAnsi="Times New Roman" w:cs="Times New Roman"/>
          <w:sz w:val="24"/>
          <w:szCs w:val="24"/>
          <w:lang w:eastAsia="es-ES"/>
        </w:rPr>
        <w:t>. Aunque Burns insiste en que no solo se trata de recursos económicos.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A960F1" w:rsidP="00C532E3">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532E3" w:rsidRPr="00745D61">
        <w:rPr>
          <w:rFonts w:ascii="Times New Roman" w:eastAsia="Times New Roman" w:hAnsi="Times New Roman" w:cs="Times New Roman"/>
          <w:sz w:val="24"/>
          <w:szCs w:val="24"/>
          <w:lang w:eastAsia="es-ES"/>
        </w:rPr>
        <w:t>Hay que </w:t>
      </w:r>
      <w:r w:rsidR="00C532E3" w:rsidRPr="00A960F1">
        <w:rPr>
          <w:rFonts w:ascii="Times New Roman" w:eastAsia="Times New Roman" w:hAnsi="Times New Roman" w:cs="Times New Roman"/>
          <w:bCs/>
          <w:sz w:val="24"/>
          <w:szCs w:val="24"/>
          <w:lang w:eastAsia="es-ES"/>
        </w:rPr>
        <w:t>levantar el espíritu de la gente</w:t>
      </w:r>
      <w:r w:rsidR="00C532E3" w:rsidRPr="00745D61">
        <w:rPr>
          <w:rFonts w:ascii="Times New Roman" w:eastAsia="Times New Roman" w:hAnsi="Times New Roman" w:cs="Times New Roman"/>
          <w:sz w:val="24"/>
          <w:szCs w:val="24"/>
          <w:lang w:eastAsia="es-ES"/>
        </w:rPr>
        <w:t>. Yo siempre le digo a las personas que son v</w:t>
      </w:r>
      <w:r>
        <w:rPr>
          <w:rFonts w:ascii="Times New Roman" w:eastAsia="Times New Roman" w:hAnsi="Times New Roman" w:cs="Times New Roman"/>
          <w:sz w:val="24"/>
          <w:szCs w:val="24"/>
          <w:lang w:eastAsia="es-ES"/>
        </w:rPr>
        <w:t>aliosas, que vale la pena vivir”</w:t>
      </w:r>
      <w:r w:rsidR="00C532E3"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Un innovador modelo de negocios en Detroit</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Otra manera de enfrentar el problema alimentario es el proyecto de Rapha</w:t>
      </w:r>
      <w:r w:rsidR="00A960F1">
        <w:rPr>
          <w:rFonts w:ascii="Times New Roman" w:eastAsia="Times New Roman" w:hAnsi="Times New Roman" w:cs="Times New Roman"/>
          <w:sz w:val="24"/>
          <w:szCs w:val="24"/>
          <w:lang w:eastAsia="es-ES"/>
        </w:rPr>
        <w:t xml:space="preserve">el Wright en Detroit, Michigan. </w:t>
      </w:r>
      <w:r w:rsidRPr="00745D61">
        <w:rPr>
          <w:rFonts w:ascii="Times New Roman" w:eastAsia="Times New Roman" w:hAnsi="Times New Roman" w:cs="Times New Roman"/>
          <w:sz w:val="24"/>
          <w:szCs w:val="24"/>
          <w:lang w:eastAsia="es-ES"/>
        </w:rPr>
        <w:t>Viviendo en una ciudad donde el 78% de las personas son afroamericanos, durante años no ha existido un negocio de venta de alimentos donde los dueños sean negros.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Con eso en mente, Wright decidió crear una tienda llamada Neighborhood Grocery, en el barrio Jefferson-Chalmers, para vender comida saludable a precios convenientes en un desierto de comida donde los grandes supermercados no tienen interés en invertir.</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Su proyecto se basa en la idea de que los propios </w:t>
      </w:r>
      <w:r w:rsidRPr="00A960F1">
        <w:rPr>
          <w:rFonts w:ascii="Times New Roman" w:eastAsia="Times New Roman" w:hAnsi="Times New Roman" w:cs="Times New Roman"/>
          <w:bCs/>
          <w:sz w:val="24"/>
          <w:szCs w:val="24"/>
          <w:lang w:eastAsia="es-ES"/>
        </w:rPr>
        <w:t>vecinos sean dueños</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de una parte del negocio y que, en la medida, que las ventas aumenten, se puedan repartir las ganancias o hacer nuevas inversiones.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Pero no ha sido fácil conseguir los fondos para echar a andar el proyec</w:t>
      </w:r>
      <w:r w:rsidR="00A960F1">
        <w:rPr>
          <w:rFonts w:ascii="Times New Roman" w:eastAsia="Times New Roman" w:hAnsi="Times New Roman" w:cs="Times New Roman"/>
          <w:sz w:val="24"/>
          <w:szCs w:val="24"/>
          <w:lang w:eastAsia="es-ES"/>
        </w:rPr>
        <w:t>to. “</w:t>
      </w:r>
      <w:r w:rsidRPr="00745D61">
        <w:rPr>
          <w:rFonts w:ascii="Times New Roman" w:eastAsia="Times New Roman" w:hAnsi="Times New Roman" w:cs="Times New Roman"/>
          <w:sz w:val="24"/>
          <w:szCs w:val="24"/>
          <w:lang w:eastAsia="es-ES"/>
        </w:rPr>
        <w:t>Ahora tenemos una campaña de crowd-f</w:t>
      </w:r>
      <w:r w:rsidR="00A960F1">
        <w:rPr>
          <w:rFonts w:ascii="Times New Roman" w:eastAsia="Times New Roman" w:hAnsi="Times New Roman" w:cs="Times New Roman"/>
          <w:sz w:val="24"/>
          <w:szCs w:val="24"/>
          <w:lang w:eastAsia="es-ES"/>
        </w:rPr>
        <w:t xml:space="preserve">ounding para recibir donaciones”, dice el emprendedor. </w:t>
      </w:r>
      <w:r w:rsidRPr="00745D61">
        <w:rPr>
          <w:rFonts w:ascii="Times New Roman" w:eastAsia="Times New Roman" w:hAnsi="Times New Roman" w:cs="Times New Roman"/>
          <w:sz w:val="24"/>
          <w:szCs w:val="24"/>
          <w:lang w:eastAsia="es-ES"/>
        </w:rPr>
        <w:t>Una vez abierto, su idea es replicar el modelo de propieda</w:t>
      </w:r>
      <w:r w:rsidR="00A960F1">
        <w:rPr>
          <w:rFonts w:ascii="Times New Roman" w:eastAsia="Times New Roman" w:hAnsi="Times New Roman" w:cs="Times New Roman"/>
          <w:sz w:val="24"/>
          <w:szCs w:val="24"/>
          <w:lang w:eastAsia="es-ES"/>
        </w:rPr>
        <w:t>d compartida en otros barrios. “</w:t>
      </w:r>
      <w:r w:rsidRPr="00745D61">
        <w:rPr>
          <w:rFonts w:ascii="Times New Roman" w:eastAsia="Times New Roman" w:hAnsi="Times New Roman" w:cs="Times New Roman"/>
          <w:sz w:val="24"/>
          <w:szCs w:val="24"/>
          <w:lang w:eastAsia="es-ES"/>
        </w:rPr>
        <w:t>Cr</w:t>
      </w:r>
      <w:r w:rsidR="00A960F1">
        <w:rPr>
          <w:rFonts w:ascii="Times New Roman" w:eastAsia="Times New Roman" w:hAnsi="Times New Roman" w:cs="Times New Roman"/>
          <w:sz w:val="24"/>
          <w:szCs w:val="24"/>
          <w:lang w:eastAsia="es-ES"/>
        </w:rPr>
        <w:t>eo que este modelo es el futuro”</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A960F1"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Un “</w:t>
      </w:r>
      <w:r w:rsidR="00C532E3" w:rsidRPr="00745D61">
        <w:rPr>
          <w:rFonts w:ascii="Times New Roman" w:eastAsia="Times New Roman" w:hAnsi="Times New Roman" w:cs="Times New Roman"/>
          <w:b/>
          <w:bCs/>
          <w:sz w:val="24"/>
          <w:szCs w:val="24"/>
          <w:lang w:eastAsia="es-ES"/>
        </w:rPr>
        <w:t>país del primer mundo con pr</w:t>
      </w:r>
      <w:r>
        <w:rPr>
          <w:rFonts w:ascii="Times New Roman" w:eastAsia="Times New Roman" w:hAnsi="Times New Roman" w:cs="Times New Roman"/>
          <w:b/>
          <w:bCs/>
          <w:sz w:val="24"/>
          <w:szCs w:val="24"/>
          <w:lang w:eastAsia="es-ES"/>
        </w:rPr>
        <w:t>oblemas del tercer mundo”</w:t>
      </w:r>
    </w:p>
    <w:p w:rsidR="00C532E3" w:rsidRPr="00745D61" w:rsidRDefault="00C532E3" w:rsidP="00C532E3">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De regreso en Miami, el doctor Henderson argumenta que en esa ciudad hay problemas de segregación urbana y racial que afectan la alimentación de las personas.</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noProof/>
          <w:sz w:val="24"/>
          <w:szCs w:val="24"/>
          <w:lang w:eastAsia="es-ES"/>
        </w:rPr>
        <w:drawing>
          <wp:inline distT="0" distB="0" distL="0" distR="0" wp14:anchorId="17C0BA02" wp14:editId="57AC9FD7">
            <wp:extent cx="5689600" cy="2508250"/>
            <wp:effectExtent l="0" t="0" r="6350" b="6350"/>
            <wp:docPr id="1" name="Imagen 1" descr="Banco de comida en M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anco de comida en Miam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89600" cy="2508250"/>
                    </a:xfrm>
                    <a:prstGeom prst="rect">
                      <a:avLst/>
                    </a:prstGeom>
                    <a:noFill/>
                    <a:ln>
                      <a:noFill/>
                    </a:ln>
                  </pic:spPr>
                </pic:pic>
              </a:graphicData>
            </a:graphic>
          </wp:inline>
        </w:drawing>
      </w:r>
      <w:r w:rsidR="00A960F1">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Cuando camino por barrios como Overtown o Liberty City, pienso que Estados Unidos es un país del primer mundo</w:t>
      </w:r>
      <w:r w:rsidR="00A960F1">
        <w:rPr>
          <w:rFonts w:ascii="Times New Roman" w:eastAsia="Times New Roman" w:hAnsi="Times New Roman" w:cs="Times New Roman"/>
          <w:sz w:val="24"/>
          <w:szCs w:val="24"/>
          <w:lang w:eastAsia="es-ES"/>
        </w:rPr>
        <w:t xml:space="preserve"> con problemas del tercer mundo”</w:t>
      </w:r>
      <w:r w:rsidRPr="00745D61">
        <w:rPr>
          <w:rFonts w:ascii="Times New Roman" w:eastAsia="Times New Roman" w:hAnsi="Times New Roman" w:cs="Times New Roman"/>
          <w:sz w:val="24"/>
          <w:szCs w:val="24"/>
          <w:lang w:eastAsia="es-ES"/>
        </w:rPr>
        <w:t>.</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Lo increíble es que en apenas 18 minutos se puede llegar en auto </w:t>
      </w:r>
      <w:r w:rsidRPr="00A960F1">
        <w:rPr>
          <w:rFonts w:ascii="Times New Roman" w:eastAsia="Times New Roman" w:hAnsi="Times New Roman" w:cs="Times New Roman"/>
          <w:bCs/>
          <w:sz w:val="24"/>
          <w:szCs w:val="24"/>
          <w:lang w:eastAsia="es-ES"/>
        </w:rPr>
        <w:t>desde Overtown a Miami Beach</w:t>
      </w:r>
      <w:r w:rsidRPr="00745D61">
        <w:rPr>
          <w:rFonts w:ascii="Times New Roman" w:eastAsia="Times New Roman" w:hAnsi="Times New Roman" w:cs="Times New Roman"/>
          <w:sz w:val="24"/>
          <w:szCs w:val="24"/>
          <w:lang w:eastAsia="es-ES"/>
        </w:rPr>
        <w:t>, pasando por el lado de una pequeña isla llamada Fisher Island, el lugar con la mayor concentración de riqueza de todo Estados Unidos, según Bloomberg.</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 Fisher Island solo se puede entrar si estás en una lista de personas autorizadas. A Overtown o Liberty City solo se puede entrar de día porque en la noche el riesgo es demasiado alto.</w:t>
      </w:r>
    </w:p>
    <w:p w:rsidR="00C532E3" w:rsidRPr="00745D61"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C532E3" w:rsidRDefault="00C532E3" w:rsidP="00C532E3">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Como si necesitaras un salvoconducto para ingresar a dos universos separados por mar y tierra. Y por la historia de un país que alguna vez trazó líneas rojas en un mapa.</w:t>
      </w:r>
    </w:p>
    <w:p w:rsidR="001A3BEE" w:rsidRDefault="001A3BEE" w:rsidP="00C532E3">
      <w:pPr>
        <w:shd w:val="clear" w:color="auto" w:fill="FDFDFD"/>
        <w:spacing w:after="0" w:line="240" w:lineRule="auto"/>
        <w:jc w:val="both"/>
        <w:rPr>
          <w:rFonts w:ascii="Times New Roman" w:eastAsia="Times New Roman" w:hAnsi="Times New Roman" w:cs="Times New Roman"/>
          <w:sz w:val="24"/>
          <w:szCs w:val="24"/>
          <w:lang w:eastAsia="es-ES"/>
        </w:rPr>
      </w:pPr>
    </w:p>
    <w:p w:rsidR="001A3BEE" w:rsidRDefault="001A3BEE" w:rsidP="00C532E3">
      <w:pPr>
        <w:shd w:val="clear" w:color="auto" w:fill="FDFDFD"/>
        <w:spacing w:after="0" w:line="240" w:lineRule="auto"/>
        <w:jc w:val="both"/>
        <w:rPr>
          <w:rFonts w:ascii="Times New Roman" w:hAnsi="Times New Roman" w:cs="Times New Roman"/>
          <w:sz w:val="24"/>
          <w:szCs w:val="24"/>
        </w:rPr>
      </w:pPr>
      <w:r w:rsidRPr="001A3BEE">
        <w:rPr>
          <w:rFonts w:ascii="Times New Roman" w:hAnsi="Times New Roman" w:cs="Times New Roman"/>
          <w:b/>
          <w:sz w:val="24"/>
          <w:szCs w:val="24"/>
        </w:rPr>
        <w:t>Nota</w:t>
      </w:r>
      <w:r>
        <w:rPr>
          <w:rFonts w:ascii="Times New Roman" w:hAnsi="Times New Roman" w:cs="Times New Roman"/>
          <w:b/>
          <w:sz w:val="24"/>
          <w:szCs w:val="24"/>
        </w:rPr>
        <w:t xml:space="preserve"> sobre “the american nightmare”</w:t>
      </w:r>
      <w:r>
        <w:rPr>
          <w:rFonts w:ascii="Times New Roman" w:hAnsi="Times New Roman" w:cs="Times New Roman"/>
          <w:sz w:val="24"/>
          <w:szCs w:val="24"/>
        </w:rPr>
        <w:t xml:space="preserve">: Sostiene </w:t>
      </w:r>
      <w:r w:rsidRPr="001A3BEE">
        <w:rPr>
          <w:rFonts w:ascii="Times New Roman" w:hAnsi="Times New Roman" w:cs="Times New Roman"/>
          <w:sz w:val="24"/>
          <w:szCs w:val="24"/>
        </w:rPr>
        <w:t>Daron Acemoglu, profesor de economía en el MIT</w:t>
      </w:r>
      <w:r>
        <w:rPr>
          <w:rFonts w:ascii="Times New Roman" w:hAnsi="Times New Roman" w:cs="Times New Roman"/>
          <w:sz w:val="24"/>
          <w:szCs w:val="24"/>
        </w:rPr>
        <w:t xml:space="preserve">, en un artículo publicado en Project Syndicate, el </w:t>
      </w:r>
      <w:r w:rsidRPr="001A3BEE">
        <w:rPr>
          <w:rFonts w:ascii="Times New Roman" w:hAnsi="Times New Roman" w:cs="Times New Roman"/>
          <w:b/>
          <w:sz w:val="24"/>
          <w:szCs w:val="24"/>
        </w:rPr>
        <w:t>5/7/21</w:t>
      </w:r>
      <w:r>
        <w:rPr>
          <w:rFonts w:ascii="Times New Roman" w:hAnsi="Times New Roman" w:cs="Times New Roman"/>
          <w:sz w:val="24"/>
          <w:szCs w:val="24"/>
        </w:rPr>
        <w:t>: “</w:t>
      </w:r>
      <w:r w:rsidRPr="001A3BEE">
        <w:rPr>
          <w:rFonts w:ascii="Times New Roman" w:hAnsi="Times New Roman" w:cs="Times New Roman"/>
          <w:sz w:val="24"/>
          <w:szCs w:val="24"/>
        </w:rPr>
        <w:t>Sin duda, no existe una fórmula mágica contra la disfunción política. Es comprensible que algunos comentaristas estén preocupados de que Estados Unidos ya haya llegado a un punto sin retorno</w:t>
      </w:r>
      <w:r>
        <w:rPr>
          <w:rFonts w:ascii="Times New Roman" w:hAnsi="Times New Roman" w:cs="Times New Roman"/>
          <w:sz w:val="24"/>
          <w:szCs w:val="24"/>
        </w:rPr>
        <w:t xml:space="preserve">… </w:t>
      </w:r>
    </w:p>
    <w:p w:rsidR="001A3BEE" w:rsidRPr="00E6181C" w:rsidRDefault="001A3BEE" w:rsidP="001A3BEE">
      <w:pPr>
        <w:pStyle w:val="bbc-bm53ic"/>
        <w:shd w:val="clear" w:color="auto" w:fill="FDFDFD"/>
        <w:spacing w:after="0"/>
        <w:jc w:val="both"/>
      </w:pPr>
      <w:r w:rsidRPr="00E6181C">
        <w:t>Pero debemos recordar que la gente tiende a confiar más en la democracia cuando cumple sus promesas de estabilidad, prosperidad compartida y medidas efectivas para combatir la pobreza.</w:t>
      </w:r>
    </w:p>
    <w:p w:rsidR="001A3BEE" w:rsidRPr="00E6181C" w:rsidRDefault="001A3BEE" w:rsidP="001A3BEE">
      <w:pPr>
        <w:pStyle w:val="bbc-bm53ic"/>
        <w:shd w:val="clear" w:color="auto" w:fill="FDFDFD"/>
        <w:spacing w:after="0"/>
        <w:jc w:val="both"/>
      </w:pPr>
      <w:r w:rsidRPr="00E6181C">
        <w:t>Por ejemplo, quienes crecen en democracias estables donde hay un rápido crecimiento económico y servicios públicos adecuados tienen muchas más probabilidades de oponerse a autócratas y tecnócratas irresponsables. Del mismo modo, los períodos de estancamiento económico y una desigualdad creciente tienden a alimentar la polarización y la pérdida de la confianza del público, como ha sucedido en Estados Unidos y muchos otros países del mundo en las últimas décadas.</w:t>
      </w:r>
    </w:p>
    <w:p w:rsidR="001A3BEE" w:rsidRPr="00E6181C" w:rsidRDefault="001A3BEE" w:rsidP="001A3BEE">
      <w:pPr>
        <w:pStyle w:val="bbc-bm53ic"/>
        <w:shd w:val="clear" w:color="auto" w:fill="FDFDFD"/>
        <w:spacing w:after="0"/>
        <w:jc w:val="both"/>
      </w:pPr>
      <w:r w:rsidRPr="00E6181C">
        <w:t>La economía de los Estados Unidos solía crear buenos empleos, con salarios decentes, niveles razonables de seguridad y oportunidades de desarrollo profesional, para trabajadores de todo tipo de orígenes y con todo tipo de habilidades. Durante 35 años después de la Segunda Guerra Mundial, los trabajadores tanto en la parte inferior como en la parte superior de la distribución del ingreso se beneficiaron del sólido crecimiento del empleo y los rápidos aumentos salariales. Pero esta era llegó a su fin en la década de 1980, cuando los salarios medios se estancaron y la desigualdad comenzó a aumentar. En lugar de disfrutar de aumentos salariales, los hombres sin título universitario comenzaron a experimentar fuertes caídas en las opciones laborales y los ingresos reales (ajustados a la inflación).</w:t>
      </w:r>
    </w:p>
    <w:p w:rsidR="001A3BEE" w:rsidRPr="00E6181C" w:rsidRDefault="001A3BEE" w:rsidP="001A3BEE">
      <w:pPr>
        <w:pStyle w:val="bbc-bm53ic"/>
        <w:shd w:val="clear" w:color="auto" w:fill="FDFDFD"/>
        <w:spacing w:after="0"/>
        <w:jc w:val="both"/>
      </w:pPr>
      <w:r w:rsidRPr="00E6181C">
        <w:t>Los estadounidenses que han estado experimentando descensos salariales y oportunidades menguantes están sobrerrepresentados entre los que se trasladan a los márgenes extremistas de la política estadounidense. Si cree que la economía no está funcionando y no puede funcionar para usted, es comprensible que simpatice con los políticos oportunistas y las figuras de los medios de comunicación que pide</w:t>
      </w:r>
      <w:r w:rsidR="00E6181C" w:rsidRPr="00E6181C">
        <w:t>n que se desmantele un sistema “amañado”..</w:t>
      </w:r>
      <w:r w:rsidRPr="00E6181C">
        <w:t>.</w:t>
      </w:r>
    </w:p>
    <w:p w:rsidR="00E6181C" w:rsidRPr="00E6181C" w:rsidRDefault="00E6181C" w:rsidP="00E6181C">
      <w:pPr>
        <w:pStyle w:val="bbc-bm53ic"/>
        <w:shd w:val="clear" w:color="auto" w:fill="FDFDFD"/>
        <w:spacing w:after="0"/>
        <w:jc w:val="both"/>
      </w:pPr>
      <w:r w:rsidRPr="00E6181C">
        <w:t>Los banqueros de Wall Street que causaron la crisis financiera de 2008 fueron rescatados no solo por George W. Bush sino también por Barack Obama. Fue la administración Obama la que finalmente decidió ayudar a los bancos y los banqueros a toda costa, y que luego optó por no procesar a ninguno de los culpables. Se confirmaron las sospechas de los votantes sobre una relación demasiado acogedora entre el gobierno y las finanzas, lo que aceleró la pérdida de confianza en las instituciones y proporcionó muchas municiones a quienes ya se inclinaban a considerar al gobierno como el problema, no como la solución.</w:t>
      </w:r>
    </w:p>
    <w:p w:rsidR="00E6181C" w:rsidRPr="00E6181C" w:rsidRDefault="00E6181C" w:rsidP="00E6181C">
      <w:pPr>
        <w:pStyle w:val="bbc-bm53ic"/>
        <w:shd w:val="clear" w:color="auto" w:fill="FDFDFD"/>
        <w:spacing w:after="0"/>
        <w:jc w:val="both"/>
      </w:pPr>
      <w:r w:rsidRPr="00E6181C">
        <w:lastRenderedPageBreak/>
        <w:t>Si este diagnóstico es correcto, el primer paso para revertir la disfunción política de Estados Unidos es demostrar que tanto la economía como el gobierno pueden funcionar para todos. La generación de empleos y crecimiento salarial para los estadounidenses de todos los orígenes y habilidades debe ser una de las principales prioridades. Si bien podríamos concentrarnos simplemente en expandir el tamaño del pastel económico general y luego redistribuirlo, es poco probable que esa estrategia deje a los votantes sintiéndose comprometidos con el sistema. Permitir que las personas contribuyan de manera significativa a la economía y la sociedad es una manera mucho mejor de hacerlas participar…</w:t>
      </w:r>
    </w:p>
    <w:p w:rsidR="00E6181C" w:rsidRDefault="00E6181C" w:rsidP="00E6181C">
      <w:pPr>
        <w:pStyle w:val="bbc-bm53ic"/>
        <w:shd w:val="clear" w:color="auto" w:fill="FDFDFD"/>
        <w:spacing w:after="0"/>
        <w:jc w:val="both"/>
      </w:pPr>
      <w:r w:rsidRPr="00E6181C">
        <w:t>¿Se puede rescatar la democracia estadounidense mediante una recuperación económica bien elaborada? No hay garantía. La economía estadounidense ha descuidado a los trabajadores sin títulos universitarios (y cada vez más a los trabajadores con títulos universitarios también) y ha satisfecho las necesidades de las grandes corporaciones durante tanto tiempo que puede ser demasiado tarde para cambiar de rumbo ahora. Con la América corporativa canalizando la inversión en tecnologías para automatizar trabajos, vigilar a los trabajadores y reducir los salarios, la difícil situación del trabajador estadounidense promedio puede continuar profundizándose</w:t>
      </w:r>
      <w:r>
        <w:t>”..</w:t>
      </w:r>
      <w:r w:rsidRPr="00E6181C">
        <w:t>.</w:t>
      </w:r>
    </w:p>
    <w:p w:rsidR="003C67CF" w:rsidRDefault="003C67CF" w:rsidP="003C67CF">
      <w:pPr>
        <w:pStyle w:val="Ttulo1"/>
        <w:spacing w:before="0" w:beforeAutospacing="0" w:after="360" w:afterAutospacing="0"/>
        <w:jc w:val="both"/>
        <w:rPr>
          <w:b w:val="0"/>
          <w:bCs w:val="0"/>
          <w:sz w:val="24"/>
          <w:szCs w:val="24"/>
        </w:rPr>
      </w:pPr>
      <w:r w:rsidRPr="00683041">
        <w:rPr>
          <w:b w:val="0"/>
          <w:bCs w:val="0"/>
          <w:sz w:val="24"/>
          <w:szCs w:val="24"/>
        </w:rPr>
        <w:t xml:space="preserve">- </w:t>
      </w:r>
      <w:r w:rsidRPr="00331D3B">
        <w:rPr>
          <w:b w:val="0"/>
          <w:bCs w:val="0"/>
          <w:sz w:val="24"/>
          <w:szCs w:val="24"/>
          <w:u w:val="single"/>
        </w:rPr>
        <w:t xml:space="preserve">¿Meritocracia o </w:t>
      </w:r>
      <w:r w:rsidR="005C1B9F">
        <w:rPr>
          <w:b w:val="0"/>
          <w:bCs w:val="0"/>
          <w:sz w:val="24"/>
          <w:szCs w:val="24"/>
          <w:u w:val="single"/>
        </w:rPr>
        <w:t>equidad racial? EEUU revisa el “sueño americano”</w:t>
      </w:r>
      <w:r>
        <w:rPr>
          <w:b w:val="0"/>
          <w:bCs w:val="0"/>
          <w:sz w:val="24"/>
          <w:szCs w:val="24"/>
        </w:rPr>
        <w:t xml:space="preserve"> (El Confidencial - </w:t>
      </w:r>
      <w:r w:rsidRPr="003C67CF">
        <w:rPr>
          <w:bCs w:val="0"/>
          <w:sz w:val="24"/>
          <w:szCs w:val="24"/>
        </w:rPr>
        <w:t>8/7/21</w:t>
      </w:r>
      <w:r>
        <w:rPr>
          <w:b w:val="0"/>
          <w:bCs w:val="0"/>
          <w:sz w:val="24"/>
          <w:szCs w:val="24"/>
        </w:rPr>
        <w:t>)</w:t>
      </w:r>
    </w:p>
    <w:p w:rsidR="005C1B9F" w:rsidRPr="005C1B9F" w:rsidRDefault="005C1B9F" w:rsidP="005C1B9F">
      <w:pPr>
        <w:pStyle w:val="Ttulo1"/>
        <w:spacing w:after="360"/>
        <w:jc w:val="both"/>
        <w:rPr>
          <w:b w:val="0"/>
          <w:bCs w:val="0"/>
          <w:sz w:val="24"/>
          <w:szCs w:val="24"/>
        </w:rPr>
      </w:pPr>
      <w:r w:rsidRPr="005C1B9F">
        <w:rPr>
          <w:b w:val="0"/>
          <w:bCs w:val="0"/>
          <w:sz w:val="24"/>
          <w:szCs w:val="24"/>
        </w:rPr>
        <w:t>El país de la meritocracia, Estados Unidos, ya no lo es tanto. La facción más activista de la izquierda considera que las historias del esfuerzo individual y de los millonarios hechos a sí mismo</w:t>
      </w:r>
      <w:r>
        <w:rPr>
          <w:b w:val="0"/>
          <w:bCs w:val="0"/>
          <w:sz w:val="24"/>
          <w:szCs w:val="24"/>
        </w:rPr>
        <w:t xml:space="preserve">s son un mito: una ristra de </w:t>
      </w:r>
      <w:r w:rsidRPr="005C1B9F">
        <w:rPr>
          <w:b w:val="0"/>
          <w:bCs w:val="0"/>
          <w:sz w:val="24"/>
          <w:szCs w:val="24"/>
        </w:rPr>
        <w:t>fábulas infantiles que nos contamos el 4 de julio y que solo servirían para taparnos los ojos frente a las más crudas e insalvables desigualdades sistémicas. Esta visión crítica gana cada vez más fuerza en la sociedad estadounidense, en su relato y en sus instituciones, hasta el punto de que ya ha empezado a reescribir algunas esenci</w:t>
      </w:r>
      <w:r>
        <w:rPr>
          <w:b w:val="0"/>
          <w:bCs w:val="0"/>
          <w:sz w:val="24"/>
          <w:szCs w:val="24"/>
        </w:rPr>
        <w:t>as del “American way of life”</w:t>
      </w:r>
      <w:r w:rsidRPr="005C1B9F">
        <w:rPr>
          <w:b w:val="0"/>
          <w:bCs w:val="0"/>
          <w:sz w:val="24"/>
          <w:szCs w:val="24"/>
        </w:rPr>
        <w:t>.</w:t>
      </w:r>
    </w:p>
    <w:p w:rsidR="005C1B9F" w:rsidRPr="005C1B9F" w:rsidRDefault="005C1B9F" w:rsidP="005C1B9F">
      <w:pPr>
        <w:pStyle w:val="Ttulo1"/>
        <w:spacing w:after="360"/>
        <w:jc w:val="both"/>
        <w:rPr>
          <w:b w:val="0"/>
          <w:bCs w:val="0"/>
          <w:sz w:val="24"/>
          <w:szCs w:val="24"/>
        </w:rPr>
      </w:pPr>
      <w:r w:rsidRPr="005C1B9F">
        <w:rPr>
          <w:b w:val="0"/>
          <w:bCs w:val="0"/>
          <w:sz w:val="24"/>
          <w:szCs w:val="24"/>
        </w:rPr>
        <w:t xml:space="preserve">Esta postura, consolidada en la última década, afirma que la igualdad de oportunidades en Estados Unidos no existe. Lo que marca el destino de una persona, la inmensa mayoría de las veces, no es su talento o su trabajo duro, sino el color de su piel, su género o el código postal en que ha nacido. </w:t>
      </w:r>
    </w:p>
    <w:p w:rsidR="005C1B9F" w:rsidRPr="005C1B9F" w:rsidRDefault="005C1B9F" w:rsidP="005C1B9F">
      <w:pPr>
        <w:pStyle w:val="Ttulo1"/>
        <w:spacing w:after="360"/>
        <w:jc w:val="both"/>
        <w:rPr>
          <w:b w:val="0"/>
          <w:bCs w:val="0"/>
          <w:sz w:val="24"/>
          <w:szCs w:val="24"/>
        </w:rPr>
      </w:pPr>
      <w:r w:rsidRPr="005C1B9F">
        <w:rPr>
          <w:b w:val="0"/>
          <w:bCs w:val="0"/>
          <w:sz w:val="24"/>
          <w:szCs w:val="24"/>
        </w:rPr>
        <w:t>Y no es que falten argumentos. Casi en cualquier variable socioeconómica, desde los ingresos anuales a las posibilidades de morir en un parto, pasando por las proporciones de diplomados universitarios, los encarcelamientos o la configuración racial de la cúpula de las altas empresas, Estados Unidos arroja un sinfín de desigualdades raciales en las que los afroamericanos se llevan la peor parte.</w:t>
      </w:r>
    </w:p>
    <w:p w:rsidR="005C1B9F" w:rsidRDefault="005C1B9F" w:rsidP="005C1B9F">
      <w:pPr>
        <w:pStyle w:val="Ttulo1"/>
        <w:spacing w:before="0" w:beforeAutospacing="0" w:after="360" w:afterAutospacing="0"/>
        <w:jc w:val="both"/>
        <w:rPr>
          <w:b w:val="0"/>
          <w:bCs w:val="0"/>
          <w:sz w:val="24"/>
          <w:szCs w:val="24"/>
        </w:rPr>
      </w:pPr>
      <w:r>
        <w:rPr>
          <w:b w:val="0"/>
          <w:bCs w:val="0"/>
          <w:sz w:val="24"/>
          <w:szCs w:val="24"/>
        </w:rPr>
        <w:t>Por eso los “</w:t>
      </w:r>
      <w:r w:rsidRPr="005C1B9F">
        <w:rPr>
          <w:b w:val="0"/>
          <w:bCs w:val="0"/>
          <w:sz w:val="24"/>
          <w:szCs w:val="24"/>
        </w:rPr>
        <w:t>guerreros de la justicia so</w:t>
      </w:r>
      <w:r>
        <w:rPr>
          <w:b w:val="0"/>
          <w:bCs w:val="0"/>
          <w:sz w:val="24"/>
          <w:szCs w:val="24"/>
        </w:rPr>
        <w:t>cial”</w:t>
      </w:r>
      <w:r w:rsidRPr="005C1B9F">
        <w:rPr>
          <w:b w:val="0"/>
          <w:bCs w:val="0"/>
          <w:sz w:val="24"/>
          <w:szCs w:val="24"/>
        </w:rPr>
        <w:t xml:space="preserve"> creen que la igualdad, a día de hoy, no existe, así que miden la virtud de las instituciones en función de un concepto distinto: </w:t>
      </w:r>
      <w:r>
        <w:rPr>
          <w:b w:val="0"/>
          <w:bCs w:val="0"/>
          <w:sz w:val="24"/>
          <w:szCs w:val="24"/>
        </w:rPr>
        <w:t>“</w:t>
      </w:r>
      <w:r w:rsidRPr="005C1B9F">
        <w:rPr>
          <w:b w:val="0"/>
          <w:bCs w:val="0"/>
          <w:sz w:val="24"/>
          <w:szCs w:val="24"/>
        </w:rPr>
        <w:t>equidad</w:t>
      </w:r>
      <w:r>
        <w:rPr>
          <w:b w:val="0"/>
          <w:bCs w:val="0"/>
          <w:sz w:val="24"/>
          <w:szCs w:val="24"/>
        </w:rPr>
        <w:t>”…</w:t>
      </w:r>
    </w:p>
    <w:p w:rsidR="00607727" w:rsidRDefault="00414B65" w:rsidP="00607727">
      <w:pPr>
        <w:pStyle w:val="Ttulo1"/>
        <w:spacing w:before="0" w:beforeAutospacing="0" w:after="360" w:afterAutospacing="0"/>
        <w:jc w:val="both"/>
        <w:rPr>
          <w:b w:val="0"/>
          <w:bCs w:val="0"/>
          <w:sz w:val="24"/>
          <w:szCs w:val="24"/>
        </w:rPr>
      </w:pPr>
      <w:r w:rsidRPr="00414B65">
        <w:rPr>
          <w:bCs w:val="0"/>
          <w:sz w:val="24"/>
          <w:szCs w:val="24"/>
        </w:rPr>
        <w:t xml:space="preserve">Nota sobre the </w:t>
      </w:r>
      <w:r>
        <w:rPr>
          <w:bCs w:val="0"/>
          <w:sz w:val="24"/>
          <w:szCs w:val="24"/>
        </w:rPr>
        <w:t>“</w:t>
      </w:r>
      <w:r w:rsidRPr="00414B65">
        <w:rPr>
          <w:bCs w:val="0"/>
          <w:sz w:val="24"/>
          <w:szCs w:val="24"/>
        </w:rPr>
        <w:t>american way of life</w:t>
      </w:r>
      <w:r>
        <w:rPr>
          <w:bCs w:val="0"/>
          <w:sz w:val="24"/>
          <w:szCs w:val="24"/>
        </w:rPr>
        <w:t>”</w:t>
      </w:r>
      <w:r>
        <w:rPr>
          <w:b w:val="0"/>
          <w:bCs w:val="0"/>
          <w:sz w:val="24"/>
          <w:szCs w:val="24"/>
        </w:rPr>
        <w:t xml:space="preserve">: </w:t>
      </w:r>
      <w:r w:rsidRPr="00414B65">
        <w:rPr>
          <w:b w:val="0"/>
          <w:bCs w:val="0"/>
          <w:sz w:val="24"/>
          <w:szCs w:val="24"/>
        </w:rPr>
        <w:t>Si</w:t>
      </w:r>
      <w:r w:rsidR="00607727">
        <w:rPr>
          <w:b w:val="0"/>
          <w:bCs w:val="0"/>
          <w:sz w:val="24"/>
          <w:szCs w:val="24"/>
        </w:rPr>
        <w:t xml:space="preserve"> nació</w:t>
      </w:r>
      <w:r w:rsidRPr="00414B65">
        <w:rPr>
          <w:b w:val="0"/>
          <w:bCs w:val="0"/>
          <w:sz w:val="24"/>
          <w:szCs w:val="24"/>
        </w:rPr>
        <w:t xml:space="preserve"> en el 1% superior de riqueza, tiene diez veces más probabilidades de llegar a ser inven</w:t>
      </w:r>
      <w:r w:rsidR="00607727">
        <w:rPr>
          <w:b w:val="0"/>
          <w:bCs w:val="0"/>
          <w:sz w:val="24"/>
          <w:szCs w:val="24"/>
        </w:rPr>
        <w:t>tor que si sus padres estuvieran</w:t>
      </w:r>
      <w:r w:rsidRPr="00414B65">
        <w:rPr>
          <w:b w:val="0"/>
          <w:bCs w:val="0"/>
          <w:sz w:val="24"/>
          <w:szCs w:val="24"/>
        </w:rPr>
        <w:t xml:space="preserve"> en el 50% inferior. Es un</w:t>
      </w:r>
      <w:r>
        <w:rPr>
          <w:b w:val="0"/>
          <w:bCs w:val="0"/>
          <w:sz w:val="24"/>
          <w:szCs w:val="24"/>
        </w:rPr>
        <w:t xml:space="preserve"> orden de magnitud mayor. ... que hace</w:t>
      </w:r>
      <w:r w:rsidRPr="00414B65">
        <w:rPr>
          <w:b w:val="0"/>
          <w:bCs w:val="0"/>
          <w:sz w:val="24"/>
          <w:szCs w:val="24"/>
        </w:rPr>
        <w:t xml:space="preserve"> cierto que los niños que nacieron en familias más ricas tienden a tener mejores resultados escolares que los niños de familias po</w:t>
      </w:r>
      <w:r>
        <w:rPr>
          <w:b w:val="0"/>
          <w:bCs w:val="0"/>
          <w:sz w:val="24"/>
          <w:szCs w:val="24"/>
        </w:rPr>
        <w:t xml:space="preserve">bres, aunque esto solo explique </w:t>
      </w:r>
      <w:r w:rsidR="00607727">
        <w:rPr>
          <w:b w:val="0"/>
          <w:bCs w:val="0"/>
          <w:sz w:val="24"/>
          <w:szCs w:val="24"/>
        </w:rPr>
        <w:t>una pequeña parte de sus posibilidades de futuro.</w:t>
      </w:r>
    </w:p>
    <w:p w:rsidR="00683041" w:rsidRPr="00607727" w:rsidRDefault="00683041" w:rsidP="00607727">
      <w:pPr>
        <w:pStyle w:val="Ttulo1"/>
        <w:spacing w:before="0" w:beforeAutospacing="0" w:after="360" w:afterAutospacing="0"/>
        <w:jc w:val="both"/>
        <w:rPr>
          <w:b w:val="0"/>
          <w:bCs w:val="0"/>
          <w:sz w:val="24"/>
          <w:szCs w:val="24"/>
        </w:rPr>
      </w:pPr>
      <w:r>
        <w:rPr>
          <w:b w:val="0"/>
          <w:sz w:val="24"/>
          <w:szCs w:val="24"/>
        </w:rPr>
        <w:lastRenderedPageBreak/>
        <w:t>- A</w:t>
      </w:r>
      <w:r w:rsidRPr="009E1BA7">
        <w:rPr>
          <w:b w:val="0"/>
          <w:sz w:val="24"/>
          <w:szCs w:val="24"/>
        </w:rPr>
        <w:t>puntes</w:t>
      </w:r>
      <w:r>
        <w:rPr>
          <w:b w:val="0"/>
          <w:sz w:val="24"/>
          <w:szCs w:val="24"/>
        </w:rPr>
        <w:t xml:space="preserve"> “personales”</w:t>
      </w:r>
      <w:r w:rsidRPr="009E1BA7">
        <w:rPr>
          <w:b w:val="0"/>
          <w:sz w:val="24"/>
          <w:szCs w:val="24"/>
        </w:rPr>
        <w:t xml:space="preserve"> sobre la “pesadilla americana”</w:t>
      </w:r>
      <w:r>
        <w:rPr>
          <w:b w:val="0"/>
          <w:sz w:val="24"/>
          <w:szCs w:val="24"/>
        </w:rPr>
        <w:t xml:space="preserve"> (testigo de cargo)</w:t>
      </w:r>
    </w:p>
    <w:p w:rsidR="00683041" w:rsidRDefault="00683041" w:rsidP="00683041">
      <w:pPr>
        <w:rPr>
          <w:rFonts w:ascii="Times New Roman" w:hAnsi="Times New Roman" w:cs="Times New Roman"/>
          <w:b/>
          <w:sz w:val="24"/>
          <w:szCs w:val="24"/>
        </w:rPr>
      </w:pPr>
      <w:r w:rsidRPr="009E1BA7">
        <w:rPr>
          <w:rFonts w:ascii="Times New Roman" w:hAnsi="Times New Roman" w:cs="Times New Roman"/>
          <w:b/>
          <w:noProof/>
          <w:sz w:val="24"/>
          <w:szCs w:val="24"/>
          <w:lang w:eastAsia="es-ES"/>
        </w:rPr>
        <w:drawing>
          <wp:inline distT="0" distB="0" distL="0" distR="0" wp14:anchorId="1D88F63C" wp14:editId="2A5B25D4">
            <wp:extent cx="5683250" cy="2050344"/>
            <wp:effectExtent l="0" t="0" r="0"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93342" cy="2053985"/>
                    </a:xfrm>
                    <a:prstGeom prst="rect">
                      <a:avLst/>
                    </a:prstGeom>
                  </pic:spPr>
                </pic:pic>
              </a:graphicData>
            </a:graphic>
          </wp:inline>
        </w:drawing>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Desde el año 1998 he intentado demostrar el “trasvasamiento” de la clase media de Estados Unidos y la Unión Europea (antes, países avanzados; ahora, países en vías de subdesarrollo), hacia China (antes, país subdesarrollado, luego, país en vías de desarrollo, después</w:t>
      </w:r>
      <w:r w:rsidR="00E802CC">
        <w:rPr>
          <w:rFonts w:ascii="Times New Roman" w:hAnsi="Times New Roman" w:cs="Times New Roman"/>
          <w:sz w:val="24"/>
          <w:szCs w:val="24"/>
        </w:rPr>
        <w:t>,</w:t>
      </w:r>
      <w:r>
        <w:rPr>
          <w:rFonts w:ascii="Times New Roman" w:hAnsi="Times New Roman" w:cs="Times New Roman"/>
          <w:sz w:val="24"/>
          <w:szCs w:val="24"/>
        </w:rPr>
        <w:t xml:space="preserve"> país emergente, y al final, país avanzado), mediante el proceso de globalización,  deslocalización, libre movimiento de capitales, bienes y servicios, que provocaron la disminución y empobrecimiento de la clase media de los países avanzados (EEUU y UE).</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Esa fórmula de “deslocalización” de la mano de obra, ha provocado que haya; más ricos, más pobres y menos clase media, tanto en Estados Unidos como en Europa. Un caso “flagrante” de desarrollo inverso. Según el refranero español, sería: “desnudar un santo para vestir otro”.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supongamos que he estado equivocado en mi valoración (demostración por el absurdo): </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u w:val="single"/>
        </w:rPr>
        <w:t>Cuáles serán las mayores economías del mundo en 2030</w:t>
      </w:r>
      <w:r>
        <w:rPr>
          <w:rFonts w:ascii="Times New Roman" w:hAnsi="Times New Roman" w:cs="Times New Roman"/>
          <w:sz w:val="24"/>
          <w:szCs w:val="24"/>
        </w:rPr>
        <w:t xml:space="preserve">? (Fuente: BBCMundo - </w:t>
      </w:r>
      <w:r>
        <w:rPr>
          <w:rFonts w:ascii="Times New Roman" w:hAnsi="Times New Roman" w:cs="Times New Roman"/>
          <w:b/>
          <w:sz w:val="24"/>
          <w:szCs w:val="24"/>
        </w:rPr>
        <w:t>14/1/19</w:t>
      </w:r>
      <w:r>
        <w:rPr>
          <w:rFonts w:ascii="Times New Roman" w:hAnsi="Times New Roman" w:cs="Times New Roman"/>
          <w:sz w:val="24"/>
          <w:szCs w:val="24"/>
        </w:rPr>
        <w:t>)</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economía de India sobrepasará a la de Estados Unidos en 2030. Esa es una de las sorpresas que trae una investigación publicada por </w:t>
      </w:r>
      <w:r w:rsidRPr="009E1BA7">
        <w:rPr>
          <w:rFonts w:ascii="Times New Roman" w:hAnsi="Times New Roman" w:cs="Times New Roman"/>
          <w:sz w:val="24"/>
          <w:szCs w:val="24"/>
        </w:rPr>
        <w:t>Standard Chartered</w:t>
      </w:r>
      <w:r>
        <w:rPr>
          <w:rFonts w:ascii="Times New Roman" w:hAnsi="Times New Roman" w:cs="Times New Roman"/>
          <w:sz w:val="24"/>
          <w:szCs w:val="24"/>
        </w:rPr>
        <w:t>, un banco multinacional con sede en Reino Unido. Si esa proyección se cumple, India se convertiría en la segunda economía mundial -después de China- mientras que EEUU quedaría en el tercer lugar. Siete de las primeras 10 economías del mundo serán, de acuerdo al estudio, mercados que hoy están en la categoría de emergentes, con Indonesia saltando al quinto lugar.</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5C6FB2E" wp14:editId="3D9EB9ED">
            <wp:extent cx="5734050" cy="24384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4050" cy="2438400"/>
                    </a:xfrm>
                    <a:prstGeom prst="rect">
                      <a:avLst/>
                    </a:prstGeom>
                    <a:noFill/>
                    <a:ln>
                      <a:noFill/>
                    </a:ln>
                  </pic:spPr>
                </pic:pic>
              </a:graphicData>
            </a:graphic>
          </wp:inline>
        </w:drawing>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Ya sabemos, quiénes son los grandes “ganadores” de la globalización…</w:t>
      </w:r>
    </w:p>
    <w:p w:rsidR="00683041" w:rsidRPr="009E1BA7" w:rsidRDefault="00683041" w:rsidP="00683041">
      <w:pPr>
        <w:spacing w:line="240" w:lineRule="auto"/>
        <w:jc w:val="both"/>
        <w:rPr>
          <w:rFonts w:ascii="Times New Roman" w:hAnsi="Times New Roman" w:cs="Times New Roman"/>
          <w:sz w:val="24"/>
          <w:szCs w:val="24"/>
        </w:rPr>
      </w:pPr>
      <w:r w:rsidRPr="009E1BA7">
        <w:rPr>
          <w:rFonts w:ascii="Times New Roman" w:hAnsi="Times New Roman" w:cs="Times New Roman"/>
          <w:sz w:val="24"/>
          <w:szCs w:val="24"/>
        </w:rPr>
        <w:t xml:space="preserve">… ahora, veamos quienes son los grandes “perdedores” de la globalización </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 la gran fuerza electoral de nuestra época, aun cuando no suela ser tenida en cuenta. Se habla con cierta frecuencia de ella, y se la señala como gran perdedora de la globalización, pero nadie la toma en serio. </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clase media empobrecida suele ser sinónimo, para una parte del espectro político, de esa gente que no se ha sabido adaptar a las exigencias de los tiempos, y para el otro, de esas personas retrógradas y en el fondo, fascistas que no quieren asimilar los cambios culturales. </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Ambos la ven como un problema, algo de lo que habría que deshacerse, más que como una fuerza con potencial enorme para el cambio. La ceguera de unos y otros ha abierto la puerta a la derecha populista, como la francesa (Le Pen) o la italiana (Salvini), o la americana (Trump), que sí se ha dirigido a ella de nuevas maneras. </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 </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Si observamos la evolución desde los años 80, en la época de las reconversiones, veremos cómo se borró del mapa a los obreros industriales, 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competencias; ahora la jubilación lleva tiempo en el punto de mira, porque se paga demasiado a gente que no trabaja y resulta imprescindible reducir la cuantía de las pensiones y retrasar la edad de retirada.</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el margen quedan también los pequeños empresarios y los autónomos, que no han inventado maneras de competir en el mundo globalizado, o los soldados de usar y tirar, porque su trabajo ya lo hacen las máquinas, o todo el sector servicios, cuyos salarios son bajos porque son gente fácilmente reemplazable cuyo trabajo aporta escaso valor añadido. Y así sucesivamente, cuando se juntan todos estos pedazos rotos, se compone un buen retrato, el de aquellos que una vez fueron clase media.</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Este destino no es el futuro, sino que compone nuestro presente, y de esto va también lo que se ha llamado precariedad, que va mucho más allá de los contratos eventuales. Empleados bancarios (que hoy son agentes comerciales), taxistas o transportistas; o esos profesionales </w:t>
      </w:r>
      <w:r>
        <w:rPr>
          <w:rFonts w:ascii="Times New Roman" w:eastAsia="Times New Roman" w:hAnsi="Times New Roman" w:cs="Times New Roman"/>
          <w:sz w:val="24"/>
          <w:szCs w:val="24"/>
        </w:rPr>
        <w:lastRenderedPageBreak/>
        <w:t>que gozaron de años en puestos decentes hasta que fueron devueltos al paro y ya nadie les contrata; o esos emprendedores que creyeron que podrían labrarse un porvenir gracias a una buena idea y hoy se buscan la vida con chapuzas; o esos jóvenes que están hoy en las facultades y que todavía creen que en el futuro podrán ser algo más que comerciales o  camareros; o esos trabajadores que no se quieren jubilar porque saben que cobrando únicamente la pensión no podrán mantener ni de lejos su actual nivel de vida. Todos ellos pensaban ser clase media, y se han dado cuenta de que simplemente estaban en una época de excedencia de la pobreza.</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Esta clase media en desaparición ha sido analizada desde dos tipos de discurso. El dominante fue, y lo es todavía, el de las reformas, es decir, la aceptación de desventajas presentes a cambio de bienes futuros que nunca llegan. La idea que se les transmitía era que debían realizarse cambios en la sociedad para evitar la crisis, para solucionarla o para que el porvenir fuera mejor, y se les aseguraba que los sacrificios solicitados tendrían una recompensa en los años venideros. Pero el tiempo ha ido pasando, y todo lo que queda son una serie de promesas incumplidas y un descenso notable en su nivel de vida. Parecen mucho menos dispuestos a creer ya en estas afirmaciones, y eso explica de manera directa el nacimiento de nuevas fuerzas políticas y sociales.</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otro discurso habitual es el de una izquierda (“progresista”),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Esto es Trump, pero también Le Pen o Salvini.</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producción. Sin embargo, y puesto que todavía el partido se juega en términos culturales, el discurso les funciona.</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 </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Es cierto que esto no durará demasiado, porque los colectivos en lucha por la subsistencia tienden a olvidarse de estos valores, pero todavía los conservan.</w:t>
      </w: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hd w:val="clear" w:color="auto" w:fill="FFFFFF"/>
        <w:spacing w:after="0" w:line="240" w:lineRule="auto"/>
        <w:jc w:val="both"/>
        <w:textAlignment w:val="baseline"/>
        <w:rPr>
          <w:rFonts w:ascii="Times New Roman" w:eastAsia="Times New Roman" w:hAnsi="Times New Roman" w:cs="Times New Roman"/>
          <w:sz w:val="24"/>
          <w:szCs w:val="24"/>
        </w:rPr>
      </w:pPr>
    </w:p>
    <w:p w:rsidR="00683041" w:rsidRDefault="00683041" w:rsidP="0068304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Algunas conclusiones “a vuela pluma”: evidencias innegables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China ganó 335,6 millones de personas de clase media entre 2001 y 2015, EEUU perdió 2,8 millones de personas de clase media entre 2001 y 2015, perdió 19,7 millones de personas de clase media entre 1980 y 2015, y perdió 19,2 millones de personas de clase media entre 1991 y 2015. La Unión Europea perdió 71,6 millones de personas de clase media entre 2001 y 2017.</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Si para EEUU se hace una comparación entre los años 2015 y 1980 la reducción de la clase media equivale a un 23,88%; entre 2015 y 1991 la reducción equivale al 24,25%.</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partir de los datos aportados por Henri Wilno, se puede calcular que la clase media de la Unión Europea equivalía al 18,42% de la población en el año 2017. </w:t>
      </w:r>
    </w:p>
    <w:p w:rsidR="00683041" w:rsidRDefault="00683041" w:rsidP="00683041">
      <w:pPr>
        <w:spacing w:line="240" w:lineRule="auto"/>
        <w:jc w:val="both"/>
        <w:rPr>
          <w:rFonts w:ascii="Times New Roman" w:hAnsi="Times New Roman"/>
          <w:sz w:val="24"/>
          <w:szCs w:val="24"/>
        </w:rPr>
      </w:pPr>
      <w:r>
        <w:rPr>
          <w:rFonts w:ascii="Times New Roman" w:hAnsi="Times New Roman"/>
          <w:sz w:val="24"/>
          <w:szCs w:val="24"/>
          <w:u w:val="single"/>
        </w:rPr>
        <w:t>Mentiras, simplificaciones, temeridades, y faltas de respeto a la mayoría</w:t>
      </w:r>
    </w:p>
    <w:p w:rsidR="00683041" w:rsidRPr="00E43B7E" w:rsidRDefault="00683041" w:rsidP="00683041">
      <w:pPr>
        <w:spacing w:line="240" w:lineRule="auto"/>
        <w:jc w:val="both"/>
        <w:rPr>
          <w:rFonts w:ascii="Times New Roman" w:hAnsi="Times New Roman"/>
          <w:sz w:val="24"/>
          <w:szCs w:val="24"/>
        </w:rPr>
      </w:pPr>
      <w:r>
        <w:rPr>
          <w:rFonts w:ascii="Times New Roman" w:hAnsi="Times New Roman"/>
          <w:i/>
          <w:sz w:val="24"/>
          <w:szCs w:val="24"/>
        </w:rPr>
        <w:t>“El hombre no es ni un ángel, ni una bestia; y su desgracia es que quien podría comportarse como un ángel, se comporta como una bestia”.</w:t>
      </w:r>
      <w:r>
        <w:rPr>
          <w:rFonts w:ascii="Times New Roman" w:hAnsi="Times New Roman"/>
          <w:sz w:val="24"/>
          <w:szCs w:val="24"/>
        </w:rPr>
        <w:t xml:space="preserve"> (Pascal)</w:t>
      </w:r>
    </w:p>
    <w:p w:rsidR="00683041" w:rsidRPr="00E43B7E" w:rsidRDefault="00683041" w:rsidP="00683041">
      <w:pPr>
        <w:spacing w:line="240" w:lineRule="auto"/>
        <w:jc w:val="both"/>
        <w:rPr>
          <w:rFonts w:ascii="Times New Roman" w:hAnsi="Times New Roman" w:cs="Times New Roman"/>
          <w:b/>
          <w:sz w:val="24"/>
          <w:szCs w:val="24"/>
        </w:rPr>
      </w:pPr>
      <w:r w:rsidRPr="00E43B7E">
        <w:rPr>
          <w:rFonts w:ascii="Times New Roman" w:hAnsi="Times New Roman" w:cs="Times New Roman"/>
          <w:b/>
          <w:sz w:val="24"/>
          <w:szCs w:val="24"/>
        </w:rPr>
        <w:t>Análisis de “sensibilidad” (no es un sarcasmo): de Ford a Amazon y el fin de la clase media en los países desarrollados (ahora en vías de subdesarrollo)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haya hecho una lectura sesgada de las estadísticas; tal vez haya realizado simplificaciones o supuestos demasiado audaces, tal vez haya asumido criterios políticamente incorrectos, tal vez todos los cálculos estén equivocados, y el resultado sea incorrecto. Tal vez ni por el “método del absurdo” haya demostración valida posible (aceptable), pero hay algunas evidencias que resultan innegables, no hace falta demostrar lo obvio. Tomen nota:</w:t>
      </w:r>
    </w:p>
    <w:p w:rsidR="00683041" w:rsidRDefault="00683041" w:rsidP="00683041">
      <w:pPr>
        <w:pStyle w:val="NormalWeb"/>
        <w:shd w:val="clear" w:color="auto" w:fill="FFFFFF"/>
        <w:jc w:val="both"/>
        <w:rPr>
          <w:spacing w:val="-1"/>
        </w:rPr>
      </w:pPr>
      <w:r>
        <w:rPr>
          <w:spacing w:val="-1"/>
        </w:rPr>
        <w:t xml:space="preserve">- </w:t>
      </w:r>
      <w:r>
        <w:rPr>
          <w:spacing w:val="-1"/>
          <w:u w:val="single"/>
        </w:rPr>
        <w:t>Qué es el Modelo Henry Ford y cómo Amazon lo está siguiendo al aumentar el sueldo mínimo de sus empleados a US$ 15 la hora</w:t>
      </w:r>
      <w:r>
        <w:rPr>
          <w:spacing w:val="-1"/>
        </w:rPr>
        <w:t xml:space="preserve"> (BBCMundo.com - </w:t>
      </w:r>
      <w:r>
        <w:rPr>
          <w:b/>
          <w:spacing w:val="-1"/>
        </w:rPr>
        <w:t>4/10/18</w:t>
      </w:r>
      <w:r>
        <w:rPr>
          <w:spacing w:val="-1"/>
        </w:rPr>
        <w:t>)</w:t>
      </w:r>
    </w:p>
    <w:p w:rsidR="00683041" w:rsidRDefault="00683041" w:rsidP="00683041">
      <w:pPr>
        <w:pStyle w:val="NormalWeb"/>
        <w:shd w:val="clear" w:color="auto" w:fill="FFFFFF"/>
        <w:jc w:val="both"/>
        <w:rPr>
          <w:spacing w:val="-1"/>
        </w:rPr>
      </w:pPr>
      <w:r>
        <w:rPr>
          <w:spacing w:val="-1"/>
        </w:rPr>
        <w:t>El anuncio de Amazon de que van a aumentar el salario mínimo de sus trabajadores a US$ 15 la hora ha sido comparado con una de las estrategias empresariales más reconocidas de la historia.</w:t>
      </w:r>
    </w:p>
    <w:p w:rsidR="00683041" w:rsidRDefault="00683041" w:rsidP="00683041">
      <w:pPr>
        <w:pStyle w:val="NormalWeb"/>
        <w:shd w:val="clear" w:color="auto" w:fill="FFFFFF"/>
        <w:jc w:val="both"/>
        <w:rPr>
          <w:spacing w:val="-1"/>
        </w:rPr>
      </w:pPr>
      <w:r>
        <w:rPr>
          <w:spacing w:val="-1"/>
        </w:rPr>
        <w:t>Se trata de la que usó en 1914 Henry Ford, fundador de la icónica empresa fabricante de autos del mismo nombre. Ese año Ford tomó la decisión de pagarles US$ 5 al día a sus empleados, algo que en aquel entonces era mucho dinero. Según los analistas, Ford tomó aquella decisión por dos razones: para evitar la rotación constante de trabajadores (que afectaba la producción) y para que sus empleados pudieran comprar los autos que fabricaban. Más de 100 años después, algunos expertos ven cierta similitud en el anuncio de Amazon.</w:t>
      </w:r>
    </w:p>
    <w:p w:rsidR="00683041" w:rsidRDefault="00683041" w:rsidP="00683041">
      <w:pPr>
        <w:pStyle w:val="NormalWeb"/>
        <w:shd w:val="clear" w:color="auto" w:fill="FFFFFF"/>
        <w:jc w:val="both"/>
        <w:rPr>
          <w:spacing w:val="-1"/>
        </w:rPr>
      </w:pPr>
      <w:r>
        <w:rPr>
          <w:spacing w:val="-1"/>
        </w:rPr>
        <w:t>“Golpe maestro”</w:t>
      </w:r>
    </w:p>
    <w:p w:rsidR="00683041" w:rsidRDefault="00683041" w:rsidP="00683041">
      <w:pPr>
        <w:pStyle w:val="NormalWeb"/>
        <w:shd w:val="clear" w:color="auto" w:fill="FFFFFF"/>
        <w:jc w:val="both"/>
        <w:rPr>
          <w:spacing w:val="-1"/>
        </w:rPr>
      </w:pPr>
      <w:r>
        <w:rPr>
          <w:spacing w:val="-1"/>
        </w:rPr>
        <w:t>“Ford en su época y Amazon ahora son dueños de gran parte de la billetera de los consumidores”, le dice a BBC Mundo Gene Munster, exanalista de Wall Street y actual socio en la empresa de capital de riesgo Loup Ventures. “Es una decisión con un beneficio escondido. Un golpe maestro”.</w:t>
      </w:r>
    </w:p>
    <w:p w:rsidR="00683041" w:rsidRDefault="00683041" w:rsidP="00683041">
      <w:pPr>
        <w:pStyle w:val="NormalWeb"/>
        <w:shd w:val="clear" w:color="auto" w:fill="FFFFFF"/>
        <w:jc w:val="both"/>
        <w:rPr>
          <w:spacing w:val="-1"/>
        </w:rPr>
      </w:pPr>
      <w:r>
        <w:rPr>
          <w:spacing w:val="-1"/>
        </w:rPr>
        <w:t>Primero, porque el incremento es una motivación para los empleados que le permite a Amazon reducir los altos costos de la rotación laboral.</w:t>
      </w:r>
    </w:p>
    <w:p w:rsidR="00683041" w:rsidRDefault="00683041" w:rsidP="00683041">
      <w:pPr>
        <w:pStyle w:val="NormalWeb"/>
        <w:shd w:val="clear" w:color="auto" w:fill="FFFFFF"/>
        <w:jc w:val="both"/>
        <w:rPr>
          <w:spacing w:val="-1"/>
        </w:rPr>
      </w:pPr>
      <w:r>
        <w:rPr>
          <w:spacing w:val="-1"/>
        </w:rPr>
        <w:lastRenderedPageBreak/>
        <w:t>En la práctica, se trataría de un incentivo tanto para los 250.000 trabajadores permanentes que la empresa tiene en EEUU, y para atraer a unos 100.000 empleados temporales que contrata en las fechas de mayor demanda. Además, la decisión se produce cuando hay un mercado laboral ajustado en EEUU (con el más bajo desempleo de las últimas décadas).</w:t>
      </w:r>
    </w:p>
    <w:p w:rsidR="00683041" w:rsidRDefault="00683041" w:rsidP="00683041">
      <w:pPr>
        <w:pStyle w:val="NormalWeb"/>
        <w:shd w:val="clear" w:color="auto" w:fill="FFFFFF"/>
        <w:jc w:val="both"/>
        <w:rPr>
          <w:spacing w:val="-1"/>
        </w:rPr>
      </w:pPr>
      <w:r>
        <w:rPr>
          <w:spacing w:val="-1"/>
        </w:rPr>
        <w:t>En segundo lugar, porque, explica Munster, “le permitirá beneficiarse del enfoque Henry Ford: si pones más dinero en el bolsillo de los empleados, gastarán más dinero en tu plataforma”.</w:t>
      </w:r>
    </w:p>
    <w:p w:rsidR="00683041" w:rsidRDefault="00683041" w:rsidP="00683041">
      <w:pPr>
        <w:pStyle w:val="NormalWeb"/>
        <w:shd w:val="clear" w:color="auto" w:fill="FFFFFF"/>
        <w:jc w:val="both"/>
        <w:rPr>
          <w:spacing w:val="-1"/>
        </w:rPr>
      </w:pPr>
      <w:r>
        <w:rPr>
          <w:spacing w:val="-1"/>
        </w:rPr>
        <w:t>Y por último, le permite a la firma presentar una imagen “más favorable” frente a los consumidores, agrega el analista.</w:t>
      </w:r>
    </w:p>
    <w:p w:rsidR="00683041" w:rsidRDefault="00683041" w:rsidP="00683041">
      <w:pPr>
        <w:pStyle w:val="NormalWeb"/>
        <w:shd w:val="clear" w:color="auto" w:fill="FFFFFF"/>
        <w:jc w:val="both"/>
        <w:rPr>
          <w:spacing w:val="-1"/>
        </w:rPr>
      </w:pPr>
      <w:r>
        <w:rPr>
          <w:spacing w:val="-1"/>
        </w:rPr>
        <w:t>El anuncio de Amazon ha generado una serie de interpretaciones sobre las razones y los efectos de la decisión. En la prensa local, los argumentos van desde que el gigante ha fijado un nuevo estándar nacional que será seguido por otras empresas, hasta que se trata de una astuta estrategia de marketing tras acusaciones de malas prácticas laborales.</w:t>
      </w:r>
    </w:p>
    <w:p w:rsidR="00683041" w:rsidRDefault="00683041" w:rsidP="00683041">
      <w:pPr>
        <w:pStyle w:val="NormalWeb"/>
        <w:shd w:val="clear" w:color="auto" w:fill="FFFFFF"/>
        <w:jc w:val="both"/>
        <w:rPr>
          <w:spacing w:val="-1"/>
        </w:rPr>
      </w:pPr>
      <w:r>
        <w:rPr>
          <w:spacing w:val="-1"/>
        </w:rPr>
        <w:t>Amazon siempre está en el escrutinio público considerando que alcanzó una valoración de mercado de US$ 1 billón y además, su director ejecutivo, Jeff Bezos, es el hombre más rico del mundo.</w:t>
      </w:r>
    </w:p>
    <w:p w:rsidR="00683041" w:rsidRDefault="00683041" w:rsidP="00683041">
      <w:pPr>
        <w:pStyle w:val="NormalWeb"/>
        <w:shd w:val="clear" w:color="auto" w:fill="FFFFFF"/>
        <w:jc w:val="both"/>
        <w:rPr>
          <w:spacing w:val="-1"/>
        </w:rPr>
      </w:pPr>
      <w:r>
        <w:rPr>
          <w:spacing w:val="-1"/>
        </w:rPr>
        <w:t>¿Victoria de relaciones públicas?</w:t>
      </w:r>
    </w:p>
    <w:p w:rsidR="00683041" w:rsidRDefault="00683041" w:rsidP="00683041">
      <w:pPr>
        <w:pStyle w:val="NormalWeb"/>
        <w:shd w:val="clear" w:color="auto" w:fill="FFFFFF"/>
        <w:jc w:val="both"/>
        <w:rPr>
          <w:spacing w:val="-1"/>
        </w:rPr>
      </w:pPr>
      <w:r>
        <w:rPr>
          <w:spacing w:val="-1"/>
        </w:rPr>
        <w:t>Expertos de la consultora estadounidense Loop Capital Markets consideraron que la decisión es una “victoria de relaciones públicas” teniendo en cuenta que el presidente Donald Trump ataca constantemente a la empresa, y ahora Amazon aparece “mejorando la vida de sus trabajadores”.</w:t>
      </w:r>
    </w:p>
    <w:p w:rsidR="00683041" w:rsidRDefault="00683041" w:rsidP="00683041">
      <w:pPr>
        <w:pStyle w:val="NormalWeb"/>
        <w:shd w:val="clear" w:color="auto" w:fill="FFFFFF"/>
        <w:jc w:val="both"/>
        <w:rPr>
          <w:spacing w:val="-1"/>
        </w:rPr>
      </w:pPr>
      <w:r>
        <w:rPr>
          <w:spacing w:val="-1"/>
        </w:rPr>
        <w:t>Según cálculos de la consultora, los costos de Amazon podrían aumentar en un rango de entre US$ 900 millones a US$ 1.800 millones al año, lo cual es menos de 1% de los ingresos del gigante electrónico. A nivel nacional, Amazon es el segundo mayor empleador después de Walmart, lo que hace que sus decisiones puedan marcar una tendencia en el mercado laboral.</w:t>
      </w:r>
    </w:p>
    <w:p w:rsidR="00683041" w:rsidRDefault="00683041" w:rsidP="00683041">
      <w:pPr>
        <w:pStyle w:val="NormalWeb"/>
        <w:shd w:val="clear" w:color="auto" w:fill="FFFFFF"/>
        <w:jc w:val="both"/>
        <w:rPr>
          <w:spacing w:val="-1"/>
        </w:rPr>
      </w:pPr>
      <w:r>
        <w:rPr>
          <w:spacing w:val="-1"/>
        </w:rPr>
        <w:t>El alza salarial se produce en medio de una ola de críticas contra la firma, luego que trabajadores denunciaran precarias condiciones laborales en las bodegas donde se almacenan los productos. Una de ellas, por ejemplo, es la acusación de que algunos empleados no tenían tiempo para ir al baño por la presión de alcanzar las metas, algo que la empresa niega.</w:t>
      </w:r>
    </w:p>
    <w:p w:rsidR="00683041" w:rsidRDefault="00683041" w:rsidP="00683041">
      <w:pPr>
        <w:pStyle w:val="NormalWeb"/>
        <w:shd w:val="clear" w:color="auto" w:fill="FFFFFF"/>
        <w:jc w:val="both"/>
        <w:rPr>
          <w:spacing w:val="-1"/>
        </w:rPr>
      </w:pPr>
      <w:r>
        <w:rPr>
          <w:spacing w:val="-1"/>
        </w:rPr>
        <w:t>Hasta ahora Amazon pagaba un sueldo mínimo de US$ 11 por hora a sus trabajadores de tiempo completo. Según la firma, el promedio de salario en los centros de almacenamiento es mucho mayor. En Estados Unidos, el ingreso promedio de los trabajadores del sector retail es de US$ 13,20 por hora y el sueldo mínimo en general, de US$ 7,25, un valor que no ha cambiado desde 2009.</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Amazon fija su salario mínimo en 30.000 dólares al año en EEUU</w:t>
      </w:r>
      <w:r>
        <w:rPr>
          <w:rFonts w:ascii="Times New Roman" w:hAnsi="Times New Roman" w:cs="Times New Roman"/>
          <w:sz w:val="24"/>
          <w:szCs w:val="24"/>
        </w:rPr>
        <w:t xml:space="preserve"> (Libertad Digital - </w:t>
      </w:r>
      <w:r>
        <w:rPr>
          <w:rFonts w:ascii="Times New Roman" w:hAnsi="Times New Roman" w:cs="Times New Roman"/>
          <w:b/>
          <w:sz w:val="24"/>
          <w:szCs w:val="24"/>
        </w:rPr>
        <w:t>11/10/18</w:t>
      </w:r>
      <w:r>
        <w:rPr>
          <w:rFonts w:ascii="Times New Roman" w:hAnsi="Times New Roman" w:cs="Times New Roman"/>
          <w:sz w:val="24"/>
          <w:szCs w:val="24"/>
        </w:rPr>
        <w:t>)</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El empleado a jornada completa con el salario más bajo de Amazon cobrará 30.000 dólares al año.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Amazon ha anunciado un incremento del salario mínimo para todos sus trabajadores en EEUU. A nivel nacional, el salario mínimo es de 7,25 dólares por hora -no existe el SMI mensual-, aunque algunos estados han elevado ese umbral. La empresa liderada por Jeff Bezos subirá a 15 dólares la hora el mínimo que ganan sus empleados, esta medida afectará a 250.000 empleados que trabajan a jornada completa y a 100.000 que lo hacen cuando el comercio crece -Navidad, Cibermonday, Black Friday, Amazon Prime Day, etc.-.</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De esta manera, el empleado a jornada completa con el salario más bajo de Amazon cobrará 30.000 dólares al año, 26.140 euros. El salario anual de Jeff Bezos fue de 81.840 dólares en 2017, un salario bastante modesto para su calidad de CEO de la segunda compañía más valiosa de Estados Unidos. Aunque Bezos tiene 80 millones de acciones de Amazon, lo que representa la mayor parte de su patrimonio, valorado en 165.000 millones de dólares.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En los últimos meses, Amazon, siguiendo la tendencia alcista del S&amp;P 500 y del Dow Jones, que han tocado máximos históricos, ha crecido en 82.600 millones su capitalización bursátil, hasta superar el billón. Si se dividiera por horas, el valor de Amazon ha crecido a un ritmo de 19 millones por hora desde que comenzó 2018.</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Lo cierto de el por qué Amazon ha decidido subir el sueldo -antes sus empleados cobraban entre 10 y 14 dólares por hora- se encuentra en varios motivos. El primero es el mercado laboral estadounidense. La pasada semana, la tasa de desempleo de EEUU bajó hasta el 3,7%, la más baja en los últimos 49 años. De hecho, muchas empresas empiezan a tener problemas por falta de mano de obra. Con el inicio de la campaña de Navidad, empresas como Walmart incorporan a sus plantillas a 100.000 empleados. Para evitar una fuga de trabajadores por mejores condiciones salariales, Bezos ha decidido ponerse la venda antes de la herida y subir el salario.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b/>
          <w:sz w:val="24"/>
          <w:szCs w:val="24"/>
        </w:rPr>
        <w:t>Una economía para tontos y el final del juego (el naufragio de la economía real)</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La mentira, además de síntoma de maldad, es prueba de falta de inteligencia. Las personas sensatas saben que el camastro donde descansa el tullido mentiroso es la estulticia y que ayudado por las muletas de la torpeza y la maldad se arrastra el mentiroso.</w:t>
      </w:r>
    </w:p>
    <w:p w:rsidR="00683041" w:rsidRDefault="00683041" w:rsidP="0068304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Ford (US$ 5 por día, en 1914) vs. Amazon (US$ 15 la hora, en 2018) </w:t>
      </w:r>
    </w:p>
    <w:p w:rsidR="00683041" w:rsidRDefault="00683041" w:rsidP="00683041">
      <w:pPr>
        <w:jc w:val="both"/>
        <w:rPr>
          <w:rFonts w:ascii="Times New Roman" w:hAnsi="Times New Roman" w:cs="Times New Roman"/>
          <w:sz w:val="24"/>
          <w:szCs w:val="24"/>
          <w:shd w:val="clear" w:color="auto" w:fill="FFFFFF"/>
        </w:rPr>
      </w:pPr>
      <w:r>
        <w:rPr>
          <w:rStyle w:val="Textoennegrita"/>
          <w:sz w:val="24"/>
          <w:szCs w:val="24"/>
          <w:shd w:val="clear" w:color="auto" w:fill="FFFFFF"/>
        </w:rPr>
        <w:t>Inflación histórica Estados Unidos (IPC)</w:t>
      </w:r>
      <w:r>
        <w:rPr>
          <w:rFonts w:ascii="Times New Roman" w:hAnsi="Times New Roman" w:cs="Times New Roman"/>
          <w:sz w:val="24"/>
          <w:szCs w:val="24"/>
          <w:shd w:val="clear" w:color="auto" w:fill="FFFFFF"/>
        </w:rPr>
        <w:t> </w:t>
      </w:r>
    </w:p>
    <w:p w:rsidR="00683041" w:rsidRDefault="00683041" w:rsidP="00683041">
      <w:pPr>
        <w:shd w:val="clear" w:color="auto" w:fill="FFFFFF"/>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Gráfico - Inflación histórica del IPC Estados Unidos (anual) - plazo de medición íntegro</w:t>
      </w:r>
    </w:p>
    <w:p w:rsidR="00683041" w:rsidRDefault="00683041" w:rsidP="00683041">
      <w:pPr>
        <w:shd w:val="clear" w:color="auto" w:fill="FFFFFF"/>
        <w:spacing w:after="0" w:line="240" w:lineRule="auto"/>
        <w:jc w:val="both"/>
        <w:rPr>
          <w:rFonts w:ascii="Times New Roman" w:hAnsi="Times New Roman" w:cs="Times New Roman"/>
          <w:sz w:val="24"/>
          <w:szCs w:val="24"/>
        </w:rPr>
      </w:pPr>
    </w:p>
    <w:p w:rsidR="00683041" w:rsidRDefault="00683041" w:rsidP="00683041">
      <w:pPr>
        <w:rPr>
          <w:rFonts w:ascii="Times New Roman" w:hAnsi="Times New Roman" w:cs="Times New Roman"/>
          <w:sz w:val="24"/>
          <w:szCs w:val="24"/>
        </w:rPr>
      </w:pPr>
      <w:r>
        <w:rPr>
          <w:noProof/>
          <w:lang w:eastAsia="es-ES"/>
        </w:rPr>
        <w:drawing>
          <wp:inline distT="0" distB="0" distL="0" distR="0" wp14:anchorId="0D4F8501" wp14:editId="3EAE2AEA">
            <wp:extent cx="6057900" cy="1714500"/>
            <wp:effectExtent l="0" t="0" r="0" b="0"/>
            <wp:docPr id="50" name="Imagen 50" descr="Gráfico – inflación histórica del IPC Estados Unidos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5" descr="Gráfico – inflación histórica del IPC Estados Unidos - evolución de la inflación a largo plaz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57900" cy="1714500"/>
                    </a:xfrm>
                    <a:prstGeom prst="rect">
                      <a:avLst/>
                    </a:prstGeom>
                    <a:noFill/>
                    <a:ln>
                      <a:noFill/>
                    </a:ln>
                  </pic:spPr>
                </pic:pic>
              </a:graphicData>
            </a:graphic>
          </wp:inline>
        </w:drawing>
      </w:r>
    </w:p>
    <w:p w:rsidR="00683041" w:rsidRDefault="00683041" w:rsidP="00683041">
      <w:pPr>
        <w:rPr>
          <w:rFonts w:ascii="Times New Roman" w:hAnsi="Times New Roman" w:cs="Times New Roman"/>
          <w:sz w:val="24"/>
          <w:szCs w:val="24"/>
        </w:rPr>
      </w:pPr>
    </w:p>
    <w:p w:rsidR="00683041" w:rsidRDefault="00683041" w:rsidP="00683041">
      <w:pPr>
        <w:rPr>
          <w:rFonts w:ascii="Times New Roman" w:hAnsi="Times New Roman" w:cs="Times New Roman"/>
          <w:sz w:val="24"/>
          <w:szCs w:val="24"/>
        </w:rPr>
      </w:pPr>
    </w:p>
    <w:p w:rsidR="00683041" w:rsidRDefault="00683041" w:rsidP="00683041">
      <w:pPr>
        <w:rPr>
          <w:rFonts w:ascii="Times New Roman" w:hAnsi="Times New Roman" w:cs="Times New Roman"/>
          <w:sz w:val="24"/>
          <w:szCs w:val="24"/>
        </w:rPr>
      </w:pPr>
    </w:p>
    <w:p w:rsidR="00683041" w:rsidRDefault="00683041" w:rsidP="00683041">
      <w:pPr>
        <w:rPr>
          <w:rFonts w:ascii="Times New Roman" w:hAnsi="Times New Roman" w:cs="Times New Roman"/>
          <w:sz w:val="24"/>
          <w:szCs w:val="24"/>
        </w:rPr>
      </w:pPr>
    </w:p>
    <w:p w:rsidR="00683041" w:rsidRDefault="00683041" w:rsidP="00683041">
      <w:pPr>
        <w:pStyle w:val="Ttulo2"/>
        <w:shd w:val="clear" w:color="auto" w:fill="FFFFFF"/>
        <w:spacing w:before="240" w:after="60"/>
        <w:rPr>
          <w:bCs w:val="0"/>
          <w:color w:val="414141"/>
          <w:sz w:val="24"/>
          <w:szCs w:val="24"/>
        </w:rPr>
      </w:pPr>
      <w:r>
        <w:rPr>
          <w:bCs w:val="0"/>
          <w:color w:val="414141"/>
          <w:sz w:val="24"/>
          <w:szCs w:val="24"/>
        </w:rPr>
        <w:t>Tabla - inflación histórica Estados Unidos (IPC) - por año</w:t>
      </w:r>
    </w:p>
    <w:p w:rsidR="00683041" w:rsidRPr="006B2F6E" w:rsidRDefault="00683041" w:rsidP="00683041">
      <w:pPr>
        <w:pStyle w:val="Ttulo2"/>
        <w:shd w:val="clear" w:color="auto" w:fill="FFFFFF"/>
        <w:spacing w:before="315" w:after="158"/>
        <w:rPr>
          <w:b w:val="0"/>
          <w:bCs w:val="0"/>
          <w:color w:val="2C3E50"/>
          <w:sz w:val="24"/>
          <w:szCs w:val="24"/>
        </w:rPr>
      </w:pPr>
      <w:r>
        <w:rPr>
          <w:b w:val="0"/>
          <w:bCs w:val="0"/>
          <w:color w:val="2C3E50"/>
          <w:sz w:val="24"/>
          <w:szCs w:val="24"/>
        </w:rPr>
        <w:t>Nota: la publicación citada no ofrece datos de IPC anteriores al año 1956.</w:t>
      </w:r>
    </w:p>
    <w:tbl>
      <w:tblPr>
        <w:tblW w:w="9570" w:type="dxa"/>
        <w:tblCellSpacing w:w="0" w:type="dxa"/>
        <w:tblBorders>
          <w:top w:val="single" w:sz="6" w:space="0" w:color="CCCCCC"/>
          <w:left w:val="single" w:sz="6" w:space="0" w:color="CCCCCC"/>
          <w:bottom w:val="single" w:sz="6" w:space="0" w:color="CCCCCC"/>
          <w:right w:val="single" w:sz="6" w:space="0" w:color="CCCCCC"/>
        </w:tblBorders>
        <w:shd w:val="clear" w:color="auto" w:fill="FFFFFF"/>
        <w:tblCellMar>
          <w:top w:w="30" w:type="dxa"/>
          <w:left w:w="30" w:type="dxa"/>
          <w:bottom w:w="30" w:type="dxa"/>
          <w:right w:w="30" w:type="dxa"/>
        </w:tblCellMar>
        <w:tblLook w:val="04A0" w:firstRow="1" w:lastRow="0" w:firstColumn="1" w:lastColumn="0" w:noHBand="0" w:noVBand="1"/>
      </w:tblPr>
      <w:tblGrid>
        <w:gridCol w:w="2760"/>
        <w:gridCol w:w="1830"/>
        <w:gridCol w:w="345"/>
        <w:gridCol w:w="2790"/>
        <w:gridCol w:w="1845"/>
      </w:tblGrid>
      <w:tr w:rsidR="00683041" w:rsidTr="006B60DC">
        <w:trPr>
          <w:trHeight w:val="330"/>
          <w:tblCellSpacing w:w="0" w:type="dxa"/>
        </w:trPr>
        <w:tc>
          <w:tcPr>
            <w:tcW w:w="2760" w:type="dxa"/>
            <w:tcBorders>
              <w:top w:val="nil"/>
              <w:left w:val="nil"/>
              <w:bottom w:val="nil"/>
              <w:right w:val="nil"/>
            </w:tcBorders>
            <w:shd w:val="clear" w:color="auto" w:fill="414141"/>
            <w:vAlign w:val="center"/>
            <w:hideMark/>
          </w:tcPr>
          <w:p w:rsidR="00683041" w:rsidRDefault="00683041" w:rsidP="006B60DC">
            <w:pPr>
              <w:spacing w:after="15"/>
              <w:rPr>
                <w:rFonts w:ascii="Arial" w:hAnsi="Arial" w:cs="Arial"/>
                <w:b/>
                <w:bCs/>
                <w:color w:val="FFFFFF"/>
                <w:sz w:val="16"/>
                <w:szCs w:val="16"/>
              </w:rPr>
            </w:pPr>
            <w:r>
              <w:rPr>
                <w:rFonts w:ascii="Arial" w:hAnsi="Arial" w:cs="Arial"/>
                <w:b/>
                <w:bCs/>
                <w:color w:val="FFFFFF"/>
                <w:sz w:val="16"/>
                <w:szCs w:val="16"/>
              </w:rPr>
              <w:t> inflación anual (dic resp. dic)</w:t>
            </w:r>
          </w:p>
        </w:tc>
        <w:tc>
          <w:tcPr>
            <w:tcW w:w="1830" w:type="dxa"/>
            <w:tcBorders>
              <w:top w:val="nil"/>
              <w:left w:val="nil"/>
              <w:bottom w:val="nil"/>
              <w:right w:val="nil"/>
            </w:tcBorders>
            <w:shd w:val="clear" w:color="auto" w:fill="414141"/>
            <w:vAlign w:val="center"/>
            <w:hideMark/>
          </w:tcPr>
          <w:p w:rsidR="00683041" w:rsidRDefault="00683041" w:rsidP="006B60DC">
            <w:pPr>
              <w:spacing w:after="15"/>
              <w:jc w:val="right"/>
              <w:rPr>
                <w:rFonts w:ascii="Arial" w:hAnsi="Arial" w:cs="Arial"/>
                <w:b/>
                <w:bCs/>
                <w:color w:val="FFFFFF"/>
                <w:sz w:val="16"/>
                <w:szCs w:val="16"/>
              </w:rPr>
            </w:pPr>
            <w:r>
              <w:rPr>
                <w:rFonts w:ascii="Arial" w:hAnsi="Arial" w:cs="Arial"/>
                <w:b/>
                <w:bCs/>
                <w:color w:val="FFFFFF"/>
                <w:sz w:val="16"/>
                <w:szCs w:val="16"/>
              </w:rPr>
              <w:t>inflación</w:t>
            </w:r>
          </w:p>
        </w:tc>
        <w:tc>
          <w:tcPr>
            <w:tcW w:w="0" w:type="auto"/>
            <w:tcBorders>
              <w:top w:val="nil"/>
              <w:left w:val="nil"/>
              <w:bottom w:val="nil"/>
              <w:right w:val="nil"/>
            </w:tcBorders>
            <w:shd w:val="clear" w:color="auto" w:fill="414141"/>
            <w:vAlign w:val="center"/>
            <w:hideMark/>
          </w:tcPr>
          <w:p w:rsidR="00683041" w:rsidRDefault="00683041" w:rsidP="006B60DC">
            <w:pPr>
              <w:spacing w:after="15"/>
              <w:rPr>
                <w:rFonts w:ascii="Arial" w:hAnsi="Arial" w:cs="Arial"/>
                <w:b/>
                <w:bCs/>
                <w:color w:val="FFFFFF"/>
                <w:sz w:val="16"/>
                <w:szCs w:val="16"/>
              </w:rPr>
            </w:pPr>
            <w:r>
              <w:rPr>
                <w:rFonts w:ascii="Arial" w:hAnsi="Arial" w:cs="Arial"/>
                <w:b/>
                <w:bCs/>
                <w:color w:val="FFFFFF"/>
                <w:sz w:val="16"/>
                <w:szCs w:val="16"/>
              </w:rPr>
              <w:t> </w:t>
            </w:r>
          </w:p>
        </w:tc>
        <w:tc>
          <w:tcPr>
            <w:tcW w:w="2790" w:type="dxa"/>
            <w:tcBorders>
              <w:top w:val="nil"/>
              <w:left w:val="nil"/>
              <w:bottom w:val="nil"/>
              <w:right w:val="nil"/>
            </w:tcBorders>
            <w:shd w:val="clear" w:color="auto" w:fill="414141"/>
            <w:vAlign w:val="center"/>
            <w:hideMark/>
          </w:tcPr>
          <w:p w:rsidR="00683041" w:rsidRDefault="00683041" w:rsidP="006B60DC">
            <w:pPr>
              <w:spacing w:after="15"/>
              <w:rPr>
                <w:rFonts w:ascii="Arial" w:hAnsi="Arial" w:cs="Arial"/>
                <w:b/>
                <w:bCs/>
                <w:color w:val="FFFFFF"/>
                <w:sz w:val="16"/>
                <w:szCs w:val="16"/>
              </w:rPr>
            </w:pPr>
            <w:r>
              <w:rPr>
                <w:rFonts w:ascii="Arial" w:hAnsi="Arial" w:cs="Arial"/>
                <w:b/>
                <w:bCs/>
                <w:color w:val="FFFFFF"/>
                <w:sz w:val="16"/>
                <w:szCs w:val="16"/>
              </w:rPr>
              <w:t>inflación anual (dic resp. dic)</w:t>
            </w:r>
          </w:p>
        </w:tc>
        <w:tc>
          <w:tcPr>
            <w:tcW w:w="1845" w:type="dxa"/>
            <w:tcBorders>
              <w:top w:val="nil"/>
              <w:left w:val="nil"/>
              <w:bottom w:val="nil"/>
              <w:right w:val="nil"/>
            </w:tcBorders>
            <w:shd w:val="clear" w:color="auto" w:fill="414141"/>
            <w:vAlign w:val="center"/>
            <w:hideMark/>
          </w:tcPr>
          <w:p w:rsidR="00683041" w:rsidRDefault="00683041" w:rsidP="006B60DC">
            <w:pPr>
              <w:spacing w:after="15"/>
              <w:jc w:val="right"/>
              <w:rPr>
                <w:rFonts w:ascii="Arial" w:hAnsi="Arial" w:cs="Arial"/>
                <w:b/>
                <w:bCs/>
                <w:color w:val="FFFFFF"/>
                <w:sz w:val="16"/>
                <w:szCs w:val="16"/>
              </w:rPr>
            </w:pPr>
            <w:r>
              <w:rPr>
                <w:rFonts w:ascii="Arial" w:hAnsi="Arial" w:cs="Arial"/>
                <w:b/>
                <w:bCs/>
                <w:color w:val="FFFFFF"/>
                <w:sz w:val="16"/>
                <w:szCs w:val="16"/>
              </w:rPr>
              <w:t>inflazione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54" w:tooltip="Inflación IPC Estados Unidos 2017" w:history="1">
              <w:r>
                <w:rPr>
                  <w:rStyle w:val="Hipervnculo"/>
                  <w:rFonts w:ascii="Arial" w:hAnsi="Arial" w:cs="Arial"/>
                  <w:color w:val="414141"/>
                  <w:sz w:val="16"/>
                  <w:szCs w:val="16"/>
                </w:rPr>
                <w:t>IPC Estados Unidos 2017</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2,11 %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55" w:tooltip="Inflación IPC Estados Unidos 1986" w:history="1">
              <w:r w:rsidR="00683041">
                <w:rPr>
                  <w:rStyle w:val="Hipervnculo"/>
                  <w:rFonts w:ascii="Arial" w:hAnsi="Arial" w:cs="Arial"/>
                  <w:color w:val="414141"/>
                  <w:sz w:val="16"/>
                  <w:szCs w:val="16"/>
                </w:rPr>
                <w:t>IPC Estados Unidos 1986</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1,10 %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56" w:tooltip="Inflación IPC Estados Unidos 2016" w:history="1">
              <w:r>
                <w:rPr>
                  <w:rStyle w:val="Hipervnculo"/>
                  <w:rFonts w:ascii="Arial" w:hAnsi="Arial" w:cs="Arial"/>
                  <w:color w:val="414141"/>
                  <w:sz w:val="16"/>
                  <w:szCs w:val="16"/>
                </w:rPr>
                <w:t>IPC Estados Unidos 2016</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2,07 %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57" w:tooltip="Inflación IPC Estados Unidos 1985" w:history="1">
              <w:r w:rsidR="00683041">
                <w:rPr>
                  <w:rStyle w:val="Hipervnculo"/>
                  <w:rFonts w:ascii="Arial" w:hAnsi="Arial" w:cs="Arial"/>
                  <w:color w:val="414141"/>
                  <w:sz w:val="16"/>
                  <w:szCs w:val="16"/>
                </w:rPr>
                <w:t>IPC Estados Unidos 1985</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3,80 %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58" w:tooltip="Inflación IPC Estados Unidos 2015" w:history="1">
              <w:r>
                <w:rPr>
                  <w:rStyle w:val="Hipervnculo"/>
                  <w:rFonts w:ascii="Arial" w:hAnsi="Arial" w:cs="Arial"/>
                  <w:color w:val="414141"/>
                  <w:sz w:val="16"/>
                  <w:szCs w:val="16"/>
                </w:rPr>
                <w:t>IPC Estados Unidos 2015</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0,73 %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59" w:tooltip="Inflación IPC Estados Unidos 1984" w:history="1">
              <w:r w:rsidR="00683041">
                <w:rPr>
                  <w:rStyle w:val="Hipervnculo"/>
                  <w:rFonts w:ascii="Arial" w:hAnsi="Arial" w:cs="Arial"/>
                  <w:color w:val="414141"/>
                  <w:sz w:val="16"/>
                  <w:szCs w:val="16"/>
                </w:rPr>
                <w:t>IPC Estados Unidos 1984</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3,95 %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60" w:tooltip="Inflación IPC Estados Unidos 2014" w:history="1">
              <w:r>
                <w:rPr>
                  <w:rStyle w:val="Hipervnculo"/>
                  <w:rFonts w:ascii="Arial" w:hAnsi="Arial" w:cs="Arial"/>
                  <w:color w:val="414141"/>
                  <w:sz w:val="16"/>
                  <w:szCs w:val="16"/>
                </w:rPr>
                <w:t>IPC Estados Unidos 2014</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0,76 %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61" w:tooltip="Inflación IPC Estados Unidos 1983" w:history="1">
              <w:r w:rsidR="00683041">
                <w:rPr>
                  <w:rStyle w:val="Hipervnculo"/>
                  <w:rFonts w:ascii="Arial" w:hAnsi="Arial" w:cs="Arial"/>
                  <w:color w:val="414141"/>
                  <w:sz w:val="16"/>
                  <w:szCs w:val="16"/>
                </w:rPr>
                <w:t>IPC Estados Unidos 1983</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3,79 %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62" w:tooltip="Inflación IPC Estados Unidos 2013" w:history="1">
              <w:r>
                <w:rPr>
                  <w:rStyle w:val="Hipervnculo"/>
                  <w:rFonts w:ascii="Arial" w:hAnsi="Arial" w:cs="Arial"/>
                  <w:color w:val="414141"/>
                  <w:sz w:val="16"/>
                  <w:szCs w:val="16"/>
                </w:rPr>
                <w:t>IPC Estados Unidos 2013</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1,50 %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63" w:tooltip="Inflación IPC Estados Unidos 1982" w:history="1">
              <w:r w:rsidR="00683041">
                <w:rPr>
                  <w:rStyle w:val="Hipervnculo"/>
                  <w:rFonts w:ascii="Arial" w:hAnsi="Arial" w:cs="Arial"/>
                  <w:color w:val="414141"/>
                  <w:sz w:val="16"/>
                  <w:szCs w:val="16"/>
                </w:rPr>
                <w:t>IPC Estados Unidos 1982</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3,83 %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64" w:tooltip="Inflación IPC Estados Unidos 2012" w:history="1">
              <w:r>
                <w:rPr>
                  <w:rStyle w:val="Hipervnculo"/>
                  <w:rFonts w:ascii="Arial" w:hAnsi="Arial" w:cs="Arial"/>
                  <w:color w:val="414141"/>
                  <w:sz w:val="16"/>
                  <w:szCs w:val="16"/>
                </w:rPr>
                <w:t>IPC Estados Unidos 2012</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1,74 %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65" w:tooltip="Inflación IPC Estados Unidos 1981" w:history="1">
              <w:r w:rsidR="00683041">
                <w:rPr>
                  <w:rStyle w:val="Hipervnculo"/>
                  <w:rFonts w:ascii="Arial" w:hAnsi="Arial" w:cs="Arial"/>
                  <w:color w:val="414141"/>
                  <w:sz w:val="16"/>
                  <w:szCs w:val="16"/>
                </w:rPr>
                <w:t>IPC Estados Unidos 1981</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8,92 %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66" w:tooltip="Inflación IPC Estados Unidos 2011" w:history="1">
              <w:r>
                <w:rPr>
                  <w:rStyle w:val="Hipervnculo"/>
                  <w:rFonts w:ascii="Arial" w:hAnsi="Arial" w:cs="Arial"/>
                  <w:color w:val="414141"/>
                  <w:sz w:val="16"/>
                  <w:szCs w:val="16"/>
                </w:rPr>
                <w:t>IPC Estados Unidos 2011</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2,96 %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67" w:tooltip="Inflación IPC Estados Unidos 1980" w:history="1">
              <w:r w:rsidR="00683041">
                <w:rPr>
                  <w:rStyle w:val="Hipervnculo"/>
                  <w:rFonts w:ascii="Arial" w:hAnsi="Arial" w:cs="Arial"/>
                  <w:color w:val="414141"/>
                  <w:sz w:val="16"/>
                  <w:szCs w:val="16"/>
                </w:rPr>
                <w:t>IPC Estados Unidos 1980</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12,52 %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68" w:tooltip="Inflación IPC Estados Unidos 2010" w:history="1">
              <w:r>
                <w:rPr>
                  <w:rStyle w:val="Hipervnculo"/>
                  <w:rFonts w:ascii="Arial" w:hAnsi="Arial" w:cs="Arial"/>
                  <w:color w:val="414141"/>
                  <w:sz w:val="16"/>
                  <w:szCs w:val="16"/>
                </w:rPr>
                <w:t>IPC Estados Unidos 2010</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1,50 %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69" w:tooltip="Inflación IPC Estados Unidos 1979" w:history="1">
              <w:r w:rsidR="00683041">
                <w:rPr>
                  <w:rStyle w:val="Hipervnculo"/>
                  <w:rFonts w:ascii="Arial" w:hAnsi="Arial" w:cs="Arial"/>
                  <w:color w:val="414141"/>
                  <w:sz w:val="16"/>
                  <w:szCs w:val="16"/>
                </w:rPr>
                <w:t>IPC Estados Unidos 1979</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13,29 %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70" w:tooltip="Inflación IPC Estados Unidos 2009" w:history="1">
              <w:r>
                <w:rPr>
                  <w:rStyle w:val="Hipervnculo"/>
                  <w:rFonts w:ascii="Arial" w:hAnsi="Arial" w:cs="Arial"/>
                  <w:color w:val="414141"/>
                  <w:sz w:val="16"/>
                  <w:szCs w:val="16"/>
                </w:rPr>
                <w:t>IPC Estados Unidos 2009</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2,72 %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71" w:tooltip="Inflación IPC Estados Unidos 1978" w:history="1">
              <w:r w:rsidR="00683041">
                <w:rPr>
                  <w:rStyle w:val="Hipervnculo"/>
                  <w:rFonts w:ascii="Arial" w:hAnsi="Arial" w:cs="Arial"/>
                  <w:color w:val="414141"/>
                  <w:sz w:val="16"/>
                  <w:szCs w:val="16"/>
                </w:rPr>
                <w:t>IPC Estados Unidos 1978</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9,02 %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72" w:tooltip="Inflación IPC Estados Unidos 2008" w:history="1">
              <w:r>
                <w:rPr>
                  <w:rStyle w:val="Hipervnculo"/>
                  <w:rFonts w:ascii="Arial" w:hAnsi="Arial" w:cs="Arial"/>
                  <w:color w:val="414141"/>
                  <w:sz w:val="16"/>
                  <w:szCs w:val="16"/>
                </w:rPr>
                <w:t>IPC Estados Unidos 2008</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0,09 %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73" w:tooltip="Inflación IPC Estados Unidos 1977" w:history="1">
              <w:r w:rsidR="00683041">
                <w:rPr>
                  <w:rStyle w:val="Hipervnculo"/>
                  <w:rFonts w:ascii="Arial" w:hAnsi="Arial" w:cs="Arial"/>
                  <w:color w:val="414141"/>
                  <w:sz w:val="16"/>
                  <w:szCs w:val="16"/>
                </w:rPr>
                <w:t>IPC Estados Unidos 1977</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6,70 %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74" w:tooltip="Inflación IPC Estados Unidos 2007" w:history="1">
              <w:r>
                <w:rPr>
                  <w:rStyle w:val="Hipervnculo"/>
                  <w:rFonts w:ascii="Arial" w:hAnsi="Arial" w:cs="Arial"/>
                  <w:color w:val="414141"/>
                  <w:sz w:val="16"/>
                  <w:szCs w:val="16"/>
                </w:rPr>
                <w:t>IPC Estados Unidos 2007</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4,08 %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75" w:tooltip="Inflación IPC Estados Unidos 1976" w:history="1">
              <w:r w:rsidR="00683041">
                <w:rPr>
                  <w:rStyle w:val="Hipervnculo"/>
                  <w:rFonts w:ascii="Arial" w:hAnsi="Arial" w:cs="Arial"/>
                  <w:color w:val="414141"/>
                  <w:sz w:val="16"/>
                  <w:szCs w:val="16"/>
                </w:rPr>
                <w:t>IPC Estados Unidos 1976</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4,86 %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76" w:tooltip="Inflación IPC Estados Unidos 2006" w:history="1">
              <w:r>
                <w:rPr>
                  <w:rStyle w:val="Hipervnculo"/>
                  <w:rFonts w:ascii="Arial" w:hAnsi="Arial" w:cs="Arial"/>
                  <w:color w:val="414141"/>
                  <w:sz w:val="16"/>
                  <w:szCs w:val="16"/>
                </w:rPr>
                <w:t>IPC Estados Unidos 2006</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2,54 %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77" w:tooltip="Inflación IPC Estados Unidos 1975" w:history="1">
              <w:r w:rsidR="00683041">
                <w:rPr>
                  <w:rStyle w:val="Hipervnculo"/>
                  <w:rFonts w:ascii="Arial" w:hAnsi="Arial" w:cs="Arial"/>
                  <w:color w:val="414141"/>
                  <w:sz w:val="16"/>
                  <w:szCs w:val="16"/>
                </w:rPr>
                <w:t>IPC Estados Unidos 1975</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6,94 %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78" w:tooltip="Inflación IPC Estados Unidos 2005" w:history="1">
              <w:r>
                <w:rPr>
                  <w:rStyle w:val="Hipervnculo"/>
                  <w:rFonts w:ascii="Arial" w:hAnsi="Arial" w:cs="Arial"/>
                  <w:color w:val="414141"/>
                  <w:sz w:val="16"/>
                  <w:szCs w:val="16"/>
                </w:rPr>
                <w:t>IPC Estados Unidos 2005</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3,42 %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79" w:tooltip="Inflación IPC Estados Unidos 1974" w:history="1">
              <w:r w:rsidR="00683041">
                <w:rPr>
                  <w:rStyle w:val="Hipervnculo"/>
                  <w:rFonts w:ascii="Arial" w:hAnsi="Arial" w:cs="Arial"/>
                  <w:color w:val="414141"/>
                  <w:sz w:val="16"/>
                  <w:szCs w:val="16"/>
                </w:rPr>
                <w:t>IPC Estados Unidos 1974</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12,34 %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80" w:tooltip="Inflación IPC Estados Unidos 2004" w:history="1">
              <w:r>
                <w:rPr>
                  <w:rStyle w:val="Hipervnculo"/>
                  <w:rFonts w:ascii="Arial" w:hAnsi="Arial" w:cs="Arial"/>
                  <w:color w:val="414141"/>
                  <w:sz w:val="16"/>
                  <w:szCs w:val="16"/>
                </w:rPr>
                <w:t>IPC Estados Unidos 2004</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3,26 %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81" w:tooltip="Inflación IPC Estados Unidos 1973" w:history="1">
              <w:r w:rsidR="00683041">
                <w:rPr>
                  <w:rStyle w:val="Hipervnculo"/>
                  <w:rFonts w:ascii="Arial" w:hAnsi="Arial" w:cs="Arial"/>
                  <w:color w:val="414141"/>
                  <w:sz w:val="16"/>
                  <w:szCs w:val="16"/>
                </w:rPr>
                <w:t>IPC Estados Unidos 1973</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8,71 %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82" w:tooltip="Inflación IPC Estados Unidos 2003" w:history="1">
              <w:r>
                <w:rPr>
                  <w:rStyle w:val="Hipervnculo"/>
                  <w:rFonts w:ascii="Arial" w:hAnsi="Arial" w:cs="Arial"/>
                  <w:color w:val="414141"/>
                  <w:sz w:val="16"/>
                  <w:szCs w:val="16"/>
                </w:rPr>
                <w:t>IPC Estados Unidos 2003</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1,88 %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83" w:tooltip="Inflación IPC Estados Unidos 1972" w:history="1">
              <w:r w:rsidR="00683041">
                <w:rPr>
                  <w:rStyle w:val="Hipervnculo"/>
                  <w:rFonts w:ascii="Arial" w:hAnsi="Arial" w:cs="Arial"/>
                  <w:color w:val="414141"/>
                  <w:sz w:val="16"/>
                  <w:szCs w:val="16"/>
                </w:rPr>
                <w:t>IPC Estados Unidos 1972</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3,41 %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84" w:tooltip="Inflación IPC Estados Unidos 2002" w:history="1">
              <w:r>
                <w:rPr>
                  <w:rStyle w:val="Hipervnculo"/>
                  <w:rFonts w:ascii="Arial" w:hAnsi="Arial" w:cs="Arial"/>
                  <w:color w:val="414141"/>
                  <w:sz w:val="16"/>
                  <w:szCs w:val="16"/>
                </w:rPr>
                <w:t>IPC Estados Unidos 2002</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2,38 %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85" w:tooltip="Inflación IPC Estados Unidos 1971" w:history="1">
              <w:r w:rsidR="00683041">
                <w:rPr>
                  <w:rStyle w:val="Hipervnculo"/>
                  <w:rFonts w:ascii="Arial" w:hAnsi="Arial" w:cs="Arial"/>
                  <w:color w:val="414141"/>
                  <w:sz w:val="16"/>
                  <w:szCs w:val="16"/>
                </w:rPr>
                <w:t>IPC Estados Unidos 1971</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3,27 %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86" w:tooltip="Inflación IPC Estados Unidos 2001" w:history="1">
              <w:r>
                <w:rPr>
                  <w:rStyle w:val="Hipervnculo"/>
                  <w:rFonts w:ascii="Arial" w:hAnsi="Arial" w:cs="Arial"/>
                  <w:color w:val="414141"/>
                  <w:sz w:val="16"/>
                  <w:szCs w:val="16"/>
                </w:rPr>
                <w:t>IPC Estados Unidos 2001</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1,55 %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87" w:tooltip="Inflación IPC Estados Unidos 1970" w:history="1">
              <w:r w:rsidR="00683041">
                <w:rPr>
                  <w:rStyle w:val="Hipervnculo"/>
                  <w:rFonts w:ascii="Arial" w:hAnsi="Arial" w:cs="Arial"/>
                  <w:color w:val="414141"/>
                  <w:sz w:val="16"/>
                  <w:szCs w:val="16"/>
                </w:rPr>
                <w:t>IPC Estados Unidos 1970</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5,57 %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88" w:tooltip="Inflación IPC Estados Unidos 2000" w:history="1">
              <w:r>
                <w:rPr>
                  <w:rStyle w:val="Hipervnculo"/>
                  <w:rFonts w:ascii="Arial" w:hAnsi="Arial" w:cs="Arial"/>
                  <w:color w:val="414141"/>
                  <w:sz w:val="16"/>
                  <w:szCs w:val="16"/>
                </w:rPr>
                <w:t>IPC Estados Unidos 2000</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3,39 %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89" w:tooltip="Inflación IPC Estados Unidos 1969" w:history="1">
              <w:r w:rsidR="00683041">
                <w:rPr>
                  <w:rStyle w:val="Hipervnculo"/>
                  <w:rFonts w:ascii="Arial" w:hAnsi="Arial" w:cs="Arial"/>
                  <w:color w:val="414141"/>
                  <w:sz w:val="16"/>
                  <w:szCs w:val="16"/>
                </w:rPr>
                <w:t>IPC Estados Unidos 1969</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6,20 %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90" w:tooltip="Inflación IPC Estados Unidos 1999" w:history="1">
              <w:r>
                <w:rPr>
                  <w:rStyle w:val="Hipervnculo"/>
                  <w:rFonts w:ascii="Arial" w:hAnsi="Arial" w:cs="Arial"/>
                  <w:color w:val="414141"/>
                  <w:sz w:val="16"/>
                  <w:szCs w:val="16"/>
                </w:rPr>
                <w:t>IPC Estados Unidos 1999</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2,68 %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91" w:tooltip="Inflación IPC Estados Unidos 1968" w:history="1">
              <w:r w:rsidR="00683041">
                <w:rPr>
                  <w:rStyle w:val="Hipervnculo"/>
                  <w:rFonts w:ascii="Arial" w:hAnsi="Arial" w:cs="Arial"/>
                  <w:color w:val="414141"/>
                  <w:sz w:val="16"/>
                  <w:szCs w:val="16"/>
                </w:rPr>
                <w:t>IPC Estados Unidos 1968</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4,72 %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92" w:tooltip="Inflación IPC Estados Unidos 1998" w:history="1">
              <w:r>
                <w:rPr>
                  <w:rStyle w:val="Hipervnculo"/>
                  <w:rFonts w:ascii="Arial" w:hAnsi="Arial" w:cs="Arial"/>
                  <w:color w:val="414141"/>
                  <w:sz w:val="16"/>
                  <w:szCs w:val="16"/>
                </w:rPr>
                <w:t>IPC Estados Unidos 1998</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1,61 %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93" w:tooltip="Inflación IPC Estados Unidos 1967" w:history="1">
              <w:r w:rsidR="00683041">
                <w:rPr>
                  <w:rStyle w:val="Hipervnculo"/>
                  <w:rFonts w:ascii="Arial" w:hAnsi="Arial" w:cs="Arial"/>
                  <w:color w:val="414141"/>
                  <w:sz w:val="16"/>
                  <w:szCs w:val="16"/>
                </w:rPr>
                <w:t>IPC Estados Unidos 1967</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3,04 %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94" w:tooltip="Inflación IPC Estados Unidos 1997" w:history="1">
              <w:r>
                <w:rPr>
                  <w:rStyle w:val="Hipervnculo"/>
                  <w:rFonts w:ascii="Arial" w:hAnsi="Arial" w:cs="Arial"/>
                  <w:color w:val="414141"/>
                  <w:sz w:val="16"/>
                  <w:szCs w:val="16"/>
                </w:rPr>
                <w:t>IPC Estados Unidos 1997</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1,70 %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95" w:tooltip="Inflación IPC Estados Unidos 1966" w:history="1">
              <w:r w:rsidR="00683041">
                <w:rPr>
                  <w:rStyle w:val="Hipervnculo"/>
                  <w:rFonts w:ascii="Arial" w:hAnsi="Arial" w:cs="Arial"/>
                  <w:color w:val="414141"/>
                  <w:sz w:val="16"/>
                  <w:szCs w:val="16"/>
                </w:rPr>
                <w:t>IPC Estados Unidos 1966</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3,46 %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96" w:tooltip="Inflación IPC Estados Unidos 1996" w:history="1">
              <w:r>
                <w:rPr>
                  <w:rStyle w:val="Hipervnculo"/>
                  <w:rFonts w:ascii="Arial" w:hAnsi="Arial" w:cs="Arial"/>
                  <w:color w:val="414141"/>
                  <w:sz w:val="16"/>
                  <w:szCs w:val="16"/>
                </w:rPr>
                <w:t>IPC Estados Unidos 1996</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3,32 %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97" w:tooltip="Inflación IPC Estados Unidos 1965" w:history="1">
              <w:r w:rsidR="00683041">
                <w:rPr>
                  <w:rStyle w:val="Hipervnculo"/>
                  <w:rFonts w:ascii="Arial" w:hAnsi="Arial" w:cs="Arial"/>
                  <w:color w:val="414141"/>
                  <w:sz w:val="16"/>
                  <w:szCs w:val="16"/>
                </w:rPr>
                <w:t>IPC Estados Unidos 1965</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1,92 %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98" w:tooltip="Inflación IPC Estados Unidos 1995" w:history="1">
              <w:r>
                <w:rPr>
                  <w:rStyle w:val="Hipervnculo"/>
                  <w:rFonts w:ascii="Arial" w:hAnsi="Arial" w:cs="Arial"/>
                  <w:color w:val="414141"/>
                  <w:sz w:val="16"/>
                  <w:szCs w:val="16"/>
                </w:rPr>
                <w:t>IPC Estados Unidos 1995</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2,54 %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99" w:tooltip="Inflación IPC Estados Unidos 1964" w:history="1">
              <w:r w:rsidR="00683041">
                <w:rPr>
                  <w:rStyle w:val="Hipervnculo"/>
                  <w:rFonts w:ascii="Arial" w:hAnsi="Arial" w:cs="Arial"/>
                  <w:color w:val="414141"/>
                  <w:sz w:val="16"/>
                  <w:szCs w:val="16"/>
                </w:rPr>
                <w:t>IPC Estados Unidos 1964</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0,97 %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100" w:tooltip="Inflación IPC Estados Unidos 1994" w:history="1">
              <w:r>
                <w:rPr>
                  <w:rStyle w:val="Hipervnculo"/>
                  <w:rFonts w:ascii="Arial" w:hAnsi="Arial" w:cs="Arial"/>
                  <w:color w:val="414141"/>
                  <w:sz w:val="16"/>
                  <w:szCs w:val="16"/>
                </w:rPr>
                <w:t>IPC Estados Unidos 1994</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2,67 %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101" w:tooltip="Inflación IPC Estados Unidos 1963" w:history="1">
              <w:r w:rsidR="00683041">
                <w:rPr>
                  <w:rStyle w:val="Hipervnculo"/>
                  <w:rFonts w:ascii="Arial" w:hAnsi="Arial" w:cs="Arial"/>
                  <w:color w:val="414141"/>
                  <w:sz w:val="16"/>
                  <w:szCs w:val="16"/>
                </w:rPr>
                <w:t>IPC Estados Unidos 1963</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1,64 %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102" w:tooltip="Inflación IPC Estados Unidos 1993" w:history="1">
              <w:r>
                <w:rPr>
                  <w:rStyle w:val="Hipervnculo"/>
                  <w:rFonts w:ascii="Arial" w:hAnsi="Arial" w:cs="Arial"/>
                  <w:color w:val="414141"/>
                  <w:sz w:val="16"/>
                  <w:szCs w:val="16"/>
                </w:rPr>
                <w:t>IPC Estados Unidos 1993</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2,75 %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103" w:tooltip="Inflación IPC Estados Unidos 1962" w:history="1">
              <w:r w:rsidR="00683041">
                <w:rPr>
                  <w:rStyle w:val="Hipervnculo"/>
                  <w:rFonts w:ascii="Arial" w:hAnsi="Arial" w:cs="Arial"/>
                  <w:color w:val="414141"/>
                  <w:sz w:val="16"/>
                  <w:szCs w:val="16"/>
                </w:rPr>
                <w:t>IPC Estados Unidos 1962</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1,33 %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104" w:tooltip="Inflación IPC Estados Unidos 1992" w:history="1">
              <w:r>
                <w:rPr>
                  <w:rStyle w:val="Hipervnculo"/>
                  <w:rFonts w:ascii="Arial" w:hAnsi="Arial" w:cs="Arial"/>
                  <w:color w:val="414141"/>
                  <w:sz w:val="16"/>
                  <w:szCs w:val="16"/>
                </w:rPr>
                <w:t>IPC Estados Unidos 1992</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2,90 %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105" w:tooltip="Inflación IPC Estados Unidos 1961" w:history="1">
              <w:r w:rsidR="00683041">
                <w:rPr>
                  <w:rStyle w:val="Hipervnculo"/>
                  <w:rFonts w:ascii="Arial" w:hAnsi="Arial" w:cs="Arial"/>
                  <w:color w:val="414141"/>
                  <w:sz w:val="16"/>
                  <w:szCs w:val="16"/>
                </w:rPr>
                <w:t>IPC Estados Unidos 1961</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0,67 %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106" w:tooltip="Inflación IPC Estados Unidos 1991" w:history="1">
              <w:r>
                <w:rPr>
                  <w:rStyle w:val="Hipervnculo"/>
                  <w:rFonts w:ascii="Arial" w:hAnsi="Arial" w:cs="Arial"/>
                  <w:color w:val="414141"/>
                  <w:sz w:val="16"/>
                  <w:szCs w:val="16"/>
                </w:rPr>
                <w:t>IPC Estados Unidos 1991</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3,06 %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107" w:tooltip="Inflación IPC Estados Unidos 1960" w:history="1">
              <w:r w:rsidR="00683041">
                <w:rPr>
                  <w:rStyle w:val="Hipervnculo"/>
                  <w:rFonts w:ascii="Arial" w:hAnsi="Arial" w:cs="Arial"/>
                  <w:color w:val="414141"/>
                  <w:sz w:val="16"/>
                  <w:szCs w:val="16"/>
                </w:rPr>
                <w:t>IPC Estados Unidos 1960</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1,36 %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108" w:tooltip="Inflación IPC Estados Unidos 1990" w:history="1">
              <w:r>
                <w:rPr>
                  <w:rStyle w:val="Hipervnculo"/>
                  <w:rFonts w:ascii="Arial" w:hAnsi="Arial" w:cs="Arial"/>
                  <w:color w:val="414141"/>
                  <w:sz w:val="16"/>
                  <w:szCs w:val="16"/>
                </w:rPr>
                <w:t>IPC Estados Unidos 1990</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6,11 %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109" w:tooltip="Inflación IPC Estados Unidos 1959" w:history="1">
              <w:r w:rsidR="00683041">
                <w:rPr>
                  <w:rStyle w:val="Hipervnculo"/>
                  <w:rFonts w:ascii="Arial" w:hAnsi="Arial" w:cs="Arial"/>
                  <w:color w:val="414141"/>
                  <w:sz w:val="16"/>
                  <w:szCs w:val="16"/>
                </w:rPr>
                <w:t>IPC Estados Unidos 1959</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1,73 %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110" w:tooltip="Inflación IPC Estados Unidos 1989" w:history="1">
              <w:r>
                <w:rPr>
                  <w:rStyle w:val="Hipervnculo"/>
                  <w:rFonts w:ascii="Arial" w:hAnsi="Arial" w:cs="Arial"/>
                  <w:color w:val="414141"/>
                  <w:sz w:val="16"/>
                  <w:szCs w:val="16"/>
                </w:rPr>
                <w:t>IPC Estados Unidos 1989</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4,65 %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111" w:tooltip="Inflación IPC Estados Unidos 1958" w:history="1">
              <w:r w:rsidR="00683041">
                <w:rPr>
                  <w:rStyle w:val="Hipervnculo"/>
                  <w:rFonts w:ascii="Arial" w:hAnsi="Arial" w:cs="Arial"/>
                  <w:color w:val="414141"/>
                  <w:sz w:val="16"/>
                  <w:szCs w:val="16"/>
                </w:rPr>
                <w:t>IPC Estados Unidos 1958</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1,76 % </w:t>
            </w:r>
          </w:p>
        </w:tc>
      </w:tr>
      <w:tr w:rsidR="00683041" w:rsidTr="006B60DC">
        <w:trPr>
          <w:tblCellSpacing w:w="0" w:type="dxa"/>
        </w:trPr>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112" w:tooltip="Inflación IPC Estados Unidos 1988" w:history="1">
              <w:r>
                <w:rPr>
                  <w:rStyle w:val="Hipervnculo"/>
                  <w:rFonts w:ascii="Arial" w:hAnsi="Arial" w:cs="Arial"/>
                  <w:color w:val="414141"/>
                  <w:sz w:val="16"/>
                  <w:szCs w:val="16"/>
                </w:rPr>
                <w:t>IPC Estados Unidos 1988</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4,42 %</w:t>
            </w:r>
          </w:p>
        </w:tc>
        <w:tc>
          <w:tcPr>
            <w:tcW w:w="0" w:type="auto"/>
            <w:tcBorders>
              <w:top w:val="nil"/>
              <w:left w:val="nil"/>
              <w:bottom w:val="nil"/>
              <w:right w:val="nil"/>
            </w:tcBorders>
            <w:shd w:val="clear" w:color="auto" w:fill="EEEEEE"/>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83041" w:rsidRDefault="00116C35" w:rsidP="006B60DC">
            <w:pPr>
              <w:spacing w:after="15"/>
              <w:rPr>
                <w:rFonts w:ascii="Arial" w:hAnsi="Arial" w:cs="Arial"/>
                <w:color w:val="414141"/>
                <w:sz w:val="16"/>
                <w:szCs w:val="16"/>
              </w:rPr>
            </w:pPr>
            <w:hyperlink r:id="rId113" w:tooltip="Inflación IPC Estados Unidos 1957" w:history="1">
              <w:r w:rsidR="00683041">
                <w:rPr>
                  <w:rStyle w:val="Hipervnculo"/>
                  <w:rFonts w:ascii="Arial" w:hAnsi="Arial" w:cs="Arial"/>
                  <w:color w:val="414141"/>
                  <w:sz w:val="16"/>
                  <w:szCs w:val="16"/>
                </w:rPr>
                <w:t>IPC Estados Unidos 1957</w:t>
              </w:r>
            </w:hyperlink>
          </w:p>
        </w:tc>
        <w:tc>
          <w:tcPr>
            <w:tcW w:w="0" w:type="auto"/>
            <w:tcBorders>
              <w:top w:val="nil"/>
              <w:left w:val="nil"/>
              <w:bottom w:val="nil"/>
              <w:right w:val="nil"/>
            </w:tcBorders>
            <w:shd w:val="clear" w:color="auto" w:fill="EEEEEE"/>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2,90 % </w:t>
            </w:r>
          </w:p>
        </w:tc>
      </w:tr>
      <w:tr w:rsidR="00683041" w:rsidTr="006B60DC">
        <w:trPr>
          <w:tblCellSpacing w:w="0" w:type="dxa"/>
        </w:trPr>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hyperlink r:id="rId114" w:tooltip="Inflación IPC Estados Unidos 1987" w:history="1">
              <w:r>
                <w:rPr>
                  <w:rStyle w:val="Hipervnculo"/>
                  <w:rFonts w:ascii="Arial" w:hAnsi="Arial" w:cs="Arial"/>
                  <w:color w:val="414141"/>
                  <w:sz w:val="16"/>
                  <w:szCs w:val="16"/>
                </w:rPr>
                <w:t>IPC Estados Unidos 1987</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4,43 %</w:t>
            </w:r>
          </w:p>
        </w:tc>
        <w:tc>
          <w:tcPr>
            <w:tcW w:w="0" w:type="auto"/>
            <w:tcBorders>
              <w:top w:val="nil"/>
              <w:left w:val="nil"/>
              <w:bottom w:val="nil"/>
              <w:right w:val="nil"/>
            </w:tcBorders>
            <w:shd w:val="clear" w:color="auto" w:fill="FFFFFF"/>
            <w:vAlign w:val="center"/>
            <w:hideMark/>
          </w:tcPr>
          <w:p w:rsidR="00683041" w:rsidRDefault="00683041" w:rsidP="006B60DC">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83041" w:rsidRDefault="00116C35" w:rsidP="006B60DC">
            <w:pPr>
              <w:spacing w:after="15"/>
              <w:rPr>
                <w:rFonts w:ascii="Arial" w:hAnsi="Arial" w:cs="Arial"/>
                <w:color w:val="414141"/>
                <w:sz w:val="16"/>
                <w:szCs w:val="16"/>
              </w:rPr>
            </w:pPr>
            <w:hyperlink r:id="rId115" w:tooltip="Inflación IPC Estados Unidos 1956" w:history="1">
              <w:r w:rsidR="00683041">
                <w:rPr>
                  <w:rStyle w:val="Hipervnculo"/>
                  <w:rFonts w:ascii="Arial" w:hAnsi="Arial" w:cs="Arial"/>
                  <w:color w:val="414141"/>
                  <w:sz w:val="16"/>
                  <w:szCs w:val="16"/>
                </w:rPr>
                <w:t>IPC Estados Unidos 1956</w:t>
              </w:r>
            </w:hyperlink>
          </w:p>
        </w:tc>
        <w:tc>
          <w:tcPr>
            <w:tcW w:w="0" w:type="auto"/>
            <w:tcBorders>
              <w:top w:val="nil"/>
              <w:left w:val="nil"/>
              <w:bottom w:val="nil"/>
              <w:right w:val="nil"/>
            </w:tcBorders>
            <w:shd w:val="clear" w:color="auto" w:fill="FFFFFF"/>
            <w:vAlign w:val="center"/>
            <w:hideMark/>
          </w:tcPr>
          <w:p w:rsidR="00683041" w:rsidRDefault="00683041" w:rsidP="006B60DC">
            <w:pPr>
              <w:spacing w:after="15"/>
              <w:jc w:val="right"/>
              <w:rPr>
                <w:rFonts w:ascii="Arial" w:hAnsi="Arial" w:cs="Arial"/>
                <w:color w:val="414141"/>
                <w:sz w:val="16"/>
                <w:szCs w:val="16"/>
              </w:rPr>
            </w:pPr>
            <w:r>
              <w:rPr>
                <w:rFonts w:ascii="Arial" w:hAnsi="Arial" w:cs="Arial"/>
                <w:color w:val="414141"/>
                <w:sz w:val="16"/>
                <w:szCs w:val="16"/>
              </w:rPr>
              <w:t>2,98 % </w:t>
            </w:r>
          </w:p>
        </w:tc>
      </w:tr>
    </w:tbl>
    <w:p w:rsidR="00683041" w:rsidRDefault="00683041" w:rsidP="00683041">
      <w:pPr>
        <w:shd w:val="clear" w:color="auto" w:fill="FFFFFF"/>
        <w:rPr>
          <w:rFonts w:ascii="Helvetica" w:hAnsi="Helvetica"/>
          <w:color w:val="2C3E50"/>
          <w:sz w:val="23"/>
          <w:szCs w:val="23"/>
        </w:rPr>
      </w:pPr>
      <w:r>
        <w:rPr>
          <w:rFonts w:ascii="Helvetica" w:hAnsi="Helvetica"/>
          <w:noProof/>
          <w:color w:val="2C3E50"/>
          <w:sz w:val="23"/>
          <w:szCs w:val="23"/>
          <w:lang w:eastAsia="es-ES"/>
        </w:rPr>
        <w:lastRenderedPageBreak/>
        <w:drawing>
          <wp:inline distT="0" distB="0" distL="0" distR="0" wp14:anchorId="3AB12BA6" wp14:editId="39E45493">
            <wp:extent cx="5556250" cy="2990850"/>
            <wp:effectExtent l="0" t="0" r="6350" b="0"/>
            <wp:docPr id="85" name="Imagen 85" descr="All Time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6" descr="All Time Inflation Rate by Year, United States"/>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56250" cy="2990850"/>
                    </a:xfrm>
                    <a:prstGeom prst="rect">
                      <a:avLst/>
                    </a:prstGeom>
                    <a:noFill/>
                    <a:ln>
                      <a:noFill/>
                    </a:ln>
                  </pic:spPr>
                </pic:pic>
              </a:graphicData>
            </a:graphic>
          </wp:inline>
        </w:drawing>
      </w:r>
    </w:p>
    <w:p w:rsidR="00683041" w:rsidRDefault="00683041" w:rsidP="00683041">
      <w:pPr>
        <w:pStyle w:val="Ttulo2"/>
        <w:shd w:val="clear" w:color="auto" w:fill="FFFFFF"/>
        <w:spacing w:before="315" w:after="158"/>
        <w:rPr>
          <w:b w:val="0"/>
          <w:bCs w:val="0"/>
          <w:color w:val="2C3E50"/>
          <w:sz w:val="24"/>
          <w:szCs w:val="24"/>
        </w:rPr>
      </w:pPr>
      <w:r>
        <w:rPr>
          <w:b w:val="0"/>
          <w:bCs w:val="0"/>
          <w:color w:val="2C3E50"/>
          <w:sz w:val="24"/>
          <w:szCs w:val="24"/>
        </w:rPr>
        <w:t>Nota: el gráfico muestra la evolución de la inflación desde 1912 a 2018 (6 meses)</w:t>
      </w:r>
    </w:p>
    <w:p w:rsidR="00683041" w:rsidRPr="006B2F6E" w:rsidRDefault="00683041" w:rsidP="00683041">
      <w:pPr>
        <w:rPr>
          <w:lang w:eastAsia="es-ES"/>
        </w:rPr>
      </w:pPr>
    </w:p>
    <w:p w:rsidR="00683041" w:rsidRDefault="00683041" w:rsidP="00683041">
      <w:pPr>
        <w:pStyle w:val="Ttulo2"/>
        <w:shd w:val="clear" w:color="auto" w:fill="FFFFFF"/>
        <w:spacing w:before="315" w:after="158"/>
        <w:rPr>
          <w:bCs w:val="0"/>
          <w:color w:val="2C3E50"/>
          <w:sz w:val="24"/>
          <w:szCs w:val="24"/>
          <w:lang w:val="en-US"/>
        </w:rPr>
      </w:pPr>
      <w:r>
        <w:rPr>
          <w:bCs w:val="0"/>
          <w:color w:val="2C3E50"/>
          <w:sz w:val="24"/>
          <w:szCs w:val="24"/>
          <w:lang w:val="en-US"/>
        </w:rPr>
        <w:t>Last 10 Years Inflation Rate by Year</w:t>
      </w:r>
    </w:p>
    <w:p w:rsidR="00683041" w:rsidRDefault="00683041" w:rsidP="00683041">
      <w:pPr>
        <w:shd w:val="clear" w:color="auto" w:fill="FFFFFF"/>
        <w:rPr>
          <w:rFonts w:ascii="Helvetica" w:hAnsi="Helvetica"/>
          <w:color w:val="2C3E50"/>
          <w:sz w:val="23"/>
          <w:szCs w:val="23"/>
        </w:rPr>
      </w:pPr>
      <w:r>
        <w:rPr>
          <w:rFonts w:ascii="Helvetica" w:hAnsi="Helvetica"/>
          <w:noProof/>
          <w:color w:val="2C3E50"/>
          <w:sz w:val="23"/>
          <w:szCs w:val="23"/>
          <w:lang w:eastAsia="es-ES"/>
        </w:rPr>
        <w:drawing>
          <wp:inline distT="0" distB="0" distL="0" distR="0" wp14:anchorId="078D5A02" wp14:editId="54C2A098">
            <wp:extent cx="5651500" cy="2832100"/>
            <wp:effectExtent l="0" t="0" r="6350" b="6350"/>
            <wp:docPr id="132" name="Imagen 132" descr="Last 10 Years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7" descr="Last 10 Years Inflation Rate by Year, United States"/>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51500" cy="2832100"/>
                    </a:xfrm>
                    <a:prstGeom prst="rect">
                      <a:avLst/>
                    </a:prstGeom>
                    <a:noFill/>
                    <a:ln>
                      <a:noFill/>
                    </a:ln>
                  </pic:spPr>
                </pic:pic>
              </a:graphicData>
            </a:graphic>
          </wp:inline>
        </w:drawing>
      </w:r>
    </w:p>
    <w:p w:rsidR="00683041" w:rsidRDefault="00683041" w:rsidP="00683041">
      <w:pPr>
        <w:shd w:val="clear" w:color="auto" w:fill="FFFFFF"/>
        <w:rPr>
          <w:rFonts w:ascii="Times New Roman" w:hAnsi="Times New Roman" w:cs="Times New Roman"/>
          <w:b/>
          <w:color w:val="2C3E50"/>
          <w:sz w:val="24"/>
          <w:szCs w:val="24"/>
          <w:lang w:val="en-US"/>
        </w:rPr>
      </w:pPr>
    </w:p>
    <w:p w:rsidR="00683041" w:rsidRDefault="00683041" w:rsidP="00683041">
      <w:pPr>
        <w:shd w:val="clear" w:color="auto" w:fill="FFFFFF"/>
        <w:rPr>
          <w:rFonts w:ascii="Times New Roman" w:hAnsi="Times New Roman" w:cs="Times New Roman"/>
          <w:b/>
          <w:color w:val="2C3E50"/>
          <w:sz w:val="24"/>
          <w:szCs w:val="24"/>
          <w:lang w:val="en-US"/>
        </w:rPr>
      </w:pPr>
    </w:p>
    <w:p w:rsidR="00683041" w:rsidRDefault="00683041" w:rsidP="00683041">
      <w:pPr>
        <w:shd w:val="clear" w:color="auto" w:fill="FFFFFF"/>
        <w:rPr>
          <w:rFonts w:ascii="Times New Roman" w:hAnsi="Times New Roman" w:cs="Times New Roman"/>
          <w:b/>
          <w:color w:val="2C3E50"/>
          <w:sz w:val="24"/>
          <w:szCs w:val="24"/>
          <w:lang w:val="en-US"/>
        </w:rPr>
      </w:pPr>
    </w:p>
    <w:p w:rsidR="00683041" w:rsidRDefault="00683041" w:rsidP="00683041">
      <w:pPr>
        <w:shd w:val="clear" w:color="auto" w:fill="FFFFFF"/>
        <w:rPr>
          <w:rFonts w:ascii="Times New Roman" w:hAnsi="Times New Roman" w:cs="Times New Roman"/>
          <w:b/>
          <w:color w:val="2C3E50"/>
          <w:sz w:val="24"/>
          <w:szCs w:val="24"/>
          <w:lang w:val="en-US"/>
        </w:rPr>
      </w:pPr>
    </w:p>
    <w:p w:rsidR="00683041" w:rsidRDefault="00683041" w:rsidP="00683041">
      <w:pPr>
        <w:shd w:val="clear" w:color="auto" w:fill="FFFFFF"/>
        <w:rPr>
          <w:rFonts w:ascii="Times New Roman" w:hAnsi="Times New Roman" w:cs="Times New Roman"/>
          <w:b/>
          <w:color w:val="2C3E50"/>
          <w:sz w:val="24"/>
          <w:szCs w:val="24"/>
          <w:lang w:val="en-US"/>
        </w:rPr>
      </w:pPr>
    </w:p>
    <w:p w:rsidR="00683041" w:rsidRDefault="00683041" w:rsidP="00683041">
      <w:pPr>
        <w:shd w:val="clear" w:color="auto" w:fill="FFFFFF"/>
        <w:rPr>
          <w:rFonts w:ascii="Helvetica" w:hAnsi="Helvetica"/>
          <w:color w:val="2C3E50"/>
          <w:sz w:val="23"/>
          <w:szCs w:val="23"/>
          <w:lang w:val="en-US"/>
        </w:rPr>
      </w:pPr>
      <w:r>
        <w:rPr>
          <w:rFonts w:ascii="Times New Roman" w:hAnsi="Times New Roman" w:cs="Times New Roman"/>
          <w:b/>
          <w:color w:val="2C3E50"/>
          <w:sz w:val="24"/>
          <w:szCs w:val="24"/>
          <w:lang w:val="en-US"/>
        </w:rPr>
        <w:lastRenderedPageBreak/>
        <w:t>Calculate Inflation Rate for Custom Period (1914 - 2018)</w:t>
      </w:r>
    </w:p>
    <w:p w:rsidR="00683041" w:rsidRPr="006B2F6E" w:rsidRDefault="00683041" w:rsidP="0068304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4997C4F4" wp14:editId="5E6BA765">
            <wp:extent cx="5651500" cy="4165600"/>
            <wp:effectExtent l="0" t="0" r="6350" b="635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651500" cy="4165600"/>
                    </a:xfrm>
                    <a:prstGeom prst="rect">
                      <a:avLst/>
                    </a:prstGeom>
                    <a:noFill/>
                    <a:ln>
                      <a:noFill/>
                    </a:ln>
                  </pic:spPr>
                </pic:pic>
              </a:graphicData>
            </a:graphic>
          </wp:inline>
        </w:drawing>
      </w:r>
      <w:r>
        <w:rPr>
          <w:rFonts w:ascii="Times New Roman" w:hAnsi="Times New Roman" w:cs="Times New Roman"/>
          <w:sz w:val="24"/>
          <w:szCs w:val="24"/>
        </w:rPr>
        <w:t>Nota: la página web citada permite calcular la inflación acumulada desde 1/1914 a 4/2018</w:t>
      </w:r>
    </w:p>
    <w:p w:rsidR="00683041" w:rsidRDefault="00683041" w:rsidP="00683041">
      <w:pPr>
        <w:spacing w:line="240" w:lineRule="auto"/>
        <w:jc w:val="both"/>
        <w:rPr>
          <w:rFonts w:ascii="Times New Roman" w:hAnsi="Times New Roman" w:cs="Times New Roman"/>
          <w:b/>
          <w:sz w:val="24"/>
          <w:szCs w:val="24"/>
        </w:rPr>
      </w:pPr>
      <w:r>
        <w:rPr>
          <w:rFonts w:ascii="Times New Roman" w:hAnsi="Times New Roman" w:cs="Times New Roman"/>
          <w:b/>
          <w:sz w:val="24"/>
          <w:szCs w:val="24"/>
        </w:rPr>
        <w:t>Unos cálculos sencillos (refrán español: “antes se pilla a un mentiroso que a un cojo”)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(1914) El trabajador de Ford, ganaba en un mes (US$5 x 5 días x  4 semanas) = US$ 100</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Ford, ganaría en un mes (US$ 100 x 2.405,46%) = US$ 24.054,6</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Amazon ganará en un mes (US$ 15 x 8 horas x 5 días x 4 semanas) = US$ 2.400</w:t>
      </w:r>
    </w:p>
    <w:p w:rsidR="00683041" w:rsidRDefault="00683041" w:rsidP="00683041">
      <w:pPr>
        <w:pStyle w:val="NormalWeb"/>
        <w:shd w:val="clear" w:color="auto" w:fill="FFFFFF"/>
        <w:jc w:val="both"/>
        <w:rPr>
          <w:spacing w:val="-1"/>
        </w:rPr>
      </w:pPr>
      <w:r>
        <w:rPr>
          <w:spacing w:val="-1"/>
        </w:rPr>
        <w:t>¿Un “golpe maestro” de Amazon? (sic)</w:t>
      </w:r>
    </w:p>
    <w:p w:rsidR="00683041" w:rsidRDefault="00683041" w:rsidP="00683041">
      <w:pPr>
        <w:pStyle w:val="NormalWeb"/>
        <w:shd w:val="clear" w:color="auto" w:fill="FFFFFF"/>
        <w:jc w:val="both"/>
        <w:rPr>
          <w:spacing w:val="-1"/>
        </w:rPr>
      </w:pPr>
      <w:r>
        <w:rPr>
          <w:spacing w:val="-1"/>
        </w:rPr>
        <w:t>¿Una “victoria” de relaciones públicas? (sic)</w:t>
      </w:r>
    </w:p>
    <w:p w:rsidR="00683041" w:rsidRDefault="00683041" w:rsidP="0068304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“verdad de la milanesa” (un mero cálculo, sin algoritmos, ni mandangas… O sea)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trabajador de Amazon en el año 2018 deberá trabajar 10 meses para lograr un ingreso equivalente a lo que ganaba un obrero de Ford por mes en el año 1914, actualizado por inflación. </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Estamos ante una expresión de voracidad y avaricia empresaria, que desborda los niveles que son necesarios (tolerables) para mantener al capitalismo en marcha.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¿Dónde estará su empleo en el futuro... y cómo lo conseguirá? </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con importancia sistémica para la inteligencia de las personas…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Empresas cuya sofisticación financiera va por delante de los sistemas fiscales…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tecnológica va por delante de los sistemas de regulación y control…</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 “vieja economía”…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las conquistas sociales alcanzadas en los últimos 100 años…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¡Hay algo que no cuadra!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la “variable de ajuste”?</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El público rehén, los “amigos”, los clientes, los trabajadores, los empresarios tradicionales, la hacienda pública,… en fin, la “economía real”.</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Monetización de la onda tecnológica (iPhones, apps…). Aprovechamiento de la nomofobia (moda, frivolidad, estupidez…). Alta valoración incierta (burbuja especulativa). Sector no controlado (problemas de confianza, seguridad, calidad…). Internet es el nuevo “Gran Hermano” (usuarios y proveedores geolocalizados, espiados, manipulados, sin intimidad, cautivos de algoritmos peligrosos…). No pueden convivir (competir) en igualdad de condiciones un sector regulado (taxis, hoteles…) con otro desregulado (Uber, Airbnb…), uno que paga impuestos (taxis, hoteles…) con otro que no paga impuestos (Uber, Airbnb). No se mejora el sistema económico (modelo) sustituyendo “monopolios” por “oligopolios” (con vocación de monopolios futuros). No se crean nuevos sectores económicos (servicios, productos), sino que se absorben sectores ya existentes (competencia desleal: rapaces “ladrones de nidos”). ¿Quién es el “propietario” de los datos personales y del acceso a ellos (información personal, localización en tiempo real, y pagos móviles)? Son empresas que se sitúan en el limbo legal y perjudican al sector regulado. Hay “aplicaciones” que resultan un escenario ideal para estafas y actividades ilegales de todo tipo (incidentes masivos de fraude y robo de datos). No hay lugar para “personas anónimas” en el futuro de la economía compartida…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¿Gana la inteligencia artificial y pierde la inteligencia humana? </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son estas, nuevas formas de servidumbre? </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es que si dejamos que esto pase, si aceptamos sin reaccionar que esto continúe, si nos parece normal y gracioso, o bienvenido, que nos intoxiquen, controlen, manipulen, sometan, exploten,… entonces, es el cuerpo social el que se encuentra, cada vez más violado, sucio y amenazado. Entonces, habrá que admitir el naufragio de la razón.</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entrar caminando hacia atrás, en el futuro?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Superando el asco que me produce tanta vulgaridad, insignificancia, vileza, miseria moral, hedonismo ilimitado, avaricia infinita, les dejo una pregunta final: ¿Será la “economía colaborativa” una evolución o una involución del capitalismo? Ustedes mismos… </w:t>
      </w:r>
    </w:p>
    <w:p w:rsidR="00683041" w:rsidRDefault="00683041" w:rsidP="00683041">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Resultado final: un siglo (o más) de conquistas sociales tiradas a la mierda y un cañón en el culo, como recompensa...</w:t>
      </w:r>
      <w:r>
        <w:rPr>
          <w:rFonts w:ascii="Times New Roman" w:hAnsi="Times New Roman" w:cs="Times New Roman"/>
          <w:b/>
          <w:color w:val="FF0000"/>
          <w:sz w:val="24"/>
          <w:szCs w:val="24"/>
        </w:rPr>
        <w:t xml:space="preserve"> </w:t>
      </w:r>
    </w:p>
    <w:p w:rsidR="00683041" w:rsidRDefault="00683041" w:rsidP="00683041">
      <w:pPr>
        <w:spacing w:line="240" w:lineRule="auto"/>
        <w:jc w:val="both"/>
        <w:rPr>
          <w:rFonts w:ascii="Times New Roman" w:hAnsi="Times New Roman" w:cs="Times New Roman"/>
          <w:b/>
          <w:color w:val="FF0000"/>
          <w:sz w:val="24"/>
          <w:szCs w:val="24"/>
        </w:rPr>
      </w:pPr>
    </w:p>
    <w:p w:rsidR="00683041" w:rsidRDefault="00683041" w:rsidP="00683041">
      <w:pPr>
        <w:spacing w:line="240" w:lineRule="auto"/>
        <w:jc w:val="both"/>
        <w:rPr>
          <w:rFonts w:ascii="Times New Roman" w:hAnsi="Times New Roman"/>
          <w:sz w:val="24"/>
          <w:szCs w:val="24"/>
        </w:rPr>
      </w:pPr>
      <w:r>
        <w:rPr>
          <w:rFonts w:ascii="Times New Roman" w:eastAsia="Times New Roman" w:hAnsi="Times New Roman"/>
          <w:b/>
          <w:iCs/>
          <w:sz w:val="24"/>
          <w:szCs w:val="24"/>
        </w:rPr>
        <w:lastRenderedPageBreak/>
        <w:t>Recordar sirve para comprender</w:t>
      </w:r>
    </w:p>
    <w:p w:rsidR="00683041" w:rsidRDefault="00683041" w:rsidP="00683041">
      <w:pPr>
        <w:spacing w:line="240" w:lineRule="auto"/>
        <w:jc w:val="both"/>
        <w:rPr>
          <w:rFonts w:ascii="Times New Roman" w:hAnsi="Times New Roman"/>
          <w:sz w:val="24"/>
          <w:szCs w:val="24"/>
        </w:rPr>
      </w:pPr>
      <w:r>
        <w:rPr>
          <w:rFonts w:ascii="Times New Roman" w:hAnsi="Times New Roman"/>
          <w:sz w:val="24"/>
          <w:szCs w:val="24"/>
        </w:rPr>
        <w:t>En el Paper</w:t>
      </w:r>
      <w:r>
        <w:rPr>
          <w:rFonts w:ascii="Times New Roman" w:hAnsi="Times New Roman"/>
          <w:b/>
          <w:sz w:val="24"/>
          <w:szCs w:val="24"/>
        </w:rPr>
        <w:t xml:space="preserve"> - Un análisis sobre la desigualdad de los ingresos (ganadores y perdedores de la crisis financiera mundial) - La Economía del Malestar (el fin de la cohesión económica y social)</w:t>
      </w:r>
      <w:r>
        <w:rPr>
          <w:rFonts w:ascii="Times New Roman" w:hAnsi="Times New Roman"/>
          <w:sz w:val="24"/>
          <w:szCs w:val="24"/>
        </w:rPr>
        <w:t xml:space="preserve">, publicado el </w:t>
      </w:r>
      <w:r w:rsidRPr="00E15C08">
        <w:rPr>
          <w:rFonts w:ascii="Times New Roman" w:hAnsi="Times New Roman"/>
          <w:b/>
          <w:sz w:val="24"/>
          <w:szCs w:val="24"/>
        </w:rPr>
        <w:t>15/7/11</w:t>
      </w:r>
      <w:r>
        <w:rPr>
          <w:rFonts w:ascii="Times New Roman" w:hAnsi="Times New Roman"/>
          <w:sz w:val="24"/>
          <w:szCs w:val="24"/>
        </w:rPr>
        <w:t>, decía:</w:t>
      </w:r>
    </w:p>
    <w:p w:rsidR="00683041" w:rsidRDefault="00683041" w:rsidP="00683041">
      <w:pPr>
        <w:spacing w:before="100" w:beforeAutospacing="1" w:after="100" w:afterAutospacing="1" w:line="240" w:lineRule="auto"/>
        <w:jc w:val="both"/>
        <w:rPr>
          <w:rFonts w:ascii="Times New Roman" w:eastAsia="Times New Roman" w:hAnsi="Times New Roman"/>
          <w:i/>
          <w:sz w:val="24"/>
          <w:szCs w:val="24"/>
        </w:rPr>
      </w:pPr>
      <w:r>
        <w:rPr>
          <w:rFonts w:ascii="Times New Roman" w:eastAsia="Times New Roman" w:hAnsi="Times New Roman"/>
          <w:i/>
          <w:sz w:val="24"/>
          <w:szCs w:val="24"/>
        </w:rPr>
        <w:t>“Tenemos suficiente para las necesidades de todos, pero no para la codicia de unos pocos”.</w:t>
      </w:r>
    </w:p>
    <w:p w:rsidR="00683041" w:rsidRDefault="00683041" w:rsidP="00683041">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M. Gandhi, 1869 - 1948 - Abogado, político y activista  </w:t>
      </w:r>
    </w:p>
    <w:p w:rsidR="00683041" w:rsidRDefault="00683041" w:rsidP="00683041">
      <w:pPr>
        <w:shd w:val="clear" w:color="auto" w:fill="FFFFFF"/>
        <w:spacing w:after="225" w:line="240" w:lineRule="auto"/>
        <w:jc w:val="both"/>
        <w:rPr>
          <w:rFonts w:ascii="Times New Roman" w:eastAsia="Times New Roman" w:hAnsi="Times New Roman"/>
          <w:b/>
          <w:sz w:val="24"/>
          <w:szCs w:val="24"/>
        </w:rPr>
      </w:pPr>
      <w:r>
        <w:rPr>
          <w:rFonts w:ascii="Times New Roman" w:eastAsia="Times New Roman" w:hAnsi="Times New Roman"/>
          <w:b/>
          <w:sz w:val="24"/>
          <w:szCs w:val="24"/>
        </w:rPr>
        <w:t>Nunca antes tan pocos habían engañado a tantos durante tanto tiempo -jamás</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Aseguraban que la desregulación, la privatización y el libre movimiento de capitales, servicios y mercancías (el de personas, nunca llegó, ni se lo espera) harían entrar a la humanidad en una era de progreso exponencial y continuado, como nunca se había vivido. Y además, desaparecerían los ciclos económicos (¿verdad, grandes bonetes del FMI?). Algunos profetas, hasta llegaron a proclamar el “fin de la Historia” (¿verdad, Profesor Fukuyama?).</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 Para los creadores de estas “genialidades” (dogmas, mantras), la visión de un ejército de parados, inimaginable hasta entonces, era una obviedad.</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Ninguno de los altamente remunerados creadores de estos paradigmas (de los sectores de futuro y países de futuro) creía en la existencia de suficientes puestos de trabajo, decentemente pagados, en los tecnológicamente costosos mercados en crecimiento de los que hasta entonces fueron países del bienestar… no importa en qué sector.</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i/>
          <w:sz w:val="24"/>
          <w:szCs w:val="24"/>
        </w:rPr>
        <w:t>“Los pragmáticos del “turbo capitalismo” reducen el futuro a un par de números y un concepto: “20 a 80” y tittytainment”…,</w:t>
      </w:r>
      <w:r>
        <w:rPr>
          <w:rFonts w:ascii="Times New Roman" w:eastAsia="Times New Roman" w:hAnsi="Times New Roman"/>
          <w:sz w:val="24"/>
          <w:szCs w:val="24"/>
        </w:rPr>
        <w:t xml:space="preserve"> decían Hans-Peter Martin y Harald Schumann, en su libro La trampa de la globalización - Taurus 1998), y además, reseñaban:</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(Las escenas que siguen corresponden a una reunión mantenida por 500 políticos de primera línea, líderes económicos y científicos de los cinco continentes, efectuada en el año 1995 en el Hotel Fairmont de San Francisco, EEUU) </w:t>
      </w:r>
    </w:p>
    <w:p w:rsidR="00683041" w:rsidRDefault="00683041" w:rsidP="00683041">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“En el próximo siglo (XXI), el 20% de la población activa bastará para mantener en marcha la economía mundial. No se necesitará más fuerza de trabajo…</w:t>
      </w:r>
    </w:p>
    <w:p w:rsidR="00683041" w:rsidRDefault="00683041" w:rsidP="00683041">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683041" w:rsidRDefault="00683041" w:rsidP="00683041">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lastRenderedPageBreak/>
        <w:t xml:space="preserve">¿Y los demás? ¿El 80% de los dispuestos a trabajar que no tengan trabajo? “Sin duda”, dice el escritor norteamericano Jeremy Rifkin, autor del libro “El fin del trabajo”, “el 80% tendrá grandes problemas”… </w:t>
      </w:r>
    </w:p>
    <w:p w:rsidR="00683041" w:rsidRDefault="00683041" w:rsidP="00683041">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El esbozo de un nuevo orden social: países ricos sin una clase media digna de mención… En el futuro, la cuestión será “to have lunch or be lunch” (comer o ser comido)…</w:t>
      </w:r>
    </w:p>
    <w:p w:rsidR="00683041" w:rsidRDefault="00683041" w:rsidP="00683041">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683041" w:rsidRDefault="00683041" w:rsidP="00683041">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Esa es la sociedad que hoy se está construyendo por encargo. Se les proporciona Ritalin, se les da una X-box con juegos de violencia e insinuaciones sexuales, mientras Facebook, You Tube, Twitter y los “sms” hacen el resto (a veces con la “inapreciable” colaboración del alcohol y las drogas). Zombis felices… Todos en la “nube”…</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¿Por qué quiere alguien deliberadamente una sociedad idiotizada? Por una parte es mucho más fácil de controlar a alguien que no tiene conciencia de lo que sucede a su alrededor. Se ofrece futbol (u otros deportes) cinco noches a la semana para mantener a todos ocupados mientras que el saqueo de su riqueza continúa convenciéndoles que hacer hamburguesas en McDonald’s cobrando el salario mínimo es “empleo”.</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Hay quien busca explicaciones más rocambolescas que aseguran que un movimiento sin precedentes como éste en tiempos sin precedentes como éstos puede llevar a una conclusión sin precedentes.</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economía de EEUU es hoy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Ése es el meollo del problema. La mayoría de estadounidenses ya no tiene el poder de compra suficiente como para que la economía vuelva a andar. Cuando estalló la burbuja de la deuda, se quedaron encallados.</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Los beneficios empresariales están en alza, pero los empleos y salarios siguen estancados.</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Las personas con activos financieros o cuyo talento es tenido en cuenta por las grandes corporaciones están disfrutando de una fuerte recuperación. Mientras tanto, la mayoría de los estadounidenses se esfuerza por ir tirando.</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Las empresas no tienen la culpa, pues su objetivo es obtener beneficios. Ni tampoco es culpa de los ricos, que sólo han jugado según las reglas. El problema es que hay que cambiarlas.</w:t>
      </w:r>
    </w:p>
    <w:p w:rsidR="00683041" w:rsidRDefault="00683041" w:rsidP="00683041">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Un futuro sin trabajo o con contratos basura para la mayoría de los estadounidenses es insostenible, también para las propias empresas del país, cuya rentabilidad a largo plazo depende del resurgimiento de la demanda nacional.</w:t>
      </w:r>
    </w:p>
    <w:p w:rsidR="00683041" w:rsidRDefault="00683041" w:rsidP="00683041">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683041" w:rsidRDefault="00E802CC" w:rsidP="00683041">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Nota: </w:t>
      </w:r>
      <w:r w:rsidR="00683041">
        <w:rPr>
          <w:rFonts w:ascii="Times New Roman" w:eastAsia="Times New Roman" w:hAnsi="Times New Roman"/>
          <w:sz w:val="24"/>
          <w:szCs w:val="24"/>
        </w:rPr>
        <w:t>Si el lector desea cambiar el término EEUU por el de Unión Europea, todo parecido con la realidad no será mera coincidencia…</w:t>
      </w:r>
    </w:p>
    <w:p w:rsidR="00683041" w:rsidRPr="00B313A4" w:rsidRDefault="00683041" w:rsidP="00683041">
      <w:pPr>
        <w:spacing w:line="240" w:lineRule="auto"/>
        <w:jc w:val="both"/>
        <w:rPr>
          <w:rFonts w:ascii="Times New Roman" w:hAnsi="Times New Roman" w:cs="Times New Roman"/>
          <w:b/>
          <w:sz w:val="24"/>
          <w:szCs w:val="24"/>
        </w:rPr>
      </w:pPr>
      <w:r w:rsidRPr="00B313A4">
        <w:rPr>
          <w:rFonts w:ascii="Times New Roman" w:hAnsi="Times New Roman" w:cs="Times New Roman"/>
          <w:b/>
          <w:sz w:val="24"/>
          <w:szCs w:val="24"/>
        </w:rPr>
        <w:t>¿Un fundamento que se desmorona?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Para muchos americanos, la movilidad ascendente es un valor fundamental, el fundamento del Sueño Americano. Pero la desigualdad de la renta y la disminución de la movilidad son dos cuestiones que relacionadas también tienen implicaciones económicas.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Si las personas creyeran que no pueden progresar, ¿cómo afectará eso a su dedicación en el trabajo o su búsqueda de otras formas de enriquecimiento como, por ejemplo, cursos de especialización o un curso superior? Las personas atrapadas en los escalones inferiores de la pirámide son talentos que se pierden: innovadores, investigadores, emprendedores, educadores, artistas y líderes políticos y empresariales que no recibieron atención. Algunos investigadores dijeron que la creciente desigualdad y la caída en la movilidad han llevado al consumidor a pedir más préstamos para mantener los niveles deseados de consumo, lo que contribuye a que tengan lugar sucesos como la burbuja inmobiliaria. Otros dicen que la demanda del consumidor, que es crítica para el crecimiento económico, se ve más perjudicada cuando hay menos gente en la clase media y hay más personas pobres.</w:t>
      </w:r>
    </w:p>
    <w:p w:rsidR="00683041" w:rsidRPr="00760564" w:rsidRDefault="00683041" w:rsidP="00683041">
      <w:pPr>
        <w:spacing w:line="240" w:lineRule="auto"/>
        <w:jc w:val="both"/>
        <w:rPr>
          <w:rFonts w:ascii="Times New Roman" w:hAnsi="Times New Roman" w:cs="Times New Roman"/>
          <w:b/>
          <w:sz w:val="24"/>
          <w:szCs w:val="24"/>
        </w:rPr>
      </w:pPr>
      <w:r>
        <w:rPr>
          <w:rFonts w:ascii="Times New Roman" w:hAnsi="Times New Roman" w:cs="Times New Roman"/>
          <w:b/>
          <w:sz w:val="24"/>
          <w:szCs w:val="24"/>
        </w:rPr>
        <w:t>“Horatio Alger debe morir”</w:t>
      </w:r>
      <w:r w:rsidR="00607727">
        <w:rPr>
          <w:rFonts w:ascii="Times New Roman" w:hAnsi="Times New Roman" w:cs="Times New Roman"/>
          <w:b/>
          <w:sz w:val="24"/>
          <w:szCs w:val="24"/>
        </w:rPr>
        <w:t xml:space="preserve"> </w:t>
      </w:r>
      <w:r w:rsidR="00607727" w:rsidRPr="00760564">
        <w:rPr>
          <w:rFonts w:ascii="Times New Roman" w:hAnsi="Times New Roman" w:cs="Times New Roman"/>
          <w:b/>
          <w:sz w:val="24"/>
          <w:szCs w:val="24"/>
        </w:rPr>
        <w:t>(Michael Moore)</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“Tal vez el mayor éxito de la guerra contra el terror haya sido la capacidad para distraer al país de la guerra corporativa contra nosotros. En los dos años transcurridos desde los atentados del 11 de septiembre, las empresas estadounidenses han practicado un saqueo sonado que ha dejado a millones de ciudadanos de a pie sin ahorros, sin pensiones y con pocas o nulas esperanzas de poder dar un futuro agradable a su familia. Los bandidos del mundo de los negocios (y sus cómplices del gobierno) que han destrozado nuestra economía han intentado culpar a los terroristas, a Clinton y a nosotros.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de hecho, la destrucción sistemática de nuestro futuro económico se basa meramente en la codicia del “muyahid” corporativo. Hay un plan general, amigos míos, todas las empresas tienen uno, y cuanto antes superéis la tendencia a no querer creerlo, y dejéis de preocuparos porque el hecho de creerlo os sitúe en las filas de los chiflados que prosperan con teorías </w:t>
      </w:r>
      <w:r>
        <w:rPr>
          <w:rFonts w:ascii="Times New Roman" w:hAnsi="Times New Roman" w:cs="Times New Roman"/>
          <w:sz w:val="24"/>
          <w:szCs w:val="24"/>
        </w:rPr>
        <w:lastRenderedPageBreak/>
        <w:t>conspiratorias, antes tendréis la oportunidad de detenerles. Su curioso objetivo es asumir el control suficiente de nuestras vidas para que, al final, prometamos lealtad, no a una bandera o a alguna noción etérea de libertad y democracia sino a los dictados de Citigroup, Exxon, Nike, GE, GM, P&amp;G y Philip Morris.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Sus ejecutivos son quienes tiene la última palabra y ya podéis votar y protestar y timar a Hacienda todo lo que queráis para vengaros de ellos, pero reconocedlo: ya no estáis en el mundo. Vosotros lo sabéis y ellos lo saben, y lo único que queda es el día en que se codifique en un trozo de papel: la Declaración de los Estados Corporativos de América.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“Consideramos estas verdades manifiestas: que todos los hombres y mujeres y sus hijos menores de edad son iguales para servir a la Corporación, para ofrecer su trabajo sin rechistar, para aceptar cualquier remuneración sin quejas y para consumir sus productos sin pensar. A cambio, la Corporación proveerá el bien común, asegurará las defensas de la nación y recibirá el grueso de impuestos del pueblo…”…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Y si no os calláis y acatáis la disciplina y trabajáis como burros, os despediremos, y luego intentad encontrar otro trabajo en esta economía, ¡imbéciles!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Esta mierda da tanto miedo que claro que hacemos lo que nos dicen, vamos con pies de plomo en nuestro cubículos deprimentes y ondeamos nuestras banderitas americanas para demostrar que sí, jefe, creemos en su guerra contra el terrorismo.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La otra droga es mejor. Se nos receta por primera vez cuando somos niños en forma de cuento de hadas, ¡pero es un cuento de hadas que puede convertirse en realidad! Es el mito de Horatio Alger. Alger era uno de los escritores estadounidenses más famosos de finales del siglo XIX. Las historias de Alger las protagonizaban personajes de entornos empobrecidos que, mediante el coraje, la determinación y el trabajo eran capaces de conseguir grandes éxitos en esta tierra de infinitas oportunidades. El mensaje era que cualquiera puede triunfar en Estados Unidos y a lo grande.</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En este país somos adictos al mito feliz de pasar de la pobreza a la riqueza. Las personas de otras democracias industrializadas se conforman con ganar un buen sueldo para pagar sus facturas y mantener a su familia. Pocas tienen el deseo furibundo de hacerse ricas…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Seguro que algunos fantasean con ganar un montón de dinero, pero la mayoría de las personas del resto del mundo no vive su vida pensando en los cuentos de hadas. Viven en la realidad, donde saben que solo habrá unos cuantos ricos y que no serán ellos. Así que vete acostumbrando.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Por supuesto, los ricos de esos países se cuidan mucho de no alterar el equilibrio. Aunque hay unos cuantos cabrones avariciosos entre ellos, se rigen siguiendo ciertos límites… Pero en Estados Unidos el presidente medio gana 411 veces más que los obreros…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En Estados Unidos nos da miedo meternos con ellos. Odiamos encarcelar a nuestros presidentes de empresa cuando infringen la ley. ¡Estamos más que dispuestos a recortarles los impuestos mientras los nuestros aumentan!</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Porque nos tragamos la mentira de que nosotros también podemos ser ricos algún día. Por consiguiente, no queremos hacer nada que nos perjudique el día que acabaremos siendo millonarios. La zanahoria americana cuelga delante de nuestras narices toda la vida y creemos que estamos a punto de alcanzarla…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Este mito tan tentador ha hecho que millones de personas trabajadoras inviertan en bolsa desde la década de los ochenta y pensaron, eh, ¡me puede tocar a mí!... De repente, parecía que todos mis conocidos se subían al tren de la bolsa, colocaban su dinero en fondos de inversión o abrían planes de pensiones. Permitieron que los sindicatos invirtieran el dinero de las jubilaciones en acciones. ¡Los medios de comunicación no paraban de publicar artículos en los que se hablaba de gente trabajadora que se jubilaría casi como millonaria! Fue como una enfermedad contagiosa. Nadie quería quedarse al margen…</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Pero era una farsa. Fue una artimaña tramada por los que mandan a nivel corporativo que nunca tuvieron ninguna intención de permitirte la entrada en su club. Solo necesitaban tu dinero para llegar al siguiente nivel, el que incluso les permite no tener que trabajar para vivir…</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Y eso es lo que pasó… En el mercado de valores se perdieron más de cuatro billones de dólares. Más billones de dólares en fondos de pensiones y donaciones para universidades han dejado de existir. Pero lo que no ha desaparecido es lo siguiente: los ricos. Siguen entre nosotros y le va mejor que nunca.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Se fueron riendo al banco suizo por el chanchullo del milenio. Lo consiguieron, legalmente en su mayor parte, y si infringieron la ley alguna vez, ningún problema, no hay más que un puñadito de ellos entre rejas mientras escribo esto. El resto está en una playa privada con la arena bien cuidada.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Por tanto, allá va mi pregunta: tras desplumar al público estadounidense y destruir el sueño americano para la mayoría de la clase trabajadora, ¿cómo es que el Congreso en vez de destriparlos, descuartizarlos y colgarlos al amanecer a las puertas de la ciudad, les dio a los ricos un gran beso en forma de recorte fiscal sin precedentes y nadie dice ni mu? ¿Cómo es posible?</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se debe a que seguimos siendo adictos a la droga de la fantasía de Horatio Alger. A pesar de todo el daño y las pruebas que apuntan a lo contrario, el estadounidense medio sigue queriendo aferrarse a esta creencia que quizá, solo quizá, él o ella (sobre todo él) lo consiga algún día. Así que no ataques al rico porque algún día ¡ese hombre puedo ser yo!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Escuchad, amigos, tenéis que enfrentaros a la verdad: </w:t>
      </w:r>
      <w:r>
        <w:rPr>
          <w:rFonts w:ascii="Times New Roman" w:hAnsi="Times New Roman" w:cs="Times New Roman"/>
          <w:b/>
          <w:sz w:val="24"/>
          <w:szCs w:val="24"/>
        </w:rPr>
        <w:t xml:space="preserve">Nunca seréis ricos. </w:t>
      </w:r>
      <w:r>
        <w:rPr>
          <w:rFonts w:ascii="Times New Roman" w:hAnsi="Times New Roman" w:cs="Times New Roman"/>
          <w:sz w:val="24"/>
          <w:szCs w:val="24"/>
        </w:rPr>
        <w:t>Las posibilidades de que eso ocurra son una entre un millón. No es que nunca vayas a hacerte rico, sino que vas a tener que pasarte el resto de tu vida dejándote la piel trabajando para pagar la factura del cable y las clases de música y bellas artes de tus hijos en la escuela pública, esas que antes eran gratis.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Y la situación no va sino a empeorar. Las prestaciones que tengas van a quedar en nada. Olvídate de la pensión, olvídate de la Seguridad Social, olvídate de que tus hijos se ocupen de ti cuando seas viejo porque apenas tendrán dinero para mantenerse. Y ni se te pase por la cabeza tomarte unas vacaciones porque lo más probable es que tu trabajo haya desaparecido para cuando vuelvas. Eres prescindible, no tienes derechos y, por cierto, “¿qué es un sindicato?”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Lo sé, muchos pensáis que la cosa no está tan mal. Claro la situación es dura, pero creéis que sobreviviréis. Seréis las únicas personas que, de alguna manera, lograrán salvarse de la locura. No vais a prescindir del sueño de conseguir algún día una porción del pastel. De hecho, algunos creéis que algún día la tarta entera podría ser vuestra.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Tengo noticias: ni siquiera vais a poder lamer la bandeja. El sistema está montado de tal forma que favorece a unos pocos y tu nombre no está en la lista, ni ahora, ni nunca. Está tan bien montado que embauca a personas decentes, trabajadoras, sensibles para que crean que también funciona para ellas. Les sostiene la zanahoria tan cerca de la cara que consiguen olerla. Y con la promesa de que algún día podrán comerse la zanahoria, el sistema recluta un ejército de consumidores y contribuyentes que, con mucho gusto y pasión luchan por los derechos de los ricos, independientemente de que signifique darles miles de millones de dólares en forma de recorte fiscal mientras ellos envían a sus propios hijos a escuelas ruinosas o aunque signifique mandar a sus hijos a morir en guerras para proteger el petróleo del hombre rico…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Como hemos visto, asustar a la gente también funciona. Igual que la religión. Así pues, los ricos tienen un ejército incondicionales de conservadores, derechistas y tipos de la Coalición Cristiana que actúan como soldados de infantería. Es un matrimonio curioso porque los ricos, por lo general, no son ni conservadores ni liberales, ni de derechas ni de izquierdas, ni son cristianos ni judíos devotos. Su verdadero partido político se llama Codicia y su religión es el Capitalismo. Por eso, lo que les satisface es ver a millones de blancos pobres e incluso millones de personas de clase media tirando de la palanca alegremente en las urnas para los candidatos que no harán más que esquilmar a estos blancos pobres y gente de clase media en cuanto tomen posesión del cargo.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Así pues, nuestro reto, nuestra misión, es encontrar maneras de llegar a esos millones de trabajadores y demostrarles que están votando en contra de sus intereses…</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Mira, no sé cómo decirlo de forma más suave pero los desgraciados que mandan en nuestro país son una panda de gilipollas maquinadores, ladrones y petulantes a los que hay que hacer caer, eliminar y reemplazar con un sistema totalmente nuevo controlado por nosotros. Se supone que eso es la democracia: el pueblo al poder, joder. ¿Qué nos ha pasado?...</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En cuanto caigan en la cuenta que nunca se llamarán Horatio Alter y que los cuentos de hadas son para niños, se harán mayores, y se alzarán, a toda prisa”…</w:t>
      </w:r>
    </w:p>
    <w:p w:rsidR="00683041" w:rsidRDefault="00683041" w:rsidP="00683041">
      <w:pPr>
        <w:spacing w:line="240" w:lineRule="auto"/>
        <w:jc w:val="both"/>
        <w:rPr>
          <w:rFonts w:ascii="Times New Roman" w:hAnsi="Times New Roman" w:cs="Times New Roman"/>
          <w:sz w:val="24"/>
          <w:szCs w:val="24"/>
        </w:rPr>
      </w:pPr>
      <w:r>
        <w:rPr>
          <w:rFonts w:ascii="Times New Roman" w:hAnsi="Times New Roman" w:cs="Times New Roman"/>
          <w:sz w:val="24"/>
          <w:szCs w:val="24"/>
        </w:rPr>
        <w:t>(Párrafos del libro: “¿Qué han hecho con mi país, tío?”, de Michael Moore - Ediciones B - 2004)</w:t>
      </w:r>
    </w:p>
    <w:p w:rsidR="00E15C08" w:rsidRPr="00E15C08" w:rsidRDefault="00E15C08" w:rsidP="00E15C08">
      <w:pPr>
        <w:spacing w:line="240" w:lineRule="auto"/>
        <w:jc w:val="both"/>
        <w:rPr>
          <w:rFonts w:ascii="Times New Roman" w:hAnsi="Times New Roman" w:cs="Times New Roman"/>
          <w:b/>
          <w:sz w:val="24"/>
          <w:szCs w:val="24"/>
        </w:rPr>
      </w:pPr>
      <w:r w:rsidRPr="00E15C08">
        <w:rPr>
          <w:rFonts w:ascii="Times New Roman" w:eastAsia="Times New Roman" w:hAnsi="Times New Roman"/>
          <w:b/>
          <w:sz w:val="24"/>
          <w:szCs w:val="24"/>
        </w:rPr>
        <w:t>Nota (julio 2021):</w:t>
      </w:r>
      <w:r>
        <w:rPr>
          <w:rFonts w:ascii="Times New Roman" w:eastAsia="Times New Roman" w:hAnsi="Times New Roman"/>
          <w:sz w:val="24"/>
          <w:szCs w:val="24"/>
        </w:rPr>
        <w:t xml:space="preserve"> </w:t>
      </w:r>
      <w:r w:rsidRPr="00E15C08">
        <w:rPr>
          <w:rFonts w:ascii="Times New Roman" w:hAnsi="Times New Roman" w:cs="Times New Roman"/>
          <w:b/>
          <w:sz w:val="24"/>
          <w:szCs w:val="24"/>
        </w:rPr>
        <w:t>Mientras los multimillonarios Bezos, Branson, o Musk, juegan a los “astronautas”, y libran su particular batalla por llegar primeros en su carrera al espacio (para asegurarse una cuota del suculento mercado de los vuelos espaciales), los pobres y sus</w:t>
      </w:r>
      <w:r>
        <w:rPr>
          <w:rFonts w:ascii="Times New Roman" w:hAnsi="Times New Roman" w:cs="Times New Roman"/>
          <w:b/>
          <w:sz w:val="24"/>
          <w:szCs w:val="24"/>
        </w:rPr>
        <w:t xml:space="preserve"> hijos (d</w:t>
      </w:r>
      <w:r w:rsidR="00C549A5">
        <w:rPr>
          <w:rFonts w:ascii="Times New Roman" w:hAnsi="Times New Roman" w:cs="Times New Roman"/>
          <w:b/>
          <w:sz w:val="24"/>
          <w:szCs w:val="24"/>
        </w:rPr>
        <w:t>e ese país “avanzado”,</w:t>
      </w:r>
      <w:r w:rsidRPr="00E15C08">
        <w:rPr>
          <w:rFonts w:ascii="Times New Roman" w:hAnsi="Times New Roman" w:cs="Times New Roman"/>
          <w:b/>
          <w:sz w:val="24"/>
          <w:szCs w:val="24"/>
        </w:rPr>
        <w:t xml:space="preserve"> ahora en </w:t>
      </w:r>
      <w:r w:rsidR="00760564">
        <w:rPr>
          <w:rFonts w:ascii="Times New Roman" w:hAnsi="Times New Roman" w:cs="Times New Roman"/>
          <w:b/>
          <w:sz w:val="24"/>
          <w:szCs w:val="24"/>
        </w:rPr>
        <w:t>“</w:t>
      </w:r>
      <w:r w:rsidRPr="00E15C08">
        <w:rPr>
          <w:rFonts w:ascii="Times New Roman" w:hAnsi="Times New Roman" w:cs="Times New Roman"/>
          <w:b/>
          <w:sz w:val="24"/>
          <w:szCs w:val="24"/>
        </w:rPr>
        <w:t>vías de subdesarrollo</w:t>
      </w:r>
      <w:r w:rsidR="00760564">
        <w:rPr>
          <w:rFonts w:ascii="Times New Roman" w:hAnsi="Times New Roman" w:cs="Times New Roman"/>
          <w:b/>
          <w:sz w:val="24"/>
          <w:szCs w:val="24"/>
        </w:rPr>
        <w:t>”</w:t>
      </w:r>
      <w:r w:rsidRPr="00E15C08">
        <w:rPr>
          <w:rFonts w:ascii="Times New Roman" w:hAnsi="Times New Roman" w:cs="Times New Roman"/>
          <w:b/>
          <w:sz w:val="24"/>
          <w:szCs w:val="24"/>
        </w:rPr>
        <w:t xml:space="preserve">), esperan su turno en las “colas del hambre”, o habitan en los “desiertos de comida” de algunas </w:t>
      </w:r>
      <w:r w:rsidR="00760564">
        <w:rPr>
          <w:rFonts w:ascii="Times New Roman" w:hAnsi="Times New Roman" w:cs="Times New Roman"/>
          <w:b/>
          <w:sz w:val="24"/>
          <w:szCs w:val="24"/>
        </w:rPr>
        <w:t xml:space="preserve">de las </w:t>
      </w:r>
      <w:r w:rsidRPr="00E15C08">
        <w:rPr>
          <w:rFonts w:ascii="Times New Roman" w:hAnsi="Times New Roman" w:cs="Times New Roman"/>
          <w:b/>
          <w:sz w:val="24"/>
          <w:szCs w:val="24"/>
        </w:rPr>
        <w:t>ciudades que antes fueron prósperas.</w:t>
      </w:r>
      <w:r w:rsidR="00C549A5">
        <w:rPr>
          <w:rFonts w:ascii="Times New Roman" w:hAnsi="Times New Roman" w:cs="Times New Roman"/>
          <w:b/>
          <w:sz w:val="24"/>
          <w:szCs w:val="24"/>
        </w:rPr>
        <w:t xml:space="preserve"> </w:t>
      </w:r>
      <w:r w:rsidRPr="00E15C08">
        <w:rPr>
          <w:rFonts w:ascii="Times New Roman" w:hAnsi="Times New Roman" w:cs="Times New Roman"/>
          <w:b/>
          <w:sz w:val="24"/>
          <w:szCs w:val="24"/>
        </w:rPr>
        <w:t xml:space="preserve"> </w:t>
      </w:r>
    </w:p>
    <w:p w:rsidR="00E15C08" w:rsidRDefault="00E15C08" w:rsidP="00E15C08">
      <w:pPr>
        <w:spacing w:line="240" w:lineRule="auto"/>
        <w:jc w:val="both"/>
        <w:rPr>
          <w:rFonts w:ascii="Times New Roman" w:hAnsi="Times New Roman" w:cs="Times New Roman"/>
          <w:b/>
          <w:sz w:val="24"/>
          <w:szCs w:val="24"/>
        </w:rPr>
      </w:pPr>
      <w:r w:rsidRPr="00E15C08">
        <w:rPr>
          <w:rFonts w:ascii="Times New Roman" w:hAnsi="Times New Roman" w:cs="Times New Roman"/>
          <w:b/>
          <w:sz w:val="24"/>
          <w:szCs w:val="24"/>
        </w:rPr>
        <w:t>Cuándo estos miserables, que de tanto pasar hambre, se coman</w:t>
      </w:r>
      <w:r w:rsidR="00760564">
        <w:rPr>
          <w:rFonts w:ascii="Times New Roman" w:hAnsi="Times New Roman" w:cs="Times New Roman"/>
          <w:b/>
          <w:sz w:val="24"/>
          <w:szCs w:val="24"/>
        </w:rPr>
        <w:t xml:space="preserve"> hasta</w:t>
      </w:r>
      <w:r w:rsidRPr="00E15C08">
        <w:rPr>
          <w:rFonts w:ascii="Times New Roman" w:hAnsi="Times New Roman" w:cs="Times New Roman"/>
          <w:b/>
          <w:sz w:val="24"/>
          <w:szCs w:val="24"/>
        </w:rPr>
        <w:t xml:space="preserve"> el miedo, y salgan a las calles a reclamar por la “desigualdad profunda”, en medi</w:t>
      </w:r>
      <w:r w:rsidR="00C549A5">
        <w:rPr>
          <w:rFonts w:ascii="Times New Roman" w:hAnsi="Times New Roman" w:cs="Times New Roman"/>
          <w:b/>
          <w:sz w:val="24"/>
          <w:szCs w:val="24"/>
        </w:rPr>
        <w:t>o de la</w:t>
      </w:r>
      <w:r w:rsidRPr="00E15C08">
        <w:rPr>
          <w:rFonts w:ascii="Times New Roman" w:hAnsi="Times New Roman" w:cs="Times New Roman"/>
          <w:b/>
          <w:sz w:val="24"/>
          <w:szCs w:val="24"/>
        </w:rPr>
        <w:t xml:space="preserve"> </w:t>
      </w:r>
      <w:r w:rsidR="00C549A5">
        <w:rPr>
          <w:rFonts w:ascii="Times New Roman" w:hAnsi="Times New Roman" w:cs="Times New Roman"/>
          <w:b/>
          <w:sz w:val="24"/>
          <w:szCs w:val="24"/>
        </w:rPr>
        <w:t>“</w:t>
      </w:r>
      <w:r w:rsidRPr="00E15C08">
        <w:rPr>
          <w:rFonts w:ascii="Times New Roman" w:hAnsi="Times New Roman" w:cs="Times New Roman"/>
          <w:b/>
          <w:sz w:val="24"/>
          <w:szCs w:val="24"/>
        </w:rPr>
        <w:t>exuberancia irracional</w:t>
      </w:r>
      <w:r w:rsidR="00C549A5">
        <w:rPr>
          <w:rFonts w:ascii="Times New Roman" w:hAnsi="Times New Roman" w:cs="Times New Roman"/>
          <w:b/>
          <w:sz w:val="24"/>
          <w:szCs w:val="24"/>
        </w:rPr>
        <w:t>” de los mercados</w:t>
      </w:r>
      <w:r w:rsidRPr="00E15C08">
        <w:rPr>
          <w:rFonts w:ascii="Times New Roman" w:hAnsi="Times New Roman" w:cs="Times New Roman"/>
          <w:b/>
          <w:sz w:val="24"/>
          <w:szCs w:val="24"/>
        </w:rPr>
        <w:t>, con un “consumo absolutamente desorbitado”</w:t>
      </w:r>
      <w:r w:rsidR="00C549A5">
        <w:rPr>
          <w:rFonts w:ascii="Times New Roman" w:hAnsi="Times New Roman" w:cs="Times New Roman"/>
          <w:b/>
          <w:sz w:val="24"/>
          <w:szCs w:val="24"/>
        </w:rPr>
        <w:t xml:space="preserve"> por parte los que viven del lado bueno de las vías del tren, con una obscena “ostentación de la riqueza” por parte de los hacedores del cambio</w:t>
      </w:r>
      <w:r w:rsidRPr="00E15C08">
        <w:rPr>
          <w:rFonts w:ascii="Times New Roman" w:hAnsi="Times New Roman" w:cs="Times New Roman"/>
          <w:b/>
          <w:sz w:val="24"/>
          <w:szCs w:val="24"/>
        </w:rPr>
        <w:t>… ¿los intentarán silenciar</w:t>
      </w:r>
      <w:r w:rsidRPr="00E15C08">
        <w:rPr>
          <w:b/>
        </w:rPr>
        <w:t xml:space="preserve"> </w:t>
      </w:r>
      <w:r w:rsidRPr="00E15C08">
        <w:rPr>
          <w:rFonts w:ascii="Times New Roman" w:hAnsi="Times New Roman" w:cs="Times New Roman"/>
          <w:b/>
          <w:sz w:val="24"/>
          <w:szCs w:val="24"/>
        </w:rPr>
        <w:t xml:space="preserve">bloqueando internet y el acceso a redes sociales? ¿o enviarán al </w:t>
      </w:r>
      <w:r w:rsidR="00C549A5">
        <w:rPr>
          <w:rFonts w:ascii="Times New Roman" w:hAnsi="Times New Roman" w:cs="Times New Roman"/>
          <w:b/>
          <w:sz w:val="24"/>
          <w:szCs w:val="24"/>
        </w:rPr>
        <w:t>“</w:t>
      </w:r>
      <w:r w:rsidRPr="00E15C08">
        <w:rPr>
          <w:rFonts w:ascii="Times New Roman" w:hAnsi="Times New Roman" w:cs="Times New Roman"/>
          <w:b/>
          <w:sz w:val="24"/>
          <w:szCs w:val="24"/>
        </w:rPr>
        <w:t>ejército rojo</w:t>
      </w:r>
      <w:r w:rsidR="00C549A5">
        <w:rPr>
          <w:rFonts w:ascii="Times New Roman" w:hAnsi="Times New Roman" w:cs="Times New Roman"/>
          <w:b/>
          <w:sz w:val="24"/>
          <w:szCs w:val="24"/>
        </w:rPr>
        <w:t>”</w:t>
      </w:r>
      <w:r w:rsidRPr="00E15C08">
        <w:rPr>
          <w:rFonts w:ascii="Times New Roman" w:hAnsi="Times New Roman" w:cs="Times New Roman"/>
          <w:b/>
          <w:sz w:val="24"/>
          <w:szCs w:val="24"/>
        </w:rPr>
        <w:t xml:space="preserve"> a fusilarlos en la plaza pública? ¿</w:t>
      </w:r>
      <w:r w:rsidR="00760564">
        <w:rPr>
          <w:rFonts w:ascii="Times New Roman" w:hAnsi="Times New Roman" w:cs="Times New Roman"/>
          <w:b/>
          <w:sz w:val="24"/>
          <w:szCs w:val="24"/>
        </w:rPr>
        <w:t>podrán defender</w:t>
      </w:r>
      <w:r w:rsidRPr="00E15C08">
        <w:rPr>
          <w:rFonts w:ascii="Times New Roman" w:hAnsi="Times New Roman" w:cs="Times New Roman"/>
          <w:b/>
          <w:sz w:val="24"/>
          <w:szCs w:val="24"/>
        </w:rPr>
        <w:t xml:space="preserve"> de esa manera la legitimidad del capitalismo?</w:t>
      </w:r>
    </w:p>
    <w:p w:rsidR="00C549A5" w:rsidRPr="00E15C08" w:rsidRDefault="00C549A5" w:rsidP="00E15C08">
      <w:pPr>
        <w:spacing w:line="240" w:lineRule="auto"/>
        <w:jc w:val="both"/>
        <w:rPr>
          <w:rFonts w:ascii="Times New Roman" w:hAnsi="Times New Roman" w:cs="Times New Roman"/>
          <w:b/>
          <w:sz w:val="24"/>
          <w:szCs w:val="24"/>
        </w:rPr>
      </w:pPr>
    </w:p>
    <w:p w:rsidR="00E802CC" w:rsidRPr="00760564" w:rsidRDefault="00A960F1" w:rsidP="00760564">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cs="Times New Roman"/>
          <w:b/>
          <w:sz w:val="24"/>
          <w:szCs w:val="24"/>
        </w:rPr>
        <w:lastRenderedPageBreak/>
        <w:t xml:space="preserve">- </w:t>
      </w:r>
      <w:r w:rsidRPr="00A960F1">
        <w:rPr>
          <w:rFonts w:ascii="Times New Roman" w:hAnsi="Times New Roman" w:cs="Times New Roman"/>
          <w:b/>
          <w:sz w:val="24"/>
          <w:szCs w:val="24"/>
        </w:rPr>
        <w:t xml:space="preserve">“Maldita” hemeroteca: </w:t>
      </w:r>
      <w:r w:rsidR="00E6181C">
        <w:rPr>
          <w:rFonts w:ascii="Times New Roman" w:hAnsi="Times New Roman" w:cs="Times New Roman"/>
          <w:b/>
          <w:sz w:val="24"/>
          <w:szCs w:val="24"/>
        </w:rPr>
        <w:t>Unión Europea, d</w:t>
      </w:r>
      <w:r w:rsidR="00C532E3" w:rsidRPr="00A960F1">
        <w:rPr>
          <w:rFonts w:ascii="Times New Roman" w:hAnsi="Times New Roman" w:cs="Times New Roman"/>
          <w:b/>
          <w:sz w:val="24"/>
          <w:szCs w:val="24"/>
        </w:rPr>
        <w:t xml:space="preserve">el Estado de </w:t>
      </w:r>
      <w:r w:rsidR="00E802CC">
        <w:rPr>
          <w:rFonts w:ascii="Times New Roman" w:hAnsi="Times New Roman" w:cs="Times New Roman"/>
          <w:b/>
          <w:sz w:val="24"/>
          <w:szCs w:val="24"/>
        </w:rPr>
        <w:t>Bienestar</w:t>
      </w:r>
      <w:r w:rsidR="00760564">
        <w:rPr>
          <w:rFonts w:ascii="Times New Roman" w:hAnsi="Times New Roman" w:cs="Times New Roman"/>
          <w:b/>
          <w:sz w:val="24"/>
          <w:szCs w:val="24"/>
        </w:rPr>
        <w:t>,</w:t>
      </w:r>
      <w:r w:rsidR="00E802CC">
        <w:rPr>
          <w:rFonts w:ascii="Times New Roman" w:hAnsi="Times New Roman" w:cs="Times New Roman"/>
          <w:b/>
          <w:sz w:val="24"/>
          <w:szCs w:val="24"/>
        </w:rPr>
        <w:t xml:space="preserve"> al Estado de Malestar</w:t>
      </w:r>
    </w:p>
    <w:p w:rsidR="00ED3A04" w:rsidRPr="00E802CC" w:rsidRDefault="00236953" w:rsidP="00ED3A04">
      <w:pPr>
        <w:spacing w:line="240" w:lineRule="auto"/>
        <w:jc w:val="both"/>
        <w:rPr>
          <w:rFonts w:ascii="Times New Roman" w:hAnsi="Times New Roman" w:cs="Times New Roman"/>
          <w:b/>
          <w:sz w:val="24"/>
          <w:szCs w:val="24"/>
        </w:rPr>
      </w:pPr>
      <w:r>
        <w:rPr>
          <w:noProof/>
          <w:lang w:eastAsia="es-ES"/>
        </w:rPr>
        <w:drawing>
          <wp:inline distT="0" distB="0" distL="0" distR="0">
            <wp:extent cx="5734050" cy="3054350"/>
            <wp:effectExtent l="0" t="0" r="0" b="0"/>
            <wp:docPr id="48" name="Imagen 48" descr="El nuevo mapa de la pobreza en Europa | Impacto Evangelístico | Noticias  Cristia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l nuevo mapa de la pobreza en Europa | Impacto Evangelístico | Noticias  Cristianas"/>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31510" cy="3052997"/>
                    </a:xfrm>
                    <a:prstGeom prst="rect">
                      <a:avLst/>
                    </a:prstGeom>
                    <a:noFill/>
                    <a:ln>
                      <a:noFill/>
                    </a:ln>
                  </pic:spPr>
                </pic:pic>
              </a:graphicData>
            </a:graphic>
          </wp:inline>
        </w:drawing>
      </w:r>
      <w:r w:rsidR="00ED3A04" w:rsidRPr="00E802CC">
        <w:rPr>
          <w:rFonts w:ascii="Times New Roman" w:hAnsi="Times New Roman" w:cs="Times New Roman"/>
          <w:sz w:val="24"/>
          <w:szCs w:val="24"/>
        </w:rPr>
        <w:t>Las colas del hambre en Europa (lo nunca visto, desde el fin de la II Guerra Mundial)</w:t>
      </w:r>
    </w:p>
    <w:p w:rsidR="00ED3A04" w:rsidRPr="009F0F75" w:rsidRDefault="00ED3A04" w:rsidP="00ED3A04">
      <w:pPr>
        <w:spacing w:line="240" w:lineRule="auto"/>
        <w:jc w:val="both"/>
        <w:rPr>
          <w:rFonts w:ascii="Times New Roman" w:hAnsi="Times New Roman" w:cs="Times New Roman"/>
          <w:sz w:val="24"/>
          <w:szCs w:val="24"/>
        </w:rPr>
      </w:pPr>
      <w:r w:rsidRPr="009F0F75">
        <w:rPr>
          <w:rFonts w:ascii="Times New Roman" w:eastAsia="Times New Roman" w:hAnsi="Times New Roman" w:cs="Times New Roman"/>
          <w:bCs/>
          <w:kern w:val="36"/>
          <w:sz w:val="24"/>
          <w:szCs w:val="24"/>
          <w:u w:val="single"/>
          <w:lang w:eastAsia="es-ES"/>
        </w:rPr>
        <w:t>Alemania: polémica por banco de alimentos que ya no atiende a extranjeros</w:t>
      </w:r>
      <w:r w:rsidRPr="002E16AE">
        <w:rPr>
          <w:rFonts w:ascii="Times New Roman" w:eastAsia="Times New Roman" w:hAnsi="Times New Roman" w:cs="Times New Roman"/>
          <w:bCs/>
          <w:kern w:val="36"/>
          <w:sz w:val="24"/>
          <w:szCs w:val="24"/>
          <w:lang w:eastAsia="es-ES"/>
        </w:rPr>
        <w:t xml:space="preserve"> (</w:t>
      </w:r>
      <w:r w:rsidRPr="002E16AE">
        <w:rPr>
          <w:rFonts w:ascii="Times New Roman" w:hAnsi="Times New Roman" w:cs="Times New Roman"/>
          <w:sz w:val="24"/>
          <w:szCs w:val="24"/>
        </w:rPr>
        <w:t xml:space="preserve">Deutsche Welle - </w:t>
      </w:r>
      <w:r w:rsidRPr="002E16AE">
        <w:rPr>
          <w:rFonts w:ascii="Times New Roman" w:hAnsi="Times New Roman" w:cs="Times New Roman"/>
          <w:b/>
          <w:sz w:val="24"/>
          <w:szCs w:val="24"/>
        </w:rPr>
        <w:t>23/2/18</w:t>
      </w:r>
      <w:r w:rsidRPr="002E16AE">
        <w:rPr>
          <w:rFonts w:ascii="Times New Roman" w:hAnsi="Times New Roman" w:cs="Times New Roman"/>
          <w:sz w:val="24"/>
          <w:szCs w:val="24"/>
        </w:rPr>
        <w:t>)</w:t>
      </w:r>
    </w:p>
    <w:p w:rsidR="00ED3A04" w:rsidRPr="002E16AE" w:rsidRDefault="00ED3A04" w:rsidP="00ED3A04">
      <w:pPr>
        <w:spacing w:line="240" w:lineRule="auto"/>
        <w:jc w:val="both"/>
        <w:rPr>
          <w:rFonts w:ascii="Times New Roman" w:hAnsi="Times New Roman" w:cs="Times New Roman"/>
          <w:sz w:val="24"/>
          <w:szCs w:val="24"/>
        </w:rPr>
      </w:pPr>
      <w:r w:rsidRPr="002E16AE">
        <w:rPr>
          <w:rFonts w:ascii="Times New Roman" w:hAnsi="Times New Roman" w:cs="Times New Roman"/>
          <w:sz w:val="24"/>
          <w:szCs w:val="24"/>
        </w:rPr>
        <w:t>(Por Sabrina Müller-Plotnikow - EAL/VT)</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 xml:space="preserve">Las organizaciones de ayuda critican que se deje de dar comida a los extranjeros en un comedor social de Essen. La </w:t>
      </w:r>
      <w:r>
        <w:rPr>
          <w:rFonts w:ascii="Times New Roman" w:eastAsia="Times New Roman" w:hAnsi="Times New Roman" w:cs="Times New Roman"/>
          <w:sz w:val="24"/>
          <w:szCs w:val="24"/>
          <w:lang w:eastAsia="es-ES"/>
        </w:rPr>
        <w:t>dirección lo justifica como un “grito de socorro”</w:t>
      </w:r>
      <w:r w:rsidRPr="009F0F75">
        <w:rPr>
          <w:rFonts w:ascii="Times New Roman" w:eastAsia="Times New Roman" w:hAnsi="Times New Roman" w:cs="Times New Roman"/>
          <w:sz w:val="24"/>
          <w:szCs w:val="24"/>
          <w:lang w:eastAsia="es-ES"/>
        </w:rPr>
        <w:t>.</w:t>
      </w:r>
    </w:p>
    <w:p w:rsidR="00ED3A04" w:rsidRPr="009F0F75" w:rsidRDefault="00ED3A04" w:rsidP="00ED3A04">
      <w:pPr>
        <w:shd w:val="clear" w:color="auto" w:fill="FFFFFF"/>
        <w:spacing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    </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2E16AE">
        <w:rPr>
          <w:rFonts w:ascii="Times New Roman" w:eastAsia="Times New Roman" w:hAnsi="Times New Roman" w:cs="Times New Roman"/>
          <w:noProof/>
          <w:sz w:val="24"/>
          <w:szCs w:val="24"/>
          <w:lang w:eastAsia="es-ES"/>
        </w:rPr>
        <w:drawing>
          <wp:inline distT="0" distB="0" distL="0" distR="0" wp14:anchorId="3DE6F434" wp14:editId="603333E6">
            <wp:extent cx="5727700" cy="2876550"/>
            <wp:effectExtent l="0" t="0" r="6350" b="0"/>
            <wp:docPr id="47" name="Imagen 47" descr="Deutschland Essener Tafel">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utschland Essener Tafel">
                      <a:hlinkClick r:id="rId120"/>
                    </pic:cNvPr>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27700" cy="2876550"/>
                    </a:xfrm>
                    <a:prstGeom prst="rect">
                      <a:avLst/>
                    </a:prstGeom>
                    <a:noFill/>
                    <a:ln>
                      <a:noFill/>
                    </a:ln>
                  </pic:spPr>
                </pic:pic>
              </a:graphicData>
            </a:graphic>
          </wp:inline>
        </w:drawing>
      </w: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9F0F75">
        <w:rPr>
          <w:rFonts w:ascii="Times New Roman" w:eastAsia="Times New Roman" w:hAnsi="Times New Roman" w:cs="Times New Roman"/>
          <w:sz w:val="24"/>
          <w:szCs w:val="24"/>
          <w:lang w:eastAsia="es-ES"/>
        </w:rPr>
        <w:t>Nos horroriza que la Tafel se pronuncie de esa manera</w:t>
      </w:r>
      <w:r>
        <w:rPr>
          <w:rFonts w:ascii="Times New Roman" w:eastAsia="Times New Roman" w:hAnsi="Times New Roman" w:cs="Times New Roman"/>
          <w:sz w:val="24"/>
          <w:szCs w:val="24"/>
          <w:lang w:eastAsia="es-ES"/>
        </w:rPr>
        <w:t>”, dice Heike Vongehr. “</w:t>
      </w:r>
      <w:r w:rsidRPr="009F0F75">
        <w:rPr>
          <w:rFonts w:ascii="Times New Roman" w:eastAsia="Times New Roman" w:hAnsi="Times New Roman" w:cs="Times New Roman"/>
          <w:sz w:val="24"/>
          <w:szCs w:val="24"/>
          <w:lang w:eastAsia="es-ES"/>
        </w:rPr>
        <w:t xml:space="preserve">Aquí se ayuda a cada necesitado, independientemente de dónde venga. Nadie se va con las manos </w:t>
      </w:r>
      <w:r>
        <w:rPr>
          <w:rFonts w:ascii="Times New Roman" w:eastAsia="Times New Roman" w:hAnsi="Times New Roman" w:cs="Times New Roman"/>
          <w:sz w:val="24"/>
          <w:szCs w:val="24"/>
          <w:lang w:eastAsia="es-ES"/>
        </w:rPr>
        <w:lastRenderedPageBreak/>
        <w:t>vacías”</w:t>
      </w:r>
      <w:r w:rsidRPr="009F0F75">
        <w:rPr>
          <w:rFonts w:ascii="Times New Roman" w:eastAsia="Times New Roman" w:hAnsi="Times New Roman" w:cs="Times New Roman"/>
          <w:sz w:val="24"/>
          <w:szCs w:val="24"/>
          <w:lang w:eastAsia="es-ES"/>
        </w:rPr>
        <w:t>, dice la presidenta de la filial en Düsseldorf de la Tafel, un banco de alimentos presente en todo el país.</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Las críticas de Heike Vongehr se dirigen a la Tafel de Essen por su decisión de admitir solo como nuevos clientes a alemanes. Ella no entiende por qué. Y es que desde enero de este año, la Tafel de la ciudad germana de Essen, en el oeste del país, ha dejado de prestar servicio a los extranjeros.</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También las Tafel de las localidades cercanas de Oberhausen y Dortmund r</w:t>
      </w:r>
      <w:r>
        <w:rPr>
          <w:rFonts w:ascii="Times New Roman" w:eastAsia="Times New Roman" w:hAnsi="Times New Roman" w:cs="Times New Roman"/>
          <w:sz w:val="24"/>
          <w:szCs w:val="24"/>
          <w:lang w:eastAsia="es-ES"/>
        </w:rPr>
        <w:t>eaccionaron con incomprensión. “</w:t>
      </w:r>
      <w:r w:rsidRPr="009F0F75">
        <w:rPr>
          <w:rFonts w:ascii="Times New Roman" w:eastAsia="Times New Roman" w:hAnsi="Times New Roman" w:cs="Times New Roman"/>
          <w:sz w:val="24"/>
          <w:szCs w:val="24"/>
          <w:lang w:eastAsia="es-ES"/>
        </w:rPr>
        <w:t>No creo que esta postura de la Tafel de Essen sea conforme con los estatutos y los valo</w:t>
      </w:r>
      <w:r>
        <w:rPr>
          <w:rFonts w:ascii="Times New Roman" w:eastAsia="Times New Roman" w:hAnsi="Times New Roman" w:cs="Times New Roman"/>
          <w:sz w:val="24"/>
          <w:szCs w:val="24"/>
          <w:lang w:eastAsia="es-ES"/>
        </w:rPr>
        <w:t>res federales de la institución”</w:t>
      </w:r>
      <w:r w:rsidRPr="009F0F75">
        <w:rPr>
          <w:rFonts w:ascii="Times New Roman" w:eastAsia="Times New Roman" w:hAnsi="Times New Roman" w:cs="Times New Roman"/>
          <w:sz w:val="24"/>
          <w:szCs w:val="24"/>
          <w:lang w:eastAsia="es-ES"/>
        </w:rPr>
        <w:t>, dicen desde la organización en Dortmund.</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Desde enero, en Essen solo los habitantes con pasaporte alemán reciben la tarjeta de comida, que les permite obtener alimentos de la Tafel. Según los datos de la organización, tres cuartos de los necesitados tienen un trasfondo migratorio. El presidente de la Tafel de Essen, Jörg Sartor, y algunos miembros de su junta directiva quieren cambiar esto.</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b/>
          <w:bCs/>
          <w:sz w:val="24"/>
          <w:szCs w:val="24"/>
          <w:lang w:eastAsia="es-ES"/>
        </w:rPr>
      </w:pPr>
      <w:r w:rsidRPr="002E16AE">
        <w:rPr>
          <w:rFonts w:ascii="Times New Roman" w:eastAsia="Times New Roman" w:hAnsi="Times New Roman" w:cs="Times New Roman"/>
          <w:b/>
          <w:bCs/>
          <w:sz w:val="24"/>
          <w:szCs w:val="24"/>
          <w:lang w:eastAsia="es-ES"/>
        </w:rPr>
        <w:t>Sentimiento de incomodidad</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De acuerdo con una encuesta interna entre los clientes de la Tafel, las mujeres y especialmente las madres solteras se sienten intimidadas por los hombres jóvenes que hablan otra lengua, dijo Sartor a los periodistas que se habí</w:t>
      </w:r>
      <w:r w:rsidR="00C4665B">
        <w:rPr>
          <w:rFonts w:ascii="Times New Roman" w:eastAsia="Times New Roman" w:hAnsi="Times New Roman" w:cs="Times New Roman"/>
          <w:sz w:val="24"/>
          <w:szCs w:val="24"/>
          <w:lang w:eastAsia="es-ES"/>
        </w:rPr>
        <w:t>an acercado a la organización. “</w:t>
      </w:r>
      <w:r w:rsidRPr="009F0F75">
        <w:rPr>
          <w:rFonts w:ascii="Times New Roman" w:eastAsia="Times New Roman" w:hAnsi="Times New Roman" w:cs="Times New Roman"/>
          <w:sz w:val="24"/>
          <w:szCs w:val="24"/>
          <w:lang w:eastAsia="es-ES"/>
        </w:rPr>
        <w:t>Hemos averiguado que las personas se siente</w:t>
      </w:r>
      <w:r w:rsidR="00C4665B">
        <w:rPr>
          <w:rFonts w:ascii="Times New Roman" w:eastAsia="Times New Roman" w:hAnsi="Times New Roman" w:cs="Times New Roman"/>
          <w:sz w:val="24"/>
          <w:szCs w:val="24"/>
          <w:lang w:eastAsia="es-ES"/>
        </w:rPr>
        <w:t>n incómodas mientras hacen cola”, añadió. “</w:t>
      </w:r>
      <w:r w:rsidRPr="009F0F75">
        <w:rPr>
          <w:rFonts w:ascii="Times New Roman" w:eastAsia="Times New Roman" w:hAnsi="Times New Roman" w:cs="Times New Roman"/>
          <w:sz w:val="24"/>
          <w:szCs w:val="24"/>
          <w:lang w:eastAsia="es-ES"/>
        </w:rPr>
        <w:t>El comportamiento de algunos ha llevado a la incomodidad de otros que ya no vuelven. Quiero que ten</w:t>
      </w:r>
      <w:r w:rsidR="00C4665B">
        <w:rPr>
          <w:rFonts w:ascii="Times New Roman" w:eastAsia="Times New Roman" w:hAnsi="Times New Roman" w:cs="Times New Roman"/>
          <w:sz w:val="24"/>
          <w:szCs w:val="24"/>
          <w:lang w:eastAsia="es-ES"/>
        </w:rPr>
        <w:t>gamos una convivencia razonable”</w:t>
      </w:r>
      <w:r w:rsidRPr="009F0F75">
        <w:rPr>
          <w:rFonts w:ascii="Times New Roman" w:eastAsia="Times New Roman" w:hAnsi="Times New Roman" w:cs="Times New Roman"/>
          <w:sz w:val="24"/>
          <w:szCs w:val="24"/>
          <w:lang w:eastAsia="es-ES"/>
        </w:rPr>
        <w:t>, indicó al tiempo que hablaba de un proceso de sustitución.</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2E16AE">
        <w:rPr>
          <w:rFonts w:ascii="Times New Roman" w:eastAsia="Times New Roman" w:hAnsi="Times New Roman" w:cs="Times New Roman"/>
          <w:noProof/>
          <w:sz w:val="24"/>
          <w:szCs w:val="24"/>
          <w:lang w:eastAsia="es-ES"/>
        </w:rPr>
        <w:drawing>
          <wp:inline distT="0" distB="0" distL="0" distR="0" wp14:anchorId="275AE38F" wp14:editId="64D8B917">
            <wp:extent cx="5746750" cy="3111500"/>
            <wp:effectExtent l="0" t="0" r="6350" b="0"/>
            <wp:docPr id="68" name="Imagen 68" descr="Deutschland Essener Tafel">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eutschland Essener Tafel">
                      <a:hlinkClick r:id="rId120"/>
                    </pic:cNvPr>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46750" cy="3111500"/>
                    </a:xfrm>
                    <a:prstGeom prst="rect">
                      <a:avLst/>
                    </a:prstGeom>
                    <a:noFill/>
                    <a:ln>
                      <a:noFill/>
                    </a:ln>
                  </pic:spPr>
                </pic:pic>
              </a:graphicData>
            </a:graphic>
          </wp:inline>
        </w:drawing>
      </w: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La Tafel de Essen da 1.800 tarjetas con las que reciben alimentos adicionales 6.000 habitantes de la ciudad. El porcentaje de personas no alemanas que reciben esta ayuda es del 61 por ciento, según Sartor. La tarjeta tiene una validez de entre tres meses y un año, en función de la edad. Los mayores de 60 pueden utilizar los servicios de la Tafel sin limitación.</w:t>
      </w:r>
    </w:p>
    <w:p w:rsidR="00ED3A04" w:rsidRDefault="00ED3A04" w:rsidP="00ED3A04">
      <w:pPr>
        <w:shd w:val="clear" w:color="auto" w:fill="FFFFFF"/>
        <w:spacing w:after="0" w:line="240" w:lineRule="auto"/>
        <w:jc w:val="both"/>
        <w:rPr>
          <w:rFonts w:ascii="Times New Roman" w:eastAsia="Times New Roman" w:hAnsi="Times New Roman" w:cs="Times New Roman"/>
          <w:b/>
          <w:bCs/>
          <w:sz w:val="24"/>
          <w:szCs w:val="24"/>
          <w:lang w:eastAsia="es-ES"/>
        </w:rPr>
      </w:pPr>
      <w:r w:rsidRPr="002E16AE">
        <w:rPr>
          <w:rFonts w:ascii="Times New Roman" w:eastAsia="Times New Roman" w:hAnsi="Times New Roman" w:cs="Times New Roman"/>
          <w:b/>
          <w:bCs/>
          <w:sz w:val="24"/>
          <w:szCs w:val="24"/>
          <w:lang w:eastAsia="es-ES"/>
        </w:rPr>
        <w:lastRenderedPageBreak/>
        <w:t>Cada vez más jubilados necesitados</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El problema es que cada vez más personas acuden a recibir alimentos a las casi 930 Tafel que hay en toda Alemania. Uno de cada cuatro pensionistas es cliente de esta organización de ayuda, de acuerdo con datos de la institución federal. Las Tafel reciben los alimentos de negocios como supermercados, cantinas o panaderías. Al año esto da ayuda a más de 1,5 millones de personas.</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C4665B" w:rsidP="00ED3A0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D3A04" w:rsidRPr="009F0F75">
        <w:rPr>
          <w:rFonts w:ascii="Times New Roman" w:eastAsia="Times New Roman" w:hAnsi="Times New Roman" w:cs="Times New Roman"/>
          <w:sz w:val="24"/>
          <w:szCs w:val="24"/>
          <w:lang w:eastAsia="es-ES"/>
        </w:rPr>
        <w:t xml:space="preserve">Como organización de ayuda social, es inaceptable que hagamos diferencia según el pasaporte o el color de </w:t>
      </w:r>
      <w:r>
        <w:rPr>
          <w:rFonts w:ascii="Times New Roman" w:eastAsia="Times New Roman" w:hAnsi="Times New Roman" w:cs="Times New Roman"/>
          <w:sz w:val="24"/>
          <w:szCs w:val="24"/>
          <w:lang w:eastAsia="es-ES"/>
        </w:rPr>
        <w:t>piel. Se trata de una necesidad”</w:t>
      </w:r>
      <w:r w:rsidR="00ED3A04" w:rsidRPr="009F0F75">
        <w:rPr>
          <w:rFonts w:ascii="Times New Roman" w:eastAsia="Times New Roman" w:hAnsi="Times New Roman" w:cs="Times New Roman"/>
          <w:sz w:val="24"/>
          <w:szCs w:val="24"/>
          <w:lang w:eastAsia="es-ES"/>
        </w:rPr>
        <w:t>, declara Gerhard Timm, director del colectivo federal de o</w:t>
      </w:r>
      <w:r>
        <w:rPr>
          <w:rFonts w:ascii="Times New Roman" w:eastAsia="Times New Roman" w:hAnsi="Times New Roman" w:cs="Times New Roman"/>
          <w:sz w:val="24"/>
          <w:szCs w:val="24"/>
          <w:lang w:eastAsia="es-ES"/>
        </w:rPr>
        <w:t>rganizaciones de beneficencia. “</w:t>
      </w:r>
      <w:r w:rsidR="00ED3A04" w:rsidRPr="009F0F75">
        <w:rPr>
          <w:rFonts w:ascii="Times New Roman" w:eastAsia="Times New Roman" w:hAnsi="Times New Roman" w:cs="Times New Roman"/>
          <w:sz w:val="24"/>
          <w:szCs w:val="24"/>
          <w:lang w:eastAsia="es-ES"/>
        </w:rPr>
        <w:t>Vemos un aumento en estas necesidades en todo el país. Pese a que Alemania es una nación rica, cada vez hay más pobreza en la vejez, o gente que no llega a fin de mes con los servicios sociales</w:t>
      </w:r>
      <w:r>
        <w:rPr>
          <w:rFonts w:ascii="Times New Roman" w:eastAsia="Times New Roman" w:hAnsi="Times New Roman" w:cs="Times New Roman"/>
          <w:sz w:val="24"/>
          <w:szCs w:val="24"/>
          <w:lang w:eastAsia="es-ES"/>
        </w:rPr>
        <w:t xml:space="preserve"> y necesita una ayuda adicional”</w:t>
      </w:r>
      <w:r w:rsidR="00ED3A04" w:rsidRPr="009F0F75">
        <w:rPr>
          <w:rFonts w:ascii="Times New Roman" w:eastAsia="Times New Roman" w:hAnsi="Times New Roman" w:cs="Times New Roman"/>
          <w:sz w:val="24"/>
          <w:szCs w:val="24"/>
          <w:lang w:eastAsia="es-ES"/>
        </w:rPr>
        <w:t>.</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Otra razón para la mayor afluencia de necesitados en las Tafel es, en su opinión, el </w:t>
      </w:r>
      <w:hyperlink r:id="rId123" w:history="1">
        <w:r w:rsidRPr="002E16AE">
          <w:rPr>
            <w:rFonts w:ascii="Times New Roman" w:eastAsia="Times New Roman" w:hAnsi="Times New Roman" w:cs="Times New Roman"/>
            <w:sz w:val="24"/>
            <w:szCs w:val="24"/>
            <w:lang w:eastAsia="es-ES"/>
          </w:rPr>
          <w:t>encarecimiento de los alquileres</w:t>
        </w:r>
      </w:hyperlink>
      <w:r w:rsidR="00C4665B">
        <w:rPr>
          <w:rFonts w:ascii="Times New Roman" w:eastAsia="Times New Roman" w:hAnsi="Times New Roman" w:cs="Times New Roman"/>
          <w:sz w:val="24"/>
          <w:szCs w:val="24"/>
          <w:lang w:eastAsia="es-ES"/>
        </w:rPr>
        <w:t>. “</w:t>
      </w:r>
      <w:r w:rsidRPr="009F0F75">
        <w:rPr>
          <w:rFonts w:ascii="Times New Roman" w:eastAsia="Times New Roman" w:hAnsi="Times New Roman" w:cs="Times New Roman"/>
          <w:sz w:val="24"/>
          <w:szCs w:val="24"/>
          <w:lang w:eastAsia="es-ES"/>
        </w:rPr>
        <w:t>Nos hemos dado cuenta de que el precio del alquiler crece mucho más rápido que las pensiones, de que los trabajos precarios no dan para vivir o de que </w:t>
      </w:r>
      <w:hyperlink r:id="rId124" w:history="1">
        <w:r w:rsidRPr="002E16AE">
          <w:rPr>
            <w:rFonts w:ascii="Times New Roman" w:eastAsia="Times New Roman" w:hAnsi="Times New Roman" w:cs="Times New Roman"/>
            <w:sz w:val="24"/>
            <w:szCs w:val="24"/>
            <w:lang w:eastAsia="es-ES"/>
          </w:rPr>
          <w:t>las ayudas sociales no bastan</w:t>
        </w:r>
      </w:hyperlink>
      <w:r w:rsidRPr="009F0F75">
        <w:rPr>
          <w:rFonts w:ascii="Times New Roman" w:eastAsia="Times New Roman" w:hAnsi="Times New Roman" w:cs="Times New Roman"/>
          <w:sz w:val="24"/>
          <w:szCs w:val="24"/>
          <w:lang w:eastAsia="es-ES"/>
        </w:rPr>
        <w:t xml:space="preserve">. Esto </w:t>
      </w:r>
      <w:r w:rsidR="00C4665B">
        <w:rPr>
          <w:rFonts w:ascii="Times New Roman" w:eastAsia="Times New Roman" w:hAnsi="Times New Roman" w:cs="Times New Roman"/>
          <w:sz w:val="24"/>
          <w:szCs w:val="24"/>
          <w:lang w:eastAsia="es-ES"/>
        </w:rPr>
        <w:t>hace a la gente más dependiente”</w:t>
      </w:r>
      <w:r w:rsidRPr="009F0F75">
        <w:rPr>
          <w:rFonts w:ascii="Times New Roman" w:eastAsia="Times New Roman" w:hAnsi="Times New Roman" w:cs="Times New Roman"/>
          <w:sz w:val="24"/>
          <w:szCs w:val="24"/>
          <w:lang w:eastAsia="es-ES"/>
        </w:rPr>
        <w:t>. Él no ha constatado que haya una competición por la ayuda que desplace a</w:t>
      </w:r>
      <w:r w:rsidR="00C4665B">
        <w:rPr>
          <w:rFonts w:ascii="Times New Roman" w:eastAsia="Times New Roman" w:hAnsi="Times New Roman" w:cs="Times New Roman"/>
          <w:sz w:val="24"/>
          <w:szCs w:val="24"/>
          <w:lang w:eastAsia="es-ES"/>
        </w:rPr>
        <w:t xml:space="preserve"> otros necesitados. “</w:t>
      </w:r>
      <w:r w:rsidRPr="009F0F75">
        <w:rPr>
          <w:rFonts w:ascii="Times New Roman" w:eastAsia="Times New Roman" w:hAnsi="Times New Roman" w:cs="Times New Roman"/>
          <w:sz w:val="24"/>
          <w:szCs w:val="24"/>
          <w:lang w:eastAsia="es-ES"/>
        </w:rPr>
        <w:t>Con los refugiados ha llegad</w:t>
      </w:r>
      <w:r w:rsidR="00C4665B">
        <w:rPr>
          <w:rFonts w:ascii="Times New Roman" w:eastAsia="Times New Roman" w:hAnsi="Times New Roman" w:cs="Times New Roman"/>
          <w:sz w:val="24"/>
          <w:szCs w:val="24"/>
          <w:lang w:eastAsia="es-ES"/>
        </w:rPr>
        <w:t>o un nuevo grupo de necesitados”</w:t>
      </w:r>
      <w:r w:rsidRPr="009F0F75">
        <w:rPr>
          <w:rFonts w:ascii="Times New Roman" w:eastAsia="Times New Roman" w:hAnsi="Times New Roman" w:cs="Times New Roman"/>
          <w:sz w:val="24"/>
          <w:szCs w:val="24"/>
          <w:lang w:eastAsia="es-ES"/>
        </w:rPr>
        <w:t>, dice Timm.</w:t>
      </w: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b/>
          <w:bCs/>
          <w:sz w:val="24"/>
          <w:szCs w:val="24"/>
          <w:lang w:eastAsia="es-ES"/>
        </w:rPr>
      </w:pPr>
      <w:r w:rsidRPr="002E16AE">
        <w:rPr>
          <w:rFonts w:ascii="Times New Roman" w:eastAsia="Times New Roman" w:hAnsi="Times New Roman" w:cs="Times New Roman"/>
          <w:b/>
          <w:bCs/>
          <w:sz w:val="24"/>
          <w:szCs w:val="24"/>
          <w:lang w:eastAsia="es-ES"/>
        </w:rPr>
        <w:t>Que nadie sea privado de ayuda</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C4665B" w:rsidP="00ED3A0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D3A04" w:rsidRPr="009F0F75">
        <w:rPr>
          <w:rFonts w:ascii="Times New Roman" w:eastAsia="Times New Roman" w:hAnsi="Times New Roman" w:cs="Times New Roman"/>
          <w:sz w:val="24"/>
          <w:szCs w:val="24"/>
          <w:lang w:eastAsia="es-ES"/>
        </w:rPr>
        <w:t>Poner a unos necesitados contra otros so</w:t>
      </w:r>
      <w:r>
        <w:rPr>
          <w:rFonts w:ascii="Times New Roman" w:eastAsia="Times New Roman" w:hAnsi="Times New Roman" w:cs="Times New Roman"/>
          <w:sz w:val="24"/>
          <w:szCs w:val="24"/>
          <w:lang w:eastAsia="es-ES"/>
        </w:rPr>
        <w:t>lo distrae de la propia miseria”</w:t>
      </w:r>
      <w:r w:rsidR="00ED3A04" w:rsidRPr="009F0F75">
        <w:rPr>
          <w:rFonts w:ascii="Times New Roman" w:eastAsia="Times New Roman" w:hAnsi="Times New Roman" w:cs="Times New Roman"/>
          <w:sz w:val="24"/>
          <w:szCs w:val="24"/>
          <w:lang w:eastAsia="es-ES"/>
        </w:rPr>
        <w:t xml:space="preserve">, sentencia Inka Jatta, de la rama local de la organización </w:t>
      </w:r>
      <w:r>
        <w:rPr>
          <w:rFonts w:ascii="Times New Roman" w:eastAsia="Times New Roman" w:hAnsi="Times New Roman" w:cs="Times New Roman"/>
          <w:sz w:val="24"/>
          <w:szCs w:val="24"/>
          <w:lang w:eastAsia="es-ES"/>
        </w:rPr>
        <w:t>de ayuda a refugiados ProAsyl. “</w:t>
      </w:r>
      <w:r w:rsidR="00ED3A04" w:rsidRPr="009F0F75">
        <w:rPr>
          <w:rFonts w:ascii="Times New Roman" w:eastAsia="Times New Roman" w:hAnsi="Times New Roman" w:cs="Times New Roman"/>
          <w:sz w:val="24"/>
          <w:szCs w:val="24"/>
          <w:lang w:eastAsia="es-ES"/>
        </w:rPr>
        <w:t>La forma en que la Tafel de Essen ha tomado esta decisión </w:t>
      </w:r>
      <w:hyperlink r:id="rId125" w:history="1">
        <w:r w:rsidR="00ED3A04" w:rsidRPr="002E16AE">
          <w:rPr>
            <w:rFonts w:ascii="Times New Roman" w:eastAsia="Times New Roman" w:hAnsi="Times New Roman" w:cs="Times New Roman"/>
            <w:sz w:val="24"/>
            <w:szCs w:val="24"/>
            <w:lang w:eastAsia="es-ES"/>
          </w:rPr>
          <w:t>fomenta la xenofobia</w:t>
        </w:r>
      </w:hyperlink>
      <w:r w:rsidR="00ED3A04" w:rsidRPr="009F0F75">
        <w:rPr>
          <w:rFonts w:ascii="Times New Roman" w:eastAsia="Times New Roman" w:hAnsi="Times New Roman" w:cs="Times New Roman"/>
          <w:sz w:val="24"/>
          <w:szCs w:val="24"/>
          <w:lang w:eastAsia="es-ES"/>
        </w:rPr>
        <w:t> y preocupa a la ciudadanía, porque se sirve de prejuicios y cli</w:t>
      </w:r>
      <w:r>
        <w:rPr>
          <w:rFonts w:ascii="Times New Roman" w:eastAsia="Times New Roman" w:hAnsi="Times New Roman" w:cs="Times New Roman"/>
          <w:sz w:val="24"/>
          <w:szCs w:val="24"/>
          <w:lang w:eastAsia="es-ES"/>
        </w:rPr>
        <w:t>chés”</w:t>
      </w:r>
      <w:r w:rsidR="00ED3A04" w:rsidRPr="009F0F75">
        <w:rPr>
          <w:rFonts w:ascii="Times New Roman" w:eastAsia="Times New Roman" w:hAnsi="Times New Roman" w:cs="Times New Roman"/>
          <w:sz w:val="24"/>
          <w:szCs w:val="24"/>
          <w:lang w:eastAsia="es-ES"/>
        </w:rPr>
        <w:t>, añade.</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C4665B" w:rsidP="00ED3A0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D3A04" w:rsidRPr="009F0F75">
        <w:rPr>
          <w:rFonts w:ascii="Times New Roman" w:eastAsia="Times New Roman" w:hAnsi="Times New Roman" w:cs="Times New Roman"/>
          <w:sz w:val="24"/>
          <w:szCs w:val="24"/>
          <w:lang w:eastAsia="es-ES"/>
        </w:rPr>
        <w:t>Puede que haya crecido el porcentaje de hombres jóvenes migrantes entre los clientes de la Tafel de Essen. También puede ser que algunos de ellos no se</w:t>
      </w:r>
      <w:r>
        <w:rPr>
          <w:rFonts w:ascii="Times New Roman" w:eastAsia="Times New Roman" w:hAnsi="Times New Roman" w:cs="Times New Roman"/>
          <w:sz w:val="24"/>
          <w:szCs w:val="24"/>
          <w:lang w:eastAsia="es-ES"/>
        </w:rPr>
        <w:t xml:space="preserve"> hayan comportado correctamente”, dice Jatta. “</w:t>
      </w:r>
      <w:r w:rsidR="00ED3A04" w:rsidRPr="009F0F75">
        <w:rPr>
          <w:rFonts w:ascii="Times New Roman" w:eastAsia="Times New Roman" w:hAnsi="Times New Roman" w:cs="Times New Roman"/>
          <w:sz w:val="24"/>
          <w:szCs w:val="24"/>
          <w:lang w:eastAsia="es-ES"/>
        </w:rPr>
        <w:t>Pero no es por ello aceptable que se prive de ayuda a todas las personas sin pasaporte alemán que la necesitan. En otras ciudades se han encontrado soluciones difere</w:t>
      </w:r>
      <w:r>
        <w:rPr>
          <w:rFonts w:ascii="Times New Roman" w:eastAsia="Times New Roman" w:hAnsi="Times New Roman" w:cs="Times New Roman"/>
          <w:sz w:val="24"/>
          <w:szCs w:val="24"/>
          <w:lang w:eastAsia="es-ES"/>
        </w:rPr>
        <w:t>ntes que no discriminan a nadie”</w:t>
      </w:r>
      <w:r w:rsidR="00ED3A04" w:rsidRPr="009F0F75">
        <w:rPr>
          <w:rFonts w:ascii="Times New Roman" w:eastAsia="Times New Roman" w:hAnsi="Times New Roman" w:cs="Times New Roman"/>
          <w:sz w:val="24"/>
          <w:szCs w:val="24"/>
          <w:lang w:eastAsia="es-ES"/>
        </w:rPr>
        <w:t>.</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El propio jefe de la Tafel de Essen, Sartor, siente que se le ha entendido mal y no comprende toda la agitación. Sostiene que nadie le ha presentado quejas real</w:t>
      </w:r>
      <w:r w:rsidR="00C4665B">
        <w:rPr>
          <w:rFonts w:ascii="Times New Roman" w:eastAsia="Times New Roman" w:hAnsi="Times New Roman" w:cs="Times New Roman"/>
          <w:sz w:val="24"/>
          <w:szCs w:val="24"/>
          <w:lang w:eastAsia="es-ES"/>
        </w:rPr>
        <w:t>mente y justifica su decisión: “</w:t>
      </w:r>
      <w:r w:rsidRPr="009F0F75">
        <w:rPr>
          <w:rFonts w:ascii="Times New Roman" w:eastAsia="Times New Roman" w:hAnsi="Times New Roman" w:cs="Times New Roman"/>
          <w:sz w:val="24"/>
          <w:szCs w:val="24"/>
          <w:lang w:eastAsia="es-ES"/>
        </w:rPr>
        <w:t>Quizás excluimos desde hace dos meses a extranjeros, pero quizás también hemos estado excluyendo a alema</w:t>
      </w:r>
      <w:r w:rsidR="00C4665B">
        <w:rPr>
          <w:rFonts w:ascii="Times New Roman" w:eastAsia="Times New Roman" w:hAnsi="Times New Roman" w:cs="Times New Roman"/>
          <w:sz w:val="24"/>
          <w:szCs w:val="24"/>
          <w:lang w:eastAsia="es-ES"/>
        </w:rPr>
        <w:t>nes desde hace años sin saberlo”</w:t>
      </w:r>
      <w:r w:rsidRPr="009F0F75">
        <w:rPr>
          <w:rFonts w:ascii="Times New Roman" w:eastAsia="Times New Roman" w:hAnsi="Times New Roman" w:cs="Times New Roman"/>
          <w:sz w:val="24"/>
          <w:szCs w:val="24"/>
          <w:lang w:eastAsia="es-ES"/>
        </w:rPr>
        <w:t>.</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ED3A04"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r w:rsidRPr="009F0F75">
        <w:rPr>
          <w:rFonts w:ascii="Times New Roman" w:eastAsia="Times New Roman" w:hAnsi="Times New Roman" w:cs="Times New Roman"/>
          <w:sz w:val="24"/>
          <w:szCs w:val="24"/>
          <w:lang w:eastAsia="es-ES"/>
        </w:rPr>
        <w:t xml:space="preserve">Su balance: desde enero ya ha caído el porcentaje de extranjeros. ¿Puede esta </w:t>
      </w:r>
      <w:r w:rsidRPr="00C4665B">
        <w:rPr>
          <w:rFonts w:ascii="Times New Roman" w:eastAsia="Times New Roman" w:hAnsi="Times New Roman" w:cs="Times New Roman"/>
          <w:sz w:val="24"/>
          <w:szCs w:val="24"/>
          <w:lang w:eastAsia="es-ES"/>
        </w:rPr>
        <w:t>iniciativa </w:t>
      </w:r>
      <w:hyperlink r:id="rId126" w:history="1">
        <w:r w:rsidRPr="00C4665B">
          <w:rPr>
            <w:rFonts w:ascii="Times New Roman" w:eastAsia="Times New Roman" w:hAnsi="Times New Roman" w:cs="Times New Roman"/>
            <w:sz w:val="24"/>
            <w:szCs w:val="24"/>
            <w:lang w:eastAsia="es-ES"/>
          </w:rPr>
          <w:t>alimentar el voto a los partidos derechistas como Alternativa para Alemania</w:t>
        </w:r>
      </w:hyperlink>
      <w:r w:rsidR="00C4665B">
        <w:rPr>
          <w:rFonts w:ascii="Times New Roman" w:eastAsia="Times New Roman" w:hAnsi="Times New Roman" w:cs="Times New Roman"/>
          <w:sz w:val="24"/>
          <w:szCs w:val="24"/>
          <w:lang w:eastAsia="es-ES"/>
        </w:rPr>
        <w:t> (AfD)? “</w:t>
      </w:r>
      <w:r w:rsidRPr="009F0F75">
        <w:rPr>
          <w:rFonts w:ascii="Times New Roman" w:eastAsia="Times New Roman" w:hAnsi="Times New Roman" w:cs="Times New Roman"/>
          <w:sz w:val="24"/>
          <w:szCs w:val="24"/>
          <w:lang w:eastAsia="es-ES"/>
        </w:rPr>
        <w:t>¡Si tuviéramos algo contra los extranjeros, habríamos mandado a cas</w:t>
      </w:r>
      <w:r w:rsidR="00C4665B">
        <w:rPr>
          <w:rFonts w:ascii="Times New Roman" w:eastAsia="Times New Roman" w:hAnsi="Times New Roman" w:cs="Times New Roman"/>
          <w:sz w:val="24"/>
          <w:szCs w:val="24"/>
          <w:lang w:eastAsia="es-ES"/>
        </w:rPr>
        <w:t>a al 75 por ciento en diciembre</w:t>
      </w:r>
      <w:r w:rsidR="00873824">
        <w:rPr>
          <w:rFonts w:ascii="Times New Roman" w:eastAsia="Times New Roman" w:hAnsi="Times New Roman" w:cs="Times New Roman"/>
          <w:sz w:val="24"/>
          <w:szCs w:val="24"/>
          <w:lang w:eastAsia="es-ES"/>
        </w:rPr>
        <w:t>!</w:t>
      </w:r>
      <w:r w:rsidR="00C4665B">
        <w:rPr>
          <w:rFonts w:ascii="Times New Roman" w:eastAsia="Times New Roman" w:hAnsi="Times New Roman" w:cs="Times New Roman"/>
          <w:sz w:val="24"/>
          <w:szCs w:val="24"/>
          <w:lang w:eastAsia="es-ES"/>
        </w:rPr>
        <w:t>”, se defiende Sartor. “</w:t>
      </w:r>
      <w:r w:rsidRPr="009F0F75">
        <w:rPr>
          <w:rFonts w:ascii="Times New Roman" w:eastAsia="Times New Roman" w:hAnsi="Times New Roman" w:cs="Times New Roman"/>
          <w:sz w:val="24"/>
          <w:szCs w:val="24"/>
          <w:lang w:eastAsia="es-ES"/>
        </w:rPr>
        <w:t>Siempre hemos tenido un alto porcentaje de extranjeros. Esto</w:t>
      </w:r>
      <w:r w:rsidR="00C4665B">
        <w:rPr>
          <w:rFonts w:ascii="Times New Roman" w:eastAsia="Times New Roman" w:hAnsi="Times New Roman" w:cs="Times New Roman"/>
          <w:sz w:val="24"/>
          <w:szCs w:val="24"/>
          <w:lang w:eastAsia="es-ES"/>
        </w:rPr>
        <w:t xml:space="preserve"> no es sino un grito de socorro”</w:t>
      </w:r>
      <w:r w:rsidRPr="009F0F75">
        <w:rPr>
          <w:rFonts w:ascii="Times New Roman" w:eastAsia="Times New Roman" w:hAnsi="Times New Roman" w:cs="Times New Roman"/>
          <w:sz w:val="24"/>
          <w:szCs w:val="24"/>
          <w:lang w:eastAsia="es-ES"/>
        </w:rPr>
        <w:t>.</w:t>
      </w:r>
    </w:p>
    <w:p w:rsidR="00ED3A04" w:rsidRPr="009F0F75" w:rsidRDefault="00ED3A04" w:rsidP="00ED3A04">
      <w:pPr>
        <w:shd w:val="clear" w:color="auto" w:fill="FFFFFF"/>
        <w:spacing w:after="0" w:line="240" w:lineRule="auto"/>
        <w:jc w:val="both"/>
        <w:rPr>
          <w:rFonts w:ascii="Times New Roman" w:eastAsia="Times New Roman" w:hAnsi="Times New Roman" w:cs="Times New Roman"/>
          <w:sz w:val="24"/>
          <w:szCs w:val="24"/>
          <w:lang w:eastAsia="es-ES"/>
        </w:rPr>
      </w:pPr>
    </w:p>
    <w:p w:rsidR="008D25A0" w:rsidRDefault="008D25A0" w:rsidP="00ED3A04">
      <w:pPr>
        <w:spacing w:line="240" w:lineRule="auto"/>
        <w:jc w:val="both"/>
        <w:rPr>
          <w:rFonts w:ascii="Times New Roman" w:hAnsi="Times New Roman" w:cs="Times New Roman"/>
          <w:sz w:val="24"/>
          <w:szCs w:val="24"/>
        </w:rPr>
      </w:pPr>
    </w:p>
    <w:p w:rsidR="008D25A0" w:rsidRDefault="008D25A0" w:rsidP="00ED3A04">
      <w:pPr>
        <w:spacing w:line="240" w:lineRule="auto"/>
        <w:jc w:val="both"/>
        <w:rPr>
          <w:rFonts w:ascii="Times New Roman" w:hAnsi="Times New Roman" w:cs="Times New Roman"/>
          <w:sz w:val="24"/>
          <w:szCs w:val="24"/>
        </w:rPr>
      </w:pPr>
    </w:p>
    <w:p w:rsidR="008D25A0" w:rsidRDefault="008D25A0" w:rsidP="00ED3A04">
      <w:pPr>
        <w:spacing w:line="240" w:lineRule="auto"/>
        <w:jc w:val="both"/>
        <w:rPr>
          <w:rFonts w:ascii="Times New Roman" w:hAnsi="Times New Roman" w:cs="Times New Roman"/>
          <w:sz w:val="24"/>
          <w:szCs w:val="24"/>
        </w:rPr>
      </w:pPr>
    </w:p>
    <w:p w:rsidR="00ED3A04" w:rsidRPr="001B774E"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B774E">
        <w:rPr>
          <w:rFonts w:ascii="Times New Roman" w:hAnsi="Times New Roman" w:cs="Times New Roman"/>
          <w:sz w:val="24"/>
          <w:szCs w:val="24"/>
          <w:u w:val="single"/>
        </w:rPr>
        <w:t>Anatomía de una cola del hambre: “Soy mendigo a mucha honra</w:t>
      </w:r>
      <w:r w:rsidRPr="001B774E">
        <w:rPr>
          <w:rFonts w:ascii="Times New Roman" w:hAnsi="Times New Roman" w:cs="Times New Roman"/>
          <w:sz w:val="24"/>
          <w:szCs w:val="24"/>
        </w:rPr>
        <w:t>”</w:t>
      </w:r>
      <w:r>
        <w:rPr>
          <w:rFonts w:ascii="Times New Roman" w:hAnsi="Times New Roman" w:cs="Times New Roman"/>
          <w:sz w:val="24"/>
          <w:szCs w:val="24"/>
        </w:rPr>
        <w:t xml:space="preserve"> (El País - </w:t>
      </w:r>
      <w:r w:rsidRPr="001B774E">
        <w:rPr>
          <w:rFonts w:ascii="Times New Roman" w:hAnsi="Times New Roman" w:cs="Times New Roman"/>
          <w:b/>
          <w:sz w:val="24"/>
          <w:szCs w:val="24"/>
        </w:rPr>
        <w:t>18/5/20</w:t>
      </w:r>
      <w:r>
        <w:rPr>
          <w:rFonts w:ascii="Times New Roman" w:hAnsi="Times New Roman" w:cs="Times New Roman"/>
          <w:sz w:val="24"/>
          <w:szCs w:val="24"/>
        </w:rPr>
        <w:t>)</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El repartidor de Glovo y Uber Eats, la madre coraje, el vendedor de entradas del Palacio Real en paro, el perito judicial o el antiguo traficante de cocaína coinciden esperando para recibir alimentos</w:t>
      </w:r>
    </w:p>
    <w:p w:rsidR="00ED3A04" w:rsidRPr="001B774E" w:rsidRDefault="00ED3A04" w:rsidP="00ED3A04">
      <w:pPr>
        <w:spacing w:line="240" w:lineRule="auto"/>
        <w:jc w:val="both"/>
        <w:rPr>
          <w:rFonts w:ascii="Times New Roman" w:hAnsi="Times New Roman" w:cs="Times New Roman"/>
          <w:sz w:val="24"/>
          <w:szCs w:val="24"/>
        </w:rPr>
      </w:pPr>
      <w:r>
        <w:rPr>
          <w:noProof/>
          <w:lang w:eastAsia="es-ES"/>
        </w:rPr>
        <w:drawing>
          <wp:inline distT="0" distB="0" distL="0" distR="0" wp14:anchorId="6941A6E2" wp14:editId="16AC0BCA">
            <wp:extent cx="5715000" cy="3200400"/>
            <wp:effectExtent l="0" t="0" r="0" b="0"/>
            <wp:docPr id="76" name="Imagen 76" descr="Personas esperando a recibir comida en el Comedor Social de las Hijas de la Caridad de Mad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ersonas esperando a recibir comida en el Comedor Social de las Hijas de la Caridad de Madri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15000" cy="3200400"/>
                    </a:xfrm>
                    <a:prstGeom prst="rect">
                      <a:avLst/>
                    </a:prstGeom>
                    <a:noFill/>
                    <a:ln>
                      <a:noFill/>
                    </a:ln>
                  </pic:spPr>
                </pic:pic>
              </a:graphicData>
            </a:graphic>
          </wp:inline>
        </w:drawing>
      </w:r>
      <w:r w:rsidRPr="001B774E">
        <w:rPr>
          <w:rFonts w:ascii="Times New Roman" w:hAnsi="Times New Roman" w:cs="Times New Roman"/>
          <w:sz w:val="24"/>
          <w:szCs w:val="24"/>
        </w:rPr>
        <w:t>Personas esperando a recibir comida en el Comedor Social de las Hijas de la Caridad de Madrid</w:t>
      </w:r>
    </w:p>
    <w:p w:rsidR="00ED3A04" w:rsidRPr="001B774E"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B774E">
        <w:rPr>
          <w:rFonts w:ascii="Times New Roman" w:hAnsi="Times New Roman" w:cs="Times New Roman"/>
          <w:sz w:val="24"/>
          <w:szCs w:val="24"/>
        </w:rPr>
        <w:t>L</w:t>
      </w:r>
      <w:r w:rsidR="00C4665B">
        <w:rPr>
          <w:rFonts w:ascii="Times New Roman" w:hAnsi="Times New Roman" w:cs="Times New Roman"/>
          <w:sz w:val="24"/>
          <w:szCs w:val="24"/>
        </w:rPr>
        <w:t>uis de Vega)</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“Aquí ya se sacaban pucheros a la calle cuando hace más de un siglo la calle General Martínez Campos era un arrabal puro y duro de Madrid”. Sor Josefa, conquense de 62 años, supervisa el reparto. “Si se acaban las bolsas, preparamos más. Nunca nos falta comida”, añade la directora de las Hijas de la Caridad. Desde 1916 gestionan este comedor social en Chamberí, una zona hoy acomodada de la capital. La pandemia les ha pillado con más de un siglo de experiencia en la asistencia social. A las 90 familias a las que suelen dar sustento, hoy se unen centenares de madrileños que acuden golpeado</w:t>
      </w:r>
      <w:r>
        <w:rPr>
          <w:rFonts w:ascii="Times New Roman" w:hAnsi="Times New Roman" w:cs="Times New Roman"/>
          <w:sz w:val="24"/>
          <w:szCs w:val="24"/>
        </w:rPr>
        <w:t>s por la crisis de la covid-19.</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 mediodía, la cola se alarga más de un centenar de metros. Más de 100.000 personas comen de repartos como este estos días en Madrid. La Federación Española de Bancos de Alimentos (Fesbal) alcanzó en 2014 su techo de beneficiarios con 1.700.000 en toda España. Desde entonces esa cifra ha ido bajando hasta los 1.050.000 de 2019, pero con la pandemia han aumentado un 30%.</w:t>
      </w:r>
    </w:p>
    <w:p w:rsidR="00C4665B"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“Vemos personas que no habían venido nunca. También nos está volviendo gente de hace cuatro o cinco años”, señala con un leve lamento sor Josefa. “El Resistiré no es solo una musiquilla. Es lo que nos toca, combatir esta nueva necesidad”. A lo largo de la mañana pasan también vecinos a preguntar qué traen. “Pañales de la 3, 4 y 5, por favor”, responde a una de ellas la religiosa. La hilera de personas que acude a por comida es variopinta. Los hay que llegan en perfecto estado de revista. Recogen su bolsa con alimentos, dan las gracias, agachan la cabeza y se van. A otros se les ve menos avergonzados ante la cita caritativa. ¿Pero quién hay detrás de esta cola del hambre?</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lastRenderedPageBreak/>
        <w:t>El mendigo repartidor de Glovo y Uber Eats</w:t>
      </w:r>
    </w:p>
    <w:p w:rsidR="00ED3A04" w:rsidRPr="001B774E" w:rsidRDefault="00ED3A04" w:rsidP="00ED3A04">
      <w:pPr>
        <w:spacing w:line="240" w:lineRule="auto"/>
        <w:jc w:val="both"/>
        <w:rPr>
          <w:rFonts w:ascii="Times New Roman" w:hAnsi="Times New Roman" w:cs="Times New Roman"/>
          <w:sz w:val="24"/>
          <w:szCs w:val="24"/>
        </w:rPr>
      </w:pPr>
      <w:r>
        <w:rPr>
          <w:noProof/>
          <w:lang w:eastAsia="es-ES"/>
        </w:rPr>
        <w:drawing>
          <wp:inline distT="0" distB="0" distL="0" distR="0" wp14:anchorId="614CF622" wp14:editId="608B6791">
            <wp:extent cx="5683250" cy="3187700"/>
            <wp:effectExtent l="0" t="0" r="0" b="0"/>
            <wp:docPr id="77" name="Imagen 77" descr="David (prefiere no publicar su nombre real), de 27 años, es mendigo y, a la vez, repartidor de Glovo y Uber E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avid (prefiere no publicar su nombre real), de 27 años, es mendigo y, a la vez, repartidor de Glovo y Uber Eats."/>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683250" cy="3187700"/>
                    </a:xfrm>
                    <a:prstGeom prst="rect">
                      <a:avLst/>
                    </a:prstGeom>
                    <a:noFill/>
                    <a:ln>
                      <a:noFill/>
                    </a:ln>
                  </pic:spPr>
                </pic:pic>
              </a:graphicData>
            </a:graphic>
          </wp:inline>
        </w:drawing>
      </w:r>
      <w:r w:rsidRPr="001B774E">
        <w:rPr>
          <w:rFonts w:ascii="Times New Roman" w:hAnsi="Times New Roman" w:cs="Times New Roman"/>
          <w:sz w:val="24"/>
          <w:szCs w:val="24"/>
        </w:rPr>
        <w:t>David (prefiere no publicar su nombre real), de 27 años, es mendigo y, a la vez, repartidor de Glovo y Uber Eats.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“Soy mendigo a mucha honra”. David, de 27 años, cerró en marzo su periplo europeo de trotamundos después de contagiarse de la covid-19 en Londres. “Dormía muy cerquita del Big Ben”. A los 16 años entró de aprendiz en la fábrica de Seat de Martorell (Barcelona) y se fue a los 23. “El único motivo por el que iba era el dinero ¿Para qué quiero yo esos billetitos de colores?”. Ahora duerme en los alrededores de la estación madrileña de Chamartín y desde hace dos semanas se ha dado de alta como rider (repartidor) de Glovo y Uber Eats. Mientras conversa con el reportero, el joven está pendiente de los encargos a través de una tablet. De escritorio en su improvisada oficina callejera hace la mochila cuadrada de vivos colores en la que lleva la comida. La silla es la mochila de sus pertenencias. Este mediodía no ha podido abrir la bolsa que ha recogido en las Hijas de la Caridad porque le han salido tres envíos. Está contento, reconoce este joven que prefiere que no se publique su verdadero nombre. De lunes a domingo calcula que ha hecho unos 80 euros incluyendo las propinas. Tiene que pagar el uso de la bicicleta municipal de alquiler por minutos de Bicimad, que es su medio de transporte. Varios sin techo</w:t>
      </w:r>
      <w:r w:rsidR="00873824">
        <w:rPr>
          <w:rFonts w:ascii="Times New Roman" w:hAnsi="Times New Roman" w:cs="Times New Roman"/>
          <w:sz w:val="24"/>
          <w:szCs w:val="24"/>
        </w:rPr>
        <w:t>,</w:t>
      </w:r>
      <w:r w:rsidRPr="001B774E">
        <w:rPr>
          <w:rFonts w:ascii="Times New Roman" w:hAnsi="Times New Roman" w:cs="Times New Roman"/>
          <w:sz w:val="24"/>
          <w:szCs w:val="24"/>
        </w:rPr>
        <w:t xml:space="preserve"> mayores que él</w:t>
      </w:r>
      <w:r w:rsidR="00873824">
        <w:rPr>
          <w:rFonts w:ascii="Times New Roman" w:hAnsi="Times New Roman" w:cs="Times New Roman"/>
          <w:sz w:val="24"/>
          <w:szCs w:val="24"/>
        </w:rPr>
        <w:t>,</w:t>
      </w:r>
      <w:r w:rsidRPr="001B774E">
        <w:rPr>
          <w:rFonts w:ascii="Times New Roman" w:hAnsi="Times New Roman" w:cs="Times New Roman"/>
          <w:sz w:val="24"/>
          <w:szCs w:val="24"/>
        </w:rPr>
        <w:t xml:space="preserve"> escuchan atentos a sus peripecias y lo miran extrañados cuando cuenta que en Alemania rechazó las ayudas económicas para los que no tienen un hogar. “Por mi forma de ser en la calle es donde mejor estoy”.</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La madre coraje de tres hijos</w:t>
      </w:r>
    </w:p>
    <w:p w:rsidR="00C4665B" w:rsidRDefault="00C4665B"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“¿Tenéis más mermelada?”. Isabel, de 48 años, es bien conocida por los que trabajan en las Hijas de la Caridad. “Venga, Isabel, que llevas más que los demás”. Es de las que ya necesitaba ayuda antes del aterrizaje del coronavirus. La pandemia ha truncado el sueño de ver despegar laboralmente a sus dos hijos mayores.</w:t>
      </w:r>
    </w:p>
    <w:p w:rsidR="00ED3A04" w:rsidRPr="001B774E" w:rsidRDefault="00ED3A04" w:rsidP="00ED3A0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F11111F" wp14:editId="2CCABE3C">
            <wp:extent cx="5695950" cy="2749550"/>
            <wp:effectExtent l="0" t="0" r="0" b="0"/>
            <wp:docPr id="78" name="Imagen 78" descr="Isabel (derecha) conversa con sor Josefa, directora de las Hijas de la Car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sabel (derecha) conversa con sor Josefa, directora de las Hijas de la Carida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95950" cy="2749550"/>
                    </a:xfrm>
                    <a:prstGeom prst="rect">
                      <a:avLst/>
                    </a:prstGeom>
                    <a:noFill/>
                    <a:ln>
                      <a:noFill/>
                    </a:ln>
                  </pic:spPr>
                </pic:pic>
              </a:graphicData>
            </a:graphic>
          </wp:inline>
        </w:drawing>
      </w:r>
      <w:r w:rsidRPr="001B774E">
        <w:rPr>
          <w:rFonts w:ascii="Times New Roman" w:hAnsi="Times New Roman" w:cs="Times New Roman"/>
          <w:sz w:val="24"/>
          <w:szCs w:val="24"/>
        </w:rPr>
        <w:t>Isabel (derecha) conversa con sor Josefa, directora de las Hijas de la Caridad.</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Cuenta desilusionada cómo su hija, de 19, entró a trabajar de camarera de piso en un hotel. Y su hijo de 18 en un restaurante. Reconoce que con esas expectativas esfumadas, el estado de alarma está suponiendo un pesado lastre emocional. Su piso del barrio de Ventilla, en el que vive también su hijo de 16 años, arde estos días en discusiones subidas de tono. Sor Josefa la anima mientras ella se va tirando de su carro rojo con lo necesario para que coman los cuatro hasta el jueves.</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El vendedor de entradas del Palacio Real</w:t>
      </w:r>
    </w:p>
    <w:p w:rsidR="00ED3A04" w:rsidRPr="001B774E" w:rsidRDefault="00ED3A04" w:rsidP="00ED3A04">
      <w:pPr>
        <w:spacing w:line="240" w:lineRule="auto"/>
        <w:jc w:val="both"/>
        <w:rPr>
          <w:rFonts w:ascii="Times New Roman" w:hAnsi="Times New Roman" w:cs="Times New Roman"/>
          <w:sz w:val="24"/>
          <w:szCs w:val="24"/>
        </w:rPr>
      </w:pPr>
      <w:r>
        <w:rPr>
          <w:noProof/>
          <w:lang w:eastAsia="es-ES"/>
        </w:rPr>
        <w:drawing>
          <wp:inline distT="0" distB="0" distL="0" distR="0" wp14:anchorId="78F0D3D1" wp14:editId="49FAF8D4">
            <wp:extent cx="5695950" cy="2800350"/>
            <wp:effectExtent l="0" t="0" r="0" b="0"/>
            <wp:docPr id="79" name="Imagen 79" descr="Francisco, que hasta hace poco vendía entradas del palacio Real, guarda la comida en su moch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rancisco, que hasta hace poco vendía entradas del palacio Real, guarda la comida en su mochila."/>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695950" cy="2800350"/>
                    </a:xfrm>
                    <a:prstGeom prst="rect">
                      <a:avLst/>
                    </a:prstGeom>
                    <a:noFill/>
                    <a:ln>
                      <a:noFill/>
                    </a:ln>
                  </pic:spPr>
                </pic:pic>
              </a:graphicData>
            </a:graphic>
          </wp:inline>
        </w:drawing>
      </w:r>
      <w:r w:rsidRPr="001B774E">
        <w:rPr>
          <w:rFonts w:ascii="Times New Roman" w:hAnsi="Times New Roman" w:cs="Times New Roman"/>
          <w:sz w:val="24"/>
          <w:szCs w:val="24"/>
        </w:rPr>
        <w:t>Francisco, que hasta hace poco vendía entradas del palacio Real, guarda la comida en su mochila.</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 xml:space="preserve">Francisco, de 28 años, espera una oportunidad para regresar a Tenerife. Su guerrera oscura de botones dorados reluce entre los que esperan la cola. “Esta comida es muy buena”, afirma mientras se sienta en la acera de Martínez Campos a hincarle el diente al bocata de tortilla. Durante un año y tres meses ha sido vendedor de entradas del Palacio Real. Ahora, en paro, deberá dejar la habitación donde vive alquilado por 300 euros mensuales en una vieja corrala de la calle Oviedo. “Ahí he sido inmensamente feliz”, reconoce con pena. Lo van a acoger </w:t>
      </w:r>
      <w:r w:rsidRPr="001B774E">
        <w:rPr>
          <w:rFonts w:ascii="Times New Roman" w:hAnsi="Times New Roman" w:cs="Times New Roman"/>
          <w:sz w:val="24"/>
          <w:szCs w:val="24"/>
        </w:rPr>
        <w:lastRenderedPageBreak/>
        <w:t xml:space="preserve">unos evangélicos en uno de sus pisos para desintoxicar a drogadictos. “Yo soy más bien católico y mi única droga es el tabaco, pero a </w:t>
      </w:r>
      <w:r>
        <w:rPr>
          <w:rFonts w:ascii="Times New Roman" w:hAnsi="Times New Roman" w:cs="Times New Roman"/>
          <w:sz w:val="24"/>
          <w:szCs w:val="24"/>
        </w:rPr>
        <w:t>ver si por lo menos me quitan”.</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El antiguo perito judicial</w:t>
      </w:r>
    </w:p>
    <w:p w:rsidR="00ED3A04" w:rsidRPr="001B774E" w:rsidRDefault="00ED3A04" w:rsidP="00ED3A04">
      <w:pPr>
        <w:spacing w:line="240" w:lineRule="auto"/>
        <w:jc w:val="both"/>
        <w:rPr>
          <w:rFonts w:ascii="Times New Roman" w:hAnsi="Times New Roman" w:cs="Times New Roman"/>
          <w:sz w:val="24"/>
          <w:szCs w:val="24"/>
        </w:rPr>
      </w:pPr>
      <w:r>
        <w:rPr>
          <w:noProof/>
          <w:lang w:eastAsia="es-ES"/>
        </w:rPr>
        <w:drawing>
          <wp:inline distT="0" distB="0" distL="0" distR="0" wp14:anchorId="3C28B941" wp14:editId="0157BD19">
            <wp:extent cx="5689600" cy="2774950"/>
            <wp:effectExtent l="0" t="0" r="6350" b="6350"/>
            <wp:docPr id="80" name="Imagen 80" descr="Alberto, antiguo perito judicial de 63 años, fotografiado en el comedor de las Hijas de la Car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lberto, antiguo perito judicial de 63 años, fotografiado en el comedor de las Hijas de la Carida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89600" cy="2774950"/>
                    </a:xfrm>
                    <a:prstGeom prst="rect">
                      <a:avLst/>
                    </a:prstGeom>
                    <a:noFill/>
                    <a:ln>
                      <a:noFill/>
                    </a:ln>
                  </pic:spPr>
                </pic:pic>
              </a:graphicData>
            </a:graphic>
          </wp:inline>
        </w:drawing>
      </w:r>
      <w:r w:rsidRPr="001B774E">
        <w:rPr>
          <w:rFonts w:ascii="Times New Roman" w:hAnsi="Times New Roman" w:cs="Times New Roman"/>
          <w:sz w:val="24"/>
          <w:szCs w:val="24"/>
        </w:rPr>
        <w:t>Alberto, antiguo perito judicial de 63 años, fotografiado en el comedor de las Hijas de la Caridad.</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Alberto, de 63 años, vive soltero, sin hijos, sin padres y con alguna tía y primo lejano. Este antiguo perito judicial, que luce corbatilla negra y sombrero, afirma que vive sin ingresos ni subsidio aunque tiene en Vallecas su piso pagado desde 2016. Además de acercarse a recoger la comida a las Hijas de la Caridad, acude a diario al centro de Madrid a pedir. “En la zona de Callao o por Quevedo me suele ir bien”. En su mano izquierda luce un brazalete de plástico del hospital Clínico. “Llevo entrando y saliendo desde enero por un problema de pulmón, pero no relacionado con el coronavirus. Me han hecho todas las pruebas de</w:t>
      </w:r>
      <w:r>
        <w:rPr>
          <w:rFonts w:ascii="Times New Roman" w:hAnsi="Times New Roman" w:cs="Times New Roman"/>
          <w:sz w:val="24"/>
          <w:szCs w:val="24"/>
        </w:rPr>
        <w:t>l mundo y no he dado positivo”.</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El traficante de cocaína retirado</w:t>
      </w:r>
    </w:p>
    <w:p w:rsidR="00ED3A04" w:rsidRPr="001B774E" w:rsidRDefault="00ED3A04" w:rsidP="00ED3A04">
      <w:pPr>
        <w:spacing w:line="240" w:lineRule="auto"/>
        <w:jc w:val="both"/>
        <w:rPr>
          <w:rFonts w:ascii="Times New Roman" w:hAnsi="Times New Roman" w:cs="Times New Roman"/>
          <w:sz w:val="24"/>
          <w:szCs w:val="24"/>
        </w:rPr>
      </w:pPr>
      <w:r>
        <w:rPr>
          <w:noProof/>
          <w:lang w:eastAsia="es-ES"/>
        </w:rPr>
        <w:drawing>
          <wp:inline distT="0" distB="0" distL="0" distR="0" wp14:anchorId="1DFE0A54" wp14:editId="35DEEC5E">
            <wp:extent cx="5600700" cy="2571750"/>
            <wp:effectExtent l="0" t="0" r="0" b="0"/>
            <wp:docPr id="81" name="Imagen 81" descr="Mario (no quiere que se publique su nombre real), de 34 años, ha estado en varias cárceles de Latinoamérica y España por traficar con cocaí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rio (no quiere que se publique su nombre real), de 34 años, ha estado en varias cárceles de Latinoamérica y España por traficar con cocaína."/>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600700" cy="2571750"/>
                    </a:xfrm>
                    <a:prstGeom prst="rect">
                      <a:avLst/>
                    </a:prstGeom>
                    <a:noFill/>
                    <a:ln>
                      <a:noFill/>
                    </a:ln>
                  </pic:spPr>
                </pic:pic>
              </a:graphicData>
            </a:graphic>
          </wp:inline>
        </w:drawing>
      </w:r>
      <w:r w:rsidRPr="001B774E">
        <w:rPr>
          <w:rFonts w:ascii="Times New Roman" w:hAnsi="Times New Roman" w:cs="Times New Roman"/>
          <w:sz w:val="24"/>
          <w:szCs w:val="24"/>
        </w:rPr>
        <w:t>Mario (no quiere que se publique su nombre real), de 34 años, ha estado en varias cárceles de Latinoamérica y España por traficar con cocaína.</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lastRenderedPageBreak/>
        <w:t>El currículum carcelario de Mario, de 34 años, es amplio. No se queja de la nave abandonada en la que duerme. Sobre todo al recordar sus 1.074 días en penales venezolanos, en especial el de Tocorón, antes de ser repatriado a cárceles de Madrid. El menor de cuatro hermanos de Aluche al que su madre no pudo mantener ya desde niño parece salido de una serie de Netflix. Durante un tiempo se dedicó a traer cocaína desde diferentes países de Latinoamérica a Europa. En maletas o tragada. Lo trincaron en dos ocasiones, una en Guayana Francesa y otra en Venezuela. Y en alguna más asegura que los traficantes jefes lo engañaron. Desde 2017 no pisa la cárcel y quiere trabajar. Pero nunca ha tenido un contrato. Este hombre, que prefiere guardar oculto su verdadero nombre, sabe que lo tiene complicado. “He tenido y tengo problemas con las drogas”, reconoce mientras balancea la bolsa blanca con la comida que le acaban de entregar. Los ojos se le iluminan al recordar la espera de un puñado de kilos de coca en Fortaleza (Brasil) aderezada con “rayitas, copas, discotecas y putas… pa flipar”.</w:t>
      </w:r>
    </w:p>
    <w:p w:rsidR="00ED3A04" w:rsidRPr="00831FBB"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1FBB">
        <w:rPr>
          <w:rFonts w:ascii="Times New Roman" w:hAnsi="Times New Roman" w:cs="Times New Roman"/>
          <w:sz w:val="24"/>
          <w:szCs w:val="24"/>
          <w:u w:val="single"/>
        </w:rPr>
        <w:t>La nueva pobreza italiana: señoras de clase media pidiendo comida a los okupas</w:t>
      </w:r>
      <w:r>
        <w:rPr>
          <w:rFonts w:ascii="Times New Roman" w:hAnsi="Times New Roman" w:cs="Times New Roman"/>
          <w:sz w:val="24"/>
          <w:szCs w:val="24"/>
        </w:rPr>
        <w:t xml:space="preserve"> (El Confidencial - </w:t>
      </w:r>
      <w:r w:rsidRPr="00831FBB">
        <w:rPr>
          <w:rFonts w:ascii="Times New Roman" w:hAnsi="Times New Roman" w:cs="Times New Roman"/>
          <w:b/>
          <w:sz w:val="24"/>
          <w:szCs w:val="24"/>
        </w:rPr>
        <w:t>7/10/20</w:t>
      </w:r>
      <w:r>
        <w:rPr>
          <w:rFonts w:ascii="Times New Roman" w:hAnsi="Times New Roman" w:cs="Times New Roman"/>
          <w:sz w:val="24"/>
          <w:szCs w:val="24"/>
        </w:rPr>
        <w:t>)</w:t>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El covid ha puesto en la calle, o frente al hambre, a gente que era clase media y nunca imaginó que podría llegar a algo así. Centenares de romanos tienen que pedir alimentos y ayudas</w:t>
      </w:r>
    </w:p>
    <w:p w:rsidR="00ED3A04" w:rsidRPr="00831FBB" w:rsidRDefault="00ED3A04" w:rsidP="00ED3A04">
      <w:pPr>
        <w:spacing w:line="240" w:lineRule="auto"/>
        <w:jc w:val="both"/>
        <w:rPr>
          <w:rFonts w:ascii="Times New Roman" w:hAnsi="Times New Roman" w:cs="Times New Roman"/>
          <w:sz w:val="24"/>
          <w:szCs w:val="24"/>
        </w:rPr>
      </w:pPr>
      <w:r>
        <w:rPr>
          <w:noProof/>
          <w:lang w:eastAsia="es-ES"/>
        </w:rPr>
        <w:drawing>
          <wp:inline distT="0" distB="0" distL="0" distR="0" wp14:anchorId="441EABCD" wp14:editId="67B1AAF1">
            <wp:extent cx="5689600" cy="3321050"/>
            <wp:effectExtent l="0" t="0" r="6350" b="0"/>
            <wp:docPr id="82" name="Imagen 82" descr="Foto: Colas del hambre en Roma. La asociación de okupas en Forte Prenestino entrega alimentos a los vecinos. (Javier Brand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oto: Colas del hambre en Roma. La asociación de okupas en Forte Prenestino entrega alimentos a los vecinos. (Javier Brandoli)"/>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89182" cy="3320806"/>
                    </a:xfrm>
                    <a:prstGeom prst="rect">
                      <a:avLst/>
                    </a:prstGeom>
                    <a:noFill/>
                    <a:ln>
                      <a:noFill/>
                    </a:ln>
                  </pic:spPr>
                </pic:pic>
              </a:graphicData>
            </a:graphic>
          </wp:inline>
        </w:drawing>
      </w:r>
      <w:r w:rsidRPr="00831FBB">
        <w:rPr>
          <w:rFonts w:ascii="Times New Roman" w:hAnsi="Times New Roman" w:cs="Times New Roman"/>
          <w:sz w:val="24"/>
          <w:szCs w:val="24"/>
        </w:rPr>
        <w:t xml:space="preserve">Colas del hambre en Roma. La asociación de okupas en Forte Prenestino entrega alimentos </w:t>
      </w:r>
      <w:r>
        <w:rPr>
          <w:rFonts w:ascii="Times New Roman" w:hAnsi="Times New Roman" w:cs="Times New Roman"/>
          <w:sz w:val="24"/>
          <w:szCs w:val="24"/>
        </w:rPr>
        <w:t xml:space="preserve">a los vecinos. </w:t>
      </w:r>
    </w:p>
    <w:p w:rsidR="00ED3A04" w:rsidRPr="00831FBB"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31FBB">
        <w:rPr>
          <w:rFonts w:ascii="Times New Roman" w:hAnsi="Times New Roman" w:cs="Times New Roman"/>
          <w:sz w:val="24"/>
          <w:szCs w:val="24"/>
        </w:rPr>
        <w:t>Por Javier Brandoli. Roma</w:t>
      </w:r>
      <w:r>
        <w:rPr>
          <w:rFonts w:ascii="Times New Roman" w:hAnsi="Times New Roman" w:cs="Times New Roman"/>
          <w:sz w:val="24"/>
          <w:szCs w:val="24"/>
        </w:rPr>
        <w:t>)</w:t>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 xml:space="preserve">Hay una pobreza casi transparente que tiene casa, incluso coche, y ropa de marca que va zurciendo. Tiene todo eso y, también, tiene hambre. Porque a algunos la </w:t>
      </w:r>
      <w:r w:rsidR="00C4665B">
        <w:rPr>
          <w:rFonts w:ascii="Times New Roman" w:hAnsi="Times New Roman" w:cs="Times New Roman"/>
          <w:sz w:val="24"/>
          <w:szCs w:val="24"/>
        </w:rPr>
        <w:t>pobreza les cayó sin tiempo de “desdecorarse”</w:t>
      </w:r>
      <w:r w:rsidRPr="00831FBB">
        <w:rPr>
          <w:rFonts w:ascii="Times New Roman" w:hAnsi="Times New Roman" w:cs="Times New Roman"/>
          <w:sz w:val="24"/>
          <w:szCs w:val="24"/>
        </w:rPr>
        <w:t xml:space="preserve">. De improviso, con el empujón de la pandemia, se encontraron un día con sus zapatos de cuero frente al televisor reconociéndose pobres. Y entonces tocó decidir. Primero recortaron los extras, luego algunas cosas básicas pero no esenciales, después el pago de los recibos, uno sí y dos no, para evitar quedarse sin agua, sin luz o sin vivienda, y un día, como si los hubieran parido de nuevo en otra vida, se recortaron su orgullo </w:t>
      </w:r>
      <w:r w:rsidRPr="00831FBB">
        <w:rPr>
          <w:rFonts w:ascii="Times New Roman" w:hAnsi="Times New Roman" w:cs="Times New Roman"/>
          <w:sz w:val="24"/>
          <w:szCs w:val="24"/>
        </w:rPr>
        <w:lastRenderedPageBreak/>
        <w:t xml:space="preserve">y se vieron haciendo cola en un centro okupa para recibir comida gratis con la que alicatar el estómago. </w:t>
      </w:r>
    </w:p>
    <w:p w:rsidR="00ED3A04" w:rsidRPr="00831FBB"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Son las 17:15 del jueves 1 de octubre. Una señora de unos 60 años, maquillada, bien vestida, con abrigo y botas negras, y un pequeño perro sujeto de una correa, cruza el portón de Forte Prenestino (FP). Pregunta cómo funciona todo, “es la primera vez que vengo”, señala. Recorre un suelo empedrado bajo una cúpula llena de grafitis y carteles. Se acerca a la mesa donde dos voluntarias, y también beneficiarias del programa de entrega de alimentos, esperan con las bolsas. La mujer de mediana edad está nerviosa. Con un gesto sutil pide no salir en la foto. Hace todo muy deprisa. Indica que tiene el coche aparcado en la puerta y con la premura de marcharse simulando que no ha venido olvida la bolsita con frutas y verduras.</w:t>
      </w:r>
    </w:p>
    <w:p w:rsidR="00ED3A04" w:rsidRPr="00831FBB"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Hay instantes que sirven para explicar un texto. Este explica bien una realidad que se extiende por la Ciudad Eterna: una señora de clase media acude a que unos okupas le regalen comida. “Me dijo que ella ya había pasado a por comida a un centro de Cáritas y que si había gente con más necesidad, dejaba su bolsa a otros”, dice Gina, una de las coordinadoras del FP. ¿Era la primera vez que venía? “Sí. Se ha ido tan rápido que no le he podido pedir el teléfono. Tenemos un grupo de WhatsApp con la gente del barrio que ayudamos”. Son los okupas, los mismos que eran mirados por muchos vecinos con recelo por ocupar este cuartel militar en mayo de 1986, los que han armado un programa de recogida y entrega de alimentos en el periférico barrio de Centocelle, Roma.</w:t>
      </w:r>
    </w:p>
    <w:p w:rsidR="00ED3A04" w:rsidRPr="00831FBB" w:rsidRDefault="00C4665B"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Los “sin techo”</w:t>
      </w:r>
      <w:r w:rsidR="00ED3A04" w:rsidRPr="00831FBB">
        <w:rPr>
          <w:rFonts w:ascii="Times New Roman" w:hAnsi="Times New Roman" w:cs="Times New Roman"/>
          <w:sz w:val="24"/>
          <w:szCs w:val="24"/>
        </w:rPr>
        <w:t xml:space="preserve"> con techo</w:t>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 xml:space="preserve">En Roma hay una pobreza vieja y decadente que se ha ido fermentando durante años tras sus lustrosos mármoles, y un hambre, nueva y preocupante, que se contagia veloz como el virus. “Cuando comenzó la pandemia, nos ofrecimos en el Grupo de Apoyo Mutuo (GAM) a hacer la compra a las personas que por riesgo no podían salir a la calle. A las pocas semanas, los beneficiarios nos indicaban que les compráramos solo en sitios donde había determinadas ofertas y, de pronto, nos dijeron que ya no podían pagar la compra”, cuenta Carlos Jaramillo, romano de 33 años que colabora en el FP. </w:t>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Los números son ya incapaces de explicar la velocidad con la que sucede todo. “Aumentan un 100% las peticiones de comida a Cáritas” o “Un 50% de las familias romanas, en riesgo de exclusión social” son solo titulares que aparecen estas semanas en los medios, pero la realidad es más sutil y separa una delgada línea entre ser pobre e intentar no parecerlo. El colapso es grave y socialmente imprevisible. No solo han quebrado muchas familias sino que han quebrado también muchas organizaciones que las ayudaban.</w:t>
      </w:r>
    </w:p>
    <w:p w:rsidR="00C4665B" w:rsidRDefault="00C4665B"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 xml:space="preserve">“Roma Altruista apoya a los nuevos pobres”. Ese es el lema de una asociación creada en 2011 que trabaja como intermediaria entre los que tienen la generosidad de ofrecer y los que tienen la necesidad de recibir. El covid ha puesto contra las cuerdas todo el proyecto. “Roma Altruista (RA) tiene 22.000 colaboradores que hacen voluntariado con el tiempo y conocimientos de que disponen. Cada uno se ofrece y ayuda en los muchos programas que tenemos asociados. Además, tenemos programas con empresas que aportan fondos o empleados a proyectos concretos con los que se identifican. La gran mayoría de esa actividad se ha parado desde marzo. Nosotros mismos hemos tenido que abandonar nuestra oficina y reducir nuestro personal contratado”, explica Melina Monteforte, miembro del consejo directivo de RA. ¿Por qué? “Porque muchas ayudas no se pueden realizar con las nuevas normas de distanciamiento, porque hay voluntarios que tienen miedo a los contagios y porque muchas empresas ya no tienen fondos”, resume. </w:t>
      </w:r>
    </w:p>
    <w:p w:rsidR="00ED3A04" w:rsidRPr="00831FBB" w:rsidRDefault="00ED3A04" w:rsidP="00ED3A0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5F7C6BB" wp14:editId="2D8FABFB">
            <wp:extent cx="5732885" cy="2730500"/>
            <wp:effectExtent l="0" t="0" r="1270" b="0"/>
            <wp:docPr id="83" name="Imagen 83" descr="Foto: J.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oto: J. B."/>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31510" cy="2729845"/>
                    </a:xfrm>
                    <a:prstGeom prst="rect">
                      <a:avLst/>
                    </a:prstGeom>
                    <a:noFill/>
                    <a:ln>
                      <a:noFill/>
                    </a:ln>
                  </pic:spPr>
                </pic:pic>
              </a:graphicData>
            </a:graphic>
          </wp:inline>
        </w:drawing>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Un frágil dominó del que el virus tiró la primera ficha y se van cayendo detrás la del anciano que recibía clases de informática, la persona de movilidad reducida que alguien sacaba a un parque o la familia que cenaba un plato caliente que cocinaban otros. Se mantienen los programas de ayuda a vagabundos y se difumina, porque en una emergencia se atienden primero los casos más graves, la de esa enorme clase media y baja ro</w:t>
      </w:r>
      <w:r w:rsidR="00C4665B">
        <w:rPr>
          <w:rFonts w:ascii="Times New Roman" w:hAnsi="Times New Roman" w:cs="Times New Roman"/>
          <w:sz w:val="24"/>
          <w:szCs w:val="24"/>
        </w:rPr>
        <w:t>mana que se va convirtiendo en “sin techo”</w:t>
      </w:r>
      <w:r w:rsidRPr="00831FBB">
        <w:rPr>
          <w:rFonts w:ascii="Times New Roman" w:hAnsi="Times New Roman" w:cs="Times New Roman"/>
          <w:sz w:val="24"/>
          <w:szCs w:val="24"/>
        </w:rPr>
        <w:t xml:space="preserve"> con techo. </w:t>
      </w:r>
    </w:p>
    <w:p w:rsidR="00ED3A04" w:rsidRPr="00831FBB"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Eso pasa un día, de pronto, y el impacto es enorme. “Fuimos vendiendo todo. Las pocas joyas, los electrodomésticos, la ropa… Fue muy raro la primera noche que dejamos nuestro piso, mandamos a nuestros tres hijos a vivir con mi madre a 60 kilómetros de Roma y nosotros nos echamos a dormir a la calle”, explicaba una pareja de romanos de 52 y 49 años en un artículo que hicimos en El Confidencial sobre esos más de 14.000 vagabundos que hay en Roma. Ese es el último paso, visible, el de dormir bajo unos cartones, pero el drama se extiende tras un montón de persianas bajadas que camuflan una miseria más ordenada.</w:t>
      </w:r>
    </w:p>
    <w:p w:rsidR="00ED3A04" w:rsidRPr="00831FBB" w:rsidRDefault="00ED3A04" w:rsidP="00ED3A04">
      <w:pPr>
        <w:spacing w:line="240" w:lineRule="auto"/>
        <w:jc w:val="both"/>
        <w:rPr>
          <w:rFonts w:ascii="Times New Roman" w:hAnsi="Times New Roman" w:cs="Times New Roman"/>
          <w:sz w:val="24"/>
          <w:szCs w:val="24"/>
        </w:rPr>
      </w:pPr>
      <w:r>
        <w:rPr>
          <w:noProof/>
          <w:lang w:eastAsia="es-ES"/>
        </w:rPr>
        <w:drawing>
          <wp:inline distT="0" distB="0" distL="0" distR="0" wp14:anchorId="7BC590ED" wp14:editId="6555BEA5">
            <wp:extent cx="5734050" cy="3060700"/>
            <wp:effectExtent l="0" t="0" r="0" b="6350"/>
            <wp:docPr id="84" name="Imagen 84" descr="Foto: Parte de la cola para pedir alimentos en la Fundación Madrina, este viernes. (David Brun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oto: Parte de la cola para pedir alimentos en la Fundación Madrina, este viernes. (David Brunat)"/>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33628" cy="3060475"/>
                    </a:xfrm>
                    <a:prstGeom prst="rect">
                      <a:avLst/>
                    </a:prstGeom>
                    <a:noFill/>
                    <a:ln>
                      <a:noFill/>
                    </a:ln>
                  </pic:spPr>
                </pic:pic>
              </a:graphicData>
            </a:graphic>
          </wp:inline>
        </w:drawing>
      </w:r>
      <w:r w:rsidRPr="00831FBB">
        <w:rPr>
          <w:rFonts w:ascii="Times New Roman" w:hAnsi="Times New Roman" w:cs="Times New Roman"/>
          <w:sz w:val="24"/>
          <w:szCs w:val="24"/>
        </w:rPr>
        <w:t>Colas interminables para pedir comida, la nueva curva que nadie sabe aplanar</w:t>
      </w:r>
      <w:r>
        <w:rPr>
          <w:rFonts w:ascii="Times New Roman" w:hAnsi="Times New Roman" w:cs="Times New Roman"/>
          <w:sz w:val="24"/>
          <w:szCs w:val="24"/>
        </w:rPr>
        <w:t xml:space="preserve">. </w:t>
      </w:r>
      <w:r w:rsidRPr="00831FBB">
        <w:rPr>
          <w:rFonts w:ascii="Times New Roman" w:hAnsi="Times New Roman" w:cs="Times New Roman"/>
          <w:sz w:val="24"/>
          <w:szCs w:val="24"/>
        </w:rPr>
        <w:t>Parte de la cola para pedir alimentos en la Fundación Madrina,</w:t>
      </w:r>
    </w:p>
    <w:p w:rsidR="00ED3A04" w:rsidRPr="00831FBB"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lastRenderedPageBreak/>
        <w:t>“Siento vergüenza de pedir”</w:t>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 xml:space="preserve">“No duermo casi. Estoy cansada, pero no duermo. Vivo con la angustia de aún poder empeorar más. No sabes cuándo acabará esta pesadilla, ni si acabará”, explica Ornella Abbate, de 52 años, con dos hijos y una vida a punto de derrumbarse. Viste bien, va maquillada, es culta, pero trabajaba sin contrato llevando las cuentas de un hotel de la periferia que tras el virus ha echado el cierre definitivo. “Mis hijos y yo vivimos con la ayuda de mis padres. Espero que llegue un trabajo, pero a mi edad lo veo difícil. Siento vergüenza de pedir. Antes yo ayudaba a los demás, salía a cenar, iba a la peluquería… Nunca digas nunca jamás. Nos han quitado la esperanza del mañana”, dice. </w:t>
      </w:r>
    </w:p>
    <w:p w:rsidR="00ED3A04" w:rsidRPr="00831FBB"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Ornella va a por comida a Forte Prenestino junto a su amiga Micaela Piccini, de 43 años, casada, con un hijo, perro y gato. Micaela es j</w:t>
      </w:r>
      <w:r w:rsidR="00C4665B">
        <w:rPr>
          <w:rFonts w:ascii="Times New Roman" w:hAnsi="Times New Roman" w:cs="Times New Roman"/>
          <w:sz w:val="24"/>
          <w:szCs w:val="24"/>
        </w:rPr>
        <w:t>unto a su marido -pronto eran-</w:t>
      </w:r>
      <w:r w:rsidRPr="00831FBB">
        <w:rPr>
          <w:rFonts w:ascii="Times New Roman" w:hAnsi="Times New Roman" w:cs="Times New Roman"/>
          <w:sz w:val="24"/>
          <w:szCs w:val="24"/>
        </w:rPr>
        <w:t xml:space="preserve"> dueña de una peluquería de la que los echan en unas semanas por no poder pagar. Puede perder más cosas de golpe. “Llevo 20 años pagando la hipoteca y ahora nos pueden quitar la casa porque debemos cuatro meses. El banco nos ofrece quedarnos la casa si pagamos la mitad de la hipoteca, pero nadie nos da un crédito porque no tenemos ingresos y mis padres no pueden ayudarme. De pronto, vives como esas personas que antes veías en la televisión que lo pasaban mal”, explica.</w:t>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 xml:space="preserve">Es un panorama global y creciente. Ornella y Micaela se enteraron de este programa del centro okupa en mayo, y en junio decidieron venir a hacer la gratuita compra de la comida que los voluntarios del FP recogen entre donantes. “Mucha gente del barrio está igual”, dice Micaela. “Hay gente que va a varios centros como este a pedir comida porque son muchos en la familia”, explica Carlos. Tal cual, al inicio del reparto del jueves una señora anciana pregunta: “¿Puedo llevarme dos bolsas? Mi hermana hoy no ha podido venir”. Gina le explica que no puede ser, que las normas son que se entrega un paquete de ayuda a cada persona, y la anciana carga la suya, que quizá deba repartir. </w:t>
      </w:r>
    </w:p>
    <w:p w:rsidR="00C4665B" w:rsidRDefault="00C4665B" w:rsidP="00ED3A04">
      <w:pPr>
        <w:spacing w:line="240" w:lineRule="auto"/>
        <w:jc w:val="both"/>
        <w:rPr>
          <w:rFonts w:ascii="Times New Roman" w:hAnsi="Times New Roman" w:cs="Times New Roman"/>
          <w:sz w:val="24"/>
          <w:szCs w:val="24"/>
        </w:rPr>
      </w:pPr>
      <w:r>
        <w:rPr>
          <w:noProof/>
          <w:lang w:eastAsia="es-ES"/>
        </w:rPr>
        <w:drawing>
          <wp:inline distT="0" distB="0" distL="0" distR="0" wp14:anchorId="0EBDB6A2" wp14:editId="1F141422">
            <wp:extent cx="5695950" cy="2686050"/>
            <wp:effectExtent l="0" t="0" r="0" b="0"/>
            <wp:docPr id="140" name="Imagen 140" descr="Foto: J.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Foto: J. B."/>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694688" cy="2685455"/>
                    </a:xfrm>
                    <a:prstGeom prst="rect">
                      <a:avLst/>
                    </a:prstGeom>
                    <a:noFill/>
                    <a:ln>
                      <a:noFill/>
                    </a:ln>
                  </pic:spPr>
                </pic:pic>
              </a:graphicData>
            </a:graphic>
          </wp:inline>
        </w:drawing>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 xml:space="preserve">Melina Monteforte, de Roma Altruista, ha vivido secuencias similares. “Había una señora en Roma que se pasaba cada día por todos los puestos de reparto de comida gratuitos de la ciudad y se llevaba bolsas y bolsas de comida. No sabíamos bien para qué acumulaba todo ese alimento”. Otros no buscan comida, buscan conversación, que la soledad pega como el hambre. “Ahora, con las nuevas normas, entregamos rápido un sándwich, fruta y pan en una bandeja, pero antes hacíamos sopa, guisos, y la gente mientras les servíamos hablaba con </w:t>
      </w:r>
      <w:r w:rsidRPr="00831FBB">
        <w:rPr>
          <w:rFonts w:ascii="Times New Roman" w:hAnsi="Times New Roman" w:cs="Times New Roman"/>
          <w:sz w:val="24"/>
          <w:szCs w:val="24"/>
        </w:rPr>
        <w:lastRenderedPageBreak/>
        <w:t>nosotros. Recuerdo a un señor muy educado, arreglado, que venía cada día cerca de la estación de Termini y hablábamos de todo. Creo que no necesitaba la comida, venía para poder charlar”. Programas en Roma de clases informáticas a ancianos se han intentado mantener de forma telemática y han sido un fracaso. Los ancianos no se apuntaban para aprender a usar sus teléfonos móviles, se apuntaban para tener alguien con quien ha</w:t>
      </w:r>
      <w:r w:rsidR="00C4665B">
        <w:rPr>
          <w:rFonts w:ascii="Times New Roman" w:hAnsi="Times New Roman" w:cs="Times New Roman"/>
          <w:sz w:val="24"/>
          <w:szCs w:val="24"/>
        </w:rPr>
        <w:t>blar sin sus teléfonos móviles.</w:t>
      </w:r>
    </w:p>
    <w:p w:rsidR="00ED3A04" w:rsidRPr="00831FBB"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“Soy un italiano pobre”</w:t>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 xml:space="preserve">Nadie ha retratado mejor la Roma oscura que Pasolini y Caravaggio. Sus películas y cuadros huelen y supuran. El problema es que el relato es cautivador, bello, y los ciudadanos lo hicieron costumbre. El sarpullido de pobreza que afecta a Roma ha gangrenado en las últimas décadas a las clases medias de la ciudad. Su periférica vida, alejada de los selfis del Coliseo y los rezos del Vaticano, se ha ido pudriendo en barrios con una población cada vez más vieja, unas infraestructuras de ínfimo nivel y unos servicios casi inexistentes. “En Roma, hay una emergencia soterrada. La Administración romana se debería reformar entera. No hay una emergencia, es ya una normalidad a la que se ha sumado el covid”, señala Melina. </w:t>
      </w:r>
    </w:p>
    <w:p w:rsidR="00ED3A04" w:rsidRDefault="00ED3A04" w:rsidP="00ED3A04">
      <w:pPr>
        <w:spacing w:line="240" w:lineRule="auto"/>
        <w:jc w:val="both"/>
        <w:rPr>
          <w:rFonts w:ascii="Times New Roman" w:hAnsi="Times New Roman" w:cs="Times New Roman"/>
          <w:sz w:val="24"/>
          <w:szCs w:val="24"/>
        </w:rPr>
      </w:pPr>
      <w:r w:rsidRPr="00831FBB">
        <w:rPr>
          <w:rFonts w:ascii="Times New Roman" w:hAnsi="Times New Roman" w:cs="Times New Roman"/>
          <w:sz w:val="24"/>
          <w:szCs w:val="24"/>
        </w:rPr>
        <w:t>El relato de la realidad de muchos barrios de Roma es casi cómico si no fuera por la tragedia que esconde. El covid es una especie de puntilla de imprevisibles consecuencias con unas elecciones municipales en 2021 donde la batidora populista extremista parte con la ventaja de pedir el voto a una tropa de ciudadanos encabronados y arruinados. “Aquí vienen personas de más de 45 años, italianos y extranjeros, que o trabajan en negro y necesitan comida para llegar a fin de mes o se quedaron sin empleo”, señala Carlos. “Nosotras, al tener una casa, partimos con desventaja para pedir las ayudas. No recibimos ninguna de las que ofrece el Gobierno o por exceso de puntos o por haber trabajado sin contrato”, ejemplifican Ornella y Micaela sobre ese drama que es ser solo pobre y no muy pobre para acceder a las diversas pagas estatales. Mientras, se rearman los barrios, se ajustan las familias en los metros cuadrados de vivienda disponibles y se innova la forma de pedir limosna. Se tira de nacionalismo, de una pena más cercana que golpee quizás a la gente por estar todos bajo amenaza. Ya no mendiga alguien lejano, mendiga un espejo. En el cruce entre Via Aurelia y la Circonvallazione Cornelia, suele pedir dinero en los semáforos un hombre de unos 70 años que sujeta un cartón en el que se lee: “Italiano povero” (italiano pobre).</w:t>
      </w:r>
    </w:p>
    <w:p w:rsidR="00ED3A04"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7CFA">
        <w:rPr>
          <w:rFonts w:ascii="Times New Roman" w:hAnsi="Times New Roman" w:cs="Times New Roman"/>
          <w:sz w:val="24"/>
          <w:szCs w:val="24"/>
          <w:u w:val="single"/>
        </w:rPr>
        <w:t>España se sitúa como el quinto país europeo con más pobreza</w:t>
      </w:r>
      <w:r>
        <w:rPr>
          <w:rFonts w:ascii="Times New Roman" w:hAnsi="Times New Roman" w:cs="Times New Roman"/>
          <w:sz w:val="24"/>
          <w:szCs w:val="24"/>
        </w:rPr>
        <w:t xml:space="preserve"> (Expansión - </w:t>
      </w:r>
      <w:r w:rsidRPr="00837CFA">
        <w:rPr>
          <w:rFonts w:ascii="Times New Roman" w:hAnsi="Times New Roman" w:cs="Times New Roman"/>
          <w:b/>
          <w:sz w:val="24"/>
          <w:szCs w:val="24"/>
        </w:rPr>
        <w:t>16/10/20</w:t>
      </w:r>
      <w:r>
        <w:rPr>
          <w:rFonts w:ascii="Times New Roman" w:hAnsi="Times New Roman" w:cs="Times New Roman"/>
          <w:sz w:val="24"/>
          <w:szCs w:val="24"/>
        </w:rPr>
        <w:t>)</w:t>
      </w:r>
    </w:p>
    <w:p w:rsidR="00ED3A04"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España ha escalado a la quinta posición de los países con más pobreza de la Unión Europea con un 20,7% de personas en riesgo, según los datos publicados este viernes por la oficina estadística europea, Eurostat. En el caso de los menores de 16 años, es el tercer país con más niños pobres de toda Europa po</w:t>
      </w:r>
      <w:r>
        <w:rPr>
          <w:rFonts w:ascii="Times New Roman" w:hAnsi="Times New Roman" w:cs="Times New Roman"/>
          <w:sz w:val="24"/>
          <w:szCs w:val="24"/>
        </w:rPr>
        <w:t>r detrás de Rumanía y Bulgaria.</w:t>
      </w:r>
    </w:p>
    <w:p w:rsidR="00ED3A04"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Con 9,6 millones de españoles pobres, España es el quinto país comunitario con más pobreza. A la cabeza está Rumanía, con una tasa de pobreza del 23,8%, seguida de Letonia, Bulgaria, Estonia y España. En el extremo opuesto están Finlandia y República Checa, que rondan el 10% de personas en riesgo de pobreza o exclusión social.</w:t>
      </w:r>
    </w:p>
    <w:p w:rsidR="00ED3A04" w:rsidRPr="00837CFA"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La tasa de pobreza de cada país se construye con aquellos hogares o unidades de consumo que están por debajo del 60% de la mediana nacional de ingresos. En España, dos de cada diez pe</w:t>
      </w:r>
      <w:r>
        <w:rPr>
          <w:rFonts w:ascii="Times New Roman" w:hAnsi="Times New Roman" w:cs="Times New Roman"/>
          <w:sz w:val="24"/>
          <w:szCs w:val="24"/>
        </w:rPr>
        <w:t>rsonas están en esta situación.</w:t>
      </w:r>
    </w:p>
    <w:p w:rsidR="00ED3A04" w:rsidRPr="00837CFA"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 xml:space="preserve">Las cifras más preocupantes en este país se encuentran en los niños y los jóvenes, con tasas de pobreza que rondan el 30%. En concreto, el 27,1% de los niños españoles menores de 16 </w:t>
      </w:r>
      <w:r w:rsidRPr="00837CFA">
        <w:rPr>
          <w:rFonts w:ascii="Times New Roman" w:hAnsi="Times New Roman" w:cs="Times New Roman"/>
          <w:sz w:val="24"/>
          <w:szCs w:val="24"/>
        </w:rPr>
        <w:lastRenderedPageBreak/>
        <w:t>años es pobre, la mayor tasa de la Unión Europea por detrás de Rumanía y Bulgaria. En el caso de los jóvenes españoles entre los 16 y los 29 año</w:t>
      </w:r>
      <w:r>
        <w:rPr>
          <w:rFonts w:ascii="Times New Roman" w:hAnsi="Times New Roman" w:cs="Times New Roman"/>
          <w:sz w:val="24"/>
          <w:szCs w:val="24"/>
        </w:rPr>
        <w:t>s, la pobreza alcanza al 26,5%.</w:t>
      </w:r>
    </w:p>
    <w:p w:rsidR="00ED3A04" w:rsidRPr="00837CFA" w:rsidRDefault="00ED3A04" w:rsidP="00ED3A04">
      <w:pPr>
        <w:spacing w:line="240" w:lineRule="auto"/>
        <w:jc w:val="both"/>
        <w:rPr>
          <w:rFonts w:ascii="Times New Roman" w:hAnsi="Times New Roman" w:cs="Times New Roman"/>
          <w:sz w:val="24"/>
          <w:szCs w:val="24"/>
        </w:rPr>
      </w:pPr>
    </w:p>
    <w:p w:rsidR="00ED3A04"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7CFA">
        <w:rPr>
          <w:rFonts w:ascii="Times New Roman" w:hAnsi="Times New Roman" w:cs="Times New Roman"/>
          <w:noProof/>
          <w:sz w:val="24"/>
          <w:szCs w:val="24"/>
          <w:lang w:eastAsia="es-ES"/>
        </w:rPr>
        <w:drawing>
          <wp:inline distT="0" distB="0" distL="0" distR="0" wp14:anchorId="1993D24A" wp14:editId="56F71B53">
            <wp:extent cx="5111750" cy="410210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110301" cy="4100937"/>
                    </a:xfrm>
                    <a:prstGeom prst="rect">
                      <a:avLst/>
                    </a:prstGeom>
                  </pic:spPr>
                </pic:pic>
              </a:graphicData>
            </a:graphic>
          </wp:inline>
        </w:drawing>
      </w:r>
    </w:p>
    <w:p w:rsidR="00ED3A04" w:rsidRPr="00837CFA"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En el conjunto de la Unión Europea, el 16,5% de la población estaba en riesgo de pobreza o exclusión social al cierre de 2019, según los datos consultados por Servimedia. Son dos décimas porcentu</w:t>
      </w:r>
      <w:r>
        <w:rPr>
          <w:rFonts w:ascii="Times New Roman" w:hAnsi="Times New Roman" w:cs="Times New Roman"/>
          <w:sz w:val="24"/>
          <w:szCs w:val="24"/>
        </w:rPr>
        <w:t>ales menos que el año anterior.</w:t>
      </w:r>
    </w:p>
    <w:p w:rsidR="00ED3A04" w:rsidRPr="00837CFA"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Sólo en siete países hay más de una de cada cinco personas en el umbral de la pobreza. Estos son Rumanía (23,8%), Letonia (22,9%), Bulgaria (22,6%), Estonia (21,7%), España (20,7%), Lit</w:t>
      </w:r>
      <w:r>
        <w:rPr>
          <w:rFonts w:ascii="Times New Roman" w:hAnsi="Times New Roman" w:cs="Times New Roman"/>
          <w:sz w:val="24"/>
          <w:szCs w:val="24"/>
        </w:rPr>
        <w:t>uania (20,6%) e Italia (20,3%).</w:t>
      </w:r>
    </w:p>
    <w:p w:rsidR="00ED3A04" w:rsidRPr="00837CFA"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La privación material severa, que es una forma extrema de pobreza que implica no poder pagar las facturas, no poder calentar la casa o no poder afrontar gastos imprevistos, afecta al 5,6% de la población europea. Los países con cotas más altas de este tipo de pobreza grave se dan en Bulgaria (19,9%), Grecia (16,2%) y (Ruma</w:t>
      </w:r>
      <w:r>
        <w:rPr>
          <w:rFonts w:ascii="Times New Roman" w:hAnsi="Times New Roman" w:cs="Times New Roman"/>
          <w:sz w:val="24"/>
          <w:szCs w:val="24"/>
        </w:rPr>
        <w:t>nía 14,5%).</w:t>
      </w:r>
    </w:p>
    <w:p w:rsidR="00ED3A04" w:rsidRPr="00837CFA"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Desde la perspectiva de género, las mujeres son más pobres. Por ejemplo, en España la tasa de pobreza se sitúa en el 20,2% entre los hombres y en el 21,1% entre las mujeres. A nivel europeo la diferencia es aún más abrupta, con una tasa femenina del 17,2% fre</w:t>
      </w:r>
      <w:r>
        <w:rPr>
          <w:rFonts w:ascii="Times New Roman" w:hAnsi="Times New Roman" w:cs="Times New Roman"/>
          <w:sz w:val="24"/>
          <w:szCs w:val="24"/>
        </w:rPr>
        <w:t>nte a un 15,8% de la masculina.</w:t>
      </w:r>
    </w:p>
    <w:p w:rsidR="00ED3A04" w:rsidRDefault="00ED3A04" w:rsidP="00ED3A04">
      <w:pPr>
        <w:spacing w:line="240" w:lineRule="auto"/>
        <w:jc w:val="both"/>
        <w:rPr>
          <w:rFonts w:ascii="Times New Roman" w:hAnsi="Times New Roman" w:cs="Times New Roman"/>
          <w:sz w:val="24"/>
          <w:szCs w:val="24"/>
        </w:rPr>
      </w:pPr>
      <w:r w:rsidRPr="00837CFA">
        <w:rPr>
          <w:rFonts w:ascii="Times New Roman" w:hAnsi="Times New Roman" w:cs="Times New Roman"/>
          <w:sz w:val="24"/>
          <w:szCs w:val="24"/>
        </w:rPr>
        <w:t>Según un reciente informe de la Red Europea contra la Pobreza y la Exclusión Social (EAPN), España ha fracasado en su compromiso europeo de la Estrategia 2020 para reducir su pobreza en 1,5 millones de personas. Con un plazo de diez años, no sólo no ha reducido su pobreza, sino que ahora hay más personas en este umbral que hace una década.</w:t>
      </w:r>
    </w:p>
    <w:p w:rsidR="00ED3A04" w:rsidRPr="00837CFA"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noProof/>
          <w:lang w:eastAsia="es-ES"/>
        </w:rPr>
        <w:drawing>
          <wp:inline distT="0" distB="0" distL="0" distR="0" wp14:anchorId="60E03311" wp14:editId="1413ECF1">
            <wp:extent cx="4368800" cy="2584450"/>
            <wp:effectExtent l="0" t="0" r="0" b="6350"/>
            <wp:docPr id="139" name="Imagen 139" descr="https://e00-expansion.uecdn.es/assets/multimedia/imagenes/2020/10/16/16028476173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00-expansion.uecdn.es/assets/multimedia/imagenes/2020/10/16/16028476173365.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371706" cy="2586169"/>
                    </a:xfrm>
                    <a:prstGeom prst="rect">
                      <a:avLst/>
                    </a:prstGeom>
                    <a:noFill/>
                    <a:ln>
                      <a:noFill/>
                    </a:ln>
                  </pic:spPr>
                </pic:pic>
              </a:graphicData>
            </a:graphic>
          </wp:inline>
        </w:drawing>
      </w:r>
    </w:p>
    <w:p w:rsidR="00ED3A04" w:rsidRDefault="00ED3A04" w:rsidP="00ED3A04">
      <w:pPr>
        <w:spacing w:line="240" w:lineRule="auto"/>
        <w:jc w:val="both"/>
        <w:rPr>
          <w:rFonts w:ascii="Times New Roman" w:hAnsi="Times New Roman" w:cs="Times New Roman"/>
          <w:sz w:val="24"/>
          <w:szCs w:val="24"/>
        </w:rPr>
      </w:pPr>
    </w:p>
    <w:p w:rsidR="00ED3A04" w:rsidRPr="002E16AE"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F736A">
        <w:rPr>
          <w:rFonts w:ascii="Times New Roman" w:hAnsi="Times New Roman" w:cs="Times New Roman"/>
          <w:sz w:val="24"/>
          <w:szCs w:val="24"/>
          <w:u w:val="single"/>
        </w:rPr>
        <w:t>El hambre también azota Francia: largas colas de estudiantes para recibir comida</w:t>
      </w:r>
      <w:r>
        <w:rPr>
          <w:rFonts w:ascii="Times New Roman" w:hAnsi="Times New Roman" w:cs="Times New Roman"/>
          <w:sz w:val="24"/>
          <w:szCs w:val="24"/>
        </w:rPr>
        <w:t xml:space="preserve"> (Libertad Digital - </w:t>
      </w:r>
      <w:r w:rsidRPr="003F736A">
        <w:rPr>
          <w:rFonts w:ascii="Times New Roman" w:hAnsi="Times New Roman" w:cs="Times New Roman"/>
          <w:b/>
          <w:sz w:val="24"/>
          <w:szCs w:val="24"/>
        </w:rPr>
        <w:t>10/2/21</w:t>
      </w:r>
      <w:r>
        <w:rPr>
          <w:rFonts w:ascii="Times New Roman" w:hAnsi="Times New Roman" w:cs="Times New Roman"/>
          <w:sz w:val="24"/>
          <w:szCs w:val="24"/>
        </w:rPr>
        <w:t>)</w:t>
      </w:r>
    </w:p>
    <w:p w:rsidR="00ED3A04" w:rsidRDefault="00ED3A04" w:rsidP="00ED3A04">
      <w:pPr>
        <w:spacing w:line="240" w:lineRule="auto"/>
        <w:jc w:val="both"/>
        <w:rPr>
          <w:rFonts w:ascii="Times New Roman" w:hAnsi="Times New Roman" w:cs="Times New Roman"/>
          <w:sz w:val="24"/>
          <w:szCs w:val="24"/>
        </w:rPr>
      </w:pPr>
      <w:r w:rsidRPr="002E16AE">
        <w:rPr>
          <w:rFonts w:ascii="Times New Roman" w:hAnsi="Times New Roman" w:cs="Times New Roman"/>
          <w:sz w:val="24"/>
          <w:szCs w:val="24"/>
        </w:rPr>
        <w:t>La asociación Linkee provee a los estudiantes de paquetes de comida recuperada de grandes distribuidores, restaurantes y empresas de catering.</w:t>
      </w:r>
    </w:p>
    <w:p w:rsidR="00ED3A04" w:rsidRDefault="00ED3A04" w:rsidP="00ED3A04">
      <w:pPr>
        <w:spacing w:line="240" w:lineRule="auto"/>
        <w:jc w:val="both"/>
        <w:rPr>
          <w:rFonts w:ascii="Times New Roman" w:hAnsi="Times New Roman" w:cs="Times New Roman"/>
          <w:sz w:val="24"/>
          <w:szCs w:val="24"/>
        </w:rPr>
      </w:pPr>
      <w:r w:rsidRPr="003F736A">
        <w:rPr>
          <w:rFonts w:ascii="Times New Roman" w:hAnsi="Times New Roman" w:cs="Times New Roman"/>
          <w:noProof/>
          <w:sz w:val="24"/>
          <w:szCs w:val="24"/>
          <w:lang w:eastAsia="es-ES"/>
        </w:rPr>
        <w:drawing>
          <wp:inline distT="0" distB="0" distL="0" distR="0" wp14:anchorId="5B75A441" wp14:editId="4B2B2F20">
            <wp:extent cx="5676900" cy="3060700"/>
            <wp:effectExtent l="0" t="0" r="0" b="635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674385" cy="3059344"/>
                    </a:xfrm>
                    <a:prstGeom prst="rect">
                      <a:avLst/>
                    </a:prstGeom>
                  </pic:spPr>
                </pic:pic>
              </a:graphicData>
            </a:graphic>
          </wp:inline>
        </w:drawing>
      </w:r>
      <w:r w:rsidRPr="003F736A">
        <w:rPr>
          <w:rFonts w:ascii="Times New Roman" w:hAnsi="Times New Roman" w:cs="Times New Roman"/>
          <w:sz w:val="24"/>
          <w:szCs w:val="24"/>
        </w:rPr>
        <w:t>Voluntarios de Linkee preparando los</w:t>
      </w:r>
      <w:r w:rsidR="002D3CAF">
        <w:rPr>
          <w:rFonts w:ascii="Times New Roman" w:hAnsi="Times New Roman" w:cs="Times New Roman"/>
          <w:sz w:val="24"/>
          <w:szCs w:val="24"/>
        </w:rPr>
        <w:t xml:space="preserve"> paquetes de alimentos. </w:t>
      </w:r>
    </w:p>
    <w:p w:rsidR="00ED3A04" w:rsidRPr="003F736A" w:rsidRDefault="00ED3A04" w:rsidP="00ED3A04">
      <w:pPr>
        <w:spacing w:line="240" w:lineRule="auto"/>
        <w:jc w:val="both"/>
        <w:rPr>
          <w:rFonts w:ascii="Times New Roman" w:hAnsi="Times New Roman" w:cs="Times New Roman"/>
          <w:sz w:val="24"/>
          <w:szCs w:val="24"/>
        </w:rPr>
      </w:pPr>
      <w:r w:rsidRPr="003F736A">
        <w:rPr>
          <w:rFonts w:ascii="Times New Roman" w:hAnsi="Times New Roman" w:cs="Times New Roman"/>
          <w:sz w:val="24"/>
          <w:szCs w:val="24"/>
        </w:rPr>
        <w:t>La crisis económica derivada del coronavirus está haciendo mella en Francia, con una caída del PIB del 8,3% en 2020. Esta situación está afectando de manera particular a los jóvenes, provocando que buena parte de ellos queden desempleados, lo que pone en riesgo i</w:t>
      </w:r>
      <w:r>
        <w:rPr>
          <w:rFonts w:ascii="Times New Roman" w:hAnsi="Times New Roman" w:cs="Times New Roman"/>
          <w:sz w:val="24"/>
          <w:szCs w:val="24"/>
        </w:rPr>
        <w:t>ncluso su sustento alimentario.</w:t>
      </w:r>
    </w:p>
    <w:p w:rsidR="00ED3A04" w:rsidRPr="003F736A" w:rsidRDefault="00ED3A04" w:rsidP="00ED3A04">
      <w:pPr>
        <w:spacing w:line="240" w:lineRule="auto"/>
        <w:jc w:val="both"/>
        <w:rPr>
          <w:rFonts w:ascii="Times New Roman" w:hAnsi="Times New Roman" w:cs="Times New Roman"/>
          <w:sz w:val="24"/>
          <w:szCs w:val="24"/>
        </w:rPr>
      </w:pPr>
      <w:r w:rsidRPr="003F736A">
        <w:rPr>
          <w:rFonts w:ascii="Times New Roman" w:hAnsi="Times New Roman" w:cs="Times New Roman"/>
          <w:sz w:val="24"/>
          <w:szCs w:val="24"/>
        </w:rPr>
        <w:t xml:space="preserve">Es por esto que en los últimos meses han circulado en las redes decenas de vídeos que muestran colas interminables de jóvenes esperando para recibir ayuda en forma de alimentos. </w:t>
      </w:r>
      <w:r w:rsidRPr="003F736A">
        <w:rPr>
          <w:rFonts w:ascii="Times New Roman" w:hAnsi="Times New Roman" w:cs="Times New Roman"/>
          <w:sz w:val="24"/>
          <w:szCs w:val="24"/>
        </w:rPr>
        <w:lastRenderedPageBreak/>
        <w:t>Una de las proveedoras de estas ayudas es la asociación Linkee, que y</w:t>
      </w:r>
      <w:r>
        <w:rPr>
          <w:rFonts w:ascii="Times New Roman" w:hAnsi="Times New Roman" w:cs="Times New Roman"/>
          <w:sz w:val="24"/>
          <w:szCs w:val="24"/>
        </w:rPr>
        <w:t xml:space="preserve">a ha habilitado 2 locales en </w:t>
      </w:r>
      <w:r w:rsidRPr="003F736A">
        <w:rPr>
          <w:rFonts w:ascii="Times New Roman" w:hAnsi="Times New Roman" w:cs="Times New Roman"/>
          <w:sz w:val="24"/>
          <w:szCs w:val="24"/>
        </w:rPr>
        <w:t>la ciudad de París, donde de lunes a jueves se entre</w:t>
      </w:r>
      <w:r>
        <w:rPr>
          <w:rFonts w:ascii="Times New Roman" w:hAnsi="Times New Roman" w:cs="Times New Roman"/>
          <w:sz w:val="24"/>
          <w:szCs w:val="24"/>
        </w:rPr>
        <w:t>gan 2,5 toneladas de alimentos.</w:t>
      </w:r>
    </w:p>
    <w:p w:rsidR="00ED3A04" w:rsidRPr="003F736A" w:rsidRDefault="00ED3A04" w:rsidP="00ED3A04">
      <w:pPr>
        <w:spacing w:line="240" w:lineRule="auto"/>
        <w:jc w:val="both"/>
        <w:rPr>
          <w:rFonts w:ascii="Times New Roman" w:hAnsi="Times New Roman" w:cs="Times New Roman"/>
          <w:sz w:val="24"/>
          <w:szCs w:val="24"/>
        </w:rPr>
      </w:pPr>
      <w:r w:rsidRPr="003F736A">
        <w:rPr>
          <w:rFonts w:ascii="Times New Roman" w:hAnsi="Times New Roman" w:cs="Times New Roman"/>
          <w:sz w:val="24"/>
          <w:szCs w:val="24"/>
        </w:rPr>
        <w:t>A diferencia de las tradicionales organizaciones humanitarias y bancos de alimentos que colaboran con los afectados por la crisis en España, Linkee funciona como una plataforma digital especializada en la lucha contra el despilfarro alimentario. De esta forma, la asociación, surgida hace 4 años, se abastece de comida recuperada de mayoristas, dueños de restaurantes y servicios de catering, y la ofrece de manera gratuita a ciudadanos en situación de dificultad.</w:t>
      </w:r>
    </w:p>
    <w:p w:rsidR="00ED3A04" w:rsidRPr="003F736A" w:rsidRDefault="00ED3A04" w:rsidP="00ED3A04">
      <w:pPr>
        <w:spacing w:line="240" w:lineRule="auto"/>
        <w:jc w:val="both"/>
        <w:rPr>
          <w:rFonts w:ascii="Times New Roman" w:hAnsi="Times New Roman" w:cs="Times New Roman"/>
          <w:sz w:val="24"/>
          <w:szCs w:val="24"/>
        </w:rPr>
      </w:pPr>
      <w:r w:rsidRPr="003F736A">
        <w:rPr>
          <w:rFonts w:ascii="Times New Roman" w:hAnsi="Times New Roman" w:cs="Times New Roman"/>
          <w:noProof/>
          <w:sz w:val="24"/>
          <w:szCs w:val="24"/>
          <w:lang w:eastAsia="es-ES"/>
        </w:rPr>
        <w:drawing>
          <wp:inline distT="0" distB="0" distL="0" distR="0" wp14:anchorId="52BBAC7A" wp14:editId="04D49399">
            <wp:extent cx="5731510" cy="5967155"/>
            <wp:effectExtent l="0" t="0" r="254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5967155"/>
                    </a:xfrm>
                    <a:prstGeom prst="rect">
                      <a:avLst/>
                    </a:prstGeom>
                  </pic:spPr>
                </pic:pic>
              </a:graphicData>
            </a:graphic>
          </wp:inline>
        </w:drawing>
      </w:r>
    </w:p>
    <w:p w:rsidR="00ED3A04" w:rsidRPr="003F736A" w:rsidRDefault="00ED3A04" w:rsidP="00ED3A04">
      <w:pPr>
        <w:spacing w:line="240" w:lineRule="auto"/>
        <w:jc w:val="both"/>
        <w:rPr>
          <w:rFonts w:ascii="Times New Roman" w:hAnsi="Times New Roman" w:cs="Times New Roman"/>
          <w:sz w:val="24"/>
          <w:szCs w:val="24"/>
        </w:rPr>
      </w:pPr>
      <w:r w:rsidRPr="003F736A">
        <w:rPr>
          <w:rFonts w:ascii="Times New Roman" w:hAnsi="Times New Roman" w:cs="Times New Roman"/>
          <w:sz w:val="24"/>
          <w:szCs w:val="24"/>
        </w:rPr>
        <w:t>Ante la situación generada por la pandemia, la plataforma se ha volcado con los estudiantes a través de una campaña específica iniciada en octubre de 2020. Los encargados de gestionar y distribuir los paquetes de comida son jóvenes voluntarios, que también obtienen su lote de alimentos correspondiente, lo que genera un vínculo de confianza entre e</w:t>
      </w:r>
      <w:r>
        <w:rPr>
          <w:rFonts w:ascii="Times New Roman" w:hAnsi="Times New Roman" w:cs="Times New Roman"/>
          <w:sz w:val="24"/>
          <w:szCs w:val="24"/>
        </w:rPr>
        <w:t>llos y el resto de estudiantes.</w:t>
      </w:r>
    </w:p>
    <w:p w:rsidR="00ED3A04" w:rsidRPr="003F736A" w:rsidRDefault="00ED3A04" w:rsidP="00ED3A04">
      <w:pPr>
        <w:spacing w:line="240" w:lineRule="auto"/>
        <w:jc w:val="both"/>
        <w:rPr>
          <w:rFonts w:ascii="Times New Roman" w:hAnsi="Times New Roman" w:cs="Times New Roman"/>
          <w:sz w:val="24"/>
          <w:szCs w:val="24"/>
        </w:rPr>
      </w:pPr>
      <w:r w:rsidRPr="003F736A">
        <w:rPr>
          <w:rFonts w:ascii="Times New Roman" w:hAnsi="Times New Roman" w:cs="Times New Roman"/>
          <w:sz w:val="24"/>
          <w:szCs w:val="24"/>
        </w:rPr>
        <w:lastRenderedPageBreak/>
        <w:t>A partir de las 18:30 y durante dos horas, cientos de alumnos acuden y recogen verduras y frutas, huevos, paquetes de pasta, leche o incluso comidas preparadas. Además, al final del circuito de distribución, se ponen a disposición kits de higiene, mientras que una unidad de apoyo psicológico se pone a disposición de quien lo requiera.</w:t>
      </w:r>
    </w:p>
    <w:p w:rsidR="00ED3A04" w:rsidRPr="003F736A" w:rsidRDefault="00C4665B"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3A04" w:rsidRPr="003F736A">
        <w:rPr>
          <w:rFonts w:ascii="Times New Roman" w:hAnsi="Times New Roman" w:cs="Times New Roman"/>
          <w:sz w:val="24"/>
          <w:szCs w:val="24"/>
        </w:rPr>
        <w:t>En la entrada, revisamos las tarjetas de estudiante. Si no lo tienen, o si no han podido regist</w:t>
      </w:r>
      <w:r>
        <w:rPr>
          <w:rFonts w:ascii="Times New Roman" w:hAnsi="Times New Roman" w:cs="Times New Roman"/>
          <w:sz w:val="24"/>
          <w:szCs w:val="24"/>
        </w:rPr>
        <w:t>rarse, tampoco los rechazaremos”</w:t>
      </w:r>
      <w:r w:rsidR="00ED3A04" w:rsidRPr="003F736A">
        <w:rPr>
          <w:rFonts w:ascii="Times New Roman" w:hAnsi="Times New Roman" w:cs="Times New Roman"/>
          <w:sz w:val="24"/>
          <w:szCs w:val="24"/>
        </w:rPr>
        <w:t xml:space="preserve">, comenta uno </w:t>
      </w:r>
      <w:r w:rsidR="00ED3A04">
        <w:rPr>
          <w:rFonts w:ascii="Times New Roman" w:hAnsi="Times New Roman" w:cs="Times New Roman"/>
          <w:sz w:val="24"/>
          <w:szCs w:val="24"/>
        </w:rPr>
        <w:t>de los voluntarios a Le Figaro.</w:t>
      </w:r>
    </w:p>
    <w:p w:rsidR="00ED3A04" w:rsidRDefault="00ED3A04" w:rsidP="00ED3A04">
      <w:pPr>
        <w:spacing w:line="240" w:lineRule="auto"/>
        <w:jc w:val="both"/>
        <w:rPr>
          <w:rFonts w:ascii="Times New Roman" w:hAnsi="Times New Roman" w:cs="Times New Roman"/>
          <w:sz w:val="24"/>
          <w:szCs w:val="24"/>
        </w:rPr>
      </w:pPr>
      <w:r w:rsidRPr="003F736A">
        <w:rPr>
          <w:rFonts w:ascii="Times New Roman" w:hAnsi="Times New Roman" w:cs="Times New Roman"/>
          <w:sz w:val="24"/>
          <w:szCs w:val="24"/>
        </w:rPr>
        <w:t>En declaraciones a este mismo medio, el presidente de Linkee, Julien Me</w:t>
      </w:r>
      <w:r w:rsidR="00C4665B">
        <w:rPr>
          <w:rFonts w:ascii="Times New Roman" w:hAnsi="Times New Roman" w:cs="Times New Roman"/>
          <w:sz w:val="24"/>
          <w:szCs w:val="24"/>
        </w:rPr>
        <w:t>imon, expresa su preocupación: “</w:t>
      </w:r>
      <w:r w:rsidRPr="003F736A">
        <w:rPr>
          <w:rFonts w:ascii="Times New Roman" w:hAnsi="Times New Roman" w:cs="Times New Roman"/>
          <w:sz w:val="24"/>
          <w:szCs w:val="24"/>
        </w:rPr>
        <w:t>La situación es dramática. Sentimos una gran angustia, pero también el placer de co</w:t>
      </w:r>
      <w:r w:rsidR="00C4665B">
        <w:rPr>
          <w:rFonts w:ascii="Times New Roman" w:hAnsi="Times New Roman" w:cs="Times New Roman"/>
          <w:sz w:val="24"/>
          <w:szCs w:val="24"/>
        </w:rPr>
        <w:t>mpartir un momento con nosotros”</w:t>
      </w:r>
      <w:r w:rsidRPr="003F736A">
        <w:rPr>
          <w:rFonts w:ascii="Times New Roman" w:hAnsi="Times New Roman" w:cs="Times New Roman"/>
          <w:sz w:val="24"/>
          <w:szCs w:val="24"/>
        </w:rPr>
        <w:t>. Según la asociación, cada semana proporcionan el equivalente a 20.000 comidas, y la dem</w:t>
      </w:r>
      <w:r w:rsidR="00C4665B">
        <w:rPr>
          <w:rFonts w:ascii="Times New Roman" w:hAnsi="Times New Roman" w:cs="Times New Roman"/>
          <w:sz w:val="24"/>
          <w:szCs w:val="24"/>
        </w:rPr>
        <w:t>anda es creciente. “</w:t>
      </w:r>
      <w:r w:rsidRPr="003F736A">
        <w:rPr>
          <w:rFonts w:ascii="Times New Roman" w:hAnsi="Times New Roman" w:cs="Times New Roman"/>
          <w:sz w:val="24"/>
          <w:szCs w:val="24"/>
        </w:rPr>
        <w:t>Antes dábamos 200 paquetes por distribución. H</w:t>
      </w:r>
      <w:r w:rsidR="00C4665B">
        <w:rPr>
          <w:rFonts w:ascii="Times New Roman" w:hAnsi="Times New Roman" w:cs="Times New Roman"/>
          <w:sz w:val="24"/>
          <w:szCs w:val="24"/>
        </w:rPr>
        <w:t>oy hay más de 450 estudiantes”</w:t>
      </w:r>
      <w:r>
        <w:rPr>
          <w:rFonts w:ascii="Times New Roman" w:hAnsi="Times New Roman" w:cs="Times New Roman"/>
          <w:sz w:val="24"/>
          <w:szCs w:val="24"/>
        </w:rPr>
        <w:t>.</w:t>
      </w:r>
    </w:p>
    <w:p w:rsidR="00ED3A04"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D72FE">
        <w:rPr>
          <w:rFonts w:ascii="Times New Roman" w:hAnsi="Times New Roman" w:cs="Times New Roman"/>
          <w:sz w:val="24"/>
          <w:szCs w:val="24"/>
          <w:u w:val="single"/>
        </w:rPr>
        <w:t xml:space="preserve">Las colas del hambre al este de Londres </w:t>
      </w:r>
      <w:r>
        <w:rPr>
          <w:rFonts w:ascii="Times New Roman" w:hAnsi="Times New Roman" w:cs="Times New Roman"/>
          <w:sz w:val="24"/>
          <w:szCs w:val="24"/>
        </w:rPr>
        <w:t xml:space="preserve">(niusdiario.es - </w:t>
      </w:r>
      <w:r w:rsidRPr="003D72FE">
        <w:rPr>
          <w:rFonts w:ascii="Times New Roman" w:hAnsi="Times New Roman" w:cs="Times New Roman"/>
          <w:b/>
          <w:sz w:val="24"/>
          <w:szCs w:val="24"/>
        </w:rPr>
        <w:t>20/3/21</w:t>
      </w:r>
      <w:r>
        <w:rPr>
          <w:rFonts w:ascii="Times New Roman" w:hAnsi="Times New Roman" w:cs="Times New Roman"/>
          <w:sz w:val="24"/>
          <w:szCs w:val="24"/>
        </w:rPr>
        <w:t>)</w:t>
      </w:r>
    </w:p>
    <w:p w:rsidR="00ED3A04"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Postico)</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noProof/>
          <w:sz w:val="24"/>
          <w:szCs w:val="24"/>
          <w:lang w:eastAsia="es-ES"/>
        </w:rPr>
        <w:drawing>
          <wp:inline distT="0" distB="0" distL="0" distR="0" wp14:anchorId="6A2F0ECD" wp14:editId="2A57AD7C">
            <wp:extent cx="5731510" cy="3229485"/>
            <wp:effectExtent l="0" t="0" r="2540" b="952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3229485"/>
                    </a:xfrm>
                    <a:prstGeom prst="rect">
                      <a:avLst/>
                    </a:prstGeom>
                  </pic:spPr>
                </pic:pic>
              </a:graphicData>
            </a:graphic>
          </wp:inline>
        </w:drawing>
      </w:r>
    </w:p>
    <w:p w:rsidR="00ED3A04" w:rsidRPr="003D72FE" w:rsidRDefault="00C4665B"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La ONG “</w:t>
      </w:r>
      <w:r w:rsidR="000C28C6">
        <w:rPr>
          <w:rFonts w:ascii="Times New Roman" w:hAnsi="Times New Roman" w:cs="Times New Roman"/>
          <w:sz w:val="24"/>
          <w:szCs w:val="24"/>
        </w:rPr>
        <w:t>Newham Community Project”</w:t>
      </w:r>
      <w:r w:rsidR="00ED3A04" w:rsidRPr="003D72FE">
        <w:rPr>
          <w:rFonts w:ascii="Times New Roman" w:hAnsi="Times New Roman" w:cs="Times New Roman"/>
          <w:sz w:val="24"/>
          <w:szCs w:val="24"/>
        </w:rPr>
        <w:t xml:space="preserve"> organiza un banco de alimentos para más de dos mil estudiantes universitarios indios que no pueden subsistir en esta zona de la ciudad</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Se han quedado atrapados todavía con pagos pendientes de la matrícula, alquileres y gastos diarios y sin poder trabajar por culpa del confinamiento del covid</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Acarrean carritos de bebé y maletas gigantes vacías, llenas de otras bolsas y mochilas, para poder cargarlas de alimentos dos veces a la semana</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 xml:space="preserve">A las cinco de la tarde, dos horas antes de que abran el banco de alimentos, la cola ya prácticamente llega al final de la calle en Katherine Road. Todos son muchachos jóvenes, de entre 18 y 24 años, con los rostros escondidos tras las mascarillas y los ojos tristes y cansados. Hay un gesto de dureza en su expresión más allá de la mascarilla. Acarrean carritos de bebé y maletas gigantes vacías, llenas de hambre y de otras bolsas y mochilas, para poder cargarlas de alimentos. Estamos en East Ham, en el este de Londres, uno de los barrios más </w:t>
      </w:r>
      <w:r w:rsidRPr="003D72FE">
        <w:rPr>
          <w:rFonts w:ascii="Times New Roman" w:hAnsi="Times New Roman" w:cs="Times New Roman"/>
          <w:sz w:val="24"/>
          <w:szCs w:val="24"/>
        </w:rPr>
        <w:lastRenderedPageBreak/>
        <w:t>pobres de Londres y de Inglaterra. Estos jóvenes están esperando que abra la puerta el banco de aliment</w:t>
      </w:r>
      <w:r w:rsidR="000C28C6">
        <w:rPr>
          <w:rFonts w:ascii="Times New Roman" w:hAnsi="Times New Roman" w:cs="Times New Roman"/>
          <w:sz w:val="24"/>
          <w:szCs w:val="24"/>
        </w:rPr>
        <w:t>os de la organización benéfica “Newham Community Project”</w:t>
      </w:r>
      <w:r w:rsidRPr="003D72FE">
        <w:rPr>
          <w:rFonts w:ascii="Times New Roman" w:hAnsi="Times New Roman" w:cs="Times New Roman"/>
          <w:sz w:val="24"/>
          <w:szCs w:val="24"/>
        </w:rPr>
        <w:t>.</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 xml:space="preserve">Son estudiantes de una veintena de universidades y principalmente viven en el este. La mayoría son indios, aunque cualquier estudiante que se haya quedado atrapado por el Covid aquí en Londres, es bienvenido. Explica Elyas Ismail, el fundador de la organización, que el pasado mes de abril, al principio del primer y estricto confinamiento, detectaron un perfil de población que estaba sufriendo especialmente: universitarios extranjeros con visa de estudiante que se habían encontrado con las facultades cerradas, sin derecho a cobrar subsidios y sin poder trabajar porque todo estaba clausurado. No tardaron en empezar a aparecer las complicaciones </w:t>
      </w:r>
      <w:r>
        <w:rPr>
          <w:rFonts w:ascii="Times New Roman" w:hAnsi="Times New Roman" w:cs="Times New Roman"/>
          <w:sz w:val="24"/>
          <w:szCs w:val="24"/>
        </w:rPr>
        <w:t>económicas. Estaban condenados.</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Joyas empeñadas</w:t>
      </w:r>
    </w:p>
    <w:p w:rsidR="00ED3A04"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“Los que hay aquí son estudiantes pobres. La gente suele pensar que los estudiantes internacionales vienen de familias ricas, de país</w:t>
      </w:r>
      <w:r w:rsidR="000C28C6">
        <w:rPr>
          <w:rFonts w:ascii="Times New Roman" w:hAnsi="Times New Roman" w:cs="Times New Roman"/>
          <w:sz w:val="24"/>
          <w:szCs w:val="24"/>
        </w:rPr>
        <w:t>es ricos, pero estos no lo son -explica Elyas-</w:t>
      </w:r>
      <w:r w:rsidRPr="003D72FE">
        <w:rPr>
          <w:rFonts w:ascii="Times New Roman" w:hAnsi="Times New Roman" w:cs="Times New Roman"/>
          <w:sz w:val="24"/>
          <w:szCs w:val="24"/>
        </w:rPr>
        <w:t>. Sus padres han hipotecado sus casas y sus tierras, en muchos casos han vendido sus joyas para que sus hijos pudieran estar aquí”. Las matrículas universitarias cuestan entre 17.000 y 23.000 euros en Reino Unido. Sus familias han pagado una parte, pero todavía les queda por pagar el resto, además del alquiler y el los gastos diarios. Suelen sobrevivir realizando trabajos mal pagados como repartidores, camareros, mozos de almacén o de la construcción, pero la pandemia les ha dejado sin trabajo. Por ley, pueden trabajar un máximo de 20 horas semanales.</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noProof/>
          <w:sz w:val="24"/>
          <w:szCs w:val="24"/>
          <w:lang w:eastAsia="es-ES"/>
        </w:rPr>
        <w:drawing>
          <wp:inline distT="0" distB="0" distL="0" distR="0" wp14:anchorId="00A72DD1" wp14:editId="28954E25">
            <wp:extent cx="5708650" cy="4006850"/>
            <wp:effectExtent l="0" t="0" r="635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08650" cy="4006850"/>
                    </a:xfrm>
                    <a:prstGeom prst="rect">
                      <a:avLst/>
                    </a:prstGeom>
                  </pic:spPr>
                </pic:pic>
              </a:graphicData>
            </a:graphic>
          </wp:inline>
        </w:drawing>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 xml:space="preserve">Elyas nació en Dewsbury, en el norte de Inglaterra, y tras graduarse en la universidad se trasladó a Londres. Sus padres son indios musulmanes. Fundó la ONG hace diez años. Ahora es más necesaria que nunca. De alguna manera, Elyas hace de padre a estos jóvenes. Acuden a verlo para pedirle consejo, para contarle los problemas relacionados con la universidad, con </w:t>
      </w:r>
      <w:r w:rsidRPr="003D72FE">
        <w:rPr>
          <w:rFonts w:ascii="Times New Roman" w:hAnsi="Times New Roman" w:cs="Times New Roman"/>
          <w:sz w:val="24"/>
          <w:szCs w:val="24"/>
        </w:rPr>
        <w:lastRenderedPageBreak/>
        <w:t>inmigración o con sus caseros. Su móvil suena constantemente. Él siempre responde. “Los han dejado solos”, lamenta. Cuenta que al principio de abrir el banco de alimentos acudieron treinta estudiantes y ahora ya son más de dos mil a la semana los que atienden. Y las cifras siguen aumentando porque están llegando nuevos</w:t>
      </w:r>
      <w:r>
        <w:rPr>
          <w:rFonts w:ascii="Times New Roman" w:hAnsi="Times New Roman" w:cs="Times New Roman"/>
          <w:sz w:val="24"/>
          <w:szCs w:val="24"/>
        </w:rPr>
        <w:t xml:space="preserve"> estudiantes.</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La desesperante búsqueda de trabajo</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El 20 por ciento de los estudiantes universitarios en Reino Unido son extranjeros y, de estos, el 20 por ciento son indios. En total son 56.000. “¿Tenéis algún trabajo?”, nos pregunta uno de los estudiantes indios de la cola. Se llama Athul Raj y está estudiando un máster en Redes de Ciberseguridad en la universidad de East London. Le acompañan tres compañeros de piso. “Estoy buscando trabajo de limpiador, en la construcción, en un almacén, lo que sea. No he encontrado nada. Es muy complicado porque todo está cerrado”, dice. Se pasa la mañana buscando en vano trabajo a través de internet. De momento subsiste con el dinero que le pueden enviar sus padres y con</w:t>
      </w:r>
      <w:r>
        <w:rPr>
          <w:rFonts w:ascii="Times New Roman" w:hAnsi="Times New Roman" w:cs="Times New Roman"/>
          <w:sz w:val="24"/>
          <w:szCs w:val="24"/>
        </w:rPr>
        <w:t xml:space="preserve"> los alimentos que le dan aquí.</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Hacen colas en grupos de tres, cuatro o cinco, mantienen la calma en todo momento, son educados y disciplinados, pese al hambre y a la ansiedad que los come por dentro. No levantan la voz, llevan todos mascarilla y siguen las instrucciones de los voluntarios con petos fluorescentes que los dirigen para que no obstaculicen a la gente que camina por la calle. La acera es amplia delante del local que tiene alquilado la ONG, pero luego se estrecha y apenas hay dos metros de acera hasta la parada de autobús de la esquina. La mayoría viven en pisos de diez, quince y veinte estudiantes y en habitaciones de cuatro para abaratar la renta y todos tienen q</w:t>
      </w:r>
      <w:r>
        <w:rPr>
          <w:rFonts w:ascii="Times New Roman" w:hAnsi="Times New Roman" w:cs="Times New Roman"/>
          <w:sz w:val="24"/>
          <w:szCs w:val="24"/>
        </w:rPr>
        <w:t>ue quedarse estudiando en casa.</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El sentimiento de comunidad</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Dos horas antes del inicio del reparto de alimentos, todo está preparado en el interior del local. Los voluntarios conversan tranquilamente mientras esperan que llegue la hora. Luego no habrá descanso. Cientos de bolsas están esparcidas por el suelo perfectamente alineadas y listas para ser entregadas con los alimentos básicos para vegetarianos y para no vegetarianos, carne halal para los musulmanes. Luego añaden café, harina y otros productos. El 25 por ciento de los alimentos son entregados p</w:t>
      </w:r>
      <w:r w:rsidR="000C28C6">
        <w:rPr>
          <w:rFonts w:ascii="Times New Roman" w:hAnsi="Times New Roman" w:cs="Times New Roman"/>
          <w:sz w:val="24"/>
          <w:szCs w:val="24"/>
        </w:rPr>
        <w:t>or una ONG local que se llaman “Fairshare”</w:t>
      </w:r>
      <w:r w:rsidRPr="003D72FE">
        <w:rPr>
          <w:rFonts w:ascii="Times New Roman" w:hAnsi="Times New Roman" w:cs="Times New Roman"/>
          <w:sz w:val="24"/>
          <w:szCs w:val="24"/>
        </w:rPr>
        <w:t xml:space="preserve"> y que depende del municipio y el resto los entregan empresarios y gente local. Otros hacen donaciones y ellos van a comprar los alimentos. Han inicia</w:t>
      </w:r>
      <w:r>
        <w:rPr>
          <w:rFonts w:ascii="Times New Roman" w:hAnsi="Times New Roman" w:cs="Times New Roman"/>
          <w:sz w:val="24"/>
          <w:szCs w:val="24"/>
        </w:rPr>
        <w:t>do una nueva colecta de dinero.</w:t>
      </w:r>
    </w:p>
    <w:p w:rsidR="00ED3A04"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El sentimiento de comunidad está muy enraizado en el barrio de East Ham y en todo Londres en general, especialmente entre la comunidad musulmana. Enseguida se organizan para ayudar a los que se quedan atrás. Durante todo el confinamiento los vecinos se han organizado para realizar la compra para aquellas personas que no podían salir de casa porque eran de riesgo o porque no tenían dinero. Este espíritu de comunidad y de solidaridad tan londinense ha sido fundamental durante los duros día</w:t>
      </w:r>
      <w:r w:rsidR="000C28C6">
        <w:rPr>
          <w:rFonts w:ascii="Times New Roman" w:hAnsi="Times New Roman" w:cs="Times New Roman"/>
          <w:sz w:val="24"/>
          <w:szCs w:val="24"/>
        </w:rPr>
        <w:t>s del encierro. En el caso del “Newham Community Project”</w:t>
      </w:r>
      <w:r w:rsidRPr="003D72FE">
        <w:rPr>
          <w:rFonts w:ascii="Times New Roman" w:hAnsi="Times New Roman" w:cs="Times New Roman"/>
          <w:sz w:val="24"/>
          <w:szCs w:val="24"/>
        </w:rPr>
        <w:t>, además del banco de alimentos para los estudiantes los martes y los sábados, el resto de los días de la semana reparten alimentos para las fa</w:t>
      </w:r>
      <w:r>
        <w:rPr>
          <w:rFonts w:ascii="Times New Roman" w:hAnsi="Times New Roman" w:cs="Times New Roman"/>
          <w:sz w:val="24"/>
          <w:szCs w:val="24"/>
        </w:rPr>
        <w:t>milias de la zona sin descanso.</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La luz siempre encendida</w:t>
      </w:r>
    </w:p>
    <w:p w:rsidR="00ED3A04" w:rsidRPr="003D72FE"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 xml:space="preserve">Cualquiera que pase por delante del local, que tiene una enorme cristalera, puede ver a los voluntarios preparar las bolsas, almacenar las latas y los potes y toda la comida que les llega. Las luces están siempre encendidas. Es la única luz que está encendida porque las tiendas de los alrededores tienen las persianas bajadas por el covid. En su interior siempre se puede ver </w:t>
      </w:r>
      <w:r w:rsidRPr="003D72FE">
        <w:rPr>
          <w:rFonts w:ascii="Times New Roman" w:hAnsi="Times New Roman" w:cs="Times New Roman"/>
          <w:sz w:val="24"/>
          <w:szCs w:val="24"/>
        </w:rPr>
        <w:lastRenderedPageBreak/>
        <w:t>gente trabajando. Todas las tardes hay colas. Para poder conseguir los alimentos, tienen que registrarse primero y rellenar un formulario online. De esta manera pueden distribuirlos por días para evitar que se desborden las colas y asegurarse de que todo el mundo recibirá comida para toda la semana. Los repa</w:t>
      </w:r>
      <w:r>
        <w:rPr>
          <w:rFonts w:ascii="Times New Roman" w:hAnsi="Times New Roman" w:cs="Times New Roman"/>
          <w:sz w:val="24"/>
          <w:szCs w:val="24"/>
        </w:rPr>
        <w:t>rtos duran tres y cuatro horas.</w:t>
      </w:r>
    </w:p>
    <w:p w:rsidR="000C28C6" w:rsidRDefault="00ED3A04" w:rsidP="00ED3A04">
      <w:pPr>
        <w:spacing w:line="240" w:lineRule="auto"/>
        <w:jc w:val="both"/>
        <w:rPr>
          <w:rFonts w:ascii="Times New Roman" w:hAnsi="Times New Roman" w:cs="Times New Roman"/>
          <w:sz w:val="24"/>
          <w:szCs w:val="24"/>
        </w:rPr>
      </w:pPr>
      <w:r w:rsidRPr="003D72FE">
        <w:rPr>
          <w:rFonts w:ascii="Times New Roman" w:hAnsi="Times New Roman" w:cs="Times New Roman"/>
          <w:sz w:val="24"/>
          <w:szCs w:val="24"/>
        </w:rPr>
        <w:t xml:space="preserve">A las siete de la tarde, la cola ya llega más lejos de la parada de autobús de la esquina. Los voluntarios colocan una mesa cruzada en la puerta que sirve como tendero para entregar los alimentos. Una de las voluntarias lanza gritos a los estudiantes para decirles que todos los que están en la lista tendrán sus alimentos y que los que no están inscritos deben dar prioridad a los otros pero que también recibirán alimentos. Athul es de los primeros de la cola. Ya han llegado sus compañeros. Empieza a avanzar la cola. Pasan por delante de Elyas, que está hablando con una mujer con un niño pequeño que le pregunta cómo puede inscribirse. “Me temo que las colas se van a incrementar todavía más en las próximas semanas”, cuenta.  </w:t>
      </w:r>
    </w:p>
    <w:p w:rsidR="000C28C6" w:rsidRPr="001B774E" w:rsidRDefault="000C28C6" w:rsidP="000C28C6">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Londres: lo</w:t>
      </w:r>
      <w:r>
        <w:rPr>
          <w:rFonts w:ascii="Times New Roman" w:hAnsi="Times New Roman" w:cs="Times New Roman"/>
          <w:sz w:val="24"/>
          <w:szCs w:val="24"/>
        </w:rPr>
        <w:t>s estudiantes esperan su ración</w:t>
      </w:r>
    </w:p>
    <w:p w:rsidR="000C28C6" w:rsidRPr="001B774E" w:rsidRDefault="000C28C6" w:rsidP="000C28C6">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En la capital del Reino Unido, uno de los grupos que peor la está pasando con la pandemia es el de los estudiantes. “Cada vez es más difícil comprar comida, los precios son mucho más altos que en India” y cada día hay menos trabajo, dice Jay Patel, 19 años, estudiante de la Universidad de Gree</w:t>
      </w:r>
      <w:r>
        <w:rPr>
          <w:rFonts w:ascii="Times New Roman" w:hAnsi="Times New Roman" w:cs="Times New Roman"/>
          <w:sz w:val="24"/>
          <w:szCs w:val="24"/>
        </w:rPr>
        <w:t>nwich.</w:t>
      </w:r>
    </w:p>
    <w:p w:rsidR="000C28C6" w:rsidRPr="001B774E" w:rsidRDefault="000C28C6" w:rsidP="000C28C6">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Sin la ayuda de la organización Newham Community Project sería difícil para él y sus compañeros sobrevivir, por el altísimo costo de la vida en Londres. “Al principio, distribuíamos 20 paquetes al día”, explica Elyas Ismail, responsable el proyecto, pero “en tres semanas hemos crecido hast</w:t>
      </w:r>
      <w:r>
        <w:rPr>
          <w:rFonts w:ascii="Times New Roman" w:hAnsi="Times New Roman" w:cs="Times New Roman"/>
          <w:sz w:val="24"/>
          <w:szCs w:val="24"/>
        </w:rPr>
        <w:t>a superar los 800 estudiantes”.</w:t>
      </w:r>
    </w:p>
    <w:p w:rsidR="00ED3A04" w:rsidRPr="003D72FE" w:rsidRDefault="000C28C6"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Los extranjeros, “por su tipo de visado, no tienen acceso a las ayudas económicas del Gobierno ni de las universidades”, apunta Aamena Ismail, una voluntaria de 21 años. “Llegaron con la esperanza de una vida mejor y, de repente, llegó el co</w:t>
      </w:r>
      <w:r>
        <w:rPr>
          <w:rFonts w:ascii="Times New Roman" w:hAnsi="Times New Roman" w:cs="Times New Roman"/>
          <w:sz w:val="24"/>
          <w:szCs w:val="24"/>
        </w:rPr>
        <w:t>vid y lo destruyó todo”, anota.</w:t>
      </w:r>
      <w:r w:rsidR="00ED3A04" w:rsidRPr="003D72FE">
        <w:rPr>
          <w:rFonts w:ascii="Times New Roman" w:hAnsi="Times New Roman" w:cs="Times New Roman"/>
          <w:sz w:val="24"/>
          <w:szCs w:val="24"/>
        </w:rPr>
        <w:t xml:space="preserve"> </w:t>
      </w:r>
    </w:p>
    <w:p w:rsidR="00ED3A04" w:rsidRDefault="00ED3A04"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B774E">
        <w:rPr>
          <w:rFonts w:ascii="Times New Roman" w:hAnsi="Times New Roman" w:cs="Times New Roman"/>
          <w:sz w:val="24"/>
          <w:szCs w:val="24"/>
          <w:u w:val="single"/>
        </w:rPr>
        <w:t>Las “colas del hambre” regresan a Europa por el coronavirus; no se veían igual desde la Segunda Guerra Mundial</w:t>
      </w:r>
      <w:r>
        <w:rPr>
          <w:rFonts w:ascii="Times New Roman" w:hAnsi="Times New Roman" w:cs="Times New Roman"/>
          <w:sz w:val="24"/>
          <w:szCs w:val="24"/>
        </w:rPr>
        <w:t xml:space="preserve"> (El Tiempo de Colombia - </w:t>
      </w:r>
      <w:r w:rsidRPr="001B774E">
        <w:rPr>
          <w:rFonts w:ascii="Times New Roman" w:hAnsi="Times New Roman" w:cs="Times New Roman"/>
          <w:b/>
          <w:sz w:val="24"/>
          <w:szCs w:val="24"/>
        </w:rPr>
        <w:t>31/3/21</w:t>
      </w:r>
      <w:r>
        <w:rPr>
          <w:rFonts w:ascii="Times New Roman" w:hAnsi="Times New Roman" w:cs="Times New Roman"/>
          <w:sz w:val="24"/>
          <w:szCs w:val="24"/>
        </w:rPr>
        <w:t>)</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 xml:space="preserve">Con la crisis del coronavirus, miles de personas en Europa </w:t>
      </w:r>
      <w:r>
        <w:rPr>
          <w:rFonts w:ascii="Times New Roman" w:hAnsi="Times New Roman" w:cs="Times New Roman"/>
          <w:sz w:val="24"/>
          <w:szCs w:val="24"/>
        </w:rPr>
        <w:t>acuden a comedores comunitarios</w:t>
      </w:r>
    </w:p>
    <w:p w:rsidR="000C28C6" w:rsidRPr="001B774E" w:rsidRDefault="000C28C6" w:rsidP="000C28C6">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No se veía una imagen similar en Europa quizás desde la Segunda Guerra Mundial. La crisis causada por la pandemia empujó al primer mundo a una posición de vulnerabilidad que hace unos 15 meses era completamente lejana en tiempo y espacio: algo del pasado o, en todo caso, que solo podría suce</w:t>
      </w:r>
      <w:r>
        <w:rPr>
          <w:rFonts w:ascii="Times New Roman" w:hAnsi="Times New Roman" w:cs="Times New Roman"/>
          <w:sz w:val="24"/>
          <w:szCs w:val="24"/>
        </w:rPr>
        <w:t>der en países pobres y lejanos.</w:t>
      </w:r>
    </w:p>
    <w:p w:rsidR="000C28C6" w:rsidRPr="001B774E" w:rsidRDefault="000C28C6" w:rsidP="000C28C6">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 xml:space="preserve">Largas filas de personas se acumulan en las puertas de fundaciones, ONG, iglesias, comedores comunitarios o en bancos de alimentos para recibir platos </w:t>
      </w:r>
      <w:r>
        <w:rPr>
          <w:rFonts w:ascii="Times New Roman" w:hAnsi="Times New Roman" w:cs="Times New Roman"/>
          <w:sz w:val="24"/>
          <w:szCs w:val="24"/>
        </w:rPr>
        <w:t>de comida o cajas con mercados.</w:t>
      </w:r>
    </w:p>
    <w:p w:rsidR="000C28C6" w:rsidRPr="001B774E" w:rsidRDefault="000C28C6" w:rsidP="000C28C6">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¿Cuántas personas ya recibieron las dos dosis de la vacuna contra el coronavirus en Europa en casi tres meses?</w:t>
      </w:r>
    </w:p>
    <w:p w:rsidR="000C28C6" w:rsidRPr="001B774E" w:rsidRDefault="000C28C6" w:rsidP="000C28C6">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Los hospitales de Europa Central colapsan por el coronavirus y no pueden tratar a todos los pacientes</w:t>
      </w:r>
    </w:p>
    <w:p w:rsidR="000C28C6" w:rsidRPr="001B774E" w:rsidRDefault="000C28C6" w:rsidP="000C28C6">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Mayoría de europeos ven limitados sus movimientos por el coronavirus durante la Semana Santa</w:t>
      </w:r>
    </w:p>
    <w:p w:rsidR="000C28C6" w:rsidRDefault="000C28C6"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lastRenderedPageBreak/>
        <w:t>“Las colas del hambre” son cada vez más visibles en p</w:t>
      </w:r>
      <w:r>
        <w:rPr>
          <w:rFonts w:ascii="Times New Roman" w:hAnsi="Times New Roman" w:cs="Times New Roman"/>
          <w:sz w:val="24"/>
          <w:szCs w:val="24"/>
        </w:rPr>
        <w:t>aíses como España o Inglaterra.</w:t>
      </w:r>
    </w:p>
    <w:p w:rsidR="00ED3A04" w:rsidRDefault="00ED3A04" w:rsidP="00ED3A04">
      <w:pPr>
        <w:spacing w:line="240" w:lineRule="auto"/>
        <w:jc w:val="both"/>
        <w:rPr>
          <w:rFonts w:ascii="Times New Roman" w:hAnsi="Times New Roman" w:cs="Times New Roman"/>
          <w:sz w:val="24"/>
          <w:szCs w:val="24"/>
        </w:rPr>
      </w:pPr>
      <w:r>
        <w:rPr>
          <w:noProof/>
          <w:lang w:eastAsia="es-ES"/>
        </w:rPr>
        <w:drawing>
          <wp:inline distT="0" distB="0" distL="0" distR="0" wp14:anchorId="02E3A329" wp14:editId="71F6FFF8">
            <wp:extent cx="5708650" cy="3124200"/>
            <wp:effectExtent l="0" t="0" r="6350" b="0"/>
            <wp:docPr id="90" name="Imagen 90" descr="Gente recibiendo alimentos en un barrio de Madrid por parte de un grupo de ayuda humanitaria. (Foto: Getty Images /El Tiempo de Colombia, vía G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nte recibiendo alimentos en un barrio de Madrid por parte de un grupo de ayuda humanitaria. (Foto: Getty Images /El Tiempo de Colombia, vía GDA)."/>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08650" cy="3124200"/>
                    </a:xfrm>
                    <a:prstGeom prst="rect">
                      <a:avLst/>
                    </a:prstGeom>
                    <a:noFill/>
                    <a:ln>
                      <a:noFill/>
                    </a:ln>
                  </pic:spPr>
                </pic:pic>
              </a:graphicData>
            </a:graphic>
          </wp:inline>
        </w:drawing>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Gente recibiendo alimentos en un barrio de Madrid por parte de un grupo de ayuda hu</w:t>
      </w:r>
      <w:r>
        <w:rPr>
          <w:rFonts w:ascii="Times New Roman" w:hAnsi="Times New Roman" w:cs="Times New Roman"/>
          <w:sz w:val="24"/>
          <w:szCs w:val="24"/>
        </w:rPr>
        <w:t xml:space="preserve">manitaria. </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En Madrid, por ejemplo, solamente la ONG católica Cáritas atendió el año pasado a medio millón de personas, y entre ellas, a muchas que nunca antes habían recibido ayuda alimentaria. Y solo en esa capital, los bancos de alimentos vieron aumentar su demanda interanual en un 40 por ciento.</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Las 500.000 personas que atendió esta ONG el año pasado equivalen más o menos el 15 por ciento de la población total de Madrid. Es decir que casi dos de cada diez personas que viven en la ciudad fueron por comida a</w:t>
      </w:r>
      <w:r>
        <w:rPr>
          <w:rFonts w:ascii="Times New Roman" w:hAnsi="Times New Roman" w:cs="Times New Roman"/>
          <w:sz w:val="24"/>
          <w:szCs w:val="24"/>
        </w:rPr>
        <w:t xml:space="preserve"> Cáritas durante el año pasado.</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 xml:space="preserve">Rita Carrasco fue una de ellas. Aunque escondida tras un tapabocas negro, no renuncia a pintarse los labios de rojo. Pero su sonrisa desapareció cuando tuvo que unirse a </w:t>
      </w:r>
      <w:r>
        <w:rPr>
          <w:rFonts w:ascii="Times New Roman" w:hAnsi="Times New Roman" w:cs="Times New Roman"/>
          <w:sz w:val="24"/>
          <w:szCs w:val="24"/>
        </w:rPr>
        <w:t>las filas del hambre en Madrid.</w:t>
      </w:r>
    </w:p>
    <w:p w:rsidR="00ED3A04" w:rsidRPr="001B774E" w:rsidRDefault="007137E3"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3A04" w:rsidRPr="001B774E">
        <w:rPr>
          <w:rFonts w:ascii="Times New Roman" w:hAnsi="Times New Roman" w:cs="Times New Roman"/>
          <w:sz w:val="24"/>
          <w:szCs w:val="24"/>
        </w:rPr>
        <w:t>Fue un momento duro, triste. Pasas por un estado de vergüenza, aunque no tendría que ser así”, explica a la agencia France Presse esta mexicana de 41 años, que perdió su empleo de profesora de teatro al comienzo del confinamiento estricto de marzo del año pasado y no ha encontrado otro desde entonces. Se quedó sin ahorros y tuvo que acudir a este recurso para comer.</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La necesidad de ayuda alimentaria en España hoy es omnipresente entre los sectores más castigados por la crisis económica consecuente. Y los migrantes de Latinoamérica y Áf</w:t>
      </w:r>
      <w:r>
        <w:rPr>
          <w:rFonts w:ascii="Times New Roman" w:hAnsi="Times New Roman" w:cs="Times New Roman"/>
          <w:sz w:val="24"/>
          <w:szCs w:val="24"/>
        </w:rPr>
        <w:t>rica son los que la pasan peor.</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 xml:space="preserve">Todos los viernes desde diciembre, Rita Carrasco, con otras cientos de personas, acude a recibir una gran caja con víveres en un comedor social en el barrio popular de Carabanchel, sur de Madrid. También ayuda en la distribución de alimentos como voluntaria, una tarea que aligera algo su amarga situación. “Dar y recibir </w:t>
      </w:r>
      <w:r>
        <w:rPr>
          <w:rFonts w:ascii="Times New Roman" w:hAnsi="Times New Roman" w:cs="Times New Roman"/>
          <w:sz w:val="24"/>
          <w:szCs w:val="24"/>
        </w:rPr>
        <w:t>cambia la percepción”, asegura.</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lastRenderedPageBreak/>
        <w:t>Con unos chalecos amarillos, una veintena de voluntarios se movilizan en un gran local parroquial, flanqueado por una cocina nueva para preparar platos calientes. Antes lo consumían en el mismo lugar, pero ahora se entregan para</w:t>
      </w:r>
      <w:r>
        <w:rPr>
          <w:rFonts w:ascii="Times New Roman" w:hAnsi="Times New Roman" w:cs="Times New Roman"/>
          <w:sz w:val="24"/>
          <w:szCs w:val="24"/>
        </w:rPr>
        <w:t xml:space="preserve"> llevar por razones sanitarias.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Otros reparten frutas, legumbres o cereales a las personas que hacen fila en la estrecha acera, a menudo mujeres de origen latinoamericano en un barrio con a</w:t>
      </w:r>
      <w:r>
        <w:rPr>
          <w:rFonts w:ascii="Times New Roman" w:hAnsi="Times New Roman" w:cs="Times New Roman"/>
          <w:sz w:val="24"/>
          <w:szCs w:val="24"/>
        </w:rPr>
        <w:t>mplia presencia de extranjeros.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Se trata de uno de los cuatro comedores abiertos de urgencia en la primavera boreal del 2020 por la entidad de obra social Álvaro del Portillo. Antes de la</w:t>
      </w:r>
      <w:r>
        <w:rPr>
          <w:rFonts w:ascii="Times New Roman" w:hAnsi="Times New Roman" w:cs="Times New Roman"/>
          <w:sz w:val="24"/>
          <w:szCs w:val="24"/>
        </w:rPr>
        <w:t xml:space="preserve"> pandemia solo necesitaban uno.</w:t>
      </w:r>
    </w:p>
    <w:p w:rsidR="00ED3A04"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Ahora atienden a alrededor de 2.000 personas, el doble de las que tenían hace apenas un año. Algo similar a lo que ha ocurrido en los bancos de alimentos alemanes como Die Tafel, a donde si antes de la pandemia solo acudían personas sin techo, hoy se ven cada vez más personas que no están en esa situación, reportó el diar</w:t>
      </w:r>
      <w:r>
        <w:rPr>
          <w:rFonts w:ascii="Times New Roman" w:hAnsi="Times New Roman" w:cs="Times New Roman"/>
          <w:sz w:val="24"/>
          <w:szCs w:val="24"/>
        </w:rPr>
        <w:t>io La Vanguardia, de Barcelona.</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Problemas que venían de antes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El escritor y periodista argentino Martín Caparrós lo dice con más gracia y análisis: “La demanda se dispara, la oferta no acompaña. La emergencia tiene un doble efecto: por un lado, algunos que no solían pedir ahora lo hacen y, por otro, algunos que querrían dar ahora no pueden. Pero algunos que no so</w:t>
      </w:r>
      <w:r>
        <w:rPr>
          <w:rFonts w:ascii="Times New Roman" w:hAnsi="Times New Roman" w:cs="Times New Roman"/>
          <w:sz w:val="24"/>
          <w:szCs w:val="24"/>
        </w:rPr>
        <w:t>lían ayudar ahora lo intentan”.</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Así lo escribe Caparrós en un texto que añadirá como epílogo a una nueva edición de su libro El hambre, un extenso ensayo periodístico en el que se intenta desentramar este silencioso y brutal fenómeno con las historias de quienes lo padecen y las explicaciones por qué y cómo lo provocan quienes lo provocan.</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El cuadro de las colas del hambre se repite, casi sin variaciones, en Londres (ver recuadro), Nueva York, São Paulo y otras grandes metrópolis supuestamente ricas. El panorama general no es alentador. En países que antes de la pandemia no estaban bien, la crisis del covid-19 refor</w:t>
      </w:r>
      <w:r>
        <w:rPr>
          <w:rFonts w:ascii="Times New Roman" w:hAnsi="Times New Roman" w:cs="Times New Roman"/>
          <w:sz w:val="24"/>
          <w:szCs w:val="24"/>
        </w:rPr>
        <w:t>zó los problemas ya existentes.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De hecho, el martes la Organización de las Naciones Unidas para la Alimentación y la Agricultura (FAO) y el Programa Mundial de Alimentos (PMA) advirtieron que la desnutrición aguda “se dis</w:t>
      </w:r>
      <w:r>
        <w:rPr>
          <w:rFonts w:ascii="Times New Roman" w:hAnsi="Times New Roman" w:cs="Times New Roman"/>
          <w:sz w:val="24"/>
          <w:szCs w:val="24"/>
        </w:rPr>
        <w:t>parará en más de 20 países”.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Yemen, Sudán del Sur y el norte de Nigeria encabezan la lista con “niveles catastróficos” de malnutrición aguda, pero la situación se agravará entre marzo y mayo en la may</w:t>
      </w:r>
      <w:r>
        <w:rPr>
          <w:rFonts w:ascii="Times New Roman" w:hAnsi="Times New Roman" w:cs="Times New Roman"/>
          <w:sz w:val="24"/>
          <w:szCs w:val="24"/>
        </w:rPr>
        <w:t>oría de las regiones del mundo.</w:t>
      </w:r>
    </w:p>
    <w:p w:rsidR="00ED3A04" w:rsidRPr="001B774E" w:rsidRDefault="007137E3"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3A04" w:rsidRPr="001B774E">
        <w:rPr>
          <w:rFonts w:ascii="Times New Roman" w:hAnsi="Times New Roman" w:cs="Times New Roman"/>
          <w:sz w:val="24"/>
          <w:szCs w:val="24"/>
        </w:rPr>
        <w:t>La magnitud del sufrimiento es alarmante”, dijo el director general de la FAO, Qu Dongyu, que instó a “actuar con rapidez para salvar vidas y prevenir la peor de las situaciones” a la luz de los datos</w:t>
      </w:r>
      <w:r w:rsidR="00ED3A04">
        <w:rPr>
          <w:rFonts w:ascii="Times New Roman" w:hAnsi="Times New Roman" w:cs="Times New Roman"/>
          <w:sz w:val="24"/>
          <w:szCs w:val="24"/>
        </w:rPr>
        <w:t xml:space="preserve"> del informe Focos de hambruna.</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Por su parte, el secretario general de la ONU, António Guterres, insiste en que “los impactos climáticos y la pandemia del covid-19 alimentan los riesgos de que millones de personas estén en situaciones de emergencia” y agregó que “el mensaje sencillo: si no alimentas a la gente, alimentas el confli</w:t>
      </w:r>
      <w:r>
        <w:rPr>
          <w:rFonts w:ascii="Times New Roman" w:hAnsi="Times New Roman" w:cs="Times New Roman"/>
          <w:sz w:val="24"/>
          <w:szCs w:val="24"/>
        </w:rPr>
        <w:t>cto”.</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Antes de la crisis, ya unos 800 millones de personas pasaban hambre. Y, a este punto, unos 34 millones de 20 países enfrentan a niveles de emergencia al borde de la inanición, segú</w:t>
      </w:r>
      <w:r>
        <w:rPr>
          <w:rFonts w:ascii="Times New Roman" w:hAnsi="Times New Roman" w:cs="Times New Roman"/>
          <w:sz w:val="24"/>
          <w:szCs w:val="24"/>
        </w:rPr>
        <w:t>n los datos de la FAO y el PMA.</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lastRenderedPageBreak/>
        <w:t>De hecho, en España, un cuarto de los habitantes ya se encontraba en riesgo de pobreza o exclusión social en 2019, una de la</w:t>
      </w:r>
      <w:r>
        <w:rPr>
          <w:rFonts w:ascii="Times New Roman" w:hAnsi="Times New Roman" w:cs="Times New Roman"/>
          <w:sz w:val="24"/>
          <w:szCs w:val="24"/>
        </w:rPr>
        <w:t>s tasas más elevadas de Europa.</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Nuevos hambrientos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“¿Y por qué se preocupan ahora por cien millones más cuando hace tres meses no se preocupaban por los 800 millones que están pasando hambre siempre? ¿No les parece un poco hipócrita?”, pregunta Caparrós en</w:t>
      </w:r>
      <w:r>
        <w:rPr>
          <w:rFonts w:ascii="Times New Roman" w:hAnsi="Times New Roman" w:cs="Times New Roman"/>
          <w:sz w:val="24"/>
          <w:szCs w:val="24"/>
        </w:rPr>
        <w:t xml:space="preserve"> el nuevo epílogo de El hambre.</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Acepta que no sabe “si esto nos hizo o nos hará más receptivos al sufrimiento de los que apenas pueden”. Pero subraya que “estos meses de pandemia multiplicaron esos sufrimientos”. Y, también, “corrieron muchos</w:t>
      </w:r>
      <w:r>
        <w:rPr>
          <w:rFonts w:ascii="Times New Roman" w:hAnsi="Times New Roman" w:cs="Times New Roman"/>
          <w:sz w:val="24"/>
          <w:szCs w:val="24"/>
        </w:rPr>
        <w:t xml:space="preserve"> velos: nos obligaron a mirar”.</w:t>
      </w:r>
    </w:p>
    <w:p w:rsidR="00ED3A04" w:rsidRPr="001B774E" w:rsidRDefault="007137E3"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3A04" w:rsidRPr="001B774E">
        <w:rPr>
          <w:rFonts w:ascii="Times New Roman" w:hAnsi="Times New Roman" w:cs="Times New Roman"/>
          <w:sz w:val="24"/>
          <w:szCs w:val="24"/>
        </w:rPr>
        <w:t>Así como empezó a morirse gente que antes no se moría, empezarían a pasar hambre personas que antes no”. Así que, “por acción y efecto de los virus, el hambre podría perder, en ciertos casos, su característica principal: ser algo que les pasa s</w:t>
      </w:r>
      <w:r w:rsidR="00ED3A04">
        <w:rPr>
          <w:rFonts w:ascii="Times New Roman" w:hAnsi="Times New Roman" w:cs="Times New Roman"/>
          <w:sz w:val="24"/>
          <w:szCs w:val="24"/>
        </w:rPr>
        <w:t>iempre a otros”, dice Caparrós.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 xml:space="preserve">Por eso impresiona ver las imágenes de las colas del hambre en ciudades como Madrid, capital de un país que desde la crisis de 2008 no enfrentaba una </w:t>
      </w:r>
      <w:r>
        <w:rPr>
          <w:rFonts w:ascii="Times New Roman" w:hAnsi="Times New Roman" w:cs="Times New Roman"/>
          <w:sz w:val="24"/>
          <w:szCs w:val="24"/>
        </w:rPr>
        <w:t>situación de desempleo similar.</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Desde el comienzo de la pandemia, el Gobierno español desembolsó 47.600 millones de dólares para financiar los planes de desempleo parcial, una de las medidas principales para sostener a los hogares afectados y evitar despidos masivos. Pero el alud de pedidos desbordó la administración que a veces tardó meses en pagar estas prestaciones.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Eso le ocurrió al marido de Reina Chambi, de 39 años. Él trabajaba en un hotel y ella cuidaba a ancianos, justamente el tipo de empleos que la pandemia se llevó casi inmediatamente.</w:t>
      </w:r>
    </w:p>
    <w:p w:rsidR="00ED3A04" w:rsidRPr="001B774E" w:rsidRDefault="007137E3"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3A04" w:rsidRPr="001B774E">
        <w:rPr>
          <w:rFonts w:ascii="Times New Roman" w:hAnsi="Times New Roman" w:cs="Times New Roman"/>
          <w:sz w:val="24"/>
          <w:szCs w:val="24"/>
        </w:rPr>
        <w:t>Tuvimos que recurrir a la iglesia para que nos ayuden porque no tenemos ingresos”, explica a la France Presse esta madre de dos niñas, que aguanta un viento glacial mientras hace cola en otro comedor en el barrio de Vallecas, al sur</w:t>
      </w:r>
      <w:r w:rsidR="00ED3A04">
        <w:rPr>
          <w:rFonts w:ascii="Times New Roman" w:hAnsi="Times New Roman" w:cs="Times New Roman"/>
          <w:sz w:val="24"/>
          <w:szCs w:val="24"/>
        </w:rPr>
        <w:t>oriente de la capital española.</w:t>
      </w:r>
    </w:p>
    <w:p w:rsidR="00ED3A04" w:rsidRPr="001B774E" w:rsidRDefault="007137E3" w:rsidP="00ED3A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3A04" w:rsidRPr="001B774E">
        <w:rPr>
          <w:rFonts w:ascii="Times New Roman" w:hAnsi="Times New Roman" w:cs="Times New Roman"/>
          <w:sz w:val="24"/>
          <w:szCs w:val="24"/>
        </w:rPr>
        <w:t>Es una gran ayuda porque al final no tenemos que comprar leche, garbanzos, fideos, esas cosas. Y eso lo gastamos para detergente o carne”, explica tímidamente Reina Chambi, que extraña la “vida estable” que había construido tras llegar desde</w:t>
      </w:r>
      <w:r w:rsidR="00ED3A04">
        <w:rPr>
          <w:rFonts w:ascii="Times New Roman" w:hAnsi="Times New Roman" w:cs="Times New Roman"/>
          <w:sz w:val="24"/>
          <w:szCs w:val="24"/>
        </w:rPr>
        <w:t xml:space="preserve"> Bolivia a España hace 15 años.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Dar para recibir</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 este país europeo fue a uno de los que más trabajo le costó superar el paro producido por la crisis económica mundial de 2008. Y cuando por fin lograban estabilizarse, llegó el coronavirus. Amanda Gómez, de 53 años y divorciada justo antes de la pandemia, lo expresa al decir que se siente “frustrada porque cada vez que qu</w:t>
      </w:r>
      <w:r>
        <w:rPr>
          <w:rFonts w:ascii="Times New Roman" w:hAnsi="Times New Roman" w:cs="Times New Roman"/>
          <w:sz w:val="24"/>
          <w:szCs w:val="24"/>
        </w:rPr>
        <w:t>iero salir adelante pasa algo”.</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 xml:space="preserve">Su familia ya recibía ayudas desde hace seis años. Ahora está sola para criar dos niños, uno discapacitado, con los escasos ingresos que </w:t>
      </w:r>
      <w:r>
        <w:rPr>
          <w:rFonts w:ascii="Times New Roman" w:hAnsi="Times New Roman" w:cs="Times New Roman"/>
          <w:sz w:val="24"/>
          <w:szCs w:val="24"/>
        </w:rPr>
        <w:t>recibe como empleada doméstica.</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Amanda Gómez no se da por vencida: habilidosa en los fogones, busca recetas en internet para “aprovechar al máximo” los alimentos que recibe e intenta repartir pasteles a domicilio con la espe</w:t>
      </w:r>
      <w:r>
        <w:rPr>
          <w:rFonts w:ascii="Times New Roman" w:hAnsi="Times New Roman" w:cs="Times New Roman"/>
          <w:sz w:val="24"/>
          <w:szCs w:val="24"/>
        </w:rPr>
        <w:t>ranza de ganarse algunos euros.</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lastRenderedPageBreak/>
        <w:t xml:space="preserve">Sin embargo, su mayor fantasía ni siquiera es tener la pastelería para enriquecerse, sino para ayudar: “Sueño en grande, porque tampoco el soñar cuesta nada. Lo que quiero es ir a la parroquia sin </w:t>
      </w:r>
      <w:r>
        <w:rPr>
          <w:rFonts w:ascii="Times New Roman" w:hAnsi="Times New Roman" w:cs="Times New Roman"/>
          <w:sz w:val="24"/>
          <w:szCs w:val="24"/>
        </w:rPr>
        <w:t>pedir nada. Ir a apoyar”, dice.</w:t>
      </w:r>
    </w:p>
    <w:p w:rsidR="00ED3A04" w:rsidRPr="001B774E" w:rsidRDefault="00ED3A04" w:rsidP="00ED3A04">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Ante un mañana desalentador para las condiciones alimentarias de Europa, América y todo el mundo, quizás lo único que brilla es la solidaridad que la situació</w:t>
      </w:r>
      <w:r>
        <w:rPr>
          <w:rFonts w:ascii="Times New Roman" w:hAnsi="Times New Roman" w:cs="Times New Roman"/>
          <w:sz w:val="24"/>
          <w:szCs w:val="24"/>
        </w:rPr>
        <w:t>n despierta en muchas personas.</w:t>
      </w:r>
    </w:p>
    <w:p w:rsidR="007453B3" w:rsidRDefault="00ED3A04" w:rsidP="007453B3">
      <w:pPr>
        <w:spacing w:line="240" w:lineRule="auto"/>
        <w:jc w:val="both"/>
        <w:rPr>
          <w:rFonts w:ascii="Times New Roman" w:hAnsi="Times New Roman" w:cs="Times New Roman"/>
          <w:sz w:val="24"/>
          <w:szCs w:val="24"/>
        </w:rPr>
      </w:pPr>
      <w:r w:rsidRPr="001B774E">
        <w:rPr>
          <w:rFonts w:ascii="Times New Roman" w:hAnsi="Times New Roman" w:cs="Times New Roman"/>
          <w:sz w:val="24"/>
          <w:szCs w:val="24"/>
        </w:rPr>
        <w:t xml:space="preserve">Las colas del hambre pueden existir porque existen personas que están atendiendo, uno a uno, a todos los que se acercan en busca de comida. Las filas son, también, el símbolo de la capacidad de penetración de este virus que logró lo impensable en un mundo en el </w:t>
      </w:r>
      <w:r w:rsidR="000C28C6">
        <w:rPr>
          <w:rFonts w:ascii="Times New Roman" w:hAnsi="Times New Roman" w:cs="Times New Roman"/>
          <w:sz w:val="24"/>
          <w:szCs w:val="24"/>
        </w:rPr>
        <w:t>que parecía que nada cambiaría.</w:t>
      </w:r>
    </w:p>
    <w:p w:rsidR="007453B3" w:rsidRPr="007137E3" w:rsidRDefault="007453B3" w:rsidP="007453B3">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 xml:space="preserve">- </w:t>
      </w:r>
      <w:r w:rsidRPr="007137E3">
        <w:rPr>
          <w:rFonts w:ascii="Times New Roman" w:hAnsi="Times New Roman" w:cs="Times New Roman"/>
          <w:sz w:val="24"/>
          <w:szCs w:val="24"/>
          <w:u w:val="single"/>
        </w:rPr>
        <w:t>Estadísticas sobre pobreza de ingresos</w:t>
      </w:r>
      <w:r w:rsidRPr="007137E3">
        <w:rPr>
          <w:rFonts w:ascii="Times New Roman" w:hAnsi="Times New Roman" w:cs="Times New Roman"/>
          <w:sz w:val="24"/>
          <w:szCs w:val="24"/>
        </w:rPr>
        <w:t xml:space="preserve"> (Eurostat - </w:t>
      </w:r>
      <w:r w:rsidRPr="007137E3">
        <w:rPr>
          <w:rFonts w:ascii="Times New Roman" w:hAnsi="Times New Roman" w:cs="Times New Roman"/>
          <w:b/>
          <w:sz w:val="24"/>
          <w:szCs w:val="24"/>
        </w:rPr>
        <w:t>Datos de mayo de 2020</w:t>
      </w:r>
      <w:r w:rsidRPr="007137E3">
        <w:rPr>
          <w:rFonts w:ascii="Times New Roman" w:hAnsi="Times New Roman" w:cs="Times New Roman"/>
          <w:sz w:val="24"/>
          <w:szCs w:val="24"/>
        </w:rPr>
        <w:t>)</w:t>
      </w:r>
    </w:p>
    <w:p w:rsidR="007453B3" w:rsidRPr="007137E3" w:rsidRDefault="007453B3" w:rsidP="007453B3">
      <w:pPr>
        <w:spacing w:line="240" w:lineRule="auto"/>
        <w:jc w:val="both"/>
        <w:rPr>
          <w:rFonts w:ascii="Times New Roman" w:hAnsi="Times New Roman" w:cs="Times New Roman"/>
          <w:sz w:val="24"/>
          <w:szCs w:val="24"/>
          <w:lang w:val="en-US"/>
        </w:rPr>
      </w:pPr>
      <w:r w:rsidRPr="007137E3">
        <w:rPr>
          <w:rFonts w:ascii="Times New Roman" w:hAnsi="Times New Roman" w:cs="Times New Roman"/>
          <w:sz w:val="24"/>
          <w:szCs w:val="24"/>
          <w:lang w:val="en-US"/>
        </w:rPr>
        <w:t>(Revision as of 19:17, 26 April 2021 by Corselo)</w:t>
      </w:r>
    </w:p>
    <w:p w:rsidR="007453B3" w:rsidRPr="007137E3" w:rsidRDefault="007453B3" w:rsidP="007453B3">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Datos destacados</w:t>
      </w:r>
    </w:p>
    <w:p w:rsidR="007453B3" w:rsidRPr="007137E3" w:rsidRDefault="007453B3" w:rsidP="007453B3">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En la EU-27, la tasa de riesgo de pobreza (después de las transferencias sociales) en 2018 era del 16,8 %, prácticamente la misma que en 2017 (16,9 %).</w:t>
      </w:r>
    </w:p>
    <w:p w:rsidR="007453B3" w:rsidRPr="007137E3" w:rsidRDefault="007453B3" w:rsidP="007453B3">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En 2018, gracias a las transferencias sociales el 8,2 % de la población de la EU-27 superó el umbral de la pobreza.</w:t>
      </w:r>
    </w:p>
    <w:p w:rsidR="00837CFA" w:rsidRPr="007137E3" w:rsidRDefault="007453B3" w:rsidP="007453B3">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En 2018, el 20 % de la población con la renta disponible más alta en la EU-27 recibió unos ingresos 5,1 veces superiores al 20 % con la renta disponible más baja.</w:t>
      </w:r>
    </w:p>
    <w:p w:rsidR="007453B3" w:rsidRPr="007137E3" w:rsidRDefault="007453B3" w:rsidP="007453B3">
      <w:pPr>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drawing>
          <wp:inline distT="0" distB="0" distL="0" distR="0" wp14:anchorId="00EF74BC" wp14:editId="7D5DF755">
            <wp:extent cx="5731510" cy="2648374"/>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2648374"/>
                    </a:xfrm>
                    <a:prstGeom prst="rect">
                      <a:avLst/>
                    </a:prstGeom>
                  </pic:spPr>
                </pic:pic>
              </a:graphicData>
            </a:graphic>
          </wp:inline>
        </w:drawing>
      </w:r>
    </w:p>
    <w:p w:rsidR="007453B3" w:rsidRPr="007137E3" w:rsidRDefault="007453B3" w:rsidP="007453B3">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7137E3">
        <w:rPr>
          <w:rStyle w:val="mw-headline"/>
          <w:rFonts w:ascii="Times New Roman" w:hAnsi="Times New Roman" w:cs="Times New Roman"/>
          <w:bCs w:val="0"/>
          <w:color w:val="auto"/>
          <w:sz w:val="24"/>
          <w:szCs w:val="24"/>
        </w:rPr>
        <w:t>Tasa y umbral de riesgo de pobreza</w:t>
      </w:r>
    </w:p>
    <w:p w:rsidR="007453B3" w:rsidRPr="007137E3" w:rsidRDefault="007453B3" w:rsidP="007453B3">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7453B3" w:rsidRPr="007137E3" w:rsidRDefault="007453B3" w:rsidP="007453B3">
      <w:pPr>
        <w:pStyle w:val="NormalWeb"/>
        <w:shd w:val="clear" w:color="auto" w:fill="FFFFFF"/>
        <w:spacing w:before="0" w:beforeAutospacing="0" w:after="105" w:afterAutospacing="0"/>
        <w:jc w:val="both"/>
      </w:pPr>
      <w:r w:rsidRPr="007137E3">
        <w:t>La </w:t>
      </w:r>
      <w:hyperlink r:id="rId145" w:history="1">
        <w:r w:rsidRPr="007137E3">
          <w:rPr>
            <w:rStyle w:val="Hipervnculo"/>
            <w:color w:val="auto"/>
            <w:u w:val="none"/>
          </w:rPr>
          <w:t>tasa de riesgo de pobreza</w:t>
        </w:r>
      </w:hyperlink>
      <w:r w:rsidRPr="007137E3">
        <w:t> (después de las transferencias sociales) en la </w:t>
      </w:r>
      <w:hyperlink r:id="rId146" w:history="1">
        <w:r w:rsidRPr="007137E3">
          <w:rPr>
            <w:rStyle w:val="Hipervnculo"/>
            <w:color w:val="auto"/>
            <w:u w:val="none"/>
          </w:rPr>
          <w:t>EU-27</w:t>
        </w:r>
      </w:hyperlink>
      <w:r w:rsidRPr="007137E3">
        <w:t> aumentó entre 2010 (cuando comenzaron las series temporales) y 2011 de un 16,5 % a un 16,9 %. Esta tasa se mantuvo relativamente estable en los dos años siguientes, antes de aumentar de forma más significativa en 2014, hasta alcanzar un 17,3 %. En 2015 y 2016 se observaron aumentos más reducidos (de hasta 0,1 </w:t>
      </w:r>
      <w:hyperlink r:id="rId147" w:history="1">
        <w:r w:rsidRPr="007137E3">
          <w:rPr>
            <w:rStyle w:val="Hipervnculo"/>
            <w:color w:val="auto"/>
            <w:u w:val="none"/>
          </w:rPr>
          <w:t>puntos porcentuales</w:t>
        </w:r>
      </w:hyperlink>
      <w:r w:rsidRPr="007137E3">
        <w:t xml:space="preserve"> cada año). En 2017, se observó el primer descenso notable al reducirse la tasa al 16,9 %, porcentaje que fue seguido de una modesta </w:t>
      </w:r>
      <w:r w:rsidRPr="007137E3">
        <w:lastRenderedPageBreak/>
        <w:t>reducción adicional de 0,1 puntos en 2018. Así, en los dos últimos años sobre los cuales se dispone de datos, la tasa de riesgo de pobreza de la EU-27 recuperó un nivel similar al observado entre 2011 y 2013.</w:t>
      </w:r>
    </w:p>
    <w:p w:rsidR="007453B3" w:rsidRPr="007137E3" w:rsidRDefault="007453B3" w:rsidP="007453B3">
      <w:pPr>
        <w:pStyle w:val="NormalWeb"/>
        <w:shd w:val="clear" w:color="auto" w:fill="FFFFFF"/>
        <w:spacing w:before="0" w:beforeAutospacing="0" w:after="105" w:afterAutospacing="0"/>
        <w:jc w:val="both"/>
      </w:pPr>
      <w:r w:rsidRPr="007137E3">
        <w:t>La tasa para la EU-27, calculada como media ponderada de los resultados nacionales, enmascara variaciones considerables entre los Estados miembros de la UE (véase el </w:t>
      </w:r>
      <w:r w:rsidRPr="007137E3">
        <w:rPr>
          <w:b/>
          <w:bCs/>
        </w:rPr>
        <w:t>gráfico 1</w:t>
      </w:r>
      <w:r w:rsidRPr="007137E3">
        <w:t>). En siete Estados miembros, a saber, Rumanía (23,5 %), Letonia (23,3 %), Lituania (22,9 %), Bulgaria (22,0 %), Estonia (21,9 %), España (21,5 %) e Italia (20,3 %), al menos una quinta parte de la población se consideraba en riesgo de pobreza en 2018; este también fue el caso de Serbia (24,3 %), Montenegro (23,6 %; datos de 2017), Turquía (22,2 %; datos de 2017) y Macedonia del Norte (21,9 %). Entre los Estados miembros, las proporciones más reducidas de personas en riesgo de pobreza se observaron en Chequia (9,6 %), Finlandia (12,0 %) y Eslovaquia (12,2 %), mientras que Islandia (8,8 %; datos de 2016) registró un porcentaje aún más bajo de población en riesgo de pobreza.</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drawing>
          <wp:inline distT="0" distB="0" distL="0" distR="0" wp14:anchorId="17337964" wp14:editId="2CC4A4BB">
            <wp:extent cx="5753100" cy="3632200"/>
            <wp:effectExtent l="0" t="0" r="0" b="6350"/>
            <wp:docPr id="55" name="Imagen 55" descr="https://ec.europa.eu/eurostat/statistics-explained/images/thumb/1/1c/At-risk-of-poverty_rate_and_threshold%2C_2018_SILC20.png/500px-At-risk-of-poverty_rate_and_threshold%2C_2018_SILC20.png">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c.europa.eu/eurostat/statistics-explained/images/thumb/1/1c/At-risk-of-poverty_rate_and_threshold%2C_2018_SILC20.png/500px-At-risk-of-poverty_rate_and_threshold%2C_2018_SILC20.png">
                      <a:hlinkClick r:id="rId148"/>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3100" cy="3632200"/>
                    </a:xfrm>
                    <a:prstGeom prst="rect">
                      <a:avLst/>
                    </a:prstGeom>
                    <a:noFill/>
                    <a:ln>
                      <a:noFill/>
                    </a:ln>
                  </pic:spPr>
                </pic:pic>
              </a:graphicData>
            </a:graphic>
          </wp:inline>
        </w:drawing>
      </w:r>
    </w:p>
    <w:p w:rsidR="003566B7"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1: Tasa y umbral de riesgo de pobreza, 2018</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150" w:tgtFrame="_blank" w:history="1">
        <w:r w:rsidRPr="007137E3">
          <w:rPr>
            <w:rStyle w:val="Hipervnculo"/>
            <w:rFonts w:ascii="Times New Roman" w:hAnsi="Times New Roman" w:cs="Times New Roman"/>
            <w:color w:val="auto"/>
            <w:sz w:val="24"/>
            <w:szCs w:val="24"/>
            <w:u w:val="none"/>
          </w:rPr>
          <w:t>(ilc_li01)</w:t>
        </w:r>
      </w:hyperlink>
      <w:r w:rsidRPr="007137E3">
        <w:rPr>
          <w:rFonts w:ascii="Times New Roman" w:hAnsi="Times New Roman" w:cs="Times New Roman"/>
          <w:sz w:val="24"/>
          <w:szCs w:val="24"/>
        </w:rPr>
        <w:t> e </w:t>
      </w:r>
      <w:hyperlink r:id="rId151" w:tgtFrame="_blank" w:history="1">
        <w:r w:rsidRPr="007137E3">
          <w:rPr>
            <w:rStyle w:val="Hipervnculo"/>
            <w:rFonts w:ascii="Times New Roman" w:hAnsi="Times New Roman" w:cs="Times New Roman"/>
            <w:color w:val="auto"/>
            <w:sz w:val="24"/>
            <w:szCs w:val="24"/>
            <w:u w:val="none"/>
          </w:rPr>
          <w:t>(ilc_li02)</w:t>
        </w:r>
      </w:hyperlink>
    </w:p>
    <w:p w:rsidR="007453B3" w:rsidRPr="007137E3" w:rsidRDefault="007453B3" w:rsidP="007453B3">
      <w:pPr>
        <w:pStyle w:val="NormalWeb"/>
        <w:shd w:val="clear" w:color="auto" w:fill="FFFFFF"/>
        <w:spacing w:before="0" w:beforeAutospacing="0" w:after="105" w:afterAutospacing="0"/>
        <w:jc w:val="both"/>
      </w:pPr>
      <w:r w:rsidRPr="007137E3">
        <w:t>El umbral del riesgo de pobreza (que también se muestra en el</w:t>
      </w:r>
      <w:r w:rsidR="00E6181C" w:rsidRPr="007137E3">
        <w:t xml:space="preserve"> </w:t>
      </w:r>
      <w:r w:rsidRPr="007137E3">
        <w:rPr>
          <w:b/>
          <w:bCs/>
        </w:rPr>
        <w:t>gráfico 1</w:t>
      </w:r>
      <w:r w:rsidRPr="007137E3">
        <w:t>) se sitúa en el 60 % de la mediana nacional de la renta disponible equivalente. En comparaciones entre países, se expresa, a menudo, en </w:t>
      </w:r>
      <w:hyperlink r:id="rId152" w:history="1">
        <w:r w:rsidRPr="007137E3">
          <w:rPr>
            <w:rStyle w:val="Hipervnculo"/>
            <w:color w:val="auto"/>
            <w:u w:val="none"/>
          </w:rPr>
          <w:t>paridades del poder adquisitivo</w:t>
        </w:r>
      </w:hyperlink>
      <w:r w:rsidRPr="007137E3">
        <w:t xml:space="preserve"> (PPA) para tener en cuenta las diferencias entre países en el coste de la vida. Los valores de los ingresos para este umbral variaron considerablemente entre los Estados </w:t>
      </w:r>
      <w:r w:rsidR="007137E3" w:rsidRPr="007137E3">
        <w:t>miembros de la UE en 2018, de 3.767 PPA en Rumanía a 13.</w:t>
      </w:r>
      <w:r w:rsidRPr="007137E3">
        <w:t xml:space="preserve">923 PPA en Austria, </w:t>
      </w:r>
      <w:r w:rsidR="007137E3" w:rsidRPr="007137E3">
        <w:t>con el umbral de Luxemburgo (19.</w:t>
      </w:r>
      <w:r w:rsidRPr="007137E3">
        <w:t xml:space="preserve">295 PPA) claramente por encima de este rango. El umbral de pobreza también era </w:t>
      </w:r>
      <w:r w:rsidR="007137E3" w:rsidRPr="007137E3">
        <w:t>relativamente bajo en Serbia (3.</w:t>
      </w:r>
      <w:r w:rsidRPr="007137E3">
        <w:t>1</w:t>
      </w:r>
      <w:r w:rsidR="007137E3" w:rsidRPr="007137E3">
        <w:t>36 PPA), Macedonia del Norte (3.298 PPA), Montenegro (3.</w:t>
      </w:r>
      <w:r w:rsidRPr="007137E3">
        <w:t>906; P</w:t>
      </w:r>
      <w:r w:rsidR="007137E3" w:rsidRPr="007137E3">
        <w:t>PA; datos de 2017) y Turquía (3.</w:t>
      </w:r>
      <w:r w:rsidRPr="007137E3">
        <w:t>916; PPA; datos de 2017), y relat</w:t>
      </w:r>
      <w:r w:rsidR="007137E3" w:rsidRPr="007137E3">
        <w:t>ivamente elevado en Noruega (15.</w:t>
      </w:r>
      <w:r w:rsidRPr="007137E3">
        <w:t>780 PPA) y Suiza (16</w:t>
      </w:r>
      <w:r w:rsidR="007137E3" w:rsidRPr="007137E3">
        <w:t>.</w:t>
      </w:r>
      <w:r w:rsidRPr="007137E3">
        <w:t>240 PPA).</w:t>
      </w:r>
    </w:p>
    <w:p w:rsidR="000C28C6" w:rsidRPr="007137E3" w:rsidRDefault="000C28C6" w:rsidP="007453B3">
      <w:pPr>
        <w:pStyle w:val="NormalWeb"/>
        <w:shd w:val="clear" w:color="auto" w:fill="FFFFFF"/>
        <w:spacing w:before="0" w:beforeAutospacing="0" w:after="105" w:afterAutospacing="0"/>
        <w:jc w:val="both"/>
      </w:pPr>
    </w:p>
    <w:p w:rsidR="007453B3" w:rsidRPr="007137E3" w:rsidRDefault="007453B3" w:rsidP="007453B3">
      <w:pPr>
        <w:pStyle w:val="NormalWeb"/>
        <w:shd w:val="clear" w:color="auto" w:fill="FFFFFF"/>
        <w:spacing w:before="0" w:beforeAutospacing="0" w:after="105" w:afterAutospacing="0"/>
        <w:jc w:val="both"/>
        <w:rPr>
          <w:i/>
        </w:rPr>
      </w:pPr>
      <w:r w:rsidRPr="007137E3">
        <w:rPr>
          <w:b/>
          <w:bCs/>
          <w:i/>
          <w:iCs/>
        </w:rPr>
        <w:lastRenderedPageBreak/>
        <w:t>Las distintas subpoblaciones se ven más o menos afectadas por la pobreza monetaria</w:t>
      </w:r>
    </w:p>
    <w:p w:rsidR="007453B3" w:rsidRPr="007137E3" w:rsidRDefault="007453B3" w:rsidP="007453B3">
      <w:pPr>
        <w:pStyle w:val="NormalWeb"/>
        <w:shd w:val="clear" w:color="auto" w:fill="FFFFFF"/>
        <w:spacing w:before="0" w:beforeAutospacing="0" w:after="105" w:afterAutospacing="0"/>
        <w:jc w:val="both"/>
      </w:pPr>
      <w:r w:rsidRPr="007137E3">
        <w:t>En 2018, la diferencia en la EU-27 en cuanto a la tasa de riesgo de pobreza (después de las transferencias sociales) entre los dos sexos fue pequeña, pues las últimas tasas relativas a las personas de dieciséis años o más equivalían al 15,5 % en el caso de los hombres, frente a una cifra superior del 17,2 % en el caso de las mujeres. Todos los Estados miembros de la UE, el Reino Unido, los tres </w:t>
      </w:r>
      <w:hyperlink r:id="rId153" w:history="1">
        <w:r w:rsidRPr="007137E3">
          <w:rPr>
            <w:rStyle w:val="Hipervnculo"/>
            <w:color w:val="auto"/>
            <w:u w:val="none"/>
          </w:rPr>
          <w:t>países de la AELC</w:t>
        </w:r>
      </w:hyperlink>
      <w:r w:rsidRPr="007137E3">
        <w:t> mostrados en el </w:t>
      </w:r>
      <w:r w:rsidRPr="007137E3">
        <w:rPr>
          <w:b/>
          <w:bCs/>
        </w:rPr>
        <w:t>gráfico 2</w:t>
      </w:r>
      <w:r w:rsidRPr="007137E3">
        <w:t> y Turquía registraron tasas más altas para las mujeres que para los hombres entre la población de dieciséis años o más. Las diferencias de género más acusadas en 2018 se observaron en Lituania (6,3 puntos porcentuales más para las mujeres que para los hombres), Letonia (6,1 puntos porcentuales), Estonia (5,5 puntos porcentuales) y Chequia (4,6 puntos porcentuales). Irlanda, Malta y Bulgaria registraron tasas de riesgo de pobreza para las mujeres como mínimo 3,0 puntos porcentuales superiores a las de los hombres. La brecha de género más reducida se localizó en Francia, donde la tasa de riesgo de pobreza era ligeramente (0,2 puntos porcentuales) más elevada para las mujeres que para los hombres. En cambio, en Montenegro la tasa de los hombres era 1,2 puntos porcentuales (datos de 2017) superior a la de las mujeres, mientras que en Macedonia del Norte la tasa para los hombres también era superior, pero tan solo 0,1 puntos porcentuales; en Serbia no se observaron diferencias entre las tasas de ambos sexos.</w:t>
      </w:r>
    </w:p>
    <w:p w:rsidR="003566B7" w:rsidRPr="007137E3" w:rsidRDefault="003566B7" w:rsidP="007453B3">
      <w:pPr>
        <w:pStyle w:val="NormalWeb"/>
        <w:shd w:val="clear" w:color="auto" w:fill="FFFFFF"/>
        <w:spacing w:before="0" w:beforeAutospacing="0" w:after="105" w:afterAutospacing="0"/>
        <w:jc w:val="both"/>
      </w:pPr>
      <w:r w:rsidRPr="007137E3">
        <w:rPr>
          <w:noProof/>
        </w:rPr>
        <w:drawing>
          <wp:inline distT="0" distB="0" distL="0" distR="0" wp14:anchorId="35356A1A" wp14:editId="5D343D63">
            <wp:extent cx="5689600" cy="4073802"/>
            <wp:effectExtent l="0" t="0" r="6350" b="317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694442" cy="4077269"/>
                    </a:xfrm>
                    <a:prstGeom prst="rect">
                      <a:avLst/>
                    </a:prstGeom>
                  </pic:spPr>
                </pic:pic>
              </a:graphicData>
            </a:graphic>
          </wp:inline>
        </w:drawing>
      </w:r>
    </w:p>
    <w:p w:rsidR="003566B7"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2: Tasa de riesgo de pobreza después de las transferencias sociales, 2018</w:t>
      </w:r>
      <w:r w:rsidRPr="007137E3">
        <w:rPr>
          <w:rFonts w:ascii="Times New Roman" w:hAnsi="Times New Roman" w:cs="Times New Roman"/>
          <w:sz w:val="24"/>
          <w:szCs w:val="24"/>
        </w:rPr>
        <w:br/>
        <w:t>(% de la población mayor de 16 años)</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155" w:tgtFrame="_blank" w:history="1">
        <w:r w:rsidRPr="007137E3">
          <w:rPr>
            <w:rStyle w:val="Hipervnculo"/>
            <w:rFonts w:ascii="Times New Roman" w:hAnsi="Times New Roman" w:cs="Times New Roman"/>
            <w:color w:val="auto"/>
            <w:sz w:val="24"/>
            <w:szCs w:val="24"/>
            <w:u w:val="none"/>
          </w:rPr>
          <w:t>(ilc_li02)</w:t>
        </w:r>
      </w:hyperlink>
    </w:p>
    <w:p w:rsidR="007453B3" w:rsidRPr="007137E3" w:rsidRDefault="007453B3" w:rsidP="007453B3">
      <w:pPr>
        <w:pStyle w:val="NormalWeb"/>
        <w:shd w:val="clear" w:color="auto" w:fill="FFFFFF"/>
        <w:spacing w:before="0" w:beforeAutospacing="0" w:after="105" w:afterAutospacing="0"/>
        <w:jc w:val="both"/>
      </w:pPr>
      <w:r w:rsidRPr="007137E3">
        <w:rPr>
          <w:b/>
          <w:bCs/>
          <w:i/>
          <w:iCs/>
        </w:rPr>
        <w:t>Las diferencias en las tasas de riesgo de pobreza eran mayores si la población se clasificaba por su situación profesional</w:t>
      </w:r>
    </w:p>
    <w:p w:rsidR="007453B3" w:rsidRPr="007137E3" w:rsidRDefault="007453B3" w:rsidP="007453B3">
      <w:pPr>
        <w:pStyle w:val="NormalWeb"/>
        <w:shd w:val="clear" w:color="auto" w:fill="FFFFFF"/>
        <w:spacing w:before="0" w:beforeAutospacing="0" w:after="105" w:afterAutospacing="0"/>
        <w:jc w:val="both"/>
      </w:pPr>
      <w:r w:rsidRPr="007137E3">
        <w:t>En lo referente al riesgo de pobreza, el grupo de los </w:t>
      </w:r>
      <w:hyperlink r:id="rId156" w:history="1">
        <w:r w:rsidRPr="007137E3">
          <w:rPr>
            <w:rStyle w:val="Hipervnculo"/>
            <w:color w:val="auto"/>
            <w:u w:val="none"/>
          </w:rPr>
          <w:t>desempleados</w:t>
        </w:r>
      </w:hyperlink>
      <w:r w:rsidRPr="007137E3">
        <w:t> es especialmente vulnerable (véase la </w:t>
      </w:r>
      <w:r w:rsidRPr="007137E3">
        <w:rPr>
          <w:b/>
          <w:bCs/>
        </w:rPr>
        <w:t>tabla 1</w:t>
      </w:r>
      <w:r w:rsidRPr="007137E3">
        <w:t xml:space="preserve">): casi la mitad (48,6 %) del total de desempleados en la EU-27 </w:t>
      </w:r>
      <w:r w:rsidRPr="007137E3">
        <w:lastRenderedPageBreak/>
        <w:t>estuvieron en riesgo de pobreza en 2018; el nivel más alto, con diferencia, se detectó en Alemania (69,4 %). Otros once Estados miembros de la UE (Lituania, Malta, Letonia, Suecia, Bulgaria, Hungría, Chequia, Estonia, Eslovaquia, España y Bélgica) informaron de que al menos la mitad de los desempleados estuvieron en riesgo de pobreza en 2018.</w:t>
      </w:r>
    </w:p>
    <w:p w:rsidR="003566B7" w:rsidRPr="007137E3" w:rsidRDefault="003566B7" w:rsidP="007453B3">
      <w:pPr>
        <w:pStyle w:val="NormalWeb"/>
        <w:shd w:val="clear" w:color="auto" w:fill="FFFFFF"/>
        <w:spacing w:before="0" w:beforeAutospacing="0" w:after="105" w:afterAutospacing="0"/>
        <w:jc w:val="both"/>
      </w:pPr>
      <w:r w:rsidRPr="007137E3">
        <w:rPr>
          <w:noProof/>
        </w:rPr>
        <w:drawing>
          <wp:inline distT="0" distB="0" distL="0" distR="0" wp14:anchorId="470D58EE" wp14:editId="661979AD">
            <wp:extent cx="5731510" cy="4400281"/>
            <wp:effectExtent l="0" t="0" r="2540" b="63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4400281"/>
                    </a:xfrm>
                    <a:prstGeom prst="rect">
                      <a:avLst/>
                    </a:prstGeom>
                  </pic:spPr>
                </pic:pic>
              </a:graphicData>
            </a:graphic>
          </wp:inline>
        </w:drawing>
      </w:r>
    </w:p>
    <w:p w:rsidR="003566B7"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Tabla 1: Tasa de riesgo de pobreza después de las transferencias sociales, por situación profesional más frecuente, 2018</w:t>
      </w:r>
      <w:r w:rsidR="003566B7" w:rsidRPr="007137E3">
        <w:rPr>
          <w:rFonts w:ascii="Times New Roman" w:hAnsi="Times New Roman" w:cs="Times New Roman"/>
          <w:sz w:val="24"/>
          <w:szCs w:val="24"/>
        </w:rPr>
        <w:t xml:space="preserve"> </w:t>
      </w:r>
      <w:r w:rsidRPr="007137E3">
        <w:rPr>
          <w:rFonts w:ascii="Times New Roman" w:hAnsi="Times New Roman" w:cs="Times New Roman"/>
          <w:sz w:val="24"/>
          <w:szCs w:val="24"/>
        </w:rPr>
        <w:t>(% de la población mayor de 18 años)</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158" w:tgtFrame="_blank" w:history="1">
        <w:r w:rsidRPr="007137E3">
          <w:rPr>
            <w:rStyle w:val="Hipervnculo"/>
            <w:rFonts w:ascii="Times New Roman" w:hAnsi="Times New Roman" w:cs="Times New Roman"/>
            <w:color w:val="auto"/>
            <w:sz w:val="24"/>
            <w:szCs w:val="24"/>
            <w:u w:val="none"/>
          </w:rPr>
          <w:t>(ilc_li04)</w:t>
        </w:r>
      </w:hyperlink>
    </w:p>
    <w:p w:rsidR="007453B3" w:rsidRPr="007137E3" w:rsidRDefault="007453B3" w:rsidP="007453B3">
      <w:pPr>
        <w:pStyle w:val="NormalWeb"/>
        <w:shd w:val="clear" w:color="auto" w:fill="FFFFFF"/>
        <w:spacing w:before="0" w:beforeAutospacing="0" w:after="105" w:afterAutospacing="0"/>
        <w:jc w:val="both"/>
      </w:pPr>
      <w:r w:rsidRPr="007137E3">
        <w:t>Aproximadamente uno de cada siete (14,4 %) jubilados en la EU-27 estuvo en riesgo de pobreza en 2018. En Estonia (53,6 %), Letonia (48,9 %) y Lituania (41,7 %), el riesgo de pobreza entre los jubilados era relativamente alto, unas 3,7, 3,4 y 2,9 veces más alto, respectivamente, que la media de la EU-27, mientras que la tasa siguiente más alta era del 28,5 %, en Bulgaria.</w:t>
      </w:r>
    </w:p>
    <w:p w:rsidR="007453B3" w:rsidRPr="007137E3" w:rsidRDefault="007453B3" w:rsidP="007453B3">
      <w:pPr>
        <w:pStyle w:val="NormalWeb"/>
        <w:shd w:val="clear" w:color="auto" w:fill="FFFFFF"/>
        <w:spacing w:before="0" w:beforeAutospacing="0" w:after="105" w:afterAutospacing="0"/>
        <w:jc w:val="both"/>
      </w:pPr>
      <w:r w:rsidRPr="007137E3">
        <w:t>Las personas en situación de empleo estuvieron mucho menos expuestas al riesgo de pobreza: en 2018, la tasa media en toda la EU-27 era del 9,3 %. Se registraron tasas relativamente elevadas de trabajadores ocupados en riesgo de pobreza en Rumanía (15,3 %) y, en menor medida, en Luxemburgo (13,5 %) y España (12,9 %), mientras que Italia y Grecia también comunicaron que más de uno de cada diez trabajadores ocupados de su mano de obra respectiva estaba en riesgo de pobreza en 2018. Las tasas de riesgo de pobreza correspondientes a los trabajadores ocupados también fueron del 10,0 % como mínimo en Serbia, el Reino Unido y Turquía (datos de 2017).</w:t>
      </w:r>
    </w:p>
    <w:p w:rsidR="000C28C6" w:rsidRPr="007137E3" w:rsidRDefault="000C28C6" w:rsidP="007453B3">
      <w:pPr>
        <w:pStyle w:val="NormalWeb"/>
        <w:shd w:val="clear" w:color="auto" w:fill="FFFFFF"/>
        <w:spacing w:before="0" w:beforeAutospacing="0" w:after="105" w:afterAutospacing="0"/>
        <w:jc w:val="both"/>
      </w:pPr>
    </w:p>
    <w:p w:rsidR="007453B3" w:rsidRPr="007137E3" w:rsidRDefault="007453B3" w:rsidP="007453B3">
      <w:pPr>
        <w:pStyle w:val="NormalWeb"/>
        <w:shd w:val="clear" w:color="auto" w:fill="FFFFFF"/>
        <w:spacing w:before="0" w:beforeAutospacing="0" w:after="105" w:afterAutospacing="0"/>
        <w:jc w:val="both"/>
      </w:pPr>
      <w:r w:rsidRPr="007137E3">
        <w:rPr>
          <w:b/>
          <w:bCs/>
          <w:i/>
          <w:iCs/>
        </w:rPr>
        <w:lastRenderedPageBreak/>
        <w:t>Las tasas de riesgo de pobreza no se distribuyen de manera uniforme entre los hogares con distinta composición de adultos y menores dependientes</w:t>
      </w:r>
    </w:p>
    <w:p w:rsidR="007453B3" w:rsidRPr="007137E3" w:rsidRDefault="007453B3" w:rsidP="007453B3">
      <w:pPr>
        <w:pStyle w:val="NormalWeb"/>
        <w:shd w:val="clear" w:color="auto" w:fill="FFFFFF"/>
        <w:spacing w:before="0" w:beforeAutospacing="0" w:after="105" w:afterAutospacing="0"/>
        <w:jc w:val="both"/>
      </w:pPr>
      <w:r w:rsidRPr="007137E3">
        <w:t>Entre los hogares sin menores dependientes (véase el </w:t>
      </w:r>
      <w:r w:rsidRPr="007137E3">
        <w:rPr>
          <w:b/>
          <w:bCs/>
        </w:rPr>
        <w:t>gráfico 3</w:t>
      </w:r>
      <w:r w:rsidRPr="007137E3">
        <w:t>), las personas que vivían solas eran más propensas a estar en riesgo de pobreza, una situación a la que se enfrentaron el 26,1 % de los hogares unipersonales de la EU-27 en 2018. Por el contrario, la tasa de riesgo de pobreza en los hogares con al menos dos adultos fue inferior a la mitad de este porcentaje, del 11,4 %, la misma tasa para hogares con dos adultos en los que al menos una persona tenía 65 años o más.</w:t>
      </w:r>
    </w:p>
    <w:p w:rsidR="003566B7" w:rsidRPr="007137E3" w:rsidRDefault="003566B7" w:rsidP="007453B3">
      <w:pPr>
        <w:pStyle w:val="NormalWeb"/>
        <w:shd w:val="clear" w:color="auto" w:fill="FFFFFF"/>
        <w:spacing w:before="0" w:beforeAutospacing="0" w:after="105" w:afterAutospacing="0"/>
        <w:jc w:val="both"/>
      </w:pPr>
      <w:r w:rsidRPr="007137E3">
        <w:rPr>
          <w:noProof/>
        </w:rPr>
        <w:drawing>
          <wp:inline distT="0" distB="0" distL="0" distR="0" wp14:anchorId="06B1651F" wp14:editId="5E81199F">
            <wp:extent cx="5731510" cy="4267403"/>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4267403"/>
                    </a:xfrm>
                    <a:prstGeom prst="rect">
                      <a:avLst/>
                    </a:prstGeom>
                  </pic:spPr>
                </pic:pic>
              </a:graphicData>
            </a:graphic>
          </wp:inline>
        </w:drawing>
      </w:r>
    </w:p>
    <w:p w:rsidR="003566B7"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3: Tasa de riesgo de pobreza por tipo de hogar: hogares sin menores dependientes, 2018</w:t>
      </w:r>
      <w:r w:rsidR="003566B7" w:rsidRPr="007137E3">
        <w:rPr>
          <w:rFonts w:ascii="Times New Roman" w:hAnsi="Times New Roman" w:cs="Times New Roman"/>
          <w:sz w:val="24"/>
          <w:szCs w:val="24"/>
        </w:rPr>
        <w:t xml:space="preserve"> </w:t>
      </w:r>
      <w:r w:rsidRPr="007137E3">
        <w:rPr>
          <w:rFonts w:ascii="Times New Roman" w:hAnsi="Times New Roman" w:cs="Times New Roman"/>
          <w:sz w:val="24"/>
          <w:szCs w:val="24"/>
        </w:rPr>
        <w:t>(% de la población especificada)</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160" w:tgtFrame="_blank" w:history="1">
        <w:r w:rsidRPr="007137E3">
          <w:rPr>
            <w:rStyle w:val="Hipervnculo"/>
            <w:rFonts w:ascii="Times New Roman" w:hAnsi="Times New Roman" w:cs="Times New Roman"/>
            <w:color w:val="auto"/>
            <w:sz w:val="24"/>
            <w:szCs w:val="24"/>
            <w:u w:val="none"/>
          </w:rPr>
          <w:t>(ilc_li03)</w:t>
        </w:r>
      </w:hyperlink>
    </w:p>
    <w:p w:rsidR="007453B3" w:rsidRPr="007137E3" w:rsidRDefault="007453B3" w:rsidP="007453B3">
      <w:pPr>
        <w:pStyle w:val="NormalWeb"/>
        <w:shd w:val="clear" w:color="auto" w:fill="FFFFFF"/>
        <w:spacing w:before="0" w:beforeAutospacing="0" w:after="105" w:afterAutospacing="0"/>
        <w:jc w:val="both"/>
      </w:pPr>
      <w:r w:rsidRPr="007137E3">
        <w:t>La inmensa mayoría de los Estados miembros de la UE registraron una evolución similar: en 2018, los hogares unipersonales tuvieron las tasas más altas de riesgo de pobreza en los hogares sin menores dependientes en todos los Estados miembros de la UE excepto en Chipre, donde los hogares con dos adultos en los que al menos una persona tenía 65 años o más registraron una tasa más elevada (21,7 % frente a 21,1 % para los hogares unipersonales). En Macedonia del Norte se observó una situación similar, salvo que los hogares unipersonales registraron la tasa más baja (8,5 %) entre los tres tipos de hogares analizados.</w:t>
      </w:r>
    </w:p>
    <w:p w:rsidR="007453B3" w:rsidRPr="007137E3" w:rsidRDefault="007453B3" w:rsidP="007453B3">
      <w:pPr>
        <w:pStyle w:val="NormalWeb"/>
        <w:shd w:val="clear" w:color="auto" w:fill="FFFFFF"/>
        <w:spacing w:before="0" w:beforeAutospacing="0" w:after="105" w:afterAutospacing="0"/>
        <w:jc w:val="both"/>
      </w:pPr>
      <w:r w:rsidRPr="007137E3">
        <w:t xml:space="preserve">En nueve de los veintisiete Estados miembros de la UE, la tasa de riesgo de pobreza de los hogares con dos adultos y al menos una persona de 65 años o más fue inferior a la tasa de la categoría general de todos los hogares con dos o más adultos, especialmente en Dinamarca, donde la diferencia fue de 6,2 puntos porcentuales. En el otro extremo, en Letonia, la tasa de </w:t>
      </w:r>
      <w:r w:rsidRPr="007137E3">
        <w:lastRenderedPageBreak/>
        <w:t>riesgo de pobreza de los hogares con dos adultos en los que al menos una persona tenía 65 años o más fue 13,3 puntos porcentuales superior a la de todos los hogares con dos o más adultos, mientras que en Malta la diferencia fue de 12,4 puntos porcentuales. En España, la tasa de ambos tipos de hogares era idéntica, mientras que en Italia la diferencia era de tan solo 0,1 puntos porcentuales (datos de 2017).</w:t>
      </w:r>
    </w:p>
    <w:p w:rsidR="007453B3" w:rsidRPr="007137E3" w:rsidRDefault="007453B3" w:rsidP="007453B3">
      <w:pPr>
        <w:pStyle w:val="NormalWeb"/>
        <w:shd w:val="clear" w:color="auto" w:fill="FFFFFF"/>
        <w:spacing w:before="0" w:beforeAutospacing="0" w:after="105" w:afterAutospacing="0"/>
        <w:jc w:val="both"/>
      </w:pPr>
      <w:r w:rsidRPr="007137E3">
        <w:rPr>
          <w:b/>
          <w:bCs/>
          <w:i/>
          <w:iCs/>
        </w:rPr>
        <w:t>Entre los hogares con menores dependientes, la mayor tasa de riesgo de pobreza en la EU-27 se registró para las personas sin pareja con menores dependientes: más de una tercera parte (34,2 %)</w:t>
      </w:r>
    </w:p>
    <w:p w:rsidR="007453B3" w:rsidRPr="007137E3" w:rsidRDefault="007453B3" w:rsidP="007453B3">
      <w:pPr>
        <w:pStyle w:val="NormalWeb"/>
        <w:shd w:val="clear" w:color="auto" w:fill="FFFFFF"/>
        <w:spacing w:before="0" w:beforeAutospacing="0" w:after="105" w:afterAutospacing="0"/>
        <w:jc w:val="both"/>
      </w:pPr>
      <w:r w:rsidRPr="007137E3">
        <w:t>Si se examinan los porcentajes en los hogares con dos adultos, aquellos con un solo menor dependiente (12,1 %) presentaron una tasa de riesgo de pobreza ligeramente inferior a la mitad de la registrada para las familias con tres o más menores dependientes (24,5 %); véase el </w:t>
      </w:r>
      <w:r w:rsidRPr="007137E3">
        <w:rPr>
          <w:b/>
          <w:bCs/>
        </w:rPr>
        <w:t>gráfico 4</w:t>
      </w:r>
      <w:r w:rsidRPr="007137E3">
        <w:t>.</w:t>
      </w:r>
    </w:p>
    <w:p w:rsidR="003566B7" w:rsidRPr="007137E3" w:rsidRDefault="003566B7" w:rsidP="007453B3">
      <w:pPr>
        <w:pStyle w:val="NormalWeb"/>
        <w:shd w:val="clear" w:color="auto" w:fill="FFFFFF"/>
        <w:spacing w:before="0" w:beforeAutospacing="0" w:after="105" w:afterAutospacing="0"/>
        <w:jc w:val="both"/>
      </w:pPr>
      <w:r w:rsidRPr="007137E3">
        <w:rPr>
          <w:noProof/>
        </w:rPr>
        <w:drawing>
          <wp:inline distT="0" distB="0" distL="0" distR="0" wp14:anchorId="2EDCBED3" wp14:editId="65916769">
            <wp:extent cx="5731510" cy="4030427"/>
            <wp:effectExtent l="0" t="0" r="2540" b="825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4030427"/>
                    </a:xfrm>
                    <a:prstGeom prst="rect">
                      <a:avLst/>
                    </a:prstGeom>
                  </pic:spPr>
                </pic:pic>
              </a:graphicData>
            </a:graphic>
          </wp:inline>
        </w:drawing>
      </w:r>
    </w:p>
    <w:p w:rsidR="003566B7"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4: Tasa de riesgo de pobreza por tipo de hogar: hogares con menores dependientes, 2018</w:t>
      </w:r>
      <w:r w:rsidR="003566B7" w:rsidRPr="007137E3">
        <w:rPr>
          <w:rFonts w:ascii="Times New Roman" w:hAnsi="Times New Roman" w:cs="Times New Roman"/>
          <w:sz w:val="24"/>
          <w:szCs w:val="24"/>
        </w:rPr>
        <w:t xml:space="preserve"> </w:t>
      </w:r>
      <w:r w:rsidRPr="007137E3">
        <w:rPr>
          <w:rFonts w:ascii="Times New Roman" w:hAnsi="Times New Roman" w:cs="Times New Roman"/>
          <w:sz w:val="24"/>
          <w:szCs w:val="24"/>
        </w:rPr>
        <w:t>(% de la población especificada)</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162" w:tgtFrame="_blank" w:history="1">
        <w:r w:rsidRPr="007137E3">
          <w:rPr>
            <w:rStyle w:val="Hipervnculo"/>
            <w:rFonts w:ascii="Times New Roman" w:hAnsi="Times New Roman" w:cs="Times New Roman"/>
            <w:color w:val="auto"/>
            <w:sz w:val="24"/>
            <w:szCs w:val="24"/>
            <w:u w:val="none"/>
          </w:rPr>
          <w:t>(ilc_li03)</w:t>
        </w:r>
      </w:hyperlink>
    </w:p>
    <w:p w:rsidR="007453B3" w:rsidRPr="007137E3" w:rsidRDefault="007453B3" w:rsidP="007453B3">
      <w:pPr>
        <w:pStyle w:val="NormalWeb"/>
        <w:shd w:val="clear" w:color="auto" w:fill="FFFFFF"/>
        <w:spacing w:before="0" w:beforeAutospacing="0" w:after="105" w:afterAutospacing="0"/>
        <w:jc w:val="both"/>
      </w:pPr>
      <w:r w:rsidRPr="007137E3">
        <w:t>Entre los tres tipos de hogares que se muestran en el </w:t>
      </w:r>
      <w:r w:rsidRPr="007137E3">
        <w:rPr>
          <w:b/>
          <w:bCs/>
        </w:rPr>
        <w:t>gráfico 4</w:t>
      </w:r>
      <w:r w:rsidRPr="007137E3">
        <w:t xml:space="preserve">, todos los Estados miembros de la UE comunicaron que los hogares formados por dos adultos y un solo menor dependiente fueron los menos propensos a estar en riesgo de pobreza. En la mayoría de los Estados miembros de la UE se registró la tasa de riesgo de pobreza más alta en el caso de las personas sin pareja con menores dependientes. No obstante, se observaron cuatro excepciones: en Portugal, la tasa de los hogares compuestos por una persona sin pareja con menores dependientes fue 3,3 puntos porcentuales inferior a la de los hogares con dos adultos y al menos tres menores dependientes, mientras que en Rumanía y Bulgaria esta diferencia fue mucho mayor, de 11,8 y 21,2 puntos porcentuales, respectivamente; en Eslovaquia, la </w:t>
      </w:r>
      <w:r w:rsidRPr="007137E3">
        <w:lastRenderedPageBreak/>
        <w:t>tasa de los hogares compuestos por una persona sin pareja con menores dependientes fue igual que la de los hogares con dos adultos y al menos tres menores dependientes. En los cuatro </w:t>
      </w:r>
      <w:hyperlink r:id="rId163" w:history="1">
        <w:r w:rsidRPr="007137E3">
          <w:rPr>
            <w:rStyle w:val="Hipervnculo"/>
            <w:color w:val="auto"/>
            <w:u w:val="none"/>
          </w:rPr>
          <w:t>países candidatos</w:t>
        </w:r>
      </w:hyperlink>
      <w:r w:rsidRPr="007137E3">
        <w:t> respecto a los cuales se dispone de datos, la tasa de los hogares formados por una persona sin pareja con menores dependientes fue inferior a la de los hogares con dos adultos y al menos tres menores dependientes.</w:t>
      </w:r>
    </w:p>
    <w:p w:rsidR="007453B3" w:rsidRPr="007137E3" w:rsidRDefault="007453B3" w:rsidP="007453B3">
      <w:pPr>
        <w:pStyle w:val="NormalWeb"/>
        <w:shd w:val="clear" w:color="auto" w:fill="FFFFFF"/>
        <w:spacing w:before="0" w:beforeAutospacing="0" w:after="105" w:afterAutospacing="0"/>
        <w:jc w:val="both"/>
      </w:pPr>
      <w:r w:rsidRPr="007137E3">
        <w:rPr>
          <w:b/>
          <w:bCs/>
          <w:i/>
          <w:iCs/>
        </w:rPr>
        <w:t>Las medidas de protección social pueden utilizarse como medio para reducir la pobreza y la exclusión social</w:t>
      </w:r>
    </w:p>
    <w:p w:rsidR="007453B3" w:rsidRPr="007137E3" w:rsidRDefault="007453B3" w:rsidP="007453B3">
      <w:pPr>
        <w:pStyle w:val="NormalWeb"/>
        <w:shd w:val="clear" w:color="auto" w:fill="FFFFFF"/>
        <w:spacing w:before="0" w:beforeAutospacing="0" w:after="105" w:afterAutospacing="0"/>
        <w:jc w:val="both"/>
      </w:pPr>
      <w:r w:rsidRPr="007137E3">
        <w:t>Esto puede lograrse, por ejemplo, mediante la distribución de prestaciones. Una manera de evaluar el efecto de las medidas de </w:t>
      </w:r>
      <w:hyperlink r:id="rId164" w:history="1">
        <w:r w:rsidRPr="007137E3">
          <w:rPr>
            <w:rStyle w:val="Hipervnculo"/>
            <w:color w:val="auto"/>
            <w:u w:val="none"/>
          </w:rPr>
          <w:t>protección social</w:t>
        </w:r>
      </w:hyperlink>
      <w:r w:rsidRPr="007137E3">
        <w:t> es comparar los indicadores de riesgo de pobreza antes y después de las </w:t>
      </w:r>
      <w:hyperlink r:id="rId165" w:history="1">
        <w:r w:rsidRPr="007137E3">
          <w:rPr>
            <w:rStyle w:val="Hipervnculo"/>
            <w:color w:val="auto"/>
            <w:u w:val="none"/>
          </w:rPr>
          <w:t>transferencias sociales</w:t>
        </w:r>
      </w:hyperlink>
      <w:r w:rsidRPr="007137E3">
        <w:t> (véase el </w:t>
      </w:r>
      <w:r w:rsidRPr="007137E3">
        <w:rPr>
          <w:b/>
          <w:bCs/>
        </w:rPr>
        <w:t>gráfico 5</w:t>
      </w:r>
      <w:r w:rsidRPr="007137E3">
        <w:t>). En 2018, las transferencias sociales redujeron la tasa de riesgo de pobreza de la población de la EU-27 de un 25,0 % antes de las transferencias a un 16,8 % después de las transferencias, lo que situó a un 8,2 % de la población por encima del umbral de la pobreza. Sin las transferencias sociales, estas personas estarían en riesgo de pobreza.</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drawing>
          <wp:inline distT="0" distB="0" distL="0" distR="0" wp14:anchorId="0E58B57A" wp14:editId="7C36B96C">
            <wp:extent cx="4762500" cy="3632200"/>
            <wp:effectExtent l="0" t="0" r="0" b="6350"/>
            <wp:docPr id="54" name="Imagen 54" descr="https://ec.europa.eu/eurostat/statistics-explained/images/thumb/5/5c/At-risk-of-poverty_rate_before_and_after_social_transfers%2C_2018_%28%25%29_SILC20.png/500px-At-risk-of-poverty_rate_before_and_after_social_transfers%2C_2018_%28%25%29_SILC20.png">
              <a:hlinkClick xmlns:a="http://schemas.openxmlformats.org/drawingml/2006/main" r:id="rId1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ec.europa.eu/eurostat/statistics-explained/images/thumb/5/5c/At-risk-of-poverty_rate_before_and_after_social_transfers%2C_2018_%28%25%29_SILC20.png/500px-At-risk-of-poverty_rate_before_and_after_social_transfers%2C_2018_%28%25%29_SILC20.png">
                      <a:hlinkClick r:id="rId166"/>
                    </pic:cNvP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762500" cy="3632200"/>
                    </a:xfrm>
                    <a:prstGeom prst="rect">
                      <a:avLst/>
                    </a:prstGeom>
                    <a:noFill/>
                    <a:ln>
                      <a:noFill/>
                    </a:ln>
                  </pic:spPr>
                </pic:pic>
              </a:graphicData>
            </a:graphic>
          </wp:inline>
        </w:drawing>
      </w:r>
    </w:p>
    <w:p w:rsidR="003566B7"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5: Tasa de riesgo de pobreza antes y después de las transferencias sociales, 2018</w:t>
      </w:r>
      <w:r w:rsidRPr="007137E3">
        <w:rPr>
          <w:rFonts w:ascii="Times New Roman" w:hAnsi="Times New Roman" w:cs="Times New Roman"/>
          <w:sz w:val="24"/>
          <w:szCs w:val="24"/>
        </w:rPr>
        <w:br/>
        <w:t>(% de la población total)</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168" w:tgtFrame="_blank" w:history="1">
        <w:r w:rsidRPr="007137E3">
          <w:rPr>
            <w:rStyle w:val="Hipervnculo"/>
            <w:rFonts w:ascii="Times New Roman" w:hAnsi="Times New Roman" w:cs="Times New Roman"/>
            <w:color w:val="auto"/>
            <w:sz w:val="24"/>
            <w:szCs w:val="24"/>
            <w:u w:val="none"/>
          </w:rPr>
          <w:t>(ilc_li02)</w:t>
        </w:r>
      </w:hyperlink>
      <w:r w:rsidRPr="007137E3">
        <w:rPr>
          <w:rFonts w:ascii="Times New Roman" w:hAnsi="Times New Roman" w:cs="Times New Roman"/>
          <w:sz w:val="24"/>
          <w:szCs w:val="24"/>
        </w:rPr>
        <w:t> e </w:t>
      </w:r>
      <w:hyperlink r:id="rId169" w:tgtFrame="_blank" w:history="1">
        <w:r w:rsidRPr="007137E3">
          <w:rPr>
            <w:rStyle w:val="Hipervnculo"/>
            <w:rFonts w:ascii="Times New Roman" w:hAnsi="Times New Roman" w:cs="Times New Roman"/>
            <w:color w:val="auto"/>
            <w:sz w:val="24"/>
            <w:szCs w:val="24"/>
            <w:u w:val="none"/>
          </w:rPr>
          <w:t>(ilc_li10)</w:t>
        </w:r>
      </w:hyperlink>
    </w:p>
    <w:p w:rsidR="007453B3" w:rsidRPr="007137E3" w:rsidRDefault="007453B3" w:rsidP="007453B3">
      <w:pPr>
        <w:pStyle w:val="NormalWeb"/>
        <w:shd w:val="clear" w:color="auto" w:fill="FFFFFF"/>
        <w:spacing w:before="0" w:beforeAutospacing="0" w:after="105" w:afterAutospacing="0"/>
        <w:jc w:val="both"/>
      </w:pPr>
      <w:r w:rsidRPr="007137E3">
        <w:t>Al comparar las tasas de riesgo de pobreza antes y después de las transferencias sociales, el efecto de las pres</w:t>
      </w:r>
      <w:r w:rsidR="00E6181C" w:rsidRPr="007137E3">
        <w:t>taciones sociales fue reducido -</w:t>
      </w:r>
      <w:r w:rsidRPr="007137E3">
        <w:t xml:space="preserve">al situar a lo sumo al 6,0 % de la población por </w:t>
      </w:r>
      <w:r w:rsidR="00E6181C" w:rsidRPr="007137E3">
        <w:t>encima del umbral de la pobreza-</w:t>
      </w:r>
      <w:r w:rsidRPr="007137E3">
        <w:t xml:space="preserve"> en Chequia (6,0 %), Italia (5,6 %), Letonia, Eslovaquia (5,5 %, en ambos casos), Portugal (5,4 %), Grecia (4,7 %) y Rumanía (4,5 %). Lo mismo ocurrió en Serbia (5,3 %), Macedonia del Norte (3,8 %) y Turquía (2,1 %; datos de 2017).</w:t>
      </w:r>
    </w:p>
    <w:p w:rsidR="007453B3" w:rsidRPr="007137E3" w:rsidRDefault="007453B3" w:rsidP="007453B3">
      <w:pPr>
        <w:pStyle w:val="NormalWeb"/>
        <w:shd w:val="clear" w:color="auto" w:fill="FFFFFF"/>
        <w:spacing w:before="0" w:beforeAutospacing="0" w:after="105" w:afterAutospacing="0"/>
        <w:jc w:val="both"/>
      </w:pPr>
      <w:r w:rsidRPr="007137E3">
        <w:t>Analizando el efecto en términos relativos, al menos la mitad de las personas que estaban en situación de riesgo de pobreza en Finlandia e Irlanda se situaron por encima del umbral de la pobreza gracias a las transferencias sociales, como fue también el caso en Islandia (datos de 2016) y Noruega.</w:t>
      </w:r>
    </w:p>
    <w:p w:rsidR="003566B7" w:rsidRPr="007137E3" w:rsidRDefault="003566B7" w:rsidP="003566B7">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7137E3">
        <w:rPr>
          <w:rStyle w:val="mw-headline"/>
          <w:rFonts w:ascii="Times New Roman" w:hAnsi="Times New Roman" w:cs="Times New Roman"/>
          <w:bCs w:val="0"/>
          <w:color w:val="auto"/>
          <w:sz w:val="24"/>
          <w:szCs w:val="24"/>
        </w:rPr>
        <w:lastRenderedPageBreak/>
        <w:t>Desigualdades en la renta</w:t>
      </w:r>
    </w:p>
    <w:p w:rsidR="00B759A7" w:rsidRPr="007137E3" w:rsidRDefault="003566B7" w:rsidP="00B759A7">
      <w:pPr>
        <w:pStyle w:val="Ttulo3"/>
        <w:shd w:val="clear" w:color="auto" w:fill="FFFFFF"/>
        <w:spacing w:before="150" w:line="240" w:lineRule="auto"/>
        <w:jc w:val="both"/>
        <w:rPr>
          <w:rFonts w:ascii="Times New Roman" w:hAnsi="Times New Roman" w:cs="Times New Roman"/>
          <w:b w:val="0"/>
          <w:bCs w:val="0"/>
          <w:color w:val="auto"/>
          <w:sz w:val="24"/>
          <w:szCs w:val="24"/>
        </w:rPr>
      </w:pPr>
      <w:r w:rsidRPr="007137E3">
        <w:rPr>
          <w:rStyle w:val="mw-headline"/>
          <w:rFonts w:ascii="Times New Roman" w:hAnsi="Times New Roman" w:cs="Times New Roman"/>
          <w:b w:val="0"/>
          <w:bCs w:val="0"/>
          <w:color w:val="auto"/>
          <w:sz w:val="24"/>
          <w:szCs w:val="24"/>
        </w:rPr>
        <w:t>Los Gobiernos, los responsables políticos y la sociedad en general no pueden luchar contra la pobreza y la exclusión social sin analizar las desigualdades en la sociedad, ya sean de carácter económico o social.</w:t>
      </w:r>
    </w:p>
    <w:p w:rsidR="00B759A7" w:rsidRPr="007137E3" w:rsidRDefault="00B759A7" w:rsidP="007453B3">
      <w:pPr>
        <w:pStyle w:val="NormalWeb"/>
        <w:shd w:val="clear" w:color="auto" w:fill="FFFFFF"/>
        <w:spacing w:before="0" w:beforeAutospacing="0" w:after="105" w:afterAutospacing="0"/>
        <w:jc w:val="both"/>
      </w:pPr>
    </w:p>
    <w:p w:rsidR="007453B3" w:rsidRPr="007137E3" w:rsidRDefault="007453B3" w:rsidP="007453B3">
      <w:pPr>
        <w:pStyle w:val="NormalWeb"/>
        <w:shd w:val="clear" w:color="auto" w:fill="FFFFFF"/>
        <w:spacing w:before="0" w:beforeAutospacing="0" w:after="105" w:afterAutospacing="0"/>
        <w:jc w:val="both"/>
      </w:pPr>
      <w:r w:rsidRPr="007137E3">
        <w:t>En el </w:t>
      </w:r>
      <w:r w:rsidRPr="007137E3">
        <w:rPr>
          <w:b/>
          <w:bCs/>
        </w:rPr>
        <w:t>gráfico 6</w:t>
      </w:r>
      <w:r w:rsidRPr="007137E3">
        <w:t> se muestra información relativa a las </w:t>
      </w:r>
      <w:hyperlink r:id="rId170" w:history="1">
        <w:r w:rsidRPr="007137E3">
          <w:rPr>
            <w:rStyle w:val="Hipervnculo"/>
            <w:color w:val="auto"/>
            <w:u w:val="none"/>
          </w:rPr>
          <w:t>desigualdades en la distribución de la renta</w:t>
        </w:r>
      </w:hyperlink>
      <w:r w:rsidRPr="007137E3">
        <w:t> en 2018: una media ponderada en función de la población de las cifras nacionales de cada uno de los Estados miembros de la UE muestra que el 20 % de la población con la mayor renta disponible equivalente recibió 5,1 veces más renta que el 20 % con el menor nivel de renta disponible equivalente en la EU-27. Esta proporción varió considerablemente entre los Estados miembros, desde un 3,0 en Eslovaquia hasta un 6,0 o más en España, Italia y Letonia, y más del 7,0 en Lituania, Rumanía y Bulgaria, donde se alcanzó el máximo de 7,7. Entre los terceros países que figuran en el gráfico 6, Macedonia del Norte (6,2) y Montenegro (7,6; datos de 2017) registraron tasas de desigualdad en la distribución de la renta similares, mientras que en Serbia (8,6) y Turquía (8,7; datos de 2017) las tasas fueron más elevadas que en cualquiera de los Estados miembros.</w:t>
      </w:r>
    </w:p>
    <w:p w:rsidR="00B759A7" w:rsidRPr="007137E3" w:rsidRDefault="00B759A7" w:rsidP="007453B3">
      <w:pPr>
        <w:pStyle w:val="NormalWeb"/>
        <w:shd w:val="clear" w:color="auto" w:fill="FFFFFF"/>
        <w:spacing w:before="0" w:beforeAutospacing="0" w:after="105" w:afterAutospacing="0"/>
        <w:jc w:val="both"/>
      </w:pPr>
      <w:r w:rsidRPr="007137E3">
        <w:rPr>
          <w:noProof/>
        </w:rPr>
        <w:drawing>
          <wp:inline distT="0" distB="0" distL="0" distR="0" wp14:anchorId="67A3953A" wp14:editId="09A0CB4F">
            <wp:extent cx="5731510" cy="3964907"/>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964907"/>
                    </a:xfrm>
                    <a:prstGeom prst="rect">
                      <a:avLst/>
                    </a:prstGeom>
                  </pic:spPr>
                </pic:pic>
              </a:graphicData>
            </a:graphic>
          </wp:inline>
        </w:drawing>
      </w:r>
    </w:p>
    <w:p w:rsidR="00B759A7"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6: Desigualdades en la distribución de la renta: ratio de distribución de la renta por quintiles, 2018</w:t>
      </w:r>
    </w:p>
    <w:p w:rsidR="007453B3" w:rsidRPr="00E6181C" w:rsidRDefault="007453B3" w:rsidP="007453B3">
      <w:pPr>
        <w:shd w:val="clear" w:color="auto" w:fill="FFFFFF"/>
        <w:spacing w:line="240" w:lineRule="auto"/>
        <w:jc w:val="both"/>
        <w:rPr>
          <w:rFonts w:ascii="Times New Roman" w:hAnsi="Times New Roman" w:cs="Times New Roman"/>
          <w:sz w:val="24"/>
          <w:szCs w:val="24"/>
        </w:rPr>
      </w:pPr>
      <w:r w:rsidRPr="00E6181C">
        <w:rPr>
          <w:rFonts w:ascii="Times New Roman" w:hAnsi="Times New Roman" w:cs="Times New Roman"/>
          <w:i/>
          <w:iCs/>
          <w:sz w:val="24"/>
          <w:szCs w:val="24"/>
        </w:rPr>
        <w:t>Fuente:</w:t>
      </w:r>
      <w:r w:rsidRPr="00E6181C">
        <w:rPr>
          <w:rFonts w:ascii="Times New Roman" w:hAnsi="Times New Roman" w:cs="Times New Roman"/>
          <w:sz w:val="24"/>
          <w:szCs w:val="24"/>
        </w:rPr>
        <w:t> Eurostat </w:t>
      </w:r>
      <w:hyperlink r:id="rId172" w:tgtFrame="_blank" w:history="1">
        <w:r w:rsidRPr="00E6181C">
          <w:rPr>
            <w:rStyle w:val="Hipervnculo"/>
            <w:rFonts w:ascii="Times New Roman" w:hAnsi="Times New Roman" w:cs="Times New Roman"/>
            <w:color w:val="auto"/>
            <w:sz w:val="24"/>
            <w:szCs w:val="24"/>
            <w:u w:val="none"/>
          </w:rPr>
          <w:t>(ilc_di11)</w:t>
        </w:r>
      </w:hyperlink>
    </w:p>
    <w:p w:rsidR="007453B3" w:rsidRPr="007137E3" w:rsidRDefault="007453B3" w:rsidP="007453B3">
      <w:pPr>
        <w:pStyle w:val="NormalWeb"/>
        <w:shd w:val="clear" w:color="auto" w:fill="FFFFFF"/>
        <w:spacing w:before="0" w:beforeAutospacing="0" w:after="105" w:afterAutospacing="0"/>
        <w:jc w:val="both"/>
      </w:pPr>
      <w:r w:rsidRPr="007137E3">
        <w:t xml:space="preserve">Hay un interés político en las desigualdades entre subpoblaciones. Un grupo que despierta especial interés es el de las personas mayores, en parte como reflejo de la proporción cada vez mayor de la población de la UE de 65 años o más. Los sistemas de pensiones pueden desempeñar un papel importante en la lucha contra la pobreza entre las personas de más edad. </w:t>
      </w:r>
      <w:r w:rsidRPr="007137E3">
        <w:lastRenderedPageBreak/>
        <w:t>A este respecto, es revelador comparar </w:t>
      </w:r>
      <w:hyperlink r:id="rId173" w:history="1">
        <w:r w:rsidRPr="007137E3">
          <w:rPr>
            <w:rStyle w:val="Hipervnculo"/>
            <w:color w:val="auto"/>
            <w:u w:val="none"/>
          </w:rPr>
          <w:t>los ingresos de las personas mayores con los del resto de la población</w:t>
        </w:r>
      </w:hyperlink>
      <w:r w:rsidRPr="007137E3">
        <w:t>.</w:t>
      </w:r>
    </w:p>
    <w:p w:rsidR="007453B3" w:rsidRPr="007137E3" w:rsidRDefault="007453B3" w:rsidP="007453B3">
      <w:pPr>
        <w:pStyle w:val="NormalWeb"/>
        <w:shd w:val="clear" w:color="auto" w:fill="FFFFFF"/>
        <w:spacing w:before="0" w:beforeAutospacing="0" w:after="105" w:afterAutospacing="0"/>
        <w:jc w:val="both"/>
      </w:pPr>
      <w:r w:rsidRPr="007137E3">
        <w:rPr>
          <w:b/>
          <w:bCs/>
          <w:i/>
          <w:iCs/>
        </w:rPr>
        <w:t>En 2018, en la EU-27 en su conjunto, la renta mediana de las personas de 65 años o más fue equivalente al 91 % de la renta mediana de la población de menos de 65 años</w:t>
      </w:r>
    </w:p>
    <w:p w:rsidR="007453B3" w:rsidRPr="007137E3" w:rsidRDefault="007453B3" w:rsidP="007453B3">
      <w:pPr>
        <w:pStyle w:val="NormalWeb"/>
        <w:shd w:val="clear" w:color="auto" w:fill="FFFFFF"/>
        <w:spacing w:before="0" w:beforeAutospacing="0" w:after="105" w:afterAutospacing="0"/>
        <w:jc w:val="both"/>
      </w:pPr>
      <w:r w:rsidRPr="007137E3">
        <w:t>En cuatro Estados miembros de la UE (Luxemburgo, Francia, Grecia e Italia), la renta mediana de las personas de 65 años o más fue superior a la renta mediana de las personas menores de 65 años (véase el </w:t>
      </w:r>
      <w:r w:rsidRPr="007137E3">
        <w:rPr>
          <w:b/>
          <w:bCs/>
        </w:rPr>
        <w:t>gráfico 7</w:t>
      </w:r>
      <w:r w:rsidRPr="007137E3">
        <w:t>). En los cuatro países candidatos que figuran en el gráfico se dio esta misma situación. En Hungría, España, Austria, Polonia, Portugal, Rumanía y Eslovaquia, la renta mediana de las personas de 65 años o más fue de entre el 90 % y el 100 % de la registrada para las personas menores de 65 años. Este fue también el caso de Islandia (datos de 2016) y Noruega. En Croacia, Bélgica, Dinamarca, Bulgaria, Chequia, Malta y los </w:t>
      </w:r>
      <w:hyperlink r:id="rId174" w:history="1">
        <w:r w:rsidRPr="007137E3">
          <w:rPr>
            <w:rStyle w:val="Hipervnculo"/>
            <w:color w:val="auto"/>
            <w:u w:val="none"/>
          </w:rPr>
          <w:t>Estados miembros bálticos</w:t>
        </w:r>
      </w:hyperlink>
      <w:r w:rsidRPr="007137E3">
        <w:t> se registraron tasas inferiores al 80 %; las tasas más bajas fueron del 64 %, del 58 % y del 57 %, en Lituania, Letonia y Estonia, respectivamente. Las tasas relativamente bajas pueden reflejar, en líneas generales, los derechos de pensión.</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drawing>
          <wp:inline distT="0" distB="0" distL="0" distR="0" wp14:anchorId="487FD33B" wp14:editId="6AD75F50">
            <wp:extent cx="4762500" cy="3632200"/>
            <wp:effectExtent l="0" t="0" r="0" b="6350"/>
            <wp:docPr id="53" name="Imagen 53" descr="https://ec.europa.eu/eurostat/statistics-explained/images/thumb/f/f9/Relative_median_income_ratio%2C_2018_SILC20.png/500px-Relative_median_income_ratio%2C_2018_SILC20.png">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ec.europa.eu/eurostat/statistics-explained/images/thumb/f/f9/Relative_median_income_ratio%2C_2018_SILC20.png/500px-Relative_median_income_ratio%2C_2018_SILC20.png">
                      <a:hlinkClick r:id="rId175"/>
                    </pic:cNvPr>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762500" cy="3632200"/>
                    </a:xfrm>
                    <a:prstGeom prst="rect">
                      <a:avLst/>
                    </a:prstGeom>
                    <a:noFill/>
                    <a:ln>
                      <a:noFill/>
                    </a:ln>
                  </pic:spPr>
                </pic:pic>
              </a:graphicData>
            </a:graphic>
          </wp:inline>
        </w:drawing>
      </w:r>
    </w:p>
    <w:p w:rsidR="00B759A7"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7: Mediana relativa en la distribución de la renta, 2018</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177" w:tgtFrame="_blank" w:history="1">
        <w:r w:rsidRPr="007137E3">
          <w:rPr>
            <w:rStyle w:val="Hipervnculo"/>
            <w:rFonts w:ascii="Times New Roman" w:hAnsi="Times New Roman" w:cs="Times New Roman"/>
            <w:color w:val="auto"/>
            <w:sz w:val="24"/>
            <w:szCs w:val="24"/>
            <w:u w:val="none"/>
          </w:rPr>
          <w:t>(ilc_pnp2)</w:t>
        </w:r>
      </w:hyperlink>
    </w:p>
    <w:p w:rsidR="007453B3" w:rsidRPr="007137E3" w:rsidRDefault="007453B3" w:rsidP="007453B3">
      <w:pPr>
        <w:pStyle w:val="NormalWeb"/>
        <w:shd w:val="clear" w:color="auto" w:fill="FFFFFF"/>
        <w:spacing w:before="0" w:beforeAutospacing="0" w:after="105" w:afterAutospacing="0"/>
        <w:jc w:val="both"/>
      </w:pPr>
      <w:r w:rsidRPr="007137E3">
        <w:t>La intensidad de la pobreza, que sirve para cuantificar el grado de pobreza que sufren las personas, puede medirse con la </w:t>
      </w:r>
      <w:hyperlink r:id="rId178" w:history="1">
        <w:r w:rsidRPr="007137E3">
          <w:rPr>
            <w:rStyle w:val="Hipervnculo"/>
            <w:color w:val="auto"/>
            <w:u w:val="none"/>
          </w:rPr>
          <w:t>mediana relativa de la brecha respecto del riesgo de pobreza</w:t>
        </w:r>
      </w:hyperlink>
      <w:r w:rsidRPr="007137E3">
        <w:t>. La renta mediana de las personas en riesgo de pobreza en la EU-27 se situó, de media, un 24,5 % por debajo del umbral de pobreza en 2018 (véase el </w:t>
      </w:r>
      <w:r w:rsidRPr="007137E3">
        <w:rPr>
          <w:b/>
          <w:bCs/>
        </w:rPr>
        <w:t>gráfico 8</w:t>
      </w:r>
      <w:r w:rsidRPr="007137E3">
        <w:t>). Este umbral se fija en el 60 % de la renta mediana disponible equivalente nacional de todas las personas.</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lastRenderedPageBreak/>
        <w:drawing>
          <wp:inline distT="0" distB="0" distL="0" distR="0" wp14:anchorId="7CDFCC43" wp14:editId="30AC2DA9">
            <wp:extent cx="4762500" cy="3676650"/>
            <wp:effectExtent l="0" t="0" r="0" b="0"/>
            <wp:docPr id="52" name="Imagen 52" descr="https://ec.europa.eu/eurostat/statistics-explained/images/thumb/e/e8/Relative_median_at-risk-of-poverty_gap%2C_2018_%28%25%29_SILC20.png/500px-Relative_median_at-risk-of-poverty_gap%2C_2018_%28%25%29_SILC20.png">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c.europa.eu/eurostat/statistics-explained/images/thumb/e/e8/Relative_median_at-risk-of-poverty_gap%2C_2018_%28%25%29_SILC20.png/500px-Relative_median_at-risk-of-poverty_gap%2C_2018_%28%25%29_SILC20.png">
                      <a:hlinkClick r:id="rId179"/>
                    </pic:cNvPr>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762500" cy="3676650"/>
                    </a:xfrm>
                    <a:prstGeom prst="rect">
                      <a:avLst/>
                    </a:prstGeom>
                    <a:noFill/>
                    <a:ln>
                      <a:noFill/>
                    </a:ln>
                  </pic:spPr>
                </pic:pic>
              </a:graphicData>
            </a:graphic>
          </wp:inline>
        </w:drawing>
      </w:r>
    </w:p>
    <w:p w:rsidR="00B759A7" w:rsidRPr="007137E3" w:rsidRDefault="00B759A7"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8: Mediana relativa de la brecha de riesgo de pobreza, 2018 (%)</w:t>
      </w:r>
    </w:p>
    <w:p w:rsidR="007453B3" w:rsidRPr="007137E3" w:rsidRDefault="007453B3" w:rsidP="007453B3">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181" w:tgtFrame="_blank" w:history="1">
        <w:r w:rsidRPr="007137E3">
          <w:rPr>
            <w:rStyle w:val="Hipervnculo"/>
            <w:rFonts w:ascii="Times New Roman" w:hAnsi="Times New Roman" w:cs="Times New Roman"/>
            <w:color w:val="auto"/>
            <w:sz w:val="24"/>
            <w:szCs w:val="24"/>
            <w:u w:val="none"/>
          </w:rPr>
          <w:t>(ilc_li11)</w:t>
        </w:r>
      </w:hyperlink>
    </w:p>
    <w:p w:rsidR="001E6779" w:rsidRPr="007137E3" w:rsidRDefault="007453B3" w:rsidP="001E6779">
      <w:pPr>
        <w:pStyle w:val="NormalWeb"/>
        <w:shd w:val="clear" w:color="auto" w:fill="FFFFFF"/>
        <w:spacing w:before="0" w:beforeAutospacing="0" w:after="105" w:afterAutospacing="0"/>
        <w:jc w:val="both"/>
      </w:pPr>
      <w:r w:rsidRPr="007137E3">
        <w:t>Entre los Estados miembros de la UE, la renta mediana de las personas en riesgo de pobreza más baja respecto al umbral de la pobreza se registró en Rumanía (35,2 %). También se registraron brechas superiores al 25,0 % en Grecia, Croacia, España, Lituania, Letonia, Bulgaria y Eslovaquia. Las brechas de Macedonia del Norte (37,7 %) y Serbia (37,4 %) fueron superiores a la de cualquier Estado miembro, y estas también fueron relativamente acusadas en Montenegro (34,0 %) y Turquía (26,4 %; datos de 2017). La brecha de riesgo de pobreza más reducida entre los Estados miembros de la UE se observó en Finlandia (14,2 %), seguida de Chequia (15,0 %) e Irlanda (15,3 %). La brecha en Islandia también se situó en un nivel igualment</w:t>
      </w:r>
      <w:r w:rsidR="001E6779" w:rsidRPr="007137E3">
        <w:t>e bajo (15,3 %; datos de 2016).</w:t>
      </w:r>
    </w:p>
    <w:p w:rsidR="00B759A7" w:rsidRPr="00B759A7" w:rsidRDefault="00B759A7" w:rsidP="00B759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6779">
        <w:rPr>
          <w:rFonts w:ascii="Times New Roman" w:hAnsi="Times New Roman" w:cs="Times New Roman"/>
          <w:sz w:val="24"/>
          <w:szCs w:val="24"/>
          <w:u w:val="single"/>
        </w:rPr>
        <w:t>Condiciones de vida en Europa: pobreza y exclusión social</w:t>
      </w:r>
      <w:r w:rsidRPr="00B759A7">
        <w:rPr>
          <w:rFonts w:ascii="Times New Roman" w:hAnsi="Times New Roman" w:cs="Times New Roman"/>
          <w:sz w:val="24"/>
          <w:szCs w:val="24"/>
        </w:rPr>
        <w:t xml:space="preserve"> (Eurostat - </w:t>
      </w:r>
      <w:r w:rsidRPr="00B759A7">
        <w:rPr>
          <w:rFonts w:ascii="Times New Roman" w:hAnsi="Times New Roman" w:cs="Times New Roman"/>
          <w:b/>
          <w:sz w:val="24"/>
          <w:szCs w:val="24"/>
        </w:rPr>
        <w:t>Datos de octubre de 2020</w:t>
      </w:r>
      <w:r w:rsidRPr="00B759A7">
        <w:rPr>
          <w:rFonts w:ascii="Times New Roman" w:hAnsi="Times New Roman" w:cs="Times New Roman"/>
          <w:sz w:val="24"/>
          <w:szCs w:val="24"/>
        </w:rPr>
        <w:t>)</w:t>
      </w:r>
    </w:p>
    <w:p w:rsidR="00B759A7" w:rsidRPr="00B759A7" w:rsidRDefault="00B759A7" w:rsidP="00B759A7">
      <w:pPr>
        <w:spacing w:line="240" w:lineRule="auto"/>
        <w:jc w:val="both"/>
        <w:rPr>
          <w:rFonts w:ascii="Times New Roman" w:hAnsi="Times New Roman" w:cs="Times New Roman"/>
          <w:sz w:val="24"/>
          <w:szCs w:val="24"/>
        </w:rPr>
      </w:pPr>
      <w:r w:rsidRPr="00B759A7">
        <w:rPr>
          <w:rFonts w:ascii="Times New Roman" w:hAnsi="Times New Roman" w:cs="Times New Roman"/>
          <w:sz w:val="24"/>
          <w:szCs w:val="24"/>
        </w:rPr>
        <w:t>En 2019, 92,4 millones de personas en la EU-27 estaban en riesgo de pobreza o exclusión social; esto equivalía al 21,</w:t>
      </w:r>
      <w:r>
        <w:rPr>
          <w:rFonts w:ascii="Times New Roman" w:hAnsi="Times New Roman" w:cs="Times New Roman"/>
          <w:sz w:val="24"/>
          <w:szCs w:val="24"/>
        </w:rPr>
        <w:t>1% de la población de la UE-27.</w:t>
      </w:r>
    </w:p>
    <w:p w:rsidR="00B759A7" w:rsidRPr="00B759A7" w:rsidRDefault="00B759A7" w:rsidP="00B759A7">
      <w:pPr>
        <w:spacing w:line="240" w:lineRule="auto"/>
        <w:jc w:val="both"/>
        <w:rPr>
          <w:rFonts w:ascii="Times New Roman" w:hAnsi="Times New Roman" w:cs="Times New Roman"/>
          <w:sz w:val="24"/>
          <w:szCs w:val="24"/>
        </w:rPr>
      </w:pPr>
      <w:r w:rsidRPr="00B759A7">
        <w:rPr>
          <w:rFonts w:ascii="Times New Roman" w:hAnsi="Times New Roman" w:cs="Times New Roman"/>
          <w:sz w:val="24"/>
          <w:szCs w:val="24"/>
        </w:rPr>
        <w:t>El riesgo de pobreza o exclusión social en la UE-27 fue mayor para las mujeres que para los hombres (22,0%</w:t>
      </w:r>
      <w:r>
        <w:rPr>
          <w:rFonts w:ascii="Times New Roman" w:hAnsi="Times New Roman" w:cs="Times New Roman"/>
          <w:sz w:val="24"/>
          <w:szCs w:val="24"/>
        </w:rPr>
        <w:t xml:space="preserve"> frente al 20,2%) en 2019.</w:t>
      </w:r>
    </w:p>
    <w:p w:rsidR="007453B3" w:rsidRDefault="00B759A7" w:rsidP="00B759A7">
      <w:pPr>
        <w:spacing w:line="240" w:lineRule="auto"/>
        <w:jc w:val="both"/>
        <w:rPr>
          <w:rFonts w:ascii="Times New Roman" w:hAnsi="Times New Roman" w:cs="Times New Roman"/>
          <w:sz w:val="24"/>
          <w:szCs w:val="24"/>
        </w:rPr>
      </w:pPr>
      <w:r w:rsidRPr="00B759A7">
        <w:rPr>
          <w:rFonts w:ascii="Times New Roman" w:hAnsi="Times New Roman" w:cs="Times New Roman"/>
          <w:sz w:val="24"/>
          <w:szCs w:val="24"/>
        </w:rPr>
        <w:t>Aproximadamente dos quintas partes (40,3%) de la población de la UE-27 que vivía en hogares de adultos solteros con hijos dependientes estaba en riesgo de pobreza o exclusión social en 2019.</w:t>
      </w:r>
    </w:p>
    <w:p w:rsidR="00B759A7" w:rsidRPr="000C28C6" w:rsidRDefault="00B759A7" w:rsidP="00E0535C">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6EF4E0B" wp14:editId="6591E2B9">
            <wp:extent cx="5729056" cy="3092450"/>
            <wp:effectExtent l="0" t="0" r="5080" b="0"/>
            <wp:docPr id="61" name="Imagen 61" descr="En riesgo de pobreza countries@1.5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n riesgo de pobreza countries@1.5x-100.jp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31510" cy="3093775"/>
                    </a:xfrm>
                    <a:prstGeom prst="rect">
                      <a:avLst/>
                    </a:prstGeom>
                    <a:noFill/>
                    <a:ln>
                      <a:noFill/>
                    </a:ln>
                  </pic:spPr>
                </pic:pic>
              </a:graphicData>
            </a:graphic>
          </wp:inline>
        </w:drawing>
      </w:r>
      <w:r>
        <w:rPr>
          <w:rFonts w:ascii="Arial" w:hAnsi="Arial" w:cs="Arial"/>
          <w:b/>
          <w:bCs/>
          <w:color w:val="2873E6"/>
          <w:sz w:val="32"/>
          <w:szCs w:val="32"/>
        </w:rPr>
        <w:br/>
      </w:r>
      <w:r w:rsidRPr="000C28C6">
        <w:rPr>
          <w:rStyle w:val="mw-headline"/>
          <w:rFonts w:ascii="Times New Roman" w:hAnsi="Times New Roman" w:cs="Times New Roman"/>
          <w:b/>
          <w:bCs/>
          <w:sz w:val="24"/>
          <w:szCs w:val="24"/>
        </w:rPr>
        <w:t>Resultados clave</w:t>
      </w:r>
    </w:p>
    <w:p w:rsidR="00987770" w:rsidRPr="007137E3" w:rsidRDefault="00B759A7" w:rsidP="00B759A7">
      <w:pPr>
        <w:pStyle w:val="NormalWeb"/>
        <w:shd w:val="clear" w:color="auto" w:fill="FFFFFF"/>
        <w:spacing w:before="0" w:beforeAutospacing="0" w:after="105" w:afterAutospacing="0"/>
        <w:jc w:val="both"/>
      </w:pPr>
      <w:r w:rsidRPr="007137E3">
        <w:t>En 2019, se estima que el 21,1% de la población de la </w:t>
      </w:r>
      <w:hyperlink r:id="rId183" w:history="1">
        <w:r w:rsidRPr="007137E3">
          <w:rPr>
            <w:rStyle w:val="Hipervnculo"/>
            <w:color w:val="auto"/>
            <w:u w:val="none"/>
          </w:rPr>
          <w:t>EU-27</w:t>
        </w:r>
      </w:hyperlink>
      <w:r w:rsidRPr="007137E3">
        <w:t> , o unos 92,4 millones de personas, estaban </w:t>
      </w:r>
      <w:hyperlink r:id="rId184" w:history="1">
        <w:r w:rsidRPr="007137E3">
          <w:rPr>
            <w:rStyle w:val="Hipervnculo"/>
            <w:color w:val="auto"/>
            <w:u w:val="none"/>
          </w:rPr>
          <w:t>en riesgo de pobreza o exclusión social</w:t>
        </w:r>
      </w:hyperlink>
      <w:r w:rsidRPr="007137E3">
        <w:t> .</w:t>
      </w:r>
    </w:p>
    <w:p w:rsidR="00987770" w:rsidRPr="007137E3" w:rsidRDefault="00987770" w:rsidP="00987770">
      <w:pPr>
        <w:pStyle w:val="NormalWeb"/>
        <w:shd w:val="clear" w:color="auto" w:fill="FFFFFF"/>
        <w:spacing w:after="105"/>
        <w:jc w:val="both"/>
      </w:pPr>
      <w:r w:rsidRPr="007137E3">
        <w:t>El riesgo de pobreza y exclusión social no depende estrictamente del nivel de ingresos del hogar, ya que también puede reflejar el desempleo,</w:t>
      </w:r>
      <w:r w:rsidR="007137E3">
        <w:t xml:space="preserve"> la baja intensidad del trabajo</w:t>
      </w:r>
      <w:r w:rsidRPr="007137E3">
        <w:t>, la situación laboral o una serie de otras cuestiones socioeconómicas. El número o la proporción de personas que están en riesgo de pobreza o exclusión social combina tres medidas separadas y cubre a aquellas personas que se encuentran en al menos una de estas tres situaciones:</w:t>
      </w:r>
    </w:p>
    <w:p w:rsidR="00987770" w:rsidRPr="007137E3" w:rsidRDefault="007137E3" w:rsidP="00987770">
      <w:pPr>
        <w:pStyle w:val="NormalWeb"/>
        <w:shd w:val="clear" w:color="auto" w:fill="FFFFFF"/>
        <w:spacing w:after="105"/>
        <w:ind w:left="708"/>
        <w:jc w:val="both"/>
      </w:pPr>
      <w:r>
        <w:t xml:space="preserve">• </w:t>
      </w:r>
      <w:r w:rsidR="00987770" w:rsidRPr="007137E3">
        <w:t>personas</w:t>
      </w:r>
      <w:r w:rsidR="00760564">
        <w:t xml:space="preserve"> que están en riesgo de pobreza</w:t>
      </w:r>
      <w:r w:rsidR="00987770" w:rsidRPr="007137E3">
        <w:t>, es decir, con una renta disponible equivalente que está por debajo del umbral de riesgo de pobreza;</w:t>
      </w:r>
    </w:p>
    <w:p w:rsidR="00987770" w:rsidRPr="007137E3" w:rsidRDefault="00987770" w:rsidP="00987770">
      <w:pPr>
        <w:pStyle w:val="NormalWeb"/>
        <w:shd w:val="clear" w:color="auto" w:fill="FFFFFF"/>
        <w:spacing w:after="105"/>
        <w:ind w:left="708"/>
        <w:jc w:val="both"/>
      </w:pPr>
      <w:r w:rsidRPr="007137E3">
        <w:t>• personas que sufren privaciones materiales severas, es decir, aquellas que no pueden permitirse al menos cuatro de los nueve artículos materiales predefinidos que la mayoría de las personas consideran deseables o incluso necesarios para llevar una calidad de vida adecuada;</w:t>
      </w:r>
    </w:p>
    <w:p w:rsidR="00987770" w:rsidRPr="007137E3" w:rsidRDefault="00987770" w:rsidP="00987770">
      <w:pPr>
        <w:pStyle w:val="NormalWeb"/>
        <w:shd w:val="clear" w:color="auto" w:fill="FFFFFF"/>
        <w:spacing w:before="0" w:beforeAutospacing="0" w:after="105" w:afterAutospacing="0"/>
        <w:ind w:left="708"/>
        <w:jc w:val="both"/>
      </w:pPr>
      <w:r w:rsidRPr="007137E3">
        <w:t>• personas (menores de 60 años) que viven en un hogar con muy baja intensidad laboral, es decir, las que viven en hogares donde los adultos trabajaron no más del 20% de su potencial laboral durante el año anterior.</w:t>
      </w:r>
    </w:p>
    <w:p w:rsidR="00B759A7" w:rsidRPr="007137E3" w:rsidRDefault="00B759A7" w:rsidP="00B759A7">
      <w:pPr>
        <w:pStyle w:val="NormalWeb"/>
        <w:shd w:val="clear" w:color="auto" w:fill="FFFFFF"/>
        <w:spacing w:before="0" w:beforeAutospacing="0" w:after="105" w:afterAutospacing="0"/>
        <w:jc w:val="both"/>
      </w:pPr>
      <w:r w:rsidRPr="007137E3">
        <w:t xml:space="preserve">Los resultados presentados en este artículo confirman que el riesgo de pobreza o exclusión social era mayor en la UE-27 entre las mujeres (en lugar de los hombres), los adultos jóvenes (en lugar de las personas de mediana edad o los jubilados), las personas con </w:t>
      </w:r>
      <w:r w:rsidR="000C28C6" w:rsidRPr="007137E3">
        <w:t xml:space="preserve">un nivel educativo bajo </w:t>
      </w:r>
      <w:r w:rsidRPr="007137E3">
        <w:t>(en lugar de aquellos con un nivel terciario de logros educativos) y personas con limitaciones de salud de larga data.</w:t>
      </w:r>
    </w:p>
    <w:p w:rsidR="00B759A7" w:rsidRPr="007137E3" w:rsidRDefault="00B759A7" w:rsidP="00B759A7">
      <w:pPr>
        <w:numPr>
          <w:ilvl w:val="0"/>
          <w:numId w:val="12"/>
        </w:numPr>
        <w:shd w:val="clear" w:color="auto" w:fill="FFFFFF"/>
        <w:spacing w:before="100" w:beforeAutospacing="1" w:after="100" w:afterAutospacing="1" w:line="240" w:lineRule="auto"/>
        <w:jc w:val="both"/>
        <w:rPr>
          <w:rFonts w:ascii="Times New Roman" w:hAnsi="Times New Roman" w:cs="Times New Roman"/>
          <w:sz w:val="24"/>
          <w:szCs w:val="24"/>
        </w:rPr>
      </w:pPr>
      <w:r w:rsidRPr="007137E3">
        <w:rPr>
          <w:rFonts w:ascii="Times New Roman" w:hAnsi="Times New Roman" w:cs="Times New Roman"/>
          <w:sz w:val="24"/>
          <w:szCs w:val="24"/>
        </w:rPr>
        <w:t>Aproximadamente dos quintas partes de la población de la UE-27 que vivía en hogares de adultos solteros con </w:t>
      </w:r>
      <w:hyperlink r:id="rId185" w:history="1">
        <w:r w:rsidRPr="007137E3">
          <w:rPr>
            <w:rStyle w:val="Hipervnculo"/>
            <w:rFonts w:ascii="Times New Roman" w:hAnsi="Times New Roman" w:cs="Times New Roman"/>
            <w:color w:val="auto"/>
            <w:sz w:val="24"/>
            <w:szCs w:val="24"/>
            <w:u w:val="none"/>
          </w:rPr>
          <w:t>hijos dependientes</w:t>
        </w:r>
      </w:hyperlink>
      <w:r w:rsidRPr="007137E3">
        <w:rPr>
          <w:rFonts w:ascii="Times New Roman" w:hAnsi="Times New Roman" w:cs="Times New Roman"/>
          <w:sz w:val="24"/>
          <w:szCs w:val="24"/>
        </w:rPr>
        <w:t xml:space="preserve"> estaban en riesgo de pobreza o exclusión social en 2019, mientras que el riesgo de pobreza o exclusión social </w:t>
      </w:r>
      <w:r w:rsidRPr="007137E3">
        <w:rPr>
          <w:rFonts w:ascii="Times New Roman" w:hAnsi="Times New Roman" w:cs="Times New Roman"/>
          <w:sz w:val="24"/>
          <w:szCs w:val="24"/>
        </w:rPr>
        <w:lastRenderedPageBreak/>
        <w:t>también era relativamente alto entre los hogares compuestos por dos adultos con más de dos niños.</w:t>
      </w:r>
    </w:p>
    <w:p w:rsidR="00B759A7" w:rsidRPr="007137E3" w:rsidRDefault="00B759A7" w:rsidP="00B759A7">
      <w:pPr>
        <w:numPr>
          <w:ilvl w:val="0"/>
          <w:numId w:val="12"/>
        </w:numPr>
        <w:shd w:val="clear" w:color="auto" w:fill="FFFFFF"/>
        <w:spacing w:before="100" w:beforeAutospacing="1" w:after="100" w:afterAutospacing="1" w:line="240" w:lineRule="auto"/>
        <w:jc w:val="both"/>
        <w:rPr>
          <w:rFonts w:ascii="Times New Roman" w:hAnsi="Times New Roman" w:cs="Times New Roman"/>
          <w:sz w:val="24"/>
          <w:szCs w:val="24"/>
        </w:rPr>
      </w:pPr>
      <w:r w:rsidRPr="007137E3">
        <w:rPr>
          <w:rFonts w:ascii="Times New Roman" w:hAnsi="Times New Roman" w:cs="Times New Roman"/>
          <w:sz w:val="24"/>
          <w:szCs w:val="24"/>
        </w:rPr>
        <w:t>La situación laboral es, como era de esperar, una de las principales características socioeconómicas que influyen en el riesgo de pobreza o exclusión social. En 2019, mientras que el riesgo de pobreza o exclusión social en la UE-27 era del 11,1% para los </w:t>
      </w:r>
      <w:hyperlink r:id="rId186" w:history="1">
        <w:r w:rsidRPr="007137E3">
          <w:rPr>
            <w:rStyle w:val="Hipervnculo"/>
            <w:rFonts w:ascii="Times New Roman" w:hAnsi="Times New Roman" w:cs="Times New Roman"/>
            <w:color w:val="auto"/>
            <w:sz w:val="24"/>
            <w:szCs w:val="24"/>
            <w:u w:val="none"/>
          </w:rPr>
          <w:t>ocupados</w:t>
        </w:r>
      </w:hyperlink>
      <w:r w:rsidRPr="007137E3">
        <w:rPr>
          <w:rFonts w:ascii="Times New Roman" w:hAnsi="Times New Roman" w:cs="Times New Roman"/>
          <w:sz w:val="24"/>
          <w:szCs w:val="24"/>
        </w:rPr>
        <w:t> , se acercaba a las dos terceras partes (65,4%) para los </w:t>
      </w:r>
      <w:hyperlink r:id="rId187" w:history="1">
        <w:r w:rsidRPr="007137E3">
          <w:rPr>
            <w:rStyle w:val="Hipervnculo"/>
            <w:rFonts w:ascii="Times New Roman" w:hAnsi="Times New Roman" w:cs="Times New Roman"/>
            <w:color w:val="auto"/>
            <w:sz w:val="24"/>
            <w:szCs w:val="24"/>
            <w:u w:val="none"/>
          </w:rPr>
          <w:t>parados</w:t>
        </w:r>
      </w:hyperlink>
      <w:r w:rsidRPr="007137E3">
        <w:rPr>
          <w:rFonts w:ascii="Times New Roman" w:hAnsi="Times New Roman" w:cs="Times New Roman"/>
          <w:sz w:val="24"/>
          <w:szCs w:val="24"/>
        </w:rPr>
        <w:t> y se situaba en el 41,1% para el resto de personas </w:t>
      </w:r>
      <w:hyperlink r:id="rId188" w:history="1">
        <w:r w:rsidRPr="007137E3">
          <w:rPr>
            <w:rStyle w:val="Hipervnculo"/>
            <w:rFonts w:ascii="Times New Roman" w:hAnsi="Times New Roman" w:cs="Times New Roman"/>
            <w:color w:val="auto"/>
            <w:sz w:val="24"/>
            <w:szCs w:val="24"/>
            <w:u w:val="none"/>
          </w:rPr>
          <w:t>económicamente inactivas</w:t>
        </w:r>
      </w:hyperlink>
      <w:r w:rsidRPr="007137E3">
        <w:rPr>
          <w:rFonts w:ascii="Times New Roman" w:hAnsi="Times New Roman" w:cs="Times New Roman"/>
          <w:sz w:val="24"/>
          <w:szCs w:val="24"/>
        </w:rPr>
        <w:t> , es decir personas que, por un motivo que no sea el desempleo o la jubilación, no trabajaron.</w:t>
      </w:r>
    </w:p>
    <w:p w:rsidR="00B759A7" w:rsidRPr="007137E3" w:rsidRDefault="00B759A7" w:rsidP="00B759A7">
      <w:pPr>
        <w:numPr>
          <w:ilvl w:val="0"/>
          <w:numId w:val="12"/>
        </w:numPr>
        <w:shd w:val="clear" w:color="auto" w:fill="FFFFFF"/>
        <w:spacing w:before="100" w:beforeAutospacing="1" w:after="100" w:afterAutospacing="1" w:line="240" w:lineRule="auto"/>
        <w:jc w:val="both"/>
        <w:rPr>
          <w:rFonts w:ascii="Times New Roman" w:hAnsi="Times New Roman" w:cs="Times New Roman"/>
          <w:sz w:val="24"/>
          <w:szCs w:val="24"/>
        </w:rPr>
      </w:pPr>
      <w:r w:rsidRPr="007137E3">
        <w:rPr>
          <w:rFonts w:ascii="Times New Roman" w:hAnsi="Times New Roman" w:cs="Times New Roman"/>
          <w:sz w:val="24"/>
          <w:szCs w:val="24"/>
        </w:rPr>
        <w:t>El riesgo de pobreza o exclusión social varía considerablemente entre los Estados miembros de la UE, pero también dentro de cada uno de los Estados miembros. Por ejemplo, en algunos Estados miembros, principalmente en los </w:t>
      </w:r>
      <w:hyperlink r:id="rId189" w:history="1">
        <w:r w:rsidRPr="007137E3">
          <w:rPr>
            <w:rStyle w:val="Hipervnculo"/>
            <w:rFonts w:ascii="Times New Roman" w:hAnsi="Times New Roman" w:cs="Times New Roman"/>
            <w:color w:val="auto"/>
            <w:sz w:val="24"/>
            <w:szCs w:val="24"/>
            <w:u w:val="none"/>
          </w:rPr>
          <w:t>Estados miembros bálticos</w:t>
        </w:r>
      </w:hyperlink>
      <w:r w:rsidRPr="007137E3">
        <w:rPr>
          <w:rFonts w:ascii="Times New Roman" w:hAnsi="Times New Roman" w:cs="Times New Roman"/>
          <w:sz w:val="24"/>
          <w:szCs w:val="24"/>
        </w:rPr>
        <w:t> , el este o el sur de la UE, el riesgo de pobreza o exclusión social era mayor en </w:t>
      </w:r>
      <w:hyperlink r:id="rId190" w:history="1">
        <w:r w:rsidRPr="007137E3">
          <w:rPr>
            <w:rStyle w:val="Hipervnculo"/>
            <w:rFonts w:ascii="Times New Roman" w:hAnsi="Times New Roman" w:cs="Times New Roman"/>
            <w:color w:val="auto"/>
            <w:sz w:val="24"/>
            <w:szCs w:val="24"/>
            <w:u w:val="none"/>
          </w:rPr>
          <w:t>las zonas rurales</w:t>
        </w:r>
      </w:hyperlink>
      <w:r w:rsidRPr="007137E3">
        <w:rPr>
          <w:rFonts w:ascii="Times New Roman" w:hAnsi="Times New Roman" w:cs="Times New Roman"/>
          <w:sz w:val="24"/>
          <w:szCs w:val="24"/>
        </w:rPr>
        <w:t> que en las </w:t>
      </w:r>
      <w:hyperlink r:id="rId191" w:history="1">
        <w:r w:rsidRPr="007137E3">
          <w:rPr>
            <w:rStyle w:val="Hipervnculo"/>
            <w:rFonts w:ascii="Times New Roman" w:hAnsi="Times New Roman" w:cs="Times New Roman"/>
            <w:color w:val="auto"/>
            <w:sz w:val="24"/>
            <w:szCs w:val="24"/>
            <w:u w:val="none"/>
          </w:rPr>
          <w:t>urbanas</w:t>
        </w:r>
      </w:hyperlink>
      <w:r w:rsidRPr="007137E3">
        <w:rPr>
          <w:rFonts w:ascii="Times New Roman" w:hAnsi="Times New Roman" w:cs="Times New Roman"/>
          <w:sz w:val="24"/>
          <w:szCs w:val="24"/>
        </w:rPr>
        <w:t> ( </w:t>
      </w:r>
      <w:hyperlink r:id="rId192" w:history="1">
        <w:r w:rsidRPr="007137E3">
          <w:rPr>
            <w:rStyle w:val="Hipervnculo"/>
            <w:rFonts w:ascii="Times New Roman" w:hAnsi="Times New Roman" w:cs="Times New Roman"/>
            <w:color w:val="auto"/>
            <w:sz w:val="24"/>
            <w:szCs w:val="24"/>
            <w:u w:val="none"/>
          </w:rPr>
          <w:t>ciudades</w:t>
        </w:r>
      </w:hyperlink>
      <w:r w:rsidRPr="007137E3">
        <w:rPr>
          <w:rFonts w:ascii="Times New Roman" w:hAnsi="Times New Roman" w:cs="Times New Roman"/>
          <w:sz w:val="24"/>
          <w:szCs w:val="24"/>
        </w:rPr>
        <w:t> o </w:t>
      </w:r>
      <w:hyperlink r:id="rId193" w:history="1">
        <w:r w:rsidRPr="007137E3">
          <w:rPr>
            <w:rStyle w:val="Hipervnculo"/>
            <w:rFonts w:ascii="Times New Roman" w:hAnsi="Times New Roman" w:cs="Times New Roman"/>
            <w:color w:val="auto"/>
            <w:sz w:val="24"/>
            <w:szCs w:val="24"/>
            <w:u w:val="none"/>
          </w:rPr>
          <w:t>pueblos y suburbios</w:t>
        </w:r>
      </w:hyperlink>
      <w:r w:rsidRPr="007137E3">
        <w:rPr>
          <w:rFonts w:ascii="Times New Roman" w:hAnsi="Times New Roman" w:cs="Times New Roman"/>
          <w:sz w:val="24"/>
          <w:szCs w:val="24"/>
        </w:rPr>
        <w:t> ), mientras que en muchos Estados miembros occidentales, la pobreza o la exclusión social eran más comunes en las ciudades.</w:t>
      </w:r>
    </w:p>
    <w:p w:rsidR="00B759A7" w:rsidRPr="007137E3" w:rsidRDefault="00B759A7" w:rsidP="00B759A7">
      <w:pPr>
        <w:numPr>
          <w:ilvl w:val="0"/>
          <w:numId w:val="12"/>
        </w:numPr>
        <w:shd w:val="clear" w:color="auto" w:fill="FFFFFF"/>
        <w:spacing w:before="100" w:beforeAutospacing="1" w:after="100" w:afterAutospacing="1" w:line="240" w:lineRule="auto"/>
        <w:jc w:val="both"/>
        <w:rPr>
          <w:rFonts w:ascii="Times New Roman" w:hAnsi="Times New Roman" w:cs="Times New Roman"/>
          <w:sz w:val="24"/>
          <w:szCs w:val="24"/>
        </w:rPr>
      </w:pPr>
      <w:r w:rsidRPr="007137E3">
        <w:rPr>
          <w:rFonts w:ascii="Times New Roman" w:hAnsi="Times New Roman" w:cs="Times New Roman"/>
          <w:sz w:val="24"/>
          <w:szCs w:val="24"/>
        </w:rPr>
        <w:t>Como se señala en un artículo sobre </w:t>
      </w:r>
      <w:hyperlink r:id="rId194" w:tgtFrame="_blank" w:history="1">
        <w:r w:rsidRPr="007137E3">
          <w:rPr>
            <w:rStyle w:val="Hipervnculo"/>
            <w:rFonts w:ascii="Times New Roman" w:hAnsi="Times New Roman" w:cs="Times New Roman"/>
            <w:color w:val="auto"/>
            <w:sz w:val="24"/>
            <w:szCs w:val="24"/>
            <w:u w:val="none"/>
          </w:rPr>
          <w:t>distribución de ingresos y desigualdad de ingresos</w:t>
        </w:r>
      </w:hyperlink>
      <w:r w:rsidRPr="007137E3">
        <w:rPr>
          <w:rFonts w:ascii="Times New Roman" w:hAnsi="Times New Roman" w:cs="Times New Roman"/>
          <w:sz w:val="24"/>
          <w:szCs w:val="24"/>
        </w:rPr>
        <w:t> , </w:t>
      </w:r>
      <w:hyperlink r:id="rId195" w:history="1">
        <w:r w:rsidRPr="007137E3">
          <w:rPr>
            <w:rStyle w:val="Hipervnculo"/>
            <w:rFonts w:ascii="Times New Roman" w:hAnsi="Times New Roman" w:cs="Times New Roman"/>
            <w:color w:val="auto"/>
            <w:sz w:val="24"/>
            <w:szCs w:val="24"/>
            <w:u w:val="none"/>
          </w:rPr>
          <w:t>las</w:t>
        </w:r>
      </w:hyperlink>
      <w:r w:rsidRPr="007137E3">
        <w:rPr>
          <w:rFonts w:ascii="Times New Roman" w:hAnsi="Times New Roman" w:cs="Times New Roman"/>
          <w:sz w:val="24"/>
          <w:szCs w:val="24"/>
        </w:rPr>
        <w:t> medidas de </w:t>
      </w:r>
      <w:hyperlink r:id="rId196" w:history="1">
        <w:r w:rsidRPr="007137E3">
          <w:rPr>
            <w:rStyle w:val="Hipervnculo"/>
            <w:rFonts w:ascii="Times New Roman" w:hAnsi="Times New Roman" w:cs="Times New Roman"/>
            <w:color w:val="auto"/>
            <w:sz w:val="24"/>
            <w:szCs w:val="24"/>
            <w:u w:val="none"/>
          </w:rPr>
          <w:t>protección social</w:t>
        </w:r>
      </w:hyperlink>
      <w:r w:rsidRPr="007137E3">
        <w:rPr>
          <w:rFonts w:ascii="Times New Roman" w:hAnsi="Times New Roman" w:cs="Times New Roman"/>
          <w:sz w:val="24"/>
          <w:szCs w:val="24"/>
        </w:rPr>
        <w:t> , como </w:t>
      </w:r>
      <w:hyperlink r:id="rId197" w:history="1">
        <w:r w:rsidRPr="007137E3">
          <w:rPr>
            <w:rStyle w:val="Hipervnculo"/>
            <w:rFonts w:ascii="Times New Roman" w:hAnsi="Times New Roman" w:cs="Times New Roman"/>
            <w:color w:val="auto"/>
            <w:sz w:val="24"/>
            <w:szCs w:val="24"/>
            <w:u w:val="none"/>
          </w:rPr>
          <w:t>las transferencias sociales</w:t>
        </w:r>
      </w:hyperlink>
      <w:r w:rsidRPr="007137E3">
        <w:rPr>
          <w:rFonts w:ascii="Times New Roman" w:hAnsi="Times New Roman" w:cs="Times New Roman"/>
          <w:sz w:val="24"/>
          <w:szCs w:val="24"/>
        </w:rPr>
        <w:t> , proporcionan un medio importante para abordar la </w:t>
      </w:r>
      <w:hyperlink r:id="rId198" w:history="1">
        <w:r w:rsidRPr="007137E3">
          <w:rPr>
            <w:rStyle w:val="Hipervnculo"/>
            <w:rFonts w:ascii="Times New Roman" w:hAnsi="Times New Roman" w:cs="Times New Roman"/>
            <w:color w:val="auto"/>
            <w:sz w:val="24"/>
            <w:szCs w:val="24"/>
            <w:u w:val="none"/>
          </w:rPr>
          <w:t>pobreza monetaria</w:t>
        </w:r>
      </w:hyperlink>
      <w:r w:rsidRPr="007137E3">
        <w:rPr>
          <w:rFonts w:ascii="Times New Roman" w:hAnsi="Times New Roman" w:cs="Times New Roman"/>
          <w:sz w:val="24"/>
          <w:szCs w:val="24"/>
        </w:rPr>
        <w:t> : en 2019, las transferencias sociales redujeron la tasa de riesgo de pobreza de la UE-27 de 24,5 % (antes de transferencias sociales, excluidas las pensiones) al 16,5%, lo que reduce la tasa en 8,0 </w:t>
      </w:r>
      <w:hyperlink r:id="rId199" w:history="1">
        <w:r w:rsidRPr="007137E3">
          <w:rPr>
            <w:rStyle w:val="Hipervnculo"/>
            <w:rFonts w:ascii="Times New Roman" w:hAnsi="Times New Roman" w:cs="Times New Roman"/>
            <w:color w:val="auto"/>
            <w:sz w:val="24"/>
            <w:szCs w:val="24"/>
            <w:u w:val="none"/>
          </w:rPr>
          <w:t>puntos porcentuales</w:t>
        </w:r>
      </w:hyperlink>
      <w:r w:rsidRPr="007137E3">
        <w:rPr>
          <w:rFonts w:ascii="Times New Roman" w:hAnsi="Times New Roman" w:cs="Times New Roman"/>
          <w:sz w:val="24"/>
          <w:szCs w:val="24"/>
        </w:rPr>
        <w:t> .</w:t>
      </w:r>
    </w:p>
    <w:p w:rsidR="00B759A7" w:rsidRPr="007137E3" w:rsidRDefault="00B759A7" w:rsidP="00B759A7">
      <w:pPr>
        <w:numPr>
          <w:ilvl w:val="0"/>
          <w:numId w:val="12"/>
        </w:numPr>
        <w:shd w:val="clear" w:color="auto" w:fill="FFFFFF"/>
        <w:spacing w:before="100" w:beforeAutospacing="1" w:after="100" w:afterAutospacing="1" w:line="240" w:lineRule="auto"/>
        <w:jc w:val="both"/>
        <w:rPr>
          <w:rFonts w:ascii="Times New Roman" w:hAnsi="Times New Roman" w:cs="Times New Roman"/>
          <w:sz w:val="24"/>
          <w:szCs w:val="24"/>
        </w:rPr>
      </w:pPr>
      <w:r w:rsidRPr="007137E3">
        <w:rPr>
          <w:rFonts w:ascii="Times New Roman" w:hAnsi="Times New Roman" w:cs="Times New Roman"/>
          <w:sz w:val="24"/>
          <w:szCs w:val="24"/>
        </w:rPr>
        <w:t>De la misma manera que el </w:t>
      </w:r>
      <w:hyperlink r:id="rId200" w:history="1">
        <w:r w:rsidRPr="007137E3">
          <w:rPr>
            <w:rStyle w:val="Hipervnculo"/>
            <w:rFonts w:ascii="Times New Roman" w:hAnsi="Times New Roman" w:cs="Times New Roman"/>
            <w:color w:val="auto"/>
            <w:sz w:val="24"/>
            <w:szCs w:val="24"/>
            <w:u w:val="none"/>
          </w:rPr>
          <w:t>desempleo de larga duración</w:t>
        </w:r>
      </w:hyperlink>
      <w:r w:rsidRPr="007137E3">
        <w:rPr>
          <w:rFonts w:ascii="Times New Roman" w:hAnsi="Times New Roman" w:cs="Times New Roman"/>
          <w:sz w:val="24"/>
          <w:szCs w:val="24"/>
        </w:rPr>
        <w:t> tiene un mayor impacto en la vida que los períodos de desempleo más cortos, el riesgo persistente de pobreza está intrínsecamente vinculado a un riesgo desproporcionadamente mayor de exclusión social. La </w:t>
      </w:r>
      <w:hyperlink r:id="rId201" w:history="1">
        <w:r w:rsidRPr="007137E3">
          <w:rPr>
            <w:rStyle w:val="Hipervnculo"/>
            <w:rFonts w:ascii="Times New Roman" w:hAnsi="Times New Roman" w:cs="Times New Roman"/>
            <w:color w:val="auto"/>
            <w:sz w:val="24"/>
            <w:szCs w:val="24"/>
            <w:u w:val="none"/>
          </w:rPr>
          <w:t>persistente tasa de riesgo de pobreza</w:t>
        </w:r>
      </w:hyperlink>
      <w:r w:rsidR="000C28C6" w:rsidRPr="007137E3">
        <w:rPr>
          <w:rStyle w:val="Hipervnculo"/>
          <w:rFonts w:ascii="Times New Roman" w:hAnsi="Times New Roman" w:cs="Times New Roman"/>
          <w:color w:val="auto"/>
          <w:sz w:val="24"/>
          <w:szCs w:val="24"/>
          <w:u w:val="none"/>
        </w:rPr>
        <w:t xml:space="preserve"> </w:t>
      </w:r>
      <w:r w:rsidRPr="007137E3">
        <w:rPr>
          <w:rFonts w:ascii="Times New Roman" w:hAnsi="Times New Roman" w:cs="Times New Roman"/>
          <w:sz w:val="24"/>
          <w:szCs w:val="24"/>
        </w:rPr>
        <w:t>muestra la proporción de personas que estaban por debajo del umbral de pobreza y también habían estado por debajo del umbral durante al menos dos de los tres años anteriores. Esto es de interés en la medida en que permite un análisis longitudinal de si el riesgo de pobreza es de carácter transitorio (compartido entre varios miembros de la sociedad) o si se trata de un fenómeno más estructural (por el que una parte desafortunada de la población es persistentemente pobre). La tasa de riesgo de pobreza persistente fue más prevalente entre la población que vive en hogares de adultos solteros, particularmente aquellos con hijos dependientes (muchos de estos hogares se caracterizan por niveles de ingresos que están persistentemente por debajo del umbral de pobreza). Por término medio, más de una quinta parte (21,4%) de los hogares de adultos solteros con hijos a cargo en la UE-27 tenían un riesgo persistente de pobreza en 2018.</w:t>
      </w:r>
    </w:p>
    <w:p w:rsidR="00B759A7" w:rsidRPr="007137E3" w:rsidRDefault="00B759A7" w:rsidP="00B759A7">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7137E3">
        <w:rPr>
          <w:rStyle w:val="mw-headline"/>
          <w:rFonts w:ascii="Times New Roman" w:hAnsi="Times New Roman" w:cs="Times New Roman"/>
          <w:bCs w:val="0"/>
          <w:color w:val="auto"/>
          <w:sz w:val="24"/>
          <w:szCs w:val="24"/>
        </w:rPr>
        <w:t>Pobreza y exclusión social</w:t>
      </w:r>
    </w:p>
    <w:p w:rsidR="00B759A7" w:rsidRPr="007137E3" w:rsidRDefault="00B759A7" w:rsidP="00B759A7">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B759A7" w:rsidRPr="007137E3" w:rsidRDefault="00B759A7" w:rsidP="00B759A7">
      <w:pPr>
        <w:pStyle w:val="NormalWeb"/>
        <w:shd w:val="clear" w:color="auto" w:fill="FFFFFF"/>
        <w:spacing w:before="0" w:beforeAutospacing="0" w:after="105" w:afterAutospacing="0"/>
        <w:jc w:val="both"/>
      </w:pPr>
      <w:r w:rsidRPr="007137E3">
        <w:rPr>
          <w:b/>
          <w:bCs/>
          <w:i/>
          <w:iCs/>
        </w:rPr>
        <w:t>Aproximadamente una de cada cinco personas en la UE-27 estaba en riesgo de pobreza o exclusión social</w:t>
      </w:r>
    </w:p>
    <w:p w:rsidR="00B759A7" w:rsidRPr="007137E3" w:rsidRDefault="00B759A7" w:rsidP="00B759A7">
      <w:pPr>
        <w:pStyle w:val="NormalWeb"/>
        <w:shd w:val="clear" w:color="auto" w:fill="FFFFFF"/>
        <w:spacing w:before="0" w:beforeAutospacing="0" w:after="105" w:afterAutospacing="0"/>
        <w:jc w:val="both"/>
      </w:pPr>
      <w:r w:rsidRPr="007137E3">
        <w:t>En 2019, se estimaba que en la EU-27 había 92,4 millones de personas en riesgo de pobreza o exclusión social, lo que equivale al 21,1% de la población total. El número de personas en riesgo de pobreza o exclusión social, que puede abreviarse como AROPE, corresponde a la suma de personas que están (i) </w:t>
      </w:r>
      <w:hyperlink r:id="rId202" w:history="1">
        <w:r w:rsidRPr="007137E3">
          <w:rPr>
            <w:rStyle w:val="Hipervnculo"/>
            <w:color w:val="auto"/>
            <w:u w:val="none"/>
          </w:rPr>
          <w:t>en riesgo de pobreza</w:t>
        </w:r>
      </w:hyperlink>
      <w:r w:rsidRPr="007137E3">
        <w:t> (según lo indicado por su renta disponible); y / o (ii) enfrentan </w:t>
      </w:r>
      <w:hyperlink r:id="rId203" w:history="1">
        <w:r w:rsidRPr="007137E3">
          <w:rPr>
            <w:rStyle w:val="Hipervnculo"/>
            <w:color w:val="auto"/>
            <w:u w:val="none"/>
          </w:rPr>
          <w:t>privaciones materiales severas</w:t>
        </w:r>
      </w:hyperlink>
      <w:r w:rsidRPr="007137E3">
        <w:t xml:space="preserve">(medido por su capacidad para comprar un conjunto de elementos materiales predefinidos); y / o (iii) vivir en un hogar con muy baja intensidad laboral. Tras alcanzar un máximo de 108,7 millones en 2012, el número de personas en riesgo de pobreza o exclusión social en la UE-27 descendió durante siete años </w:t>
      </w:r>
      <w:r w:rsidRPr="007137E3">
        <w:lastRenderedPageBreak/>
        <w:t>consecutivos. Ha habido una disminución de 16,3 millones en relación con el número de personas que estaban en riesgo de pobreza o exclusión social desde el pico de 2012. Si se observa el período de tiempo que se muestra en la </w:t>
      </w:r>
      <w:r w:rsidRPr="007137E3">
        <w:rPr>
          <w:b/>
          <w:bCs/>
        </w:rPr>
        <w:t>figura 1</w:t>
      </w:r>
      <w:r w:rsidRPr="007137E3">
        <w:t>, el número de personas en la UE-27 en riesgo de pobreza o exclusión social fue 11,3 millones menor en 2019 que en 2010.</w:t>
      </w:r>
    </w:p>
    <w:p w:rsidR="00B759A7" w:rsidRPr="007137E3" w:rsidRDefault="00B759A7" w:rsidP="00B759A7">
      <w:pPr>
        <w:pStyle w:val="NormalWeb"/>
        <w:shd w:val="clear" w:color="auto" w:fill="FFFFFF"/>
        <w:spacing w:before="0" w:beforeAutospacing="0" w:after="105" w:afterAutospacing="0"/>
        <w:jc w:val="both"/>
      </w:pPr>
      <w:r w:rsidRPr="007137E3">
        <w:rPr>
          <w:noProof/>
        </w:rPr>
        <w:drawing>
          <wp:inline distT="0" distB="0" distL="0" distR="0" wp14:anchorId="0A0059FC" wp14:editId="4A88C19B">
            <wp:extent cx="5727700" cy="2825750"/>
            <wp:effectExtent l="0" t="0" r="635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731510" cy="2827630"/>
                    </a:xfrm>
                    <a:prstGeom prst="rect">
                      <a:avLst/>
                    </a:prstGeom>
                  </pic:spPr>
                </pic:pic>
              </a:graphicData>
            </a:graphic>
          </wp:inline>
        </w:drawing>
      </w:r>
    </w:p>
    <w:p w:rsidR="00E0535C"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1: Personas en riesgo de pobreza o exclusión social, EU-27, 2010-2019</w:t>
      </w:r>
      <w:r w:rsidRPr="007137E3">
        <w:rPr>
          <w:rFonts w:ascii="Times New Roman" w:hAnsi="Times New Roman" w:cs="Times New Roman"/>
          <w:sz w:val="24"/>
          <w:szCs w:val="24"/>
        </w:rPr>
        <w:br/>
        <w:t>(millones de personas)</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05" w:tgtFrame="_blank" w:history="1">
        <w:r w:rsidRPr="007137E3">
          <w:rPr>
            <w:rStyle w:val="Hipervnculo"/>
            <w:rFonts w:ascii="Times New Roman" w:hAnsi="Times New Roman" w:cs="Times New Roman"/>
            <w:color w:val="auto"/>
            <w:sz w:val="24"/>
            <w:szCs w:val="24"/>
            <w:u w:val="none"/>
          </w:rPr>
          <w:t>(ilc_peps01)</w:t>
        </w:r>
      </w:hyperlink>
    </w:p>
    <w:p w:rsidR="00B759A7" w:rsidRPr="007137E3" w:rsidRDefault="00B759A7" w:rsidP="00B759A7">
      <w:pPr>
        <w:pStyle w:val="NormalWeb"/>
        <w:shd w:val="clear" w:color="auto" w:fill="FFFFFF"/>
        <w:spacing w:before="0" w:beforeAutospacing="0" w:after="105" w:afterAutospacing="0"/>
        <w:jc w:val="both"/>
      </w:pPr>
      <w:r w:rsidRPr="007137E3">
        <w:rPr>
          <w:b/>
          <w:bCs/>
        </w:rPr>
        <w:t>El perfil de las personas de la UE-27 en riesgo de pobreza o exclusión social</w:t>
      </w:r>
    </w:p>
    <w:p w:rsidR="00B759A7" w:rsidRPr="007137E3" w:rsidRDefault="00B759A7" w:rsidP="00B759A7">
      <w:pPr>
        <w:pStyle w:val="NormalWeb"/>
        <w:shd w:val="clear" w:color="auto" w:fill="FFFFFF"/>
        <w:spacing w:before="0" w:beforeAutospacing="0" w:after="105" w:afterAutospacing="0"/>
        <w:jc w:val="both"/>
      </w:pPr>
      <w:r w:rsidRPr="007137E3">
        <w:t>Las mujeres, los adultos jóvenes, las personas con un nivel educativo bajo, las personas que experimentaron limitaciones en las actividades debido a problemas de salud y las personas desempleadas tenían, en promedio, más probabilidades de estar en riesgo de pobreza o exclusión social en 2019 que otros grupos dentro la población de la UE-27 (véase la </w:t>
      </w:r>
      <w:r w:rsidRPr="007137E3">
        <w:rPr>
          <w:b/>
          <w:bCs/>
        </w:rPr>
        <w:t>figura 2</w:t>
      </w:r>
      <w:r w:rsidRPr="007137E3">
        <w:t>).</w:t>
      </w:r>
    </w:p>
    <w:p w:rsidR="00E0535C" w:rsidRPr="007137E3" w:rsidRDefault="00E0535C" w:rsidP="00B759A7">
      <w:pPr>
        <w:pStyle w:val="NormalWeb"/>
        <w:shd w:val="clear" w:color="auto" w:fill="FFFFFF"/>
        <w:spacing w:before="0" w:beforeAutospacing="0" w:after="105" w:afterAutospacing="0"/>
        <w:jc w:val="both"/>
      </w:pPr>
      <w:r w:rsidRPr="007137E3">
        <w:rPr>
          <w:noProof/>
        </w:rPr>
        <w:drawing>
          <wp:inline distT="0" distB="0" distL="0" distR="0" wp14:anchorId="347847AE" wp14:editId="0562B97A">
            <wp:extent cx="5727238" cy="2768600"/>
            <wp:effectExtent l="0" t="0" r="6985"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2770665"/>
                    </a:xfrm>
                    <a:prstGeom prst="rect">
                      <a:avLst/>
                    </a:prstGeom>
                  </pic:spPr>
                </pic:pic>
              </a:graphicData>
            </a:graphic>
          </wp:inline>
        </w:drawing>
      </w:r>
    </w:p>
    <w:p w:rsidR="00E0535C"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2: Proporción de personas en riesgo de pobreza o exclusión social, analizada por característica socioeconómica, UE-27, 2019</w:t>
      </w:r>
      <w:r w:rsidR="00E0535C" w:rsidRPr="007137E3">
        <w:rPr>
          <w:rFonts w:ascii="Times New Roman" w:hAnsi="Times New Roman" w:cs="Times New Roman"/>
          <w:sz w:val="24"/>
          <w:szCs w:val="24"/>
        </w:rPr>
        <w:t xml:space="preserve"> </w:t>
      </w:r>
      <w:r w:rsidRPr="007137E3">
        <w:rPr>
          <w:rFonts w:ascii="Times New Roman" w:hAnsi="Times New Roman" w:cs="Times New Roman"/>
          <w:sz w:val="24"/>
          <w:szCs w:val="24"/>
        </w:rPr>
        <w:t>(%)</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lastRenderedPageBreak/>
        <w:t>Fuente:</w:t>
      </w:r>
      <w:r w:rsidRPr="007137E3">
        <w:rPr>
          <w:rFonts w:ascii="Times New Roman" w:hAnsi="Times New Roman" w:cs="Times New Roman"/>
          <w:sz w:val="24"/>
          <w:szCs w:val="24"/>
        </w:rPr>
        <w:t> Eurostat </w:t>
      </w:r>
      <w:hyperlink r:id="rId207" w:tgtFrame="_blank" w:history="1">
        <w:r w:rsidRPr="007137E3">
          <w:rPr>
            <w:rStyle w:val="Hipervnculo"/>
            <w:rFonts w:ascii="Times New Roman" w:hAnsi="Times New Roman" w:cs="Times New Roman"/>
            <w:color w:val="auto"/>
            <w:sz w:val="24"/>
            <w:szCs w:val="24"/>
            <w:u w:val="none"/>
          </w:rPr>
          <w:t>(ilc_peps01)</w:t>
        </w:r>
      </w:hyperlink>
      <w:r w:rsidRPr="007137E3">
        <w:rPr>
          <w:rFonts w:ascii="Times New Roman" w:hAnsi="Times New Roman" w:cs="Times New Roman"/>
          <w:sz w:val="24"/>
          <w:szCs w:val="24"/>
        </w:rPr>
        <w:t> , </w:t>
      </w:r>
      <w:hyperlink r:id="rId208" w:tgtFrame="_blank" w:history="1">
        <w:r w:rsidRPr="007137E3">
          <w:rPr>
            <w:rStyle w:val="Hipervnculo"/>
            <w:rFonts w:ascii="Times New Roman" w:hAnsi="Times New Roman" w:cs="Times New Roman"/>
            <w:color w:val="auto"/>
            <w:sz w:val="24"/>
            <w:szCs w:val="24"/>
            <w:u w:val="none"/>
          </w:rPr>
          <w:t>(ilc_peps02)</w:t>
        </w:r>
      </w:hyperlink>
      <w:r w:rsidRPr="007137E3">
        <w:rPr>
          <w:rFonts w:ascii="Times New Roman" w:hAnsi="Times New Roman" w:cs="Times New Roman"/>
          <w:sz w:val="24"/>
          <w:szCs w:val="24"/>
        </w:rPr>
        <w:t> y </w:t>
      </w:r>
      <w:hyperlink r:id="rId209" w:tgtFrame="_blank" w:history="1">
        <w:r w:rsidRPr="007137E3">
          <w:rPr>
            <w:rStyle w:val="Hipervnculo"/>
            <w:rFonts w:ascii="Times New Roman" w:hAnsi="Times New Roman" w:cs="Times New Roman"/>
            <w:color w:val="auto"/>
            <w:sz w:val="24"/>
            <w:szCs w:val="24"/>
            <w:u w:val="none"/>
          </w:rPr>
          <w:t>(hlth_dpe010)</w:t>
        </w:r>
      </w:hyperlink>
    </w:p>
    <w:p w:rsidR="00B759A7" w:rsidRPr="007137E3" w:rsidRDefault="00B759A7" w:rsidP="00B759A7">
      <w:pPr>
        <w:pStyle w:val="NormalWeb"/>
        <w:shd w:val="clear" w:color="auto" w:fill="FFFFFF"/>
        <w:spacing w:before="0" w:beforeAutospacing="0" w:after="105" w:afterAutospacing="0"/>
        <w:jc w:val="both"/>
      </w:pPr>
      <w:r w:rsidRPr="007137E3">
        <w:t>Cuando se analiza por sexo, el riesgo de pobreza o exclusión social en la UE-27 fue mayor para las mujeres en 2019 que para los hombres (22,0% frente al 20,2%).</w:t>
      </w:r>
    </w:p>
    <w:p w:rsidR="00B759A7" w:rsidRPr="007137E3" w:rsidRDefault="00B759A7" w:rsidP="00B759A7">
      <w:pPr>
        <w:pStyle w:val="NormalWeb"/>
        <w:shd w:val="clear" w:color="auto" w:fill="FFFFFF"/>
        <w:spacing w:before="0" w:beforeAutospacing="0" w:after="105" w:afterAutospacing="0"/>
        <w:jc w:val="both"/>
      </w:pPr>
      <w:r w:rsidRPr="007137E3">
        <w:rPr>
          <w:b/>
          <w:bCs/>
        </w:rPr>
        <w:t>Se observaron diferencias notables al analizar el riesgo de pobreza o exclusión social por edades</w:t>
      </w:r>
    </w:p>
    <w:p w:rsidR="00B759A7" w:rsidRPr="007137E3" w:rsidRDefault="00B759A7" w:rsidP="00B759A7">
      <w:pPr>
        <w:pStyle w:val="NormalWeb"/>
        <w:shd w:val="clear" w:color="auto" w:fill="FFFFFF"/>
        <w:spacing w:before="0" w:beforeAutospacing="0" w:after="105" w:afterAutospacing="0"/>
        <w:jc w:val="both"/>
      </w:pPr>
      <w:r w:rsidRPr="007137E3">
        <w:t>Cuando se analizó por edad, el riesgo más alto de pobreza o exclusión social en 2019 en la UE-27 se registró para los adultos jóvenes de 18 a 24 años (27,8%), mientras que el riesgo más bajo se registró para las perso</w:t>
      </w:r>
      <w:r w:rsidR="00987770" w:rsidRPr="007137E3">
        <w:t>nas de 65 años o más (18,6%).</w:t>
      </w:r>
      <w:r w:rsidRPr="007137E3">
        <w:t> Entre estos dos grupos de edad, el riesgo de pobreza o exclusión social fue del 19,9% para las personas de 25 a 49 años y del 21,9% entre la población de 50 a 64 años. El grupo de edad más joven, las personas menores de 18 años, también presentaba un riesgo relativamente alto (22,5%).</w:t>
      </w:r>
    </w:p>
    <w:p w:rsidR="00B759A7" w:rsidRPr="007137E3" w:rsidRDefault="00B759A7" w:rsidP="00B759A7">
      <w:pPr>
        <w:pStyle w:val="NormalWeb"/>
        <w:shd w:val="clear" w:color="auto" w:fill="FFFFFF"/>
        <w:spacing w:before="0" w:beforeAutospacing="0" w:after="105" w:afterAutospacing="0"/>
        <w:jc w:val="both"/>
      </w:pPr>
      <w:r w:rsidRPr="007137E3">
        <w:rPr>
          <w:b/>
          <w:bCs/>
        </w:rPr>
        <w:t>Las limitaciones de salud fueron un determinante notable de las diferencias en el riesgo de pobreza o exclusión social</w:t>
      </w:r>
    </w:p>
    <w:p w:rsidR="00B759A7" w:rsidRPr="007137E3" w:rsidRDefault="00B759A7" w:rsidP="00B759A7">
      <w:pPr>
        <w:pStyle w:val="NormalWeb"/>
        <w:shd w:val="clear" w:color="auto" w:fill="FFFFFF"/>
        <w:spacing w:before="0" w:beforeAutospacing="0" w:after="105" w:afterAutospacing="0"/>
        <w:jc w:val="both"/>
      </w:pPr>
      <w:r w:rsidRPr="007137E3">
        <w:t>En 2019, las personas de la UE-27 de 16 años o más que estaban gravemente limitadas en sus actividades debido a problemas de salud tienen un riesgo sustancialmente mayor de pobreza o exclusión social (34,9%) que las personas sin limitaciones (17,4%). Para las personas con alguna limitación de actividad relacionada con la salud, el riesgo registrado fue del 25,4%.</w:t>
      </w:r>
    </w:p>
    <w:p w:rsidR="00B759A7" w:rsidRPr="007137E3" w:rsidRDefault="00B759A7" w:rsidP="00B759A7">
      <w:pPr>
        <w:pStyle w:val="NormalWeb"/>
        <w:shd w:val="clear" w:color="auto" w:fill="FFFFFF"/>
        <w:spacing w:before="0" w:beforeAutospacing="0" w:after="105" w:afterAutospacing="0"/>
        <w:jc w:val="both"/>
      </w:pPr>
      <w:r w:rsidRPr="007137E3">
        <w:rPr>
          <w:b/>
          <w:bCs/>
        </w:rPr>
        <w:t>Además de la edad y el nivel de limitaciones de las actividades relacionadas con la salud, el nivel educativo también tuvo un impacto considerable en el riesgo de pobreza o exclusión social.</w:t>
      </w:r>
    </w:p>
    <w:p w:rsidR="00B759A7" w:rsidRPr="007137E3" w:rsidRDefault="00B759A7" w:rsidP="00B759A7">
      <w:pPr>
        <w:pStyle w:val="NormalWeb"/>
        <w:shd w:val="clear" w:color="auto" w:fill="FFFFFF"/>
        <w:spacing w:before="0" w:beforeAutospacing="0" w:after="105" w:afterAutospacing="0"/>
        <w:jc w:val="both"/>
      </w:pPr>
      <w:r w:rsidRPr="007137E3">
        <w:t>En 2019, casi un tercio (33,2%) de todas las personas de 18 años o más con un nivel educativo bajo (niveles CINE 0-2) en la UE-27 estaban en riesgo de pobreza o exclusión social, en comparación con el 10,5% de personas del mismo grupo de edad con un nivel de educación terciario (alto) (niveles CINE 5-8). El porcentaje correspondiente para las personas con un nivel educativo medio (niveles CINE 3-4) fue del 19,7%.</w:t>
      </w:r>
    </w:p>
    <w:p w:rsidR="00B759A7" w:rsidRPr="007137E3" w:rsidRDefault="00B759A7" w:rsidP="00B759A7">
      <w:pPr>
        <w:pStyle w:val="NormalWeb"/>
        <w:shd w:val="clear" w:color="auto" w:fill="FFFFFF"/>
        <w:spacing w:before="0" w:beforeAutospacing="0" w:after="105" w:afterAutospacing="0"/>
        <w:jc w:val="both"/>
      </w:pPr>
      <w:r w:rsidRPr="007137E3">
        <w:rPr>
          <w:b/>
          <w:bCs/>
        </w:rPr>
        <w:t>Las personas que estaban desempleadas se enfrentaban a un riesgo particularmente alto de pobreza o exclusión social</w:t>
      </w:r>
    </w:p>
    <w:p w:rsidR="00B759A7" w:rsidRPr="007137E3" w:rsidRDefault="00B759A7" w:rsidP="00B759A7">
      <w:pPr>
        <w:pStyle w:val="NormalWeb"/>
        <w:shd w:val="clear" w:color="auto" w:fill="FFFFFF"/>
        <w:spacing w:before="0" w:beforeAutospacing="0" w:after="105" w:afterAutospacing="0"/>
        <w:jc w:val="both"/>
      </w:pPr>
      <w:r w:rsidRPr="007137E3">
        <w:t>En la UE-27, cerca de dos tercios (65,4%) de los desempleados de 18 años o más estaban en riesgo de pobreza o exclusión social en 2019. Otras personas económicamente inactivas (que no sean por desempleo o jubilación) se enfrentaron a la segunda mayor riesgo sobre la base de un análisis por estado de actividad, con un 41,1% en riesgo. A modo de comparación, la proporción de personas con empleo que estaban en riesgo de pobreza o exclusión social fue del 11,1%.</w:t>
      </w:r>
    </w:p>
    <w:p w:rsidR="00B759A7" w:rsidRPr="007137E3" w:rsidRDefault="00B759A7" w:rsidP="00B759A7">
      <w:pPr>
        <w:pStyle w:val="NormalWeb"/>
        <w:shd w:val="clear" w:color="auto" w:fill="FFFFFF"/>
        <w:spacing w:before="0" w:beforeAutospacing="0" w:after="105" w:afterAutospacing="0"/>
        <w:jc w:val="both"/>
      </w:pPr>
      <w:r w:rsidRPr="007137E3">
        <w:rPr>
          <w:b/>
          <w:bCs/>
        </w:rPr>
        <w:t>En la UE-27 en su conjunto, el riesgo de pobreza o exclusión social era el mismo para los hogares con hijos a cargo que para los que no tenían</w:t>
      </w:r>
    </w:p>
    <w:p w:rsidR="00B759A7" w:rsidRPr="007137E3" w:rsidRDefault="00B759A7" w:rsidP="00B759A7">
      <w:pPr>
        <w:pStyle w:val="NormalWeb"/>
        <w:shd w:val="clear" w:color="auto" w:fill="FFFFFF"/>
        <w:spacing w:before="0" w:beforeAutospacing="0" w:after="105" w:afterAutospacing="0"/>
        <w:jc w:val="both"/>
      </w:pPr>
      <w:r w:rsidRPr="007137E3">
        <w:t>En 2019, más de una quinta parte (21,1%) de las personas que vivían en hogares con hijos a cargo en la UE-27 estaban en riesgo de pobreza o exclusión social, que era la misma proporción que entre los hogares sin hijos a cargo. No obstante, estas tasas variaron considerablemente entre los Estados miembros de la UE. Para las personas que viven en hogares con hijos dependientes, la tasa osciló entre máximos del 31,8% en Rumanía, 31,2% en Grecia y 30,0% en Italia (datos de 2018) hasta el 11,3% en Chequia, el 11,2% en Dina</w:t>
      </w:r>
      <w:r w:rsidR="00987770" w:rsidRPr="007137E3">
        <w:t>marca y el 10,2% en Eslovenia (</w:t>
      </w:r>
      <w:r w:rsidRPr="007137E3">
        <w:t>ver </w:t>
      </w:r>
      <w:r w:rsidRPr="007137E3">
        <w:rPr>
          <w:b/>
          <w:bCs/>
        </w:rPr>
        <w:t>figura 3</w:t>
      </w:r>
      <w:r w:rsidRPr="007137E3">
        <w:t>). Para aquellos en hogares sin hijos a cargo, las tasas variaron del 36,5% en Bulgaria y el 36,1% en Letonia al 14,0% en Eslovaquia y el 13,8% en Chequia.</w:t>
      </w:r>
    </w:p>
    <w:p w:rsidR="00E0535C" w:rsidRPr="007137E3" w:rsidRDefault="00E0535C" w:rsidP="00B759A7">
      <w:pPr>
        <w:pStyle w:val="NormalWeb"/>
        <w:shd w:val="clear" w:color="auto" w:fill="FFFFFF"/>
        <w:spacing w:before="0" w:beforeAutospacing="0" w:after="105" w:afterAutospacing="0"/>
        <w:jc w:val="both"/>
      </w:pPr>
      <w:r w:rsidRPr="007137E3">
        <w:rPr>
          <w:noProof/>
        </w:rPr>
        <w:lastRenderedPageBreak/>
        <w:drawing>
          <wp:inline distT="0" distB="0" distL="0" distR="0" wp14:anchorId="76573FC7" wp14:editId="0C36B7F9">
            <wp:extent cx="5731510" cy="3948986"/>
            <wp:effectExtent l="0" t="0" r="254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3948986"/>
                    </a:xfrm>
                    <a:prstGeom prst="rect">
                      <a:avLst/>
                    </a:prstGeom>
                  </pic:spPr>
                </pic:pic>
              </a:graphicData>
            </a:graphic>
          </wp:inline>
        </w:drawing>
      </w:r>
    </w:p>
    <w:p w:rsidR="00E0535C"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3: Proporción de personas en riesgo de pobreza o exclusión social en hogares con o sin hijos a cargo, 2019</w:t>
      </w:r>
      <w:r w:rsidR="00E0535C" w:rsidRPr="007137E3">
        <w:rPr>
          <w:rFonts w:ascii="Times New Roman" w:hAnsi="Times New Roman" w:cs="Times New Roman"/>
          <w:sz w:val="24"/>
          <w:szCs w:val="24"/>
        </w:rPr>
        <w:t xml:space="preserve"> </w:t>
      </w:r>
      <w:r w:rsidRPr="007137E3">
        <w:rPr>
          <w:rFonts w:ascii="Times New Roman" w:hAnsi="Times New Roman" w:cs="Times New Roman"/>
          <w:sz w:val="24"/>
          <w:szCs w:val="24"/>
        </w:rPr>
        <w:t>(%)</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11" w:tgtFrame="_blank" w:history="1">
        <w:r w:rsidRPr="007137E3">
          <w:rPr>
            <w:rStyle w:val="Hipervnculo"/>
            <w:rFonts w:ascii="Times New Roman" w:hAnsi="Times New Roman" w:cs="Times New Roman"/>
            <w:color w:val="auto"/>
            <w:sz w:val="24"/>
            <w:szCs w:val="24"/>
            <w:u w:val="none"/>
          </w:rPr>
          <w:t>(ilc_peps03)</w:t>
        </w:r>
      </w:hyperlink>
    </w:p>
    <w:p w:rsidR="00987770" w:rsidRPr="007137E3" w:rsidRDefault="00B759A7" w:rsidP="00B759A7">
      <w:pPr>
        <w:pStyle w:val="NormalWeb"/>
        <w:shd w:val="clear" w:color="auto" w:fill="FFFFFF"/>
        <w:spacing w:before="0" w:beforeAutospacing="0" w:after="105" w:afterAutospacing="0"/>
        <w:jc w:val="both"/>
      </w:pPr>
      <w:r w:rsidRPr="007137E3">
        <w:t>En 14 Estados miembros de la UE, incluidos todos los Estados miembros bálticos, la población que vive en hogares sin hijos a cargo tenía un mayor riesgo de pobreza o exclusión social en 2019 que los que viven en hogares con hijos a cargo. En Letonia y Estonia, el riesgo de pobreza o exclusión social entre las personas que viven en hogares sin hijos fue 17,8 y 12,4 puntos porcentuales más alto, respectivamente, que el riesgo que enfrentan las personas que viven en hogares con hijos dependientes. En los 13 Estados miembros restantes, incluidos todos los Estados miembros del sur excepto Chipre, el riesgo era mayor para las personas que vivían en hogares con hijos a cargo</w:t>
      </w:r>
      <w:r w:rsidR="00987770" w:rsidRPr="007137E3">
        <w:t>…</w:t>
      </w:r>
      <w:r w:rsidRPr="007137E3">
        <w:t> </w:t>
      </w:r>
    </w:p>
    <w:p w:rsidR="00B759A7" w:rsidRPr="007137E3" w:rsidRDefault="00987770" w:rsidP="00B759A7">
      <w:pPr>
        <w:pStyle w:val="NormalWeb"/>
        <w:shd w:val="clear" w:color="auto" w:fill="FFFFFF"/>
        <w:spacing w:before="0" w:beforeAutospacing="0" w:after="105" w:afterAutospacing="0"/>
        <w:jc w:val="both"/>
      </w:pPr>
      <w:r w:rsidRPr="007137E3">
        <w:rPr>
          <w:b/>
          <w:bCs/>
        </w:rPr>
        <w:t xml:space="preserve"> </w:t>
      </w:r>
      <w:r w:rsidR="00B759A7" w:rsidRPr="007137E3">
        <w:rPr>
          <w:b/>
          <w:bCs/>
        </w:rPr>
        <w:t>Las personas que vivían en hogares de adultos solteros con hijos dependientes constituían un grupo particularmente vulnerable</w:t>
      </w:r>
    </w:p>
    <w:p w:rsidR="00B759A7" w:rsidRPr="007137E3" w:rsidRDefault="00B759A7" w:rsidP="00B759A7">
      <w:pPr>
        <w:pStyle w:val="NormalWeb"/>
        <w:shd w:val="clear" w:color="auto" w:fill="FFFFFF"/>
        <w:spacing w:before="0" w:beforeAutospacing="0" w:after="105" w:afterAutospacing="0"/>
        <w:jc w:val="both"/>
      </w:pPr>
      <w:r w:rsidRPr="007137E3">
        <w:rPr>
          <w:b/>
          <w:bCs/>
        </w:rPr>
        <w:t>La Tabla 1</w:t>
      </w:r>
      <w:r w:rsidRPr="007137E3">
        <w:t> analiza con más detalle algunos tipos específicos de hogares. En 2019, alrededor de dos quintas partes (40,3%) de los hogares de adultos solteros con hijos a cargo en la UE-27 se enfrentaron al riesgo de pobreza o exclusión social. Entre los Estados miembros de la UE, esta tasa osciló entre el 54,4% en Irlanda (datos de 2018) y el 30,0% en Eslovenia.</w:t>
      </w:r>
    </w:p>
    <w:p w:rsidR="00E0535C" w:rsidRPr="007137E3" w:rsidRDefault="00E0535C" w:rsidP="00B759A7">
      <w:pPr>
        <w:pStyle w:val="NormalWeb"/>
        <w:shd w:val="clear" w:color="auto" w:fill="FFFFFF"/>
        <w:spacing w:before="0" w:beforeAutospacing="0" w:after="105" w:afterAutospacing="0"/>
        <w:jc w:val="both"/>
      </w:pPr>
      <w:r w:rsidRPr="007137E3">
        <w:rPr>
          <w:noProof/>
        </w:rPr>
        <w:lastRenderedPageBreak/>
        <w:drawing>
          <wp:inline distT="0" distB="0" distL="0" distR="0" wp14:anchorId="06FB85F5" wp14:editId="7A4EC0DF">
            <wp:extent cx="5731510" cy="4827083"/>
            <wp:effectExtent l="0" t="0" r="254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4827083"/>
                    </a:xfrm>
                    <a:prstGeom prst="rect">
                      <a:avLst/>
                    </a:prstGeom>
                  </pic:spPr>
                </pic:pic>
              </a:graphicData>
            </a:graphic>
          </wp:inline>
        </w:drawing>
      </w:r>
    </w:p>
    <w:p w:rsidR="00E0535C"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Tabla 1: Proporción de personas en riesgo de pobreza o exclusión social, analizada por tipo de hogar, 2019</w:t>
      </w:r>
      <w:r w:rsidR="00E0535C" w:rsidRPr="007137E3">
        <w:rPr>
          <w:rFonts w:ascii="Times New Roman" w:hAnsi="Times New Roman" w:cs="Times New Roman"/>
          <w:sz w:val="24"/>
          <w:szCs w:val="24"/>
        </w:rPr>
        <w:t xml:space="preserve"> </w:t>
      </w:r>
      <w:r w:rsidRPr="007137E3">
        <w:rPr>
          <w:rFonts w:ascii="Times New Roman" w:hAnsi="Times New Roman" w:cs="Times New Roman"/>
          <w:sz w:val="24"/>
          <w:szCs w:val="24"/>
        </w:rPr>
        <w:t>(%)</w:t>
      </w:r>
    </w:p>
    <w:p w:rsidR="00B759A7" w:rsidRPr="007137E3" w:rsidRDefault="00B759A7" w:rsidP="00B759A7">
      <w:pPr>
        <w:shd w:val="clear" w:color="auto" w:fill="FFFFFF"/>
        <w:spacing w:line="240" w:lineRule="auto"/>
        <w:jc w:val="both"/>
        <w:rPr>
          <w:rFonts w:ascii="Times New Roman" w:hAnsi="Times New Roman" w:cs="Times New Roman"/>
          <w:i/>
          <w:iCs/>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13" w:tgtFrame="_blank" w:history="1">
        <w:r w:rsidRPr="007137E3">
          <w:rPr>
            <w:rStyle w:val="Hipervnculo"/>
            <w:rFonts w:ascii="Times New Roman" w:hAnsi="Times New Roman" w:cs="Times New Roman"/>
            <w:color w:val="auto"/>
            <w:sz w:val="24"/>
            <w:szCs w:val="24"/>
            <w:u w:val="none"/>
          </w:rPr>
          <w:t>(ilc_peps03)</w:t>
        </w:r>
      </w:hyperlink>
    </w:p>
    <w:p w:rsidR="00B759A7" w:rsidRPr="007137E3" w:rsidRDefault="00B759A7" w:rsidP="00B759A7">
      <w:pPr>
        <w:pStyle w:val="NormalWeb"/>
        <w:shd w:val="clear" w:color="auto" w:fill="FFFFFF"/>
        <w:spacing w:before="0" w:beforeAutospacing="0" w:after="105" w:afterAutospacing="0"/>
        <w:jc w:val="both"/>
      </w:pPr>
      <w:r w:rsidRPr="007137E3">
        <w:rPr>
          <w:b/>
          <w:bCs/>
        </w:rPr>
        <w:t>El riesgo de pobreza o exclusión social fue mayor para los hogares con tres o más hijos.</w:t>
      </w:r>
    </w:p>
    <w:p w:rsidR="00B759A7" w:rsidRPr="007137E3" w:rsidRDefault="00B759A7" w:rsidP="00B759A7">
      <w:pPr>
        <w:pStyle w:val="NormalWeb"/>
        <w:shd w:val="clear" w:color="auto" w:fill="FFFFFF"/>
        <w:spacing w:before="0" w:beforeAutospacing="0" w:after="105" w:afterAutospacing="0"/>
        <w:jc w:val="both"/>
      </w:pPr>
      <w:r w:rsidRPr="007137E3">
        <w:t>El riesgo de pobreza o exclusión social fue generalmente mayor para la población que vive en hogares con tres o más hijos. El riesgo para las personas que viven en un hogar compuesto por dos adultos con tres o más hijos dependientes promedió el 27,2% en la UE-27 en 2019, lo que fue 6,0 puntos porcentuales más alto que el promedio de todos los hogares con hijos dependientes. Esta situación de una tasa más alta para los hogares compuestos por dos adultos con tres o más hijos a cargo que para todos los hogares con hijos a cargo se observó en todos los Estados miembros de la UE excepto en Estonia e Irlanda (datos de 2018).</w:t>
      </w:r>
    </w:p>
    <w:p w:rsidR="00B759A7" w:rsidRPr="007137E3" w:rsidRDefault="00B759A7" w:rsidP="00B759A7">
      <w:pPr>
        <w:pStyle w:val="NormalWeb"/>
        <w:shd w:val="clear" w:color="auto" w:fill="FFFFFF"/>
        <w:spacing w:before="0" w:beforeAutospacing="0" w:after="105" w:afterAutospacing="0"/>
        <w:jc w:val="both"/>
      </w:pPr>
      <w:r w:rsidRPr="007137E3">
        <w:t>En 2019, casi un tercio (32,0%) de la población de la UE-27 que vivía sola (hogares unipersonales) se enfrentaba al riesgo de pobreza o exclusión social. En cinco Estados miembros de la UE, esta tasa superó el 50,0% en 2019: Bulgaria (59,0%), Letonia (56,8%), Estonia (53,5%), Lituania (52,2%) y Croacia (50,9%). En siete Estados miembros, a saber, Letonia, Estonia, Eslovenia, Bulgaria, Croacia, Lituania y Dinamarca, el riesgo de pobreza o exclusión social era mayor para la población que vivía en hogares de una sola persona que para las personas que vivían en hogares de adultos solteros con hijos a cargo. .</w:t>
      </w:r>
    </w:p>
    <w:p w:rsidR="00B759A7" w:rsidRPr="007137E3" w:rsidRDefault="00B759A7" w:rsidP="00B759A7">
      <w:pPr>
        <w:pStyle w:val="NormalWeb"/>
        <w:shd w:val="clear" w:color="auto" w:fill="FFFFFF"/>
        <w:spacing w:before="0" w:beforeAutospacing="0" w:after="105" w:afterAutospacing="0"/>
        <w:jc w:val="both"/>
      </w:pPr>
      <w:r w:rsidRPr="007137E3">
        <w:t>Entre los diferentes tipos de hogares incluidos en el </w:t>
      </w:r>
      <w:r w:rsidRPr="007137E3">
        <w:rPr>
          <w:b/>
          <w:bCs/>
        </w:rPr>
        <w:t>cuadro 1</w:t>
      </w:r>
      <w:r w:rsidRPr="007137E3">
        <w:t xml:space="preserve">, se registró uno de los riesgos más bajos de pobreza o exclusión social para las personas que viven en hogares compuestos </w:t>
      </w:r>
      <w:r w:rsidRPr="007137E3">
        <w:lastRenderedPageBreak/>
        <w:t>por dos adultos con un hijo a cargo: una tasa del 15,1% en la UE-27 en 2019. Entre los Estados miembros de la UE, el riesgo de pobreza o exclusión social para este tipo de hogar osciló entre el 24,6% en Grecia y el 6,6% en Dinamarca.</w:t>
      </w:r>
    </w:p>
    <w:p w:rsidR="00B759A7" w:rsidRPr="007137E3" w:rsidRDefault="00B759A7" w:rsidP="00B759A7">
      <w:pPr>
        <w:pStyle w:val="NormalWeb"/>
        <w:shd w:val="clear" w:color="auto" w:fill="FFFFFF"/>
        <w:spacing w:before="0" w:beforeAutospacing="0" w:after="105" w:afterAutospacing="0"/>
        <w:jc w:val="both"/>
      </w:pPr>
      <w:r w:rsidRPr="007137E3">
        <w:rPr>
          <w:b/>
          <w:bCs/>
        </w:rPr>
        <w:t>Más de una quinta parte de las personas que viven en zonas rurales de la UE-27 estaban en riesgo de pobreza o exclusión social</w:t>
      </w:r>
    </w:p>
    <w:p w:rsidR="00B759A7" w:rsidRPr="007137E3" w:rsidRDefault="00B759A7" w:rsidP="00B759A7">
      <w:pPr>
        <w:pStyle w:val="NormalWeb"/>
        <w:shd w:val="clear" w:color="auto" w:fill="FFFFFF"/>
        <w:spacing w:before="0" w:beforeAutospacing="0" w:after="105" w:afterAutospacing="0"/>
        <w:jc w:val="both"/>
      </w:pPr>
      <w:r w:rsidRPr="007137E3">
        <w:t>Aparte de los factores sociodemográficos, el riesgo de pobreza o exclusión social también se ve afectado por el </w:t>
      </w:r>
      <w:hyperlink r:id="rId214" w:history="1">
        <w:r w:rsidRPr="007137E3">
          <w:rPr>
            <w:rStyle w:val="Hipervnculo"/>
            <w:color w:val="auto"/>
            <w:u w:val="none"/>
          </w:rPr>
          <w:t>grado de urbanización</w:t>
        </w:r>
      </w:hyperlink>
      <w:r w:rsidRPr="007137E3">
        <w:t> . </w:t>
      </w:r>
      <w:r w:rsidRPr="007137E3">
        <w:rPr>
          <w:b/>
          <w:bCs/>
        </w:rPr>
        <w:t>El gráfico 4</w:t>
      </w:r>
      <w:r w:rsidRPr="007137E3">
        <w:t> revela que el 22,2% de la población de la EU-27 que vive en zonas rurales estuvo expuesta al riesgo de pobreza o exclusión social en 2019. El riesgo fue algo menor para las personas que vivían en ciudades (20,3%), mientras que se registró el riesgo más bajo. para la población residente en ciudades y suburbios (18,0%).</w:t>
      </w:r>
    </w:p>
    <w:p w:rsidR="00E0535C" w:rsidRPr="007137E3" w:rsidRDefault="00E0535C" w:rsidP="00B759A7">
      <w:pPr>
        <w:pStyle w:val="NormalWeb"/>
        <w:shd w:val="clear" w:color="auto" w:fill="FFFFFF"/>
        <w:spacing w:before="0" w:beforeAutospacing="0" w:after="105" w:afterAutospacing="0"/>
        <w:jc w:val="both"/>
      </w:pPr>
      <w:r w:rsidRPr="007137E3">
        <w:rPr>
          <w:noProof/>
        </w:rPr>
        <w:drawing>
          <wp:inline distT="0" distB="0" distL="0" distR="0" wp14:anchorId="037F0691" wp14:editId="3B2B9CFA">
            <wp:extent cx="5734050" cy="34290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3427481"/>
                    </a:xfrm>
                    <a:prstGeom prst="rect">
                      <a:avLst/>
                    </a:prstGeom>
                  </pic:spPr>
                </pic:pic>
              </a:graphicData>
            </a:graphic>
          </wp:inline>
        </w:drawing>
      </w:r>
    </w:p>
    <w:p w:rsidR="00E0535C"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4: Proporción de personas en riesgo de pobreza o exclusión social, analizada por grado de urbanización, 2019</w:t>
      </w:r>
      <w:r w:rsidR="00E0535C" w:rsidRPr="007137E3">
        <w:rPr>
          <w:rFonts w:ascii="Times New Roman" w:hAnsi="Times New Roman" w:cs="Times New Roman"/>
          <w:sz w:val="24"/>
          <w:szCs w:val="24"/>
        </w:rPr>
        <w:t xml:space="preserve"> </w:t>
      </w:r>
      <w:r w:rsidRPr="007137E3">
        <w:rPr>
          <w:rFonts w:ascii="Times New Roman" w:hAnsi="Times New Roman" w:cs="Times New Roman"/>
          <w:sz w:val="24"/>
          <w:szCs w:val="24"/>
        </w:rPr>
        <w:t>(%)</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16" w:tgtFrame="_blank" w:history="1">
        <w:r w:rsidRPr="007137E3">
          <w:rPr>
            <w:rStyle w:val="Hipervnculo"/>
            <w:rFonts w:ascii="Times New Roman" w:hAnsi="Times New Roman" w:cs="Times New Roman"/>
            <w:color w:val="auto"/>
            <w:sz w:val="24"/>
            <w:szCs w:val="24"/>
            <w:u w:val="none"/>
          </w:rPr>
          <w:t>(ilc_peps01)</w:t>
        </w:r>
      </w:hyperlink>
      <w:r w:rsidRPr="007137E3">
        <w:rPr>
          <w:rFonts w:ascii="Times New Roman" w:hAnsi="Times New Roman" w:cs="Times New Roman"/>
          <w:sz w:val="24"/>
          <w:szCs w:val="24"/>
        </w:rPr>
        <w:t> y </w:t>
      </w:r>
      <w:hyperlink r:id="rId217" w:tgtFrame="_blank" w:history="1">
        <w:r w:rsidRPr="007137E3">
          <w:rPr>
            <w:rStyle w:val="Hipervnculo"/>
            <w:rFonts w:ascii="Times New Roman" w:hAnsi="Times New Roman" w:cs="Times New Roman"/>
            <w:color w:val="auto"/>
            <w:sz w:val="24"/>
            <w:szCs w:val="24"/>
            <w:u w:val="none"/>
          </w:rPr>
          <w:t>(ilc_peps13)</w:t>
        </w:r>
      </w:hyperlink>
    </w:p>
    <w:p w:rsidR="00B759A7" w:rsidRPr="007137E3" w:rsidRDefault="00B759A7" w:rsidP="00B759A7">
      <w:pPr>
        <w:pStyle w:val="NormalWeb"/>
        <w:shd w:val="clear" w:color="auto" w:fill="FFFFFF"/>
        <w:spacing w:before="0" w:beforeAutospacing="0" w:after="105" w:afterAutospacing="0"/>
        <w:jc w:val="both"/>
      </w:pPr>
      <w:r w:rsidRPr="007137E3">
        <w:t>Un análisis más detallado muestra patrones contrastantes entre los Estados miembros de la UE en relación con el impacto de la urbanización en el riesgo de pobreza o exclusión social. En la mayoría de los Estados miembros occidentales, el riesgo de pobreza o exclusión social era más pronunciado en las ciudades. En total, nueve Estados miembros mostraron esta situación, con la brecha entre la tasa de ciudades y la siguiente clase de urbanización más alta en Austria (11,1 puntos porcentuales de diferencia), seguida de Bélgica (9,9 puntos). En Finlandia, el riesgo conjunto fue mayor en las ciudades y las zonas rurales. Por el contrario, el riesgo de pobreza o exclusión social se concentró especialmente entre las poblaciones rurales de Rumanía y Bulgaria, donde las tasas para la</w:t>
      </w:r>
      <w:r w:rsidR="00104FAC">
        <w:t>s zonas rurales eran 18,9 y 16,</w:t>
      </w:r>
      <w:r w:rsidRPr="007137E3">
        <w:t xml:space="preserve">5 puntos porcentuales respectivamente más alto que para las ciudades y los suburbios (que tenían el segundo mayor riesgo). El riesgo de pobreza o exclusión social de las personas que viven en ciudades y suburbios se sitúa a menudo entre los valores registrados para las zonas rurales y las ciudades. Sin embargo, en Chequia, Irlanda (datos de 2018), Chipre y Luxemburgo, las </w:t>
      </w:r>
      <w:r w:rsidRPr="007137E3">
        <w:lastRenderedPageBreak/>
        <w:t>personas que viven en ciudades y suburbios enfrentan un mayor riesgo de pobreza o exclusión social que las personas en cualquiera de los otros grados de urbanización.</w:t>
      </w:r>
    </w:p>
    <w:p w:rsidR="00B759A7" w:rsidRPr="007137E3" w:rsidRDefault="00B759A7" w:rsidP="00B759A7">
      <w:pPr>
        <w:pStyle w:val="NormalWeb"/>
        <w:shd w:val="clear" w:color="auto" w:fill="FFFFFF"/>
        <w:spacing w:before="0" w:beforeAutospacing="0" w:after="105" w:afterAutospacing="0"/>
        <w:jc w:val="both"/>
      </w:pPr>
      <w:r w:rsidRPr="007137E3">
        <w:t>En 2019, los mayores riesgos de pobreza o exclusión social en las ciudades se registraron en Italia (29,1%; datos de 2018), Bélgica (28,5%) y Grecia (27,3%), mientras que las tasas más bajas se registraron en Chequia (11,8%) y Eslovaquia. (10,9%). El riesgo de pobreza o exclusión social para las personas que viven en ciudades y suburbios osciló entre el 28,7% y el 29,1% en Grecia, Bulgaria y Chipre y el 12,8% en los Países Bajos. Por el contrario, el rango en el riesgo de pobreza o exclusión social fue mucho mayor para las poblaciones rurales. En Bulgaria y Rumanía, más de dos quintas partes de la población rural se enfrentaba a estos riesgos, el 47,9% en la primera y el 44,3% en la segunda, mientras que alrededor de un tercio de la población rural de Grecia (34,4%) también se enfrentaba al riesgo de pobreza o pobreza. exclusión social en 2019.</w:t>
      </w:r>
    </w:p>
    <w:p w:rsidR="00B759A7" w:rsidRPr="007137E3" w:rsidRDefault="00B759A7" w:rsidP="00B759A7">
      <w:pPr>
        <w:pStyle w:val="NormalWeb"/>
        <w:shd w:val="clear" w:color="auto" w:fill="FFFFFF"/>
        <w:spacing w:before="0" w:beforeAutospacing="0" w:after="105" w:afterAutospacing="0"/>
        <w:jc w:val="both"/>
      </w:pPr>
      <w:r w:rsidRPr="007137E3">
        <w:rPr>
          <w:b/>
          <w:bCs/>
        </w:rPr>
        <w:t>Indicadores componentes que contribuyen al análisis del riesgo de pobreza o exclusión social</w:t>
      </w:r>
    </w:p>
    <w:p w:rsidR="00B759A7" w:rsidRPr="007137E3" w:rsidRDefault="00B759A7" w:rsidP="00B759A7">
      <w:pPr>
        <w:pStyle w:val="NormalWeb"/>
        <w:shd w:val="clear" w:color="auto" w:fill="FFFFFF"/>
        <w:spacing w:before="0" w:beforeAutospacing="0" w:after="105" w:afterAutospacing="0"/>
        <w:jc w:val="both"/>
      </w:pPr>
      <w:r w:rsidRPr="007137E3">
        <w:rPr>
          <w:b/>
          <w:bCs/>
        </w:rPr>
        <w:t>La figura 5</w:t>
      </w:r>
      <w:r w:rsidRPr="007137E3">
        <w:t> proporciona un análisis para la población de la UE-27 de los diversos riesgos de pobreza o exclusión social. Entre los 92,4 millones de habitantes de la UE-27 que se enfrentaron al riesgo de pobreza o exclusión social en 2019, unos 5,2 millones vivían en hogares que experimentaban simultáneamente los tres riesgos de pobreza y exclusión social. Había 11,4 millones de personas en la UE-27 que vivían tanto en riesgo de pobreza como en hogares con una intensidad de trabajo muy baja (pero sin privaciones materiales graves); 8,1 millones estaban en riesgo de pobreza y, al mismo tiempo, sufrían privaciones materiales graves (pero no en un hogar con una intensidad laboral muy baja); 1,3 millones vivían en hogares con una intensidad laboral muy baja mientras experimentaban privaciones materiales graves (pero no estaban en riesgo de pobreza).</w:t>
      </w:r>
    </w:p>
    <w:p w:rsidR="00E0535C" w:rsidRPr="007137E3" w:rsidRDefault="00E0535C" w:rsidP="00B759A7">
      <w:pPr>
        <w:pStyle w:val="NormalWeb"/>
        <w:shd w:val="clear" w:color="auto" w:fill="FFFFFF"/>
        <w:spacing w:before="0" w:beforeAutospacing="0" w:after="105" w:afterAutospacing="0"/>
        <w:jc w:val="both"/>
      </w:pPr>
      <w:r w:rsidRPr="007137E3">
        <w:rPr>
          <w:noProof/>
        </w:rPr>
        <w:drawing>
          <wp:inline distT="0" distB="0" distL="0" distR="0" wp14:anchorId="0F7D6879" wp14:editId="591D9663">
            <wp:extent cx="5730916" cy="3695700"/>
            <wp:effectExtent l="0" t="0" r="317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3696083"/>
                    </a:xfrm>
                    <a:prstGeom prst="rect">
                      <a:avLst/>
                    </a:prstGeom>
                  </pic:spPr>
                </pic:pic>
              </a:graphicData>
            </a:graphic>
          </wp:inline>
        </w:drawing>
      </w:r>
    </w:p>
    <w:p w:rsidR="00E0535C"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5: Número de personas en riesgo de pobreza o exclusión social, analizadas por tipo de riesgo, EU-27, 2019</w:t>
      </w:r>
      <w:r w:rsidR="00E0535C" w:rsidRPr="007137E3">
        <w:rPr>
          <w:rFonts w:ascii="Times New Roman" w:hAnsi="Times New Roman" w:cs="Times New Roman"/>
          <w:sz w:val="24"/>
          <w:szCs w:val="24"/>
        </w:rPr>
        <w:t xml:space="preserve"> </w:t>
      </w:r>
      <w:r w:rsidRPr="007137E3">
        <w:rPr>
          <w:rFonts w:ascii="Times New Roman" w:hAnsi="Times New Roman" w:cs="Times New Roman"/>
          <w:sz w:val="24"/>
          <w:szCs w:val="24"/>
        </w:rPr>
        <w:t>(millones)</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lastRenderedPageBreak/>
        <w:t>Fuente:</w:t>
      </w:r>
      <w:r w:rsidRPr="007137E3">
        <w:rPr>
          <w:rFonts w:ascii="Times New Roman" w:hAnsi="Times New Roman" w:cs="Times New Roman"/>
          <w:sz w:val="24"/>
          <w:szCs w:val="24"/>
        </w:rPr>
        <w:t> Eurostat </w:t>
      </w:r>
      <w:hyperlink r:id="rId219" w:tgtFrame="_blank" w:history="1">
        <w:r w:rsidRPr="007137E3">
          <w:rPr>
            <w:rStyle w:val="Hipervnculo"/>
            <w:rFonts w:ascii="Times New Roman" w:hAnsi="Times New Roman" w:cs="Times New Roman"/>
            <w:color w:val="auto"/>
            <w:sz w:val="24"/>
            <w:szCs w:val="24"/>
            <w:u w:val="none"/>
          </w:rPr>
          <w:t>(ilc_pees01)</w:t>
        </w:r>
      </w:hyperlink>
    </w:p>
    <w:p w:rsidR="00B759A7" w:rsidRPr="007137E3" w:rsidRDefault="00B759A7" w:rsidP="00B759A7">
      <w:pPr>
        <w:pStyle w:val="NormalWeb"/>
        <w:shd w:val="clear" w:color="auto" w:fill="FFFFFF"/>
        <w:spacing w:before="0" w:beforeAutospacing="0" w:after="105" w:afterAutospacing="0"/>
        <w:jc w:val="both"/>
      </w:pPr>
      <w:r w:rsidRPr="007137E3">
        <w:t>Sin embargo, la mayoría de la población de la EU-27 que vive en riesgo de pobreza o exclusión social experimentó solo uno de los tres criterios individuales: había 47,5 millones de personas que estaban exclusivamente en riesgo de pobreza, 9,7 millones que enfrentaban privaciones materiales graves y 9,0 millones que vivían en hogares con muy baja intensidad laboral.</w:t>
      </w:r>
    </w:p>
    <w:p w:rsidR="00B759A7" w:rsidRPr="007137E3" w:rsidRDefault="00B759A7" w:rsidP="00B759A7">
      <w:pPr>
        <w:pStyle w:val="NormalWeb"/>
        <w:shd w:val="clear" w:color="auto" w:fill="FFFFFF"/>
        <w:spacing w:before="0" w:beforeAutospacing="0" w:after="105" w:afterAutospacing="0"/>
        <w:jc w:val="both"/>
      </w:pPr>
      <w:r w:rsidRPr="007137E3">
        <w:t>La información que se muestra en la </w:t>
      </w:r>
      <w:r w:rsidRPr="007137E3">
        <w:rPr>
          <w:b/>
          <w:bCs/>
        </w:rPr>
        <w:t>Figura 6</w:t>
      </w:r>
      <w:r w:rsidRPr="007137E3">
        <w:t> confirma que la pobreza monetaria, es decir, las personas en riesgo de pobreza, fue la forma más extendida de pobreza y exclusión social, con un 16,5% de la población de la UE-27 en riesgo de pobreza en 2019 (a en un grado relativamente pequeño combinado con uno o ambos de los otros dos riesgos). Aproximadamente el 8,5% de la población de la UE-27 vivía en hogares con una intensidad laboral muy baja en 2019 (ya sea como un riesgo único o combinado con uno de los otros riesgos), mientras que el 5,6% de la población de la UE-27 se enfrentaba a privaciones materiales graves (ya sea como un solo riesgo o combinado con uno de los otros riesgos).</w:t>
      </w:r>
    </w:p>
    <w:p w:rsidR="00E0535C" w:rsidRPr="007137E3" w:rsidRDefault="00E0535C" w:rsidP="00B759A7">
      <w:pPr>
        <w:pStyle w:val="NormalWeb"/>
        <w:shd w:val="clear" w:color="auto" w:fill="FFFFFF"/>
        <w:spacing w:before="0" w:beforeAutospacing="0" w:after="105" w:afterAutospacing="0"/>
        <w:jc w:val="both"/>
      </w:pPr>
      <w:r w:rsidRPr="007137E3">
        <w:rPr>
          <w:noProof/>
        </w:rPr>
        <w:drawing>
          <wp:inline distT="0" distB="0" distL="0" distR="0" wp14:anchorId="2EB000C6" wp14:editId="311A7D74">
            <wp:extent cx="5731510" cy="3865095"/>
            <wp:effectExtent l="0" t="0" r="2540" b="254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3865095"/>
                    </a:xfrm>
                    <a:prstGeom prst="rect">
                      <a:avLst/>
                    </a:prstGeom>
                  </pic:spPr>
                </pic:pic>
              </a:graphicData>
            </a:graphic>
          </wp:inline>
        </w:drawing>
      </w:r>
    </w:p>
    <w:p w:rsidR="00E0535C"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6: Proporción de personas en riesgo de pobreza o exclusión social, analizada por tipo de riesgo, EU-27, 2010-2019</w:t>
      </w:r>
      <w:r w:rsidR="00E0535C" w:rsidRPr="007137E3">
        <w:rPr>
          <w:rFonts w:ascii="Times New Roman" w:hAnsi="Times New Roman" w:cs="Times New Roman"/>
          <w:sz w:val="24"/>
          <w:szCs w:val="24"/>
        </w:rPr>
        <w:t xml:space="preserve"> </w:t>
      </w:r>
      <w:r w:rsidRPr="007137E3">
        <w:rPr>
          <w:rFonts w:ascii="Times New Roman" w:hAnsi="Times New Roman" w:cs="Times New Roman"/>
          <w:sz w:val="24"/>
          <w:szCs w:val="24"/>
        </w:rPr>
        <w:t>(%)</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21" w:tgtFrame="_blank" w:history="1">
        <w:r w:rsidRPr="007137E3">
          <w:rPr>
            <w:rStyle w:val="Hipervnculo"/>
            <w:rFonts w:ascii="Times New Roman" w:hAnsi="Times New Roman" w:cs="Times New Roman"/>
            <w:color w:val="auto"/>
            <w:sz w:val="24"/>
            <w:szCs w:val="24"/>
            <w:u w:val="none"/>
          </w:rPr>
          <w:t>(ilc_li02)</w:t>
        </w:r>
      </w:hyperlink>
      <w:r w:rsidRPr="007137E3">
        <w:rPr>
          <w:rFonts w:ascii="Times New Roman" w:hAnsi="Times New Roman" w:cs="Times New Roman"/>
          <w:sz w:val="24"/>
          <w:szCs w:val="24"/>
        </w:rPr>
        <w:t> , </w:t>
      </w:r>
      <w:hyperlink r:id="rId222" w:tgtFrame="_blank" w:history="1">
        <w:r w:rsidRPr="007137E3">
          <w:rPr>
            <w:rStyle w:val="Hipervnculo"/>
            <w:rFonts w:ascii="Times New Roman" w:hAnsi="Times New Roman" w:cs="Times New Roman"/>
            <w:color w:val="auto"/>
            <w:sz w:val="24"/>
            <w:szCs w:val="24"/>
            <w:u w:val="none"/>
          </w:rPr>
          <w:t>(ilc_lvhl11)</w:t>
        </w:r>
      </w:hyperlink>
      <w:r w:rsidRPr="007137E3">
        <w:rPr>
          <w:rFonts w:ascii="Times New Roman" w:hAnsi="Times New Roman" w:cs="Times New Roman"/>
          <w:sz w:val="24"/>
          <w:szCs w:val="24"/>
        </w:rPr>
        <w:t> e </w:t>
      </w:r>
      <w:hyperlink r:id="rId223" w:tgtFrame="_blank" w:history="1">
        <w:r w:rsidRPr="007137E3">
          <w:rPr>
            <w:rStyle w:val="Hipervnculo"/>
            <w:rFonts w:ascii="Times New Roman" w:hAnsi="Times New Roman" w:cs="Times New Roman"/>
            <w:color w:val="auto"/>
            <w:sz w:val="24"/>
            <w:szCs w:val="24"/>
            <w:u w:val="none"/>
          </w:rPr>
          <w:t>(ilc_mddd11)</w:t>
        </w:r>
      </w:hyperlink>
    </w:p>
    <w:p w:rsidR="00B759A7" w:rsidRPr="007137E3" w:rsidRDefault="00B759A7" w:rsidP="00B759A7">
      <w:pPr>
        <w:pStyle w:val="NormalWeb"/>
        <w:shd w:val="clear" w:color="auto" w:fill="FFFFFF"/>
        <w:spacing w:before="0" w:beforeAutospacing="0" w:after="105" w:afterAutospacing="0"/>
        <w:jc w:val="both"/>
      </w:pPr>
      <w:r w:rsidRPr="007137E3">
        <w:rPr>
          <w:b/>
          <w:bCs/>
        </w:rPr>
        <w:t>Pobreza monetaria</w:t>
      </w:r>
    </w:p>
    <w:p w:rsidR="00B759A7" w:rsidRPr="007137E3" w:rsidRDefault="00B759A7" w:rsidP="00B759A7">
      <w:pPr>
        <w:pStyle w:val="NormalWeb"/>
        <w:shd w:val="clear" w:color="auto" w:fill="FFFFFF"/>
        <w:spacing w:before="0" w:beforeAutospacing="0" w:after="105" w:afterAutospacing="0"/>
        <w:jc w:val="both"/>
      </w:pPr>
      <w:r w:rsidRPr="007137E3">
        <w:t xml:space="preserve">La tasa de riesgo de pobreza proporciona información sobre la dimensión monetaria de la pobreza y la exclusión social. Muestra la proporción de la población que tiene un nivel de ingresos por debajo del umbral nacional de riesgo de pobreza. Tenga en cuenta que no existen umbrales para los agregados europeos (EU-27 o EA-19) ya que los umbrales solo se aplican a </w:t>
      </w:r>
      <w:r w:rsidRPr="007137E3">
        <w:lastRenderedPageBreak/>
        <w:t>nivel nacional. Las tasas de riesgo de pobreza para los agregados europeos son promedios ponderados por población de las tasas nacionales relevantes.</w:t>
      </w:r>
    </w:p>
    <w:p w:rsidR="00B759A7" w:rsidRPr="007137E3" w:rsidRDefault="00B759A7" w:rsidP="00B759A7">
      <w:pPr>
        <w:pStyle w:val="NormalWeb"/>
        <w:shd w:val="clear" w:color="auto" w:fill="FFFFFF"/>
        <w:spacing w:before="0" w:beforeAutospacing="0" w:after="105" w:afterAutospacing="0"/>
        <w:jc w:val="both"/>
      </w:pPr>
      <w:r w:rsidRPr="007137E3">
        <w:t>En 2019, una quinta parte o más de la población total estaba en riesgo de pobreza en Rumania (23,8%), Letonia (22,9%), Bulgaria (22,6%), Estonia (21,7%), España (20,7%), Lituania (20,6%) %) e Italia (20,3%; datos de 2018), mientras que en el otro extremo de la escala alrededor de una décima parte de la población estaba en riesgo de pobreza en Chequia (10,1%) - ver </w:t>
      </w:r>
      <w:r w:rsidRPr="007137E3">
        <w:rPr>
          <w:b/>
          <w:bCs/>
        </w:rPr>
        <w:t>Figura 7</w:t>
      </w:r>
      <w:r w:rsidRPr="007137E3">
        <w:t>.</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drawing>
          <wp:inline distT="0" distB="0" distL="0" distR="0" wp14:anchorId="666BBA71" wp14:editId="4DDC5BDD">
            <wp:extent cx="5746750" cy="3346450"/>
            <wp:effectExtent l="0" t="0" r="6350" b="6350"/>
            <wp:docPr id="65" name="Imagen 65" descr="https://ec.europa.eu/eurostat/statistics-explained/images/thumb/7/74/At-risk-of-poverty_rate_and_at-risk-of-poverty_threshold%2C_2019_LCIE20.png/500px-At-risk-of-poverty_rate_and_at-risk-of-poverty_threshold%2C_2019_LCIE20.png">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ec.europa.eu/eurostat/statistics-explained/images/thumb/7/74/At-risk-of-poverty_rate_and_at-risk-of-poverty_threshold%2C_2019_LCIE20.png/500px-At-risk-of-poverty_rate_and_at-risk-of-poverty_threshold%2C_2019_LCIE20.png">
                      <a:hlinkClick r:id="rId224"/>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46750" cy="3346450"/>
                    </a:xfrm>
                    <a:prstGeom prst="rect">
                      <a:avLst/>
                    </a:prstGeom>
                    <a:noFill/>
                    <a:ln>
                      <a:noFill/>
                    </a:ln>
                  </pic:spPr>
                </pic:pic>
              </a:graphicData>
            </a:graphic>
          </wp:inline>
        </w:drawing>
      </w:r>
    </w:p>
    <w:p w:rsidR="004D3B88"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7: Tasa de riesgo de pobreza y umbral de riesgo de pobreza, 2019</w:t>
      </w:r>
    </w:p>
    <w:p w:rsidR="00B759A7" w:rsidRPr="007137E3" w:rsidRDefault="00B759A7" w:rsidP="00B759A7">
      <w:pPr>
        <w:shd w:val="clear" w:color="auto" w:fill="FFFFFF"/>
        <w:spacing w:line="240" w:lineRule="auto"/>
        <w:jc w:val="both"/>
        <w:rPr>
          <w:rStyle w:val="Hipervnculo"/>
          <w:rFonts w:ascii="Times New Roman" w:hAnsi="Times New Roman" w:cs="Times New Roman"/>
          <w:color w:val="auto"/>
          <w:sz w:val="24"/>
          <w:szCs w:val="24"/>
          <w:u w:val="none"/>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26" w:tgtFrame="_blank" w:history="1">
        <w:r w:rsidRPr="007137E3">
          <w:rPr>
            <w:rStyle w:val="Hipervnculo"/>
            <w:rFonts w:ascii="Times New Roman" w:hAnsi="Times New Roman" w:cs="Times New Roman"/>
            <w:color w:val="auto"/>
            <w:sz w:val="24"/>
            <w:szCs w:val="24"/>
            <w:u w:val="none"/>
          </w:rPr>
          <w:t>(ilc_li02)</w:t>
        </w:r>
      </w:hyperlink>
      <w:r w:rsidRPr="007137E3">
        <w:rPr>
          <w:rFonts w:ascii="Times New Roman" w:hAnsi="Times New Roman" w:cs="Times New Roman"/>
          <w:sz w:val="24"/>
          <w:szCs w:val="24"/>
        </w:rPr>
        <w:t> y </w:t>
      </w:r>
      <w:hyperlink r:id="rId227" w:tgtFrame="_blank" w:history="1">
        <w:r w:rsidRPr="007137E3">
          <w:rPr>
            <w:rStyle w:val="Hipervnculo"/>
            <w:rFonts w:ascii="Times New Roman" w:hAnsi="Times New Roman" w:cs="Times New Roman"/>
            <w:color w:val="auto"/>
            <w:sz w:val="24"/>
            <w:szCs w:val="24"/>
            <w:u w:val="none"/>
          </w:rPr>
          <w:t>(ilc_li01)</w:t>
        </w:r>
      </w:hyperlink>
    </w:p>
    <w:p w:rsidR="00987770" w:rsidRPr="007137E3" w:rsidRDefault="00987770"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Los umbrales de riesgo de pobreza pueden, en teoría, establecerse en cualquier nivel arbitrario. Dentro de la UE, el umbral establecido en el 60% de la renta mediana equivalente es el más utilizado. Tenga en cuenta que dichos umbrales no miden directamente la riqueza o la pobreza. Más bien, proporcionan información sobre los niveles relativos de ingresos por debajo de los cuales se considera que una persona tiene ingresos bajos. En los Estados miembros de la UE con altos niveles de vida, una persona que tenga ingresos por debajo del umbral no implica necesariamente un nivel de vida o una calidad de vida muy bajos en términos absolutos. Los umbrales de pobreza generalmente se expresan en términos de estándares de poder adquisitivo (PPS)</w:t>
      </w:r>
      <w:r w:rsidR="00104FAC">
        <w:rPr>
          <w:rFonts w:ascii="Times New Roman" w:hAnsi="Times New Roman" w:cs="Times New Roman"/>
          <w:sz w:val="24"/>
          <w:szCs w:val="24"/>
        </w:rPr>
        <w:t xml:space="preserve"> </w:t>
      </w:r>
      <w:r w:rsidRPr="007137E3">
        <w:rPr>
          <w:rFonts w:ascii="Times New Roman" w:hAnsi="Times New Roman" w:cs="Times New Roman"/>
          <w:sz w:val="24"/>
          <w:szCs w:val="24"/>
        </w:rPr>
        <w:t>para facilitar la interpretación de las comparaciones entre países; los datos expresados en EPA (en lugar de euros, por ejemplo) se han ajustado para las diferencias nacionales en los niveles de precios ya que, en teoría, un SPP puede comprar la misma cantidad de bienes y servicios en cada Estado miembro.</w:t>
      </w:r>
    </w:p>
    <w:p w:rsidR="00B759A7" w:rsidRPr="007137E3" w:rsidRDefault="00B759A7" w:rsidP="00B759A7">
      <w:pPr>
        <w:pStyle w:val="NormalWeb"/>
        <w:shd w:val="clear" w:color="auto" w:fill="FFFFFF"/>
        <w:spacing w:before="0" w:beforeAutospacing="0" w:after="105" w:afterAutospacing="0"/>
        <w:jc w:val="both"/>
      </w:pPr>
      <w:r w:rsidRPr="007137E3">
        <w:t>En 2019, los umbrales de ingresos nacionales en riesgo de pobreza (basados ​​en el 60% de la renta media nacional equivalente) para una sola persona oscilaron entre un máximo de 17</w:t>
      </w:r>
      <w:r w:rsidR="00104FAC">
        <w:t>.</w:t>
      </w:r>
      <w:r w:rsidRPr="007137E3">
        <w:t>366 EPA en Luxemburgo hasta 5</w:t>
      </w:r>
      <w:r w:rsidR="00104FAC">
        <w:t>.</w:t>
      </w:r>
      <w:r w:rsidRPr="007137E3">
        <w:t>022 EPA en Bu</w:t>
      </w:r>
      <w:r w:rsidR="00987770" w:rsidRPr="007137E3">
        <w:t xml:space="preserve">lgaria y 4.403 EPA en Rumanía. </w:t>
      </w:r>
      <w:r w:rsidRPr="007137E3">
        <w:t xml:space="preserve">Los umbrales de pobreza en Suiza y Noruega también fueron </w:t>
      </w:r>
      <w:r w:rsidR="00104FAC">
        <w:t>particularmente altos en PPS 16.240 (datos de 2018) y PPS 16.</w:t>
      </w:r>
      <w:r w:rsidRPr="007137E3">
        <w:t>023.</w:t>
      </w:r>
    </w:p>
    <w:p w:rsidR="00B759A7" w:rsidRPr="007137E3" w:rsidRDefault="00B759A7" w:rsidP="00B759A7">
      <w:pPr>
        <w:pStyle w:val="NormalWeb"/>
        <w:shd w:val="clear" w:color="auto" w:fill="FFFFFF"/>
        <w:spacing w:before="0" w:beforeAutospacing="0" w:after="105" w:afterAutospacing="0"/>
        <w:jc w:val="both"/>
      </w:pPr>
      <w:r w:rsidRPr="007137E3">
        <w:lastRenderedPageBreak/>
        <w:t>Entre la población adulta, las personas mayores, definidas aquí como las personas de 65 años o más, tenían menos probabilidades de estar expuestas al riesgo de pobreza. La tasa de riesgo de pobreza entre las personas mayores en la UE-27 fue del 16,0% en 2019, en comparación con una media del 16,5% para toda la población. Los grupos de edad 50-64 años y 25-49 años mostraron una exposición aún menor al riesgo de pobreza con tasas de 15,6% y 14,9% respectivamente. Se observaron tasas de riesgo de pobreza más altas para dos grupos de edad más jóvenes: 18,7% para personas menores de 18 años y 22,5% para adultos jóvenes, definidos aquí como personas de 18 a 24 años (ver </w:t>
      </w:r>
      <w:r w:rsidRPr="007137E3">
        <w:rPr>
          <w:b/>
          <w:bCs/>
        </w:rPr>
        <w:t>Tabla 2</w:t>
      </w:r>
      <w:r w:rsidRPr="007137E3">
        <w:t> ).</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drawing>
          <wp:inline distT="0" distB="0" distL="0" distR="0" wp14:anchorId="5AC1D894" wp14:editId="599E9BA0">
            <wp:extent cx="5695950" cy="3873500"/>
            <wp:effectExtent l="0" t="0" r="0" b="0"/>
            <wp:docPr id="64" name="Imagen 64" descr="https://ec.europa.eu/eurostat/statistics-explained/images/thumb/6/6a/At-risk-of-poverty_rate_by_age_group%2C_2019_%28%25%29_LCIE20.png/500px-At-risk-of-poverty_rate_by_age_group%2C_2019_%28%25%29_LCIE20.png">
              <a:hlinkClick xmlns:a="http://schemas.openxmlformats.org/drawingml/2006/main" r:id="rId2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ec.europa.eu/eurostat/statistics-explained/images/thumb/6/6a/At-risk-of-poverty_rate_by_age_group%2C_2019_%28%25%29_LCIE20.png/500px-At-risk-of-poverty_rate_by_age_group%2C_2019_%28%25%29_LCIE20.png">
                      <a:hlinkClick r:id="rId228"/>
                    </pic:cNvPr>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695950" cy="3873500"/>
                    </a:xfrm>
                    <a:prstGeom prst="rect">
                      <a:avLst/>
                    </a:prstGeom>
                    <a:noFill/>
                    <a:ln>
                      <a:noFill/>
                    </a:ln>
                  </pic:spPr>
                </pic:pic>
              </a:graphicData>
            </a:graphic>
          </wp:inline>
        </w:drawing>
      </w:r>
    </w:p>
    <w:p w:rsidR="004D3B88"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Tabla 2: Tasa de riesgo de pobreza por grupo de edad, 2019</w:t>
      </w:r>
      <w:r w:rsidR="004D3B88" w:rsidRPr="007137E3">
        <w:rPr>
          <w:rFonts w:ascii="Times New Roman" w:hAnsi="Times New Roman" w:cs="Times New Roman"/>
          <w:sz w:val="24"/>
          <w:szCs w:val="24"/>
        </w:rPr>
        <w:t xml:space="preserve"> </w:t>
      </w:r>
      <w:r w:rsidRPr="007137E3">
        <w:rPr>
          <w:rFonts w:ascii="Times New Roman" w:hAnsi="Times New Roman" w:cs="Times New Roman"/>
          <w:sz w:val="24"/>
          <w:szCs w:val="24"/>
        </w:rPr>
        <w:t>(%)</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30" w:tgtFrame="_blank" w:history="1">
        <w:r w:rsidRPr="007137E3">
          <w:rPr>
            <w:rStyle w:val="Hipervnculo"/>
            <w:rFonts w:ascii="Times New Roman" w:hAnsi="Times New Roman" w:cs="Times New Roman"/>
            <w:color w:val="auto"/>
            <w:sz w:val="24"/>
            <w:szCs w:val="24"/>
            <w:u w:val="none"/>
          </w:rPr>
          <w:t>(ilc_li02)</w:t>
        </w:r>
      </w:hyperlink>
    </w:p>
    <w:p w:rsidR="00B759A7" w:rsidRPr="007137E3" w:rsidRDefault="00B759A7" w:rsidP="00B759A7">
      <w:pPr>
        <w:pStyle w:val="NormalWeb"/>
        <w:shd w:val="clear" w:color="auto" w:fill="FFFFFF"/>
        <w:spacing w:before="0" w:beforeAutospacing="0" w:after="105" w:afterAutospacing="0"/>
        <w:jc w:val="both"/>
      </w:pPr>
      <w:r w:rsidRPr="007137E3">
        <w:rPr>
          <w:b/>
          <w:bCs/>
        </w:rPr>
        <w:t>La tasa de riesgo de pobreza antes y después de deducir los costos de vivienda</w:t>
      </w:r>
    </w:p>
    <w:p w:rsidR="00B759A7" w:rsidRPr="007137E3" w:rsidRDefault="00B759A7" w:rsidP="00B759A7">
      <w:pPr>
        <w:pStyle w:val="NormalWeb"/>
        <w:shd w:val="clear" w:color="auto" w:fill="FFFFFF"/>
        <w:spacing w:before="0" w:beforeAutospacing="0" w:after="105" w:afterAutospacing="0"/>
        <w:jc w:val="both"/>
      </w:pPr>
      <w:r w:rsidRPr="007137E3">
        <w:t>Los costos de vivienda comprenden los costos asociados con la vida en algún lugar (por ejemplo, pagos de alquiler, pagos de intereses hipotecarios o el costo de reparaciones), costos de servicios públicos que resultan del uso de una </w:t>
      </w:r>
      <w:hyperlink r:id="rId231" w:history="1">
        <w:r w:rsidRPr="007137E3">
          <w:rPr>
            <w:rStyle w:val="Hipervnculo"/>
            <w:color w:val="auto"/>
            <w:u w:val="none"/>
          </w:rPr>
          <w:t>vivienda</w:t>
        </w:r>
      </w:hyperlink>
      <w:r w:rsidRPr="007137E3">
        <w:t> (como cargos por agua o electricidad) y otros impuestos locales / cargos.</w:t>
      </w:r>
    </w:p>
    <w:p w:rsidR="00B759A7" w:rsidRPr="007137E3" w:rsidRDefault="00B759A7" w:rsidP="00B759A7">
      <w:pPr>
        <w:pStyle w:val="NormalWeb"/>
        <w:shd w:val="clear" w:color="auto" w:fill="FFFFFF"/>
        <w:spacing w:before="0" w:beforeAutospacing="0" w:after="105" w:afterAutospacing="0"/>
        <w:jc w:val="both"/>
      </w:pPr>
      <w:r w:rsidRPr="007137E3">
        <w:t>Los costos de la vivienda a menudo representan una proporción considerable de los ingresos disponibles de un hogar y el aumento de los costos de la vivienda a menudo se cita como uno de los factores clave que agobian a los hogares con bajos ingresos.</w:t>
      </w:r>
    </w:p>
    <w:p w:rsidR="00B759A7" w:rsidRPr="007137E3" w:rsidRDefault="00B759A7" w:rsidP="00B759A7">
      <w:pPr>
        <w:pStyle w:val="NormalWeb"/>
        <w:shd w:val="clear" w:color="auto" w:fill="FFFFFF"/>
        <w:spacing w:before="0" w:beforeAutospacing="0" w:after="105" w:afterAutospacing="0"/>
        <w:jc w:val="both"/>
      </w:pPr>
      <w:r w:rsidRPr="007137E3">
        <w:t>En la </w:t>
      </w:r>
      <w:r w:rsidRPr="007137E3">
        <w:rPr>
          <w:b/>
          <w:bCs/>
        </w:rPr>
        <w:t>Figura 8</w:t>
      </w:r>
      <w:r w:rsidRPr="007137E3">
        <w:t> se muestra una comparación de la tasa de riesgo de pobreza antes y después de</w:t>
      </w:r>
      <w:r w:rsidR="004D3B88" w:rsidRPr="007137E3">
        <w:t xml:space="preserve"> deducir los costos de vivienda</w:t>
      </w:r>
      <w:r w:rsidRPr="007137E3">
        <w:t>. Revela que la proporción de la población de la EU-27 que estaba en riesgo de pobreza en 2019 era del 16,5% antes de deducir los costos de vivienda, pero del 30,4% después de deducir los costos de vivienda. Como tal, la proporción de la población de la EU-27 que estaba en riesgo de pobreza era casi el doble después de tener en cuenta los costos de vivienda.</w:t>
      </w:r>
    </w:p>
    <w:p w:rsidR="004D3B88" w:rsidRPr="007137E3" w:rsidRDefault="004D3B88" w:rsidP="00B759A7">
      <w:pPr>
        <w:pStyle w:val="NormalWeb"/>
        <w:shd w:val="clear" w:color="auto" w:fill="FFFFFF"/>
        <w:spacing w:before="0" w:beforeAutospacing="0" w:after="105" w:afterAutospacing="0"/>
        <w:jc w:val="both"/>
      </w:pPr>
      <w:r w:rsidRPr="007137E3">
        <w:rPr>
          <w:noProof/>
        </w:rPr>
        <w:lastRenderedPageBreak/>
        <w:drawing>
          <wp:inline distT="0" distB="0" distL="0" distR="0" wp14:anchorId="111EC08E" wp14:editId="63CDB644">
            <wp:extent cx="5731510" cy="4005321"/>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731510" cy="4005321"/>
                    </a:xfrm>
                    <a:prstGeom prst="rect">
                      <a:avLst/>
                    </a:prstGeom>
                  </pic:spPr>
                </pic:pic>
              </a:graphicData>
            </a:graphic>
          </wp:inline>
        </w:drawing>
      </w:r>
    </w:p>
    <w:p w:rsidR="004D3B88"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8: Tasa de riesgo de pobreza antes y después de deducir los gastos de vivienda, 2019</w:t>
      </w:r>
      <w:r w:rsidR="004D3B88" w:rsidRPr="007137E3">
        <w:rPr>
          <w:rFonts w:ascii="Times New Roman" w:hAnsi="Times New Roman" w:cs="Times New Roman"/>
          <w:sz w:val="24"/>
          <w:szCs w:val="24"/>
        </w:rPr>
        <w:t xml:space="preserve"> </w:t>
      </w:r>
      <w:r w:rsidRPr="007137E3">
        <w:rPr>
          <w:rFonts w:ascii="Times New Roman" w:hAnsi="Times New Roman" w:cs="Times New Roman"/>
          <w:sz w:val="24"/>
          <w:szCs w:val="24"/>
        </w:rPr>
        <w:t>(%)</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33" w:tgtFrame="_blank" w:history="1">
        <w:r w:rsidRPr="007137E3">
          <w:rPr>
            <w:rStyle w:val="Hipervnculo"/>
            <w:rFonts w:ascii="Times New Roman" w:hAnsi="Times New Roman" w:cs="Times New Roman"/>
            <w:color w:val="auto"/>
            <w:sz w:val="24"/>
            <w:szCs w:val="24"/>
            <w:u w:val="none"/>
          </w:rPr>
          <w:t>(ilc_li02)</w:t>
        </w:r>
      </w:hyperlink>
      <w:r w:rsidRPr="007137E3">
        <w:rPr>
          <w:rFonts w:ascii="Times New Roman" w:hAnsi="Times New Roman" w:cs="Times New Roman"/>
          <w:sz w:val="24"/>
          <w:szCs w:val="24"/>
        </w:rPr>
        <w:t> y </w:t>
      </w:r>
      <w:hyperlink r:id="rId234" w:tgtFrame="_blank" w:history="1">
        <w:r w:rsidRPr="007137E3">
          <w:rPr>
            <w:rStyle w:val="Hipervnculo"/>
            <w:rFonts w:ascii="Times New Roman" w:hAnsi="Times New Roman" w:cs="Times New Roman"/>
            <w:color w:val="auto"/>
            <w:sz w:val="24"/>
            <w:szCs w:val="24"/>
            <w:u w:val="none"/>
          </w:rPr>
          <w:t>(ilc_li48)</w:t>
        </w:r>
      </w:hyperlink>
    </w:p>
    <w:p w:rsidR="00B759A7" w:rsidRPr="007137E3" w:rsidRDefault="00B759A7" w:rsidP="00B759A7">
      <w:pPr>
        <w:pStyle w:val="NormalWeb"/>
        <w:shd w:val="clear" w:color="auto" w:fill="FFFFFF"/>
        <w:spacing w:before="0" w:beforeAutospacing="0" w:after="105" w:afterAutospacing="0"/>
        <w:jc w:val="both"/>
      </w:pPr>
      <w:r w:rsidRPr="007137E3">
        <w:t>El impacto de los costes de vivienda varía considerablemente entre los Estados miembros de la UE y dentro de ellos: por ejemplo, alguien que vive en el centro de París puede esperar gastar una proporción considerablemente mayor de sus ingresos en costes de vivienda que alguien que vive en Perpiñán, Rennes o Estrasburgo.</w:t>
      </w:r>
    </w:p>
    <w:p w:rsidR="00B759A7" w:rsidRPr="007137E3" w:rsidRDefault="00B759A7" w:rsidP="00B759A7">
      <w:pPr>
        <w:pStyle w:val="NormalWeb"/>
        <w:shd w:val="clear" w:color="auto" w:fill="FFFFFF"/>
        <w:spacing w:before="0" w:beforeAutospacing="0" w:after="105" w:afterAutospacing="0"/>
        <w:jc w:val="both"/>
      </w:pPr>
      <w:r w:rsidRPr="007137E3">
        <w:t>En los Estados miembros de la UE, el impacto relativo de la vivienda en la pobreza fue particularmente pronunciado en Dinamarca, Chequia, Grecia, Países Bajos, Finlandia, Alemania, Eslovaquia y Bélgica, donde la tasa de riesgo de pobreza en 2019 fue más del doble tan alto después de deducir los costos de vivienda que antes.</w:t>
      </w:r>
    </w:p>
    <w:p w:rsidR="00B759A7" w:rsidRPr="007137E3" w:rsidRDefault="00B759A7" w:rsidP="00B759A7">
      <w:pPr>
        <w:pStyle w:val="NormalWeb"/>
        <w:shd w:val="clear" w:color="auto" w:fill="FFFFFF"/>
        <w:spacing w:before="0" w:beforeAutospacing="0" w:after="105" w:afterAutospacing="0"/>
        <w:jc w:val="both"/>
      </w:pPr>
      <w:r w:rsidRPr="007137E3">
        <w:t>Por el contrario, el Báltico y muchos de los Estados miembros del este y sur de la UE se caracterizaron por que los costes de la vivienda tuvieran un impacto relativamente bajo sobre el riesgo de pobreza. Esto puede atribuirse, al menos en parte, a menores costos de alojamiento y servicios públicos, menores impuestos residenciales y un mayor porcentaje de propiedad de la vivienda (sin una hipoteca).</w:t>
      </w:r>
    </w:p>
    <w:p w:rsidR="00B759A7" w:rsidRPr="007137E3" w:rsidRDefault="00B759A7" w:rsidP="00B759A7">
      <w:pPr>
        <w:pStyle w:val="NormalWeb"/>
        <w:shd w:val="clear" w:color="auto" w:fill="FFFFFF"/>
        <w:spacing w:before="0" w:beforeAutospacing="0" w:after="105" w:afterAutospacing="0"/>
        <w:jc w:val="both"/>
      </w:pPr>
      <w:r w:rsidRPr="007137E3">
        <w:rPr>
          <w:b/>
          <w:bCs/>
        </w:rPr>
        <w:t>El impacto de las transferencias sociales en la pobreza monetaria</w:t>
      </w:r>
    </w:p>
    <w:p w:rsidR="00B759A7" w:rsidRPr="007137E3" w:rsidRDefault="00B759A7" w:rsidP="00B759A7">
      <w:pPr>
        <w:pStyle w:val="NormalWeb"/>
        <w:shd w:val="clear" w:color="auto" w:fill="FFFFFF"/>
        <w:spacing w:before="0" w:beforeAutospacing="0" w:after="105" w:afterAutospacing="0"/>
        <w:jc w:val="both"/>
      </w:pPr>
      <w:r w:rsidRPr="007137E3">
        <w:t>Las medidas de protección social, como las prestaciones sociales, son un medio importante para abordar la pobreza monetaria. Al comparar las tasas de riesgo de pobreza antes y después de las transferencias sociales, es posible hacer una evaluación de la efectividad de los sistemas de bienestar (ver </w:t>
      </w:r>
      <w:r w:rsidRPr="007137E3">
        <w:rPr>
          <w:b/>
          <w:bCs/>
        </w:rPr>
        <w:t>Figura 9</w:t>
      </w:r>
      <w:r w:rsidRPr="007137E3">
        <w:t>).</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lastRenderedPageBreak/>
        <w:drawing>
          <wp:inline distT="0" distB="0" distL="0" distR="0" wp14:anchorId="15A893C7" wp14:editId="7F39E44C">
            <wp:extent cx="5702300" cy="3429000"/>
            <wp:effectExtent l="0" t="0" r="0" b="0"/>
            <wp:docPr id="63" name="Imagen 63" descr="https://ec.europa.eu/eurostat/statistics-explained/images/thumb/8/85/At-risk-of-poverty_rate_before_and_after_social_transfers%2C_2019_%28%25%29_LCIE20.png/500px-At-risk-of-poverty_rate_before_and_after_social_transfers%2C_2019_%28%25%29_LCIE20.png">
              <a:hlinkClick xmlns:a="http://schemas.openxmlformats.org/drawingml/2006/main" r:id="rId2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ec.europa.eu/eurostat/statistics-explained/images/thumb/8/85/At-risk-of-poverty_rate_before_and_after_social_transfers%2C_2019_%28%25%29_LCIE20.png/500px-At-risk-of-poverty_rate_before_and_after_social_transfers%2C_2019_%28%25%29_LCIE20.png">
                      <a:hlinkClick r:id="rId235"/>
                    </pic:cNvPr>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02300" cy="3429000"/>
                    </a:xfrm>
                    <a:prstGeom prst="rect">
                      <a:avLst/>
                    </a:prstGeom>
                    <a:noFill/>
                    <a:ln>
                      <a:noFill/>
                    </a:ln>
                  </pic:spPr>
                </pic:pic>
              </a:graphicData>
            </a:graphic>
          </wp:inline>
        </w:drawing>
      </w:r>
    </w:p>
    <w:p w:rsidR="00987770"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Gráfico 9: Tasa de riesgo de pobreza antes y después de las transferencias sociales, 2019</w:t>
      </w:r>
      <w:r w:rsidRPr="007137E3">
        <w:rPr>
          <w:rFonts w:ascii="Times New Roman" w:hAnsi="Times New Roman" w:cs="Times New Roman"/>
          <w:sz w:val="24"/>
          <w:szCs w:val="24"/>
        </w:rPr>
        <w:br/>
        <w:t>(%)</w:t>
      </w:r>
    </w:p>
    <w:p w:rsidR="00B759A7" w:rsidRPr="007137E3" w:rsidRDefault="00B759A7" w:rsidP="00B759A7">
      <w:pPr>
        <w:shd w:val="clear" w:color="auto" w:fill="FFFFFF"/>
        <w:spacing w:line="240" w:lineRule="auto"/>
        <w:jc w:val="both"/>
        <w:rPr>
          <w:rFonts w:ascii="Times New Roman" w:hAnsi="Times New Roman" w:cs="Times New Roman"/>
          <w:i/>
          <w:iCs/>
          <w:sz w:val="24"/>
          <w:szCs w:val="24"/>
        </w:rPr>
      </w:pPr>
      <w:r w:rsidRPr="007137E3">
        <w:rPr>
          <w:rFonts w:ascii="Times New Roman" w:hAnsi="Times New Roman" w:cs="Times New Roman"/>
          <w:sz w:val="24"/>
          <w:szCs w:val="24"/>
        </w:rPr>
        <w:br/>
      </w: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37" w:tgtFrame="_blank" w:history="1">
        <w:r w:rsidRPr="007137E3">
          <w:rPr>
            <w:rStyle w:val="Hipervnculo"/>
            <w:rFonts w:ascii="Times New Roman" w:hAnsi="Times New Roman" w:cs="Times New Roman"/>
            <w:color w:val="auto"/>
            <w:sz w:val="24"/>
            <w:szCs w:val="24"/>
            <w:u w:val="none"/>
          </w:rPr>
          <w:t>(ilc_li02)</w:t>
        </w:r>
      </w:hyperlink>
      <w:r w:rsidRPr="007137E3">
        <w:rPr>
          <w:rFonts w:ascii="Times New Roman" w:hAnsi="Times New Roman" w:cs="Times New Roman"/>
          <w:sz w:val="24"/>
          <w:szCs w:val="24"/>
        </w:rPr>
        <w:t> y </w:t>
      </w:r>
      <w:hyperlink r:id="rId238" w:tgtFrame="_blank" w:history="1">
        <w:r w:rsidRPr="007137E3">
          <w:rPr>
            <w:rStyle w:val="Hipervnculo"/>
            <w:rFonts w:ascii="Times New Roman" w:hAnsi="Times New Roman" w:cs="Times New Roman"/>
            <w:color w:val="auto"/>
            <w:sz w:val="24"/>
            <w:szCs w:val="24"/>
            <w:u w:val="none"/>
          </w:rPr>
          <w:t>(ilc_li10)</w:t>
        </w:r>
      </w:hyperlink>
    </w:p>
    <w:p w:rsidR="00B759A7" w:rsidRPr="007137E3" w:rsidRDefault="00B759A7" w:rsidP="00B759A7">
      <w:pPr>
        <w:pStyle w:val="NormalWeb"/>
        <w:shd w:val="clear" w:color="auto" w:fill="FFFFFF"/>
        <w:spacing w:before="0" w:beforeAutospacing="0" w:after="105" w:afterAutospacing="0"/>
        <w:jc w:val="both"/>
      </w:pPr>
      <w:r w:rsidRPr="007137E3">
        <w:t>En 2019, las transferencias sociales redujeron la tasa de riesgo de pobreza para la población de la UE-27 del 24,5% (después de las pensiones pero antes de otras transferencias sociales) al 16,5%, reduciendo la tasa en 8,0 puntos porcentuales. Las transferencias sociales tuvieron un impacto particularmente grande en la reducción del riesgo de pobreza en 2019 en Austria (12,9 puntos porcentuales menos), Finlandia (13,5 puntos porcentuales menos) e Irlanda (16 puntos porcentuales menos; datos de 2018). El impacto de las transferencias sociales fue mucho menos sustancial en Italia (datos de 2018), Portugal, Grecia y Rumanía, ya que las tasas de riesgo de pobreza se redujeron en menos de 6,0 puntos porcentuales.</w:t>
      </w:r>
    </w:p>
    <w:p w:rsidR="00B759A7" w:rsidRPr="007137E3" w:rsidRDefault="00B759A7" w:rsidP="00B759A7">
      <w:pPr>
        <w:pStyle w:val="NormalWeb"/>
        <w:shd w:val="clear" w:color="auto" w:fill="FFFFFF"/>
        <w:spacing w:before="0" w:beforeAutospacing="0" w:after="105" w:afterAutospacing="0"/>
        <w:jc w:val="both"/>
      </w:pPr>
      <w:r w:rsidRPr="007137E3">
        <w:rPr>
          <w:b/>
          <w:bCs/>
        </w:rPr>
        <w:t>Tasa de riesgo de pobreza anclada en un momento específico</w:t>
      </w:r>
    </w:p>
    <w:p w:rsidR="00B759A7" w:rsidRPr="007137E3" w:rsidRDefault="00B759A7" w:rsidP="00B759A7">
      <w:pPr>
        <w:pStyle w:val="NormalWeb"/>
        <w:shd w:val="clear" w:color="auto" w:fill="FFFFFF"/>
        <w:spacing w:before="0" w:beforeAutospacing="0" w:after="105" w:afterAutospacing="0"/>
        <w:jc w:val="both"/>
      </w:pPr>
      <w:r w:rsidRPr="007137E3">
        <w:t>Dado que la tasa de riesgo de pobreza se calcula sobre la base de los umbrales de pobreza que cambian de un año a otro (lo que refleja los cambios en el nivel general de ingresos y su distribución entre los diferentes grupos socioeconómicos), la atención debe ser tomado al interpretar la evolución del riesgo de pobreza a lo largo del tiempo, especialmente durante períodos de rápidos cambios económicos.</w:t>
      </w:r>
    </w:p>
    <w:p w:rsidR="00B759A7" w:rsidRPr="007137E3" w:rsidRDefault="00B759A7" w:rsidP="00B759A7">
      <w:pPr>
        <w:pStyle w:val="NormalWeb"/>
        <w:shd w:val="clear" w:color="auto" w:fill="FFFFFF"/>
        <w:spacing w:before="0" w:beforeAutospacing="0" w:after="105" w:afterAutospacing="0"/>
        <w:jc w:val="both"/>
      </w:pPr>
      <w:r w:rsidRPr="007137E3">
        <w:t>Una medida más confiable para monitorear los desarrollos a lo largo del tiempo es la tasa de riesgo de pobreza anclada en un punto específico en el tiempo y ajustada a la inflación. Sobre esta base, la tasa de riesgo de pobreza anclada en 2008 para la EU-27 (en su composición del año respectivo) fue 2,3 puntos porcentuales más alta en 2019 que en 2008. La situación varió entre los Estados miembros de la UE, con el impacto de la crisis financiera y económica mundial y las posteriores crisis de deuda soberana que se manifestaron en varios Estados miembros del sur de la UE a medida que aumentaba la tasa: España (hasta 5,0 puntos porcentuales), Italia (hasta 5,1 puntos por</w:t>
      </w:r>
      <w:r w:rsidR="00071F46" w:rsidRPr="007137E3">
        <w:t>centuales; 2008-2018), Chipre (</w:t>
      </w:r>
      <w:r w:rsidRPr="007137E3">
        <w:t xml:space="preserve">hasta 6,0 puntos porcentuales) y Grecia (hasta 21,8 puntos); También hubo un aumento en Luxemburgo (hasta </w:t>
      </w:r>
      <w:r w:rsidRPr="007137E3">
        <w:lastRenderedPageBreak/>
        <w:t>5,5 puntos) - ver </w:t>
      </w:r>
      <w:r w:rsidRPr="007137E3">
        <w:rPr>
          <w:b/>
          <w:bCs/>
        </w:rPr>
        <w:t>mapa 1</w:t>
      </w:r>
      <w:r w:rsidRPr="007137E3">
        <w:t>. Los mayores descensos en la tasa de riesgo de pobreza anclados en 2008 se observaron en los Estados miembros del Báltico y en Polonia, Bulgaria y Rumanía, todos los cuales registraron tasas en 2019 que fueron más de 10,0 puntos por debajo de lo que habían estado en 2008; Este fue también el caso de Turquía (2008-2018).</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noProof/>
          <w:sz w:val="24"/>
          <w:szCs w:val="24"/>
          <w:lang w:eastAsia="es-ES"/>
        </w:rPr>
        <w:drawing>
          <wp:inline distT="0" distB="0" distL="0" distR="0" wp14:anchorId="2480BF9B" wp14:editId="7A43756C">
            <wp:extent cx="5645150" cy="6737350"/>
            <wp:effectExtent l="0" t="0" r="0" b="6350"/>
            <wp:docPr id="62" name="Imagen 62" descr="https://ec.europa.eu/eurostat/statistics-explained/images/thumb/6/61/Change_in_the_at-risk-of-poverty_rate_anchored_in_2008%2C_2008-2019.png/500px-Change_in_the_at-risk-of-poverty_rate_anchored_in_2008%2C_2008-2019.png">
              <a:hlinkClick xmlns:a="http://schemas.openxmlformats.org/drawingml/2006/main" r:id="rId2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ec.europa.eu/eurostat/statistics-explained/images/thumb/6/61/Change_in_the_at-risk-of-poverty_rate_anchored_in_2008%2C_2008-2019.png/500px-Change_in_the_at-risk-of-poverty_rate_anchored_in_2008%2C_2008-2019.png">
                      <a:hlinkClick r:id="rId239"/>
                    </pic:cNvPr>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645150" cy="6737350"/>
                    </a:xfrm>
                    <a:prstGeom prst="rect">
                      <a:avLst/>
                    </a:prstGeom>
                    <a:noFill/>
                    <a:ln>
                      <a:noFill/>
                    </a:ln>
                  </pic:spPr>
                </pic:pic>
              </a:graphicData>
            </a:graphic>
          </wp:inline>
        </w:drawing>
      </w:r>
    </w:p>
    <w:p w:rsidR="004D3B88"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Mapa 1: Cambio en la tasa de riesgo de pobreza anclada en 2008, 2008-2019</w:t>
      </w:r>
      <w:r w:rsidRPr="007137E3">
        <w:rPr>
          <w:rFonts w:ascii="Times New Roman" w:hAnsi="Times New Roman" w:cs="Times New Roman"/>
          <w:sz w:val="24"/>
          <w:szCs w:val="24"/>
        </w:rPr>
        <w:br/>
        <w:t>(diferencia en puntos porcentuales, 2019 menos 2008)</w:t>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41" w:tgtFrame="_blank" w:history="1">
        <w:r w:rsidRPr="007137E3">
          <w:rPr>
            <w:rStyle w:val="Hipervnculo"/>
            <w:rFonts w:ascii="Times New Roman" w:hAnsi="Times New Roman" w:cs="Times New Roman"/>
            <w:color w:val="auto"/>
            <w:sz w:val="24"/>
            <w:szCs w:val="24"/>
            <w:u w:val="none"/>
          </w:rPr>
          <w:t>(ilc_li22b)</w:t>
        </w:r>
      </w:hyperlink>
    </w:p>
    <w:p w:rsidR="00071F46" w:rsidRPr="007137E3" w:rsidRDefault="00071F46" w:rsidP="00B759A7">
      <w:pPr>
        <w:pStyle w:val="NormalWeb"/>
        <w:shd w:val="clear" w:color="auto" w:fill="FFFFFF"/>
        <w:spacing w:before="0" w:beforeAutospacing="0" w:after="105" w:afterAutospacing="0"/>
        <w:jc w:val="both"/>
        <w:rPr>
          <w:b/>
          <w:bCs/>
        </w:rPr>
      </w:pPr>
    </w:p>
    <w:p w:rsidR="00071F46" w:rsidRPr="007137E3" w:rsidRDefault="00071F46" w:rsidP="00B759A7">
      <w:pPr>
        <w:pStyle w:val="NormalWeb"/>
        <w:shd w:val="clear" w:color="auto" w:fill="FFFFFF"/>
        <w:spacing w:before="0" w:beforeAutospacing="0" w:after="105" w:afterAutospacing="0"/>
        <w:jc w:val="both"/>
        <w:rPr>
          <w:b/>
          <w:bCs/>
        </w:rPr>
      </w:pPr>
    </w:p>
    <w:p w:rsidR="00B759A7" w:rsidRPr="007137E3" w:rsidRDefault="00B759A7" w:rsidP="00B759A7">
      <w:pPr>
        <w:pStyle w:val="NormalWeb"/>
        <w:shd w:val="clear" w:color="auto" w:fill="FFFFFF"/>
        <w:spacing w:before="0" w:beforeAutospacing="0" w:after="105" w:afterAutospacing="0"/>
        <w:jc w:val="both"/>
      </w:pPr>
      <w:r w:rsidRPr="007137E3">
        <w:rPr>
          <w:b/>
          <w:bCs/>
        </w:rPr>
        <w:lastRenderedPageBreak/>
        <w:t>La persistente tasa de riesgo de pobreza</w:t>
      </w:r>
    </w:p>
    <w:p w:rsidR="00B759A7" w:rsidRPr="007137E3" w:rsidRDefault="00B759A7" w:rsidP="00B759A7">
      <w:pPr>
        <w:pStyle w:val="NormalWeb"/>
        <w:shd w:val="clear" w:color="auto" w:fill="FFFFFF"/>
        <w:spacing w:before="0" w:beforeAutospacing="0" w:after="105" w:afterAutospacing="0"/>
        <w:jc w:val="both"/>
      </w:pPr>
      <w:r w:rsidRPr="007137E3">
        <w:t>La tasa de riesgo de pobreza persistente muestra la proporción de personas con un nivel de ingresos por debajo del umbral de pobreza tanto en el año de referencia como en al menos dos de los tres años anteriores. Por lo tanto, este indicador captura a aquellos miembros de la sociedad que son persistentemente vulnerables al riesgo de pobreza durante varios años. El fundamento de este indicador se basa en el hecho de que las posibilidades de que un hogar se recupere o salga de la pobreza disminuyen cuanto más tiempo permanece por debajo del umbral de riesgo de pobreza.</w:t>
      </w:r>
    </w:p>
    <w:p w:rsidR="00B759A7" w:rsidRPr="007137E3" w:rsidRDefault="00B759A7" w:rsidP="00B759A7">
      <w:pPr>
        <w:pStyle w:val="NormalWeb"/>
        <w:shd w:val="clear" w:color="auto" w:fill="FFFFFF"/>
        <w:spacing w:before="0" w:beforeAutospacing="0" w:after="105" w:afterAutospacing="0"/>
        <w:jc w:val="both"/>
      </w:pPr>
      <w:r w:rsidRPr="007137E3">
        <w:t>En 2018, había un mayor riesgo persistente de pobreza entre la población que vivía en hogares de adultos solteros. Por término medio, más de una quinta parte (21,4%) de la población de la EU-27 que vive en hogares de un solo adulto con hijos a cargo se encuentra en riesgo persistente de pobreza, mientras que el 18,8% de la población que vive en hogares unipersonales (sin hijos a cargo) enfrentó el riesgo de pobreza persistente (ver </w:t>
      </w:r>
      <w:r w:rsidRPr="007137E3">
        <w:rPr>
          <w:b/>
          <w:bCs/>
        </w:rPr>
        <w:t>Tabla 3</w:t>
      </w:r>
      <w:r w:rsidRPr="007137E3">
        <w:t>). Ambas cifras eran considerablemente más altas que el riesgo de pobreza persistente registrado para las personas que vivían en hogares con dos o más adultos (independientemente de que tuvieran o no hijos a cargo). La tasa más baja de riesgo de pobreza persistente (6,5% en la UE-27) se registró para los hogares compuestos por dos o más adultos sin hijos a cargo.</w:t>
      </w:r>
    </w:p>
    <w:p w:rsidR="004D3B88" w:rsidRPr="007137E3" w:rsidRDefault="004D3B88" w:rsidP="00B759A7">
      <w:pPr>
        <w:pStyle w:val="NormalWeb"/>
        <w:shd w:val="clear" w:color="auto" w:fill="FFFFFF"/>
        <w:spacing w:before="0" w:beforeAutospacing="0" w:after="105" w:afterAutospacing="0"/>
        <w:jc w:val="both"/>
      </w:pPr>
      <w:r w:rsidRPr="007137E3">
        <w:rPr>
          <w:noProof/>
        </w:rPr>
        <w:drawing>
          <wp:inline distT="0" distB="0" distL="0" distR="0" wp14:anchorId="3400707D" wp14:editId="0FE84015">
            <wp:extent cx="5731510" cy="4666037"/>
            <wp:effectExtent l="0" t="0" r="2540" b="127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731510" cy="4666037"/>
                    </a:xfrm>
                    <a:prstGeom prst="rect">
                      <a:avLst/>
                    </a:prstGeom>
                  </pic:spPr>
                </pic:pic>
              </a:graphicData>
            </a:graphic>
          </wp:inline>
        </w:drawing>
      </w:r>
    </w:p>
    <w:p w:rsidR="00B759A7" w:rsidRPr="007137E3" w:rsidRDefault="00B759A7" w:rsidP="00B759A7">
      <w:pPr>
        <w:shd w:val="clear" w:color="auto" w:fill="FFFFFF"/>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Tabla 3: Tasa de riesgo de pobreza persistente, analizada por tipo de hogar, 2019</w:t>
      </w:r>
      <w:r w:rsidR="004D3B88" w:rsidRPr="007137E3">
        <w:rPr>
          <w:rFonts w:ascii="Times New Roman" w:hAnsi="Times New Roman" w:cs="Times New Roman"/>
          <w:sz w:val="24"/>
          <w:szCs w:val="24"/>
        </w:rPr>
        <w:t xml:space="preserve"> </w:t>
      </w:r>
      <w:r w:rsidRPr="007137E3">
        <w:rPr>
          <w:rFonts w:ascii="Times New Roman" w:hAnsi="Times New Roman" w:cs="Times New Roman"/>
          <w:sz w:val="24"/>
          <w:szCs w:val="24"/>
        </w:rPr>
        <w:t>(%)</w:t>
      </w:r>
      <w:r w:rsidRPr="007137E3">
        <w:rPr>
          <w:rFonts w:ascii="Times New Roman" w:hAnsi="Times New Roman" w:cs="Times New Roman"/>
          <w:sz w:val="24"/>
          <w:szCs w:val="24"/>
        </w:rPr>
        <w:br/>
      </w:r>
      <w:r w:rsidRPr="007137E3">
        <w:rPr>
          <w:rFonts w:ascii="Times New Roman" w:hAnsi="Times New Roman" w:cs="Times New Roman"/>
          <w:i/>
          <w:iCs/>
          <w:sz w:val="24"/>
          <w:szCs w:val="24"/>
        </w:rPr>
        <w:t>Fuente:</w:t>
      </w:r>
      <w:r w:rsidRPr="007137E3">
        <w:rPr>
          <w:rFonts w:ascii="Times New Roman" w:hAnsi="Times New Roman" w:cs="Times New Roman"/>
          <w:sz w:val="24"/>
          <w:szCs w:val="24"/>
        </w:rPr>
        <w:t> Eurostat </w:t>
      </w:r>
      <w:hyperlink r:id="rId243" w:tgtFrame="_blank" w:history="1">
        <w:r w:rsidRPr="007137E3">
          <w:rPr>
            <w:rStyle w:val="Hipervnculo"/>
            <w:rFonts w:ascii="Times New Roman" w:hAnsi="Times New Roman" w:cs="Times New Roman"/>
            <w:color w:val="auto"/>
            <w:sz w:val="24"/>
            <w:szCs w:val="24"/>
            <w:u w:val="none"/>
          </w:rPr>
          <w:t>(ilc_li23)</w:t>
        </w:r>
      </w:hyperlink>
    </w:p>
    <w:p w:rsidR="00B759A7" w:rsidRPr="007137E3" w:rsidRDefault="00B759A7" w:rsidP="00B759A7">
      <w:pPr>
        <w:pStyle w:val="NormalWeb"/>
        <w:shd w:val="clear" w:color="auto" w:fill="FFFFFF"/>
        <w:spacing w:before="0" w:beforeAutospacing="0" w:after="105" w:afterAutospacing="0"/>
        <w:jc w:val="both"/>
      </w:pPr>
      <w:r w:rsidRPr="007137E3">
        <w:lastRenderedPageBreak/>
        <w:t>Entre los Estados miembros de la UE, el 47,0% de todas las personas que viven en hogares de un solo adulto con hijos a cargo en Malta se enfrentaron a un riesgo persistente de pobreza en 2019, al igual que más de un tercio de esos hogares en Eslovaquia, Bulgaria y Luxemburgo. Entre las personas que vivían solas en hogares unipersonales, las tasas persistentes de riesgo de pobreza fueron particularmente altas en los Estados miembros bálticos: 48,0% en Estonia, 46,3% en Lituania y 44,7% en Letonia.</w:t>
      </w:r>
    </w:p>
    <w:p w:rsidR="00B759A7" w:rsidRPr="007137E3" w:rsidRDefault="00B759A7" w:rsidP="00B759A7">
      <w:pPr>
        <w:pStyle w:val="NormalWeb"/>
        <w:shd w:val="clear" w:color="auto" w:fill="FFFFFF"/>
        <w:spacing w:before="0" w:beforeAutospacing="0" w:after="105" w:afterAutospacing="0"/>
        <w:jc w:val="both"/>
      </w:pPr>
      <w:r w:rsidRPr="007137E3">
        <w:t>Las tasas persistentes de riesgo de pobreza fueron generalmente más bajas para las personas que vivían en hogares compuestos por dos o más adultos sin hijos dependientes que para las personas que vivían en hogares compuestos por dos o más adultos con hijos dependientes. Este patrón se repitió en 2019 en la mayoría de los Estados miembros de la UE: Letonia, Dinamarca, Chipre, Croacia, Alemania y Eslovenia fueron las únicas excepciones.</w:t>
      </w:r>
    </w:p>
    <w:p w:rsidR="00B759A7" w:rsidRPr="007137E3" w:rsidRDefault="00B759A7" w:rsidP="00B759A7">
      <w:pPr>
        <w:pStyle w:val="NormalWeb"/>
        <w:shd w:val="clear" w:color="auto" w:fill="FFFFFF"/>
        <w:spacing w:before="0" w:beforeAutospacing="0" w:after="105" w:afterAutospacing="0"/>
        <w:jc w:val="both"/>
      </w:pPr>
      <w:r w:rsidRPr="007137E3">
        <w:t>En los hogares compuestos por dos o más adultos con hijos dependientes, la tasa de riesgo de pobreza persistente en 2019 fue más alta en Rumania con un 18,4%, mientras que las siguientes tasas más altas (dentro del rango de 16,8% a 17,5%) se registraron en Bulgaria, España e Italia (datos de 2018).</w:t>
      </w:r>
    </w:p>
    <w:p w:rsidR="004B3ED3" w:rsidRPr="007137E3" w:rsidRDefault="004B3ED3" w:rsidP="004B3ED3">
      <w:pPr>
        <w:pStyle w:val="NormalWeb"/>
        <w:shd w:val="clear" w:color="auto" w:fill="FFFFFF"/>
        <w:spacing w:after="105"/>
        <w:jc w:val="both"/>
      </w:pPr>
      <w:r w:rsidRPr="007137E3">
        <w:t xml:space="preserve">- </w:t>
      </w:r>
      <w:r w:rsidRPr="007137E3">
        <w:rPr>
          <w:u w:val="single"/>
        </w:rPr>
        <w:t>La contra</w:t>
      </w:r>
      <w:r w:rsidR="00071F46" w:rsidRPr="007137E3">
        <w:rPr>
          <w:u w:val="single"/>
        </w:rPr>
        <w:t>cción y la recuperación pospandé</w:t>
      </w:r>
      <w:r w:rsidRPr="007137E3">
        <w:rPr>
          <w:u w:val="single"/>
        </w:rPr>
        <w:t>mi</w:t>
      </w:r>
      <w:r w:rsidR="00071F46" w:rsidRPr="007137E3">
        <w:rPr>
          <w:u w:val="single"/>
        </w:rPr>
        <w:t>c</w:t>
      </w:r>
      <w:r w:rsidRPr="007137E3">
        <w:rPr>
          <w:u w:val="single"/>
        </w:rPr>
        <w:t>a acentúan las desigualdades económicas de Europa</w:t>
      </w:r>
      <w:r w:rsidRPr="007137E3">
        <w:t xml:space="preserve"> (Cambio16 - </w:t>
      </w:r>
      <w:r w:rsidRPr="007137E3">
        <w:rPr>
          <w:b/>
        </w:rPr>
        <w:t>15/1/21</w:t>
      </w:r>
      <w:r w:rsidRPr="007137E3">
        <w:t>)</w:t>
      </w:r>
    </w:p>
    <w:p w:rsidR="004B3ED3" w:rsidRPr="007137E3" w:rsidRDefault="004B3ED3" w:rsidP="004B3ED3">
      <w:pPr>
        <w:pStyle w:val="NormalWeb"/>
        <w:shd w:val="clear" w:color="auto" w:fill="FFFFFF"/>
        <w:spacing w:after="105"/>
        <w:jc w:val="both"/>
      </w:pPr>
      <w:r w:rsidRPr="007137E3">
        <w:t xml:space="preserve">(Por Dimas Ibarra) </w:t>
      </w:r>
    </w:p>
    <w:p w:rsidR="004B3ED3" w:rsidRPr="007137E3" w:rsidRDefault="004B3ED3" w:rsidP="004B3ED3">
      <w:pPr>
        <w:pStyle w:val="NormalWeb"/>
        <w:shd w:val="clear" w:color="auto" w:fill="FFFFFF"/>
        <w:spacing w:after="105"/>
        <w:jc w:val="both"/>
      </w:pPr>
      <w:r w:rsidRPr="007137E3">
        <w:t>La economía de la zona del euro se prepara para otra contracción económica a principios de este año. La reincidencia de la pandemia está lastrando la recuperación en la región. Algunos analistas han recortado sus pronósticos teniendo en cuenta los nuevos cierres. También existe el temor de que la nueva variante del coronavirus, que asola el Reino Unido, haga lo mismo en el continente. Pero lo peor de este complejo panorama sería que se profundicen las desigualdades de Europa.</w:t>
      </w:r>
    </w:p>
    <w:p w:rsidR="004B3ED3" w:rsidRPr="007137E3" w:rsidRDefault="004B3ED3" w:rsidP="004B3ED3">
      <w:pPr>
        <w:pStyle w:val="NormalWeb"/>
        <w:shd w:val="clear" w:color="auto" w:fill="FFFFFF"/>
        <w:spacing w:after="105"/>
        <w:jc w:val="both"/>
      </w:pPr>
      <w:r w:rsidRPr="007137E3">
        <w:t>El panorama se complica también con la lenta distribución y aplicación de las vacunas y las interrupciones del comercio debido al brexit. En resumen, un cóctel casi seguro para otro trimestre de caída del producto interior bruto (el segundo consecutivo).</w:t>
      </w:r>
    </w:p>
    <w:p w:rsidR="004B3ED3" w:rsidRPr="007137E3" w:rsidRDefault="004B3ED3" w:rsidP="004B3ED3">
      <w:pPr>
        <w:pStyle w:val="NormalWeb"/>
        <w:shd w:val="clear" w:color="auto" w:fill="FFFFFF"/>
        <w:spacing w:after="105"/>
        <w:jc w:val="both"/>
      </w:pPr>
      <w:r w:rsidRPr="007137E3">
        <w:t>Todo apunta a que se replicaría la recesión de principios de 2020, aunque menos grave. La consecuencia sería un aumento de la presión sobre los gobiernos endeudados. También sobre el Banco Central Europeo, que se reunirá en los próximos días para analizar sus políticas y establecer los programas de apoyo financiero.</w:t>
      </w:r>
    </w:p>
    <w:p w:rsidR="004B3ED3" w:rsidRPr="007137E3" w:rsidRDefault="004B3ED3" w:rsidP="004B3ED3">
      <w:pPr>
        <w:pStyle w:val="NormalWeb"/>
        <w:shd w:val="clear" w:color="auto" w:fill="FFFFFF"/>
        <w:spacing w:after="105"/>
        <w:jc w:val="both"/>
      </w:pPr>
      <w:r w:rsidRPr="007137E3">
        <w:t>El BCE extendió su programa de compra de bonos hasta marzo de 2022 y puede pasar el año haciendo ajustes importantes. Los analistas estiman que, en última instancia, el programa tendrá que ampliarse.</w:t>
      </w:r>
    </w:p>
    <w:p w:rsidR="004B3ED3" w:rsidRPr="007137E3" w:rsidRDefault="004B3ED3" w:rsidP="004B3ED3">
      <w:pPr>
        <w:pStyle w:val="NormalWeb"/>
        <w:shd w:val="clear" w:color="auto" w:fill="FFFFFF"/>
        <w:spacing w:after="105"/>
        <w:jc w:val="both"/>
      </w:pPr>
      <w:r w:rsidRPr="007137E3">
        <w:t>Lo que nos espera este año</w:t>
      </w:r>
    </w:p>
    <w:p w:rsidR="004B3ED3" w:rsidRPr="007137E3" w:rsidRDefault="004B3ED3" w:rsidP="004B3ED3">
      <w:pPr>
        <w:pStyle w:val="NormalWeb"/>
        <w:shd w:val="clear" w:color="auto" w:fill="FFFFFF"/>
        <w:spacing w:after="105"/>
        <w:jc w:val="both"/>
      </w:pPr>
      <w:r w:rsidRPr="007137E3">
        <w:t>La segunda ola de bloqueos devastó empresas en todo el continente y llevó a la Comisión Europea a rebajar su pronóstico de crecimiento económico 2021, para la zona euro, del 6,1% al 4,2%. Se espera que transcurran dos años hasta que la economía europea se acerque a su nivel prepandémico.</w:t>
      </w:r>
    </w:p>
    <w:p w:rsidR="004B3ED3" w:rsidRPr="007137E3" w:rsidRDefault="004B3ED3" w:rsidP="004B3ED3">
      <w:pPr>
        <w:pStyle w:val="NormalWeb"/>
        <w:shd w:val="clear" w:color="auto" w:fill="FFFFFF"/>
        <w:spacing w:after="105"/>
        <w:jc w:val="both"/>
      </w:pPr>
      <w:r w:rsidRPr="007137E3">
        <w:lastRenderedPageBreak/>
        <w:t>Los indicadores muestran que si bien la actividad económica de la zona euro se recuperó en la primera semana de este año, cuando la gente regresó al trabajo, fue mucho menor que hace un año. Será en el segundo trimestre, después de más de un año de contracción, cuando finalmente se ponga en marcha la recuperación. El rebote podría ser fuerte, al menos inicialmente, una vez que se alivien las restricciones y disminuyan las infecciones. Se espera que mayor parte</w:t>
      </w:r>
      <w:r w:rsidR="00071F46" w:rsidRPr="007137E3">
        <w:t xml:space="preserve"> de la población esté vacunada.</w:t>
      </w:r>
    </w:p>
    <w:p w:rsidR="004B3ED3" w:rsidRPr="007137E3" w:rsidRDefault="004B3ED3" w:rsidP="004B3ED3">
      <w:pPr>
        <w:pStyle w:val="NormalWeb"/>
        <w:shd w:val="clear" w:color="auto" w:fill="FFFFFF"/>
        <w:spacing w:after="105"/>
        <w:jc w:val="both"/>
      </w:pPr>
      <w:r w:rsidRPr="007137E3">
        <w:t>La demanda reprimida podría provocar que se desate una parte de los cientos de miles de millones de euros de ahorros involuntarios de los consumidores, lo que podría provocar un brote temporal de la inflación. Para la segunda mitad del año, el inédito fondo de recuperación de 1,8 billones de euros y el presupuesto plurianual de la Unión Europea deberían apoyar el crecimiento. La inversión pública será crucial si las empresas quieren reparar las finanzas debilitadas por la crisis.</w:t>
      </w:r>
    </w:p>
    <w:p w:rsidR="004B3ED3" w:rsidRPr="007137E3" w:rsidRDefault="004B3ED3" w:rsidP="004B3ED3">
      <w:pPr>
        <w:pStyle w:val="NormalWeb"/>
        <w:shd w:val="clear" w:color="auto" w:fill="FFFFFF"/>
        <w:spacing w:after="105"/>
        <w:jc w:val="both"/>
      </w:pPr>
      <w:r w:rsidRPr="007137E3">
        <w:t>Desigualdades continentales</w:t>
      </w:r>
    </w:p>
    <w:p w:rsidR="004B3ED3" w:rsidRPr="007137E3" w:rsidRDefault="004B3ED3" w:rsidP="004B3ED3">
      <w:pPr>
        <w:pStyle w:val="NormalWeb"/>
        <w:shd w:val="clear" w:color="auto" w:fill="FFFFFF"/>
        <w:spacing w:after="105"/>
        <w:jc w:val="both"/>
      </w:pPr>
      <w:r w:rsidRPr="007137E3">
        <w:t>Este tira y encoge de contracción y recuperación pone en evidencia las desigualdades económicas de Europa. Los gobiernos han recibido en su conjunto más de 700.000 millones de dólares en liquidez para subsidios, ayudas sociales, créditos y fondos de reserva. Pero ese dinero no es suficiente para evitar la disparidad en la eurozona.</w:t>
      </w:r>
    </w:p>
    <w:p w:rsidR="004B3ED3" w:rsidRPr="007137E3" w:rsidRDefault="004B3ED3" w:rsidP="004B3ED3">
      <w:pPr>
        <w:pStyle w:val="NormalWeb"/>
        <w:shd w:val="clear" w:color="auto" w:fill="FFFFFF"/>
        <w:spacing w:after="105"/>
        <w:jc w:val="both"/>
      </w:pPr>
      <w:r w:rsidRPr="007137E3">
        <w:t>La recesión golpeará con más fuerza en los países que producen menos bienes clave cotizados en el mercado interior. Las poblaciones y las empresas están demandando y comprando lo esencial para subsistir, ante una crisis que no cederá rápidamente, ni siquiera con las vacunas.</w:t>
      </w:r>
    </w:p>
    <w:p w:rsidR="004B3ED3" w:rsidRPr="007137E3" w:rsidRDefault="004B3ED3" w:rsidP="004B3ED3">
      <w:pPr>
        <w:pStyle w:val="NormalWeb"/>
        <w:shd w:val="clear" w:color="auto" w:fill="FFFFFF"/>
        <w:spacing w:after="105"/>
        <w:jc w:val="both"/>
      </w:pPr>
      <w:r w:rsidRPr="007137E3">
        <w:t>Se acrecientan las disparidades</w:t>
      </w:r>
    </w:p>
    <w:p w:rsidR="004B3ED3" w:rsidRPr="007137E3" w:rsidRDefault="004B3ED3" w:rsidP="004B3ED3">
      <w:pPr>
        <w:pStyle w:val="NormalWeb"/>
        <w:shd w:val="clear" w:color="auto" w:fill="FFFFFF"/>
        <w:spacing w:after="105"/>
        <w:jc w:val="both"/>
      </w:pPr>
      <w:r w:rsidRPr="007137E3">
        <w:t>Además, existen grandes disparidades entre territorios. Para reducirlas, la UE se ha propuesto financiar proyectos de todo tipo en las regiones, en municipios grandes y pequeños, y en áreas rurales y marítimas.</w:t>
      </w:r>
    </w:p>
    <w:p w:rsidR="004B3ED3" w:rsidRPr="007137E3" w:rsidRDefault="004B3ED3" w:rsidP="004B3ED3">
      <w:pPr>
        <w:pStyle w:val="NormalWeb"/>
        <w:shd w:val="clear" w:color="auto" w:fill="FFFFFF"/>
        <w:spacing w:after="105"/>
        <w:jc w:val="both"/>
      </w:pPr>
      <w:r w:rsidRPr="007137E3">
        <w:t>La división este-oeste es evidente. En países como Polonia, Rumanía o Bulgaria todas las regiones, excepto las capi</w:t>
      </w:r>
      <w:r w:rsidR="00BB2C6B" w:rsidRPr="007137E3">
        <w:t>tales, están clasificadas como “menos desarrolladas”</w:t>
      </w:r>
      <w:r w:rsidRPr="007137E3">
        <w:t>, de acuerdo con los parámetros del Fondo Europeo de Desarrollo Regional (Feder), el más cuantioso de los programas de la política de cohesión y principal instrumento de inversión de Bruselas en los territorios.</w:t>
      </w:r>
    </w:p>
    <w:p w:rsidR="004B3ED3" w:rsidRPr="007137E3" w:rsidRDefault="004B3ED3" w:rsidP="004B3ED3">
      <w:pPr>
        <w:pStyle w:val="NormalWeb"/>
        <w:shd w:val="clear" w:color="auto" w:fill="FFFFFF"/>
        <w:spacing w:after="105"/>
        <w:jc w:val="both"/>
      </w:pPr>
      <w:r w:rsidRPr="007137E3">
        <w:t>Programas insuficientes</w:t>
      </w:r>
    </w:p>
    <w:p w:rsidR="004B3ED3" w:rsidRPr="007137E3" w:rsidRDefault="004B3ED3" w:rsidP="004B3ED3">
      <w:pPr>
        <w:pStyle w:val="NormalWeb"/>
        <w:shd w:val="clear" w:color="auto" w:fill="FFFFFF"/>
        <w:spacing w:after="105"/>
        <w:jc w:val="both"/>
      </w:pPr>
      <w:r w:rsidRPr="007137E3">
        <w:t>El Feder llega a todas las regiones y ahora se enfoca en la economía de bajas emisiones. Financia desde infraestructuras de transporte y rehabilitaciones del patrimonio hasta proyectos de innovación en pymes. Además, fomenta la cooperación entre países y regiones.</w:t>
      </w:r>
    </w:p>
    <w:p w:rsidR="004B3ED3" w:rsidRPr="007137E3" w:rsidRDefault="004B3ED3" w:rsidP="004B3ED3">
      <w:pPr>
        <w:pStyle w:val="NormalWeb"/>
        <w:shd w:val="clear" w:color="auto" w:fill="FFFFFF"/>
        <w:spacing w:after="105"/>
        <w:jc w:val="both"/>
      </w:pPr>
      <w:r w:rsidRPr="007137E3">
        <w:t>De este programa se benefician los 27 Estados. Presta especial atención a las regiones que sufren desventajas naturales o demográficas, y a áreas insulares o montañosas. Los recursos se asignan a 3 categorías de regiones distintas: las consideradas más desarrolladas (PIB per cápita superior al 90% de la media de la UE), regiones en transición (entre el 75 y el 90% de la media) y menos desarrolladas (inferior al 75%).</w:t>
      </w:r>
    </w:p>
    <w:p w:rsidR="004B3ED3" w:rsidRPr="007137E3" w:rsidRDefault="004B3ED3" w:rsidP="004B3ED3">
      <w:pPr>
        <w:pStyle w:val="NormalWeb"/>
        <w:shd w:val="clear" w:color="auto" w:fill="FFFFFF"/>
        <w:spacing w:after="105"/>
        <w:jc w:val="both"/>
      </w:pPr>
      <w:r w:rsidRPr="007137E3">
        <w:lastRenderedPageBreak/>
        <w:t>Pero estos programas han resultado insuficientes para cerrar las brechas entre los más ricos y los más pobres. Cohesion Alliance, que se creó mediante la cooperación entre las principales asociaciones europeas de ciudades y regiones y el Comité Europeo de las Regiones, ha venido exigiendo que el presupuesto de la UE, a partir de este año, fortalezca la política de cohesión, sea más eficaz, visible y esté disponible para todas las regiones del bloque.</w:t>
      </w:r>
    </w:p>
    <w:p w:rsidR="004B3ED3" w:rsidRPr="007137E3" w:rsidRDefault="004B3ED3" w:rsidP="004B3ED3">
      <w:pPr>
        <w:pStyle w:val="NormalWeb"/>
        <w:shd w:val="clear" w:color="auto" w:fill="FFFFFF"/>
        <w:spacing w:after="105"/>
        <w:jc w:val="both"/>
      </w:pPr>
      <w:r w:rsidRPr="007137E3">
        <w:t>Impactos desiguales</w:t>
      </w:r>
    </w:p>
    <w:p w:rsidR="004B3ED3" w:rsidRPr="007137E3" w:rsidRDefault="004B3ED3" w:rsidP="004B3ED3">
      <w:pPr>
        <w:pStyle w:val="NormalWeb"/>
        <w:shd w:val="clear" w:color="auto" w:fill="FFFFFF"/>
        <w:spacing w:after="105"/>
        <w:jc w:val="both"/>
      </w:pPr>
      <w:r w:rsidRPr="007137E3">
        <w:t>La industria, la construcción, las finanzas y las actividades más digitalizadas acelerarán el avance del PIB. Pero el turismo, el ocio, la restauración y el transporte se quedarán atrás. En consecuencia, ha habido importantes divergencias en la recuperación entre los Estados miembros de la Unión Europea. Alemania se ha beneficiado de su mayor dependencia de la actividad manufacturera. Sus fábricas permanecen abiertas, mientras que los bloqueos obligatorios cierran las tiendas no esenciales y gran parte del sector de los servicios.</w:t>
      </w:r>
    </w:p>
    <w:p w:rsidR="004B3ED3" w:rsidRPr="007137E3" w:rsidRDefault="004B3ED3" w:rsidP="004B3ED3">
      <w:pPr>
        <w:pStyle w:val="NormalWeb"/>
        <w:shd w:val="clear" w:color="auto" w:fill="FFFFFF"/>
        <w:spacing w:after="105"/>
        <w:jc w:val="both"/>
      </w:pPr>
      <w:r w:rsidRPr="007137E3">
        <w:t xml:space="preserve">Países como Francia, Italia o España, cuyas economías tienen una mayor dependencia de los sectores de servicios, se han visto más afectados. El ministro de Finanzas francés, Bruno Le Maire, dijo que el pronóstico de una recuperación del PIB del 6% en 2021, que sería el crecimiento </w:t>
      </w:r>
      <w:r w:rsidR="00E777C4">
        <w:t>más rápido en 50 años, será un “desafío”</w:t>
      </w:r>
      <w:r w:rsidRPr="007137E3">
        <w:t>.</w:t>
      </w:r>
    </w:p>
    <w:p w:rsidR="004B3ED3" w:rsidRPr="007137E3" w:rsidRDefault="004B3ED3" w:rsidP="004B3ED3">
      <w:pPr>
        <w:pStyle w:val="NormalWeb"/>
        <w:shd w:val="clear" w:color="auto" w:fill="FFFFFF"/>
        <w:spacing w:after="105"/>
        <w:jc w:val="both"/>
      </w:pPr>
      <w:r w:rsidRPr="007137E3">
        <w:t>En España se estima que en 2021-2022 la recuperación será parcial y heterogénea por sectores. Se prevé un crecimiento del PIB del 6,8%. El sector de la construcción podría tirar de la economía española en 2021, mientras que el turismo y la restauración la lastrarán.</w:t>
      </w:r>
    </w:p>
    <w:p w:rsidR="004B3ED3" w:rsidRPr="007137E3" w:rsidRDefault="004B3ED3" w:rsidP="004B3ED3">
      <w:pPr>
        <w:pStyle w:val="NormalWeb"/>
        <w:shd w:val="clear" w:color="auto" w:fill="FFFFFF"/>
        <w:spacing w:after="105"/>
        <w:jc w:val="both"/>
      </w:pPr>
      <w:r w:rsidRPr="007137E3">
        <w:t>Entre enero y septiembre, el país perdió 43.000 millones de euros en ingresos procedentes de los turistas del exterior. Un tercio de la caída del PIB.</w:t>
      </w:r>
    </w:p>
    <w:p w:rsidR="004B3ED3" w:rsidRPr="007137E3" w:rsidRDefault="004B3ED3" w:rsidP="004B3ED3">
      <w:pPr>
        <w:pStyle w:val="NormalWeb"/>
        <w:shd w:val="clear" w:color="auto" w:fill="FFFFFF"/>
        <w:spacing w:after="105"/>
        <w:jc w:val="both"/>
      </w:pPr>
      <w:r w:rsidRPr="007137E3">
        <w:t>Más desigualdades económicas en Europa</w:t>
      </w:r>
    </w:p>
    <w:p w:rsidR="004B3ED3" w:rsidRPr="007137E3" w:rsidRDefault="004B3ED3" w:rsidP="004B3ED3">
      <w:pPr>
        <w:pStyle w:val="NormalWeb"/>
        <w:shd w:val="clear" w:color="auto" w:fill="FFFFFF"/>
        <w:spacing w:after="105"/>
        <w:jc w:val="both"/>
      </w:pPr>
      <w:r w:rsidRPr="007137E3">
        <w:t>El Fondo Monetario Internacional vislumbra un panorama poco optimista. Los analistas consideran que la pandemia hará crecer la brecha entre las regiones pobres y ricas, no solo dentro de la UE, sino dentro de un mismo país.</w:t>
      </w:r>
    </w:p>
    <w:p w:rsidR="004B3ED3" w:rsidRPr="007137E3" w:rsidRDefault="004B3ED3" w:rsidP="004B3ED3">
      <w:pPr>
        <w:pStyle w:val="NormalWeb"/>
        <w:shd w:val="clear" w:color="auto" w:fill="FFFFFF"/>
        <w:spacing w:after="105"/>
        <w:jc w:val="both"/>
      </w:pPr>
      <w:r w:rsidRPr="007137E3">
        <w:t>Los expertos del FMI explican que las regiones más rezagadas cargan con una pesada maleta de problemas estructurales, a los que se suman los específicos de la pandemia. Son las que dependen más de sectores en los que el contacto social es habitual, como el turismo; disponen de menos ocupaciones donde es posible teletrabajar; cuentan con un tejido productivo con más pymes y suelen ser menos productivas.</w:t>
      </w:r>
    </w:p>
    <w:p w:rsidR="004B3ED3" w:rsidRPr="007137E3" w:rsidRDefault="004B3ED3" w:rsidP="004B3ED3">
      <w:pPr>
        <w:pStyle w:val="NormalWeb"/>
        <w:shd w:val="clear" w:color="auto" w:fill="FFFFFF"/>
        <w:spacing w:after="105"/>
        <w:jc w:val="both"/>
      </w:pPr>
      <w:r w:rsidRPr="007137E3">
        <w:t>Todos los gobiernos están sometidos a una mayor presión para apoyar a las empresas y a los trabajadores con ayuda fiscal. Se trata de gasto financiado con deuda que es posible gracias al estímulo monetario masivo del BCE, que mantiene los costes de endeudamiento cerca de cero. Pero el impacto de estos programas es dispar a lo largo y ancho de Europa, producto de las desigualdades económicas.</w:t>
      </w:r>
    </w:p>
    <w:p w:rsidR="004B3ED3" w:rsidRPr="007137E3" w:rsidRDefault="004B3ED3" w:rsidP="004B3ED3">
      <w:pPr>
        <w:pStyle w:val="NormalWeb"/>
        <w:shd w:val="clear" w:color="auto" w:fill="FFFFFF"/>
        <w:spacing w:before="0" w:beforeAutospacing="0" w:after="105" w:afterAutospacing="0"/>
        <w:jc w:val="both"/>
      </w:pPr>
      <w:r w:rsidRPr="007137E3">
        <w:t>Todo apunta a que la región tendrá una recuperación dispar. Las desigualdades económicas existen en Europa desde antes de la pandemia, pero la crisis sanitaria amenaza con profundizar</w:t>
      </w:r>
      <w:r w:rsidR="002D3CAF" w:rsidRPr="007137E3">
        <w:t>las. La promesa comunitaria de “no dejar a nadie atrás”</w:t>
      </w:r>
      <w:r w:rsidR="00763DF0">
        <w:t>, parece irrealizable.</w:t>
      </w:r>
    </w:p>
    <w:p w:rsidR="00071F46" w:rsidRPr="007137E3" w:rsidRDefault="00071F46" w:rsidP="004D3B88">
      <w:pPr>
        <w:spacing w:line="240" w:lineRule="auto"/>
        <w:jc w:val="both"/>
        <w:rPr>
          <w:rFonts w:ascii="Times New Roman" w:hAnsi="Times New Roman" w:cs="Times New Roman"/>
          <w:sz w:val="24"/>
          <w:szCs w:val="24"/>
        </w:rPr>
      </w:pP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lastRenderedPageBreak/>
        <w:t xml:space="preserve">- </w:t>
      </w:r>
      <w:r w:rsidRPr="007137E3">
        <w:rPr>
          <w:rFonts w:ascii="Times New Roman" w:hAnsi="Times New Roman" w:cs="Times New Roman"/>
          <w:sz w:val="24"/>
          <w:szCs w:val="24"/>
          <w:u w:val="single"/>
        </w:rPr>
        <w:t>Las buenas intenciones de Europa no bastan para eliminar la pobreza, asegura experto</w:t>
      </w:r>
      <w:r w:rsidRPr="007137E3">
        <w:rPr>
          <w:rFonts w:ascii="Times New Roman" w:hAnsi="Times New Roman" w:cs="Times New Roman"/>
          <w:sz w:val="24"/>
          <w:szCs w:val="24"/>
        </w:rPr>
        <w:t xml:space="preserve"> (Naciones Unidas - </w:t>
      </w:r>
      <w:r w:rsidRPr="007137E3">
        <w:rPr>
          <w:rFonts w:ascii="Times New Roman" w:hAnsi="Times New Roman" w:cs="Times New Roman"/>
          <w:b/>
          <w:sz w:val="24"/>
          <w:szCs w:val="24"/>
        </w:rPr>
        <w:t>29/1/21</w:t>
      </w:r>
      <w:r w:rsidRPr="007137E3">
        <w:rPr>
          <w:rFonts w:ascii="Times New Roman" w:hAnsi="Times New Roman" w:cs="Times New Roman"/>
          <w:sz w:val="24"/>
          <w:szCs w:val="24"/>
        </w:rPr>
        <w:t>)</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El COVID-19 y sus consecuencias han empujado a millones de personas en todo el mundo a una pobreza más profunda.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 xml:space="preserve">Un relator de derechos humanos advierte a la Unión Europea que necesita reinventarse para ganar la lucha contra la pobreza dando prioridad a las inversiones en salud, educación y protección social, en lugar de imponer recortes presupuestarios en nombre de la rentabilidad. </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La Unión Europea debe replantearse su modelo de gobernanza socioeconómica con valentía si quiere cumplir con su compromiso de erradicar la pobreza, dijo este viernes el relator especial de la ONU sobre la extrema pobreza y los derechos humanos al término de una visita oficial a las instituciones de la UE.</w:t>
      </w:r>
    </w:p>
    <w:p w:rsidR="004D3B88" w:rsidRPr="007137E3" w:rsidRDefault="002D3CAF"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w:t>
      </w:r>
      <w:r w:rsidR="004D3B88" w:rsidRPr="007137E3">
        <w:rPr>
          <w:rFonts w:ascii="Times New Roman" w:hAnsi="Times New Roman" w:cs="Times New Roman"/>
          <w:sz w:val="24"/>
          <w:szCs w:val="24"/>
        </w:rPr>
        <w:t>Aunque la UE ha hecho avances recientes en la erradicación de la pobreza, no debe caer en la autocomplacenc</w:t>
      </w:r>
      <w:r w:rsidRPr="007137E3">
        <w:rPr>
          <w:rFonts w:ascii="Times New Roman" w:hAnsi="Times New Roman" w:cs="Times New Roman"/>
          <w:sz w:val="24"/>
          <w:szCs w:val="24"/>
        </w:rPr>
        <w:t>ia”, dijo Olivier De Schutter. “</w:t>
      </w:r>
      <w:r w:rsidR="004D3B88" w:rsidRPr="007137E3">
        <w:rPr>
          <w:rFonts w:ascii="Times New Roman" w:hAnsi="Times New Roman" w:cs="Times New Roman"/>
          <w:sz w:val="24"/>
          <w:szCs w:val="24"/>
        </w:rPr>
        <w:t>Su compromiso de sacar a 20 millones de personas de la pobreza para 2020 se ha incumplido en gran medida”.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“Dado que la UE ha experimentado un crecimiento económico y de empleo constantes hasta muy recientemente, la única explicación de este fracaso es que los beneficios no se han distribuido de manera uniforme. Esto supone una der</w:t>
      </w:r>
      <w:r w:rsidR="00763DF0">
        <w:rPr>
          <w:rFonts w:ascii="Times New Roman" w:hAnsi="Times New Roman" w:cs="Times New Roman"/>
          <w:sz w:val="24"/>
          <w:szCs w:val="24"/>
        </w:rPr>
        <w:t>rota para los derechos sociales”</w:t>
      </w:r>
      <w:r w:rsidRPr="007137E3">
        <w:rPr>
          <w:rFonts w:ascii="Times New Roman" w:hAnsi="Times New Roman" w:cs="Times New Roman"/>
          <w:sz w:val="24"/>
          <w:szCs w:val="24"/>
        </w:rPr>
        <w:t>, añadió.</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Una de cada cinco personas en la región, el 21,1% de la población, estaba en riesgo de pobreza o exclusión social en 2019, lo cual representa un total de 92,4 millones de personas.</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Además, un total de 19,4 millones de niños, que representan el 23,1%, viven en la pobreza en toda la Unión, y 20,4 millones de trabajadores viven en riesgo de pobreza.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Las mujeres están desproporcionadamente representadas entre los pobres. El 85% de las familias monoparentales están encabezadas por mujeres, y el 40,3% de ellas están en riesgo de pobreza.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El COVID-19 deja nuevos pobres</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La crisis provocada por el COVID-19 ha afectado a muchos europeos que jamás habían experimen</w:t>
      </w:r>
      <w:r w:rsidR="00071F46" w:rsidRPr="007137E3">
        <w:rPr>
          <w:rFonts w:ascii="Times New Roman" w:hAnsi="Times New Roman" w:cs="Times New Roman"/>
          <w:sz w:val="24"/>
          <w:szCs w:val="24"/>
        </w:rPr>
        <w:t>tado la pobreza anteriormente. “</w:t>
      </w:r>
      <w:r w:rsidRPr="007137E3">
        <w:rPr>
          <w:rFonts w:ascii="Times New Roman" w:hAnsi="Times New Roman" w:cs="Times New Roman"/>
          <w:sz w:val="24"/>
          <w:szCs w:val="24"/>
        </w:rPr>
        <w:t>He hablado con personas que han pasado hambre por primera vez, que se han visto expuestas porque carecen de hogar, y que sufren maltrato y abuso a causa de</w:t>
      </w:r>
      <w:r w:rsidR="00071F46" w:rsidRPr="007137E3">
        <w:rPr>
          <w:rFonts w:ascii="Times New Roman" w:hAnsi="Times New Roman" w:cs="Times New Roman"/>
          <w:sz w:val="24"/>
          <w:szCs w:val="24"/>
        </w:rPr>
        <w:t xml:space="preserve"> la pobreza”</w:t>
      </w:r>
      <w:r w:rsidRPr="007137E3">
        <w:rPr>
          <w:rFonts w:ascii="Times New Roman" w:hAnsi="Times New Roman" w:cs="Times New Roman"/>
          <w:sz w:val="24"/>
          <w:szCs w:val="24"/>
        </w:rPr>
        <w:t>, dijo De Schutter.</w:t>
      </w:r>
    </w:p>
    <w:p w:rsidR="004D3B88" w:rsidRPr="007137E3" w:rsidRDefault="00071F46"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w:t>
      </w:r>
      <w:r w:rsidR="004D3B88" w:rsidRPr="007137E3">
        <w:rPr>
          <w:rFonts w:ascii="Times New Roman" w:hAnsi="Times New Roman" w:cs="Times New Roman"/>
          <w:sz w:val="24"/>
          <w:szCs w:val="24"/>
        </w:rPr>
        <w:t>La UE puede desempeñar un papel importante para impulsar los esfuerzos de los Estados miembros en su lucha contra la pobreza, especialmente a través de las recomendaciones de país que emite de forma anual. Pero en lugar de dar prioridad a las inversiones en sanidad, educación y protección social, estas recomendaciones a menudo han impuesto recortes presupuestarios en nombre de la rentabilidad. Desde 2009, los Estados miembros no han hecho más que recortar sus inversiones en estas áreas que son críticas para la reducción de la pobreza</w:t>
      </w:r>
      <w:r w:rsidRPr="007137E3">
        <w:rPr>
          <w:rFonts w:ascii="Times New Roman" w:hAnsi="Times New Roman" w:cs="Times New Roman"/>
          <w:sz w:val="24"/>
          <w:szCs w:val="24"/>
        </w:rPr>
        <w:t>”</w:t>
      </w:r>
      <w:r w:rsidR="004D3B88" w:rsidRPr="007137E3">
        <w:rPr>
          <w:rFonts w:ascii="Times New Roman" w:hAnsi="Times New Roman" w:cs="Times New Roman"/>
          <w:sz w:val="24"/>
          <w:szCs w:val="24"/>
        </w:rPr>
        <w:t>, señaló el experto de la ONU.</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El Pacto Verde Europeo fue presentado a finales de 2019 por la presidenta von der Leyen como la nueva estrategia de crecimiento de la UE.</w:t>
      </w:r>
    </w:p>
    <w:p w:rsidR="004B3ED3" w:rsidRPr="007137E3" w:rsidRDefault="00071F46"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w:t>
      </w:r>
      <w:r w:rsidR="004D3B88" w:rsidRPr="007137E3">
        <w:rPr>
          <w:rFonts w:ascii="Times New Roman" w:hAnsi="Times New Roman" w:cs="Times New Roman"/>
          <w:sz w:val="24"/>
          <w:szCs w:val="24"/>
        </w:rPr>
        <w:t xml:space="preserve">La lucha contra la pobreza es la pieza que falta en este Pacto Verde. En teoría el Pacto Verde combina objetivos medioambientales y sociales, pero mientras esta buena voluntad no </w:t>
      </w:r>
      <w:r w:rsidR="004D3B88" w:rsidRPr="007137E3">
        <w:rPr>
          <w:rFonts w:ascii="Times New Roman" w:hAnsi="Times New Roman" w:cs="Times New Roman"/>
          <w:sz w:val="24"/>
          <w:szCs w:val="24"/>
        </w:rPr>
        <w:lastRenderedPageBreak/>
        <w:t>se traduzca en acciones concretas, millones de personas seguirán luchando por un nivel de vida digno en</w:t>
      </w:r>
      <w:r w:rsidRPr="007137E3">
        <w:rPr>
          <w:rFonts w:ascii="Times New Roman" w:hAnsi="Times New Roman" w:cs="Times New Roman"/>
          <w:sz w:val="24"/>
          <w:szCs w:val="24"/>
        </w:rPr>
        <w:t xml:space="preserve"> una sociedad que les abandona”.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Competencia para ver quién da menos</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De Schutter destacó también que la incapacida</w:t>
      </w:r>
      <w:r w:rsidR="00071F46" w:rsidRPr="007137E3">
        <w:rPr>
          <w:rFonts w:ascii="Times New Roman" w:hAnsi="Times New Roman" w:cs="Times New Roman"/>
          <w:sz w:val="24"/>
          <w:szCs w:val="24"/>
        </w:rPr>
        <w:t>d de la UE para hacer frente a “la carrera cuesta abajo”</w:t>
      </w:r>
      <w:r w:rsidRPr="007137E3">
        <w:rPr>
          <w:rFonts w:ascii="Times New Roman" w:hAnsi="Times New Roman" w:cs="Times New Roman"/>
          <w:sz w:val="24"/>
          <w:szCs w:val="24"/>
        </w:rPr>
        <w:t xml:space="preserve"> de los Estados miembros en materia de impuestos y de protección de los trabajadores socava sus esfuerzos para combatir la pobreza.</w:t>
      </w:r>
    </w:p>
    <w:p w:rsidR="004D3B88" w:rsidRPr="007137E3" w:rsidRDefault="00071F46"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w:t>
      </w:r>
      <w:r w:rsidR="004D3B88" w:rsidRPr="007137E3">
        <w:rPr>
          <w:rFonts w:ascii="Times New Roman" w:hAnsi="Times New Roman" w:cs="Times New Roman"/>
          <w:sz w:val="24"/>
          <w:szCs w:val="24"/>
        </w:rPr>
        <w:t>Los Estados miembros compiten entre sí de forma inútil. Compiten en una carrera para bajar impuestos, salarios y protecciones para los trabajadores a niveles mínimos porque creen que así pueden atraer a los inversores y mejorar su competitividad en el mercado. Pero socavar los derechos sociales no sólo viola sus obligaciones internacionales, sino que además es malo tanto para empresas y trabajadores como para las arcas públicas. Cada año se pierden entre 160.000 y 190.000 millones de euros sólo por la competencia en materia impositiva. El resultado es que se desplaza la carga fiscal de las grandes empresas e individuos ricos hacia los tr</w:t>
      </w:r>
      <w:r w:rsidRPr="007137E3">
        <w:rPr>
          <w:rFonts w:ascii="Times New Roman" w:hAnsi="Times New Roman" w:cs="Times New Roman"/>
          <w:sz w:val="24"/>
          <w:szCs w:val="24"/>
        </w:rPr>
        <w:t>abajadores y los consumidores”</w:t>
      </w:r>
      <w:r w:rsidR="004D3B88" w:rsidRPr="007137E3">
        <w:rPr>
          <w:rFonts w:ascii="Times New Roman" w:hAnsi="Times New Roman" w:cs="Times New Roman"/>
          <w:sz w:val="24"/>
          <w:szCs w:val="24"/>
        </w:rPr>
        <w:t>.</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El experto de la ONU se reunió del 25 de noviembre al 28 de enero con representantes de instituciones como la Comisión Europea, el Consejo de la UE, el Parlamento Europeo, la Autoridad Laboral Europea, el Comité Económico y Social Europeo, la Agencia de Derechos Fundamentales, el Banco Central Europeo y el Banco Europeo de Inversiones, así como con representantes nacionales o locales de Francia, España, Italia y Rumanía.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También habló con numerosas organizaciones de la sociedad civil que representan a jóvenes y personas mayores, a la población gitana, a inmigrantes, a niños y a personas con discapacidad, así como con personas afectadas por la pobreza de todos estos grupos, y con trabajadores y agentes sociales.</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Se necesita una estrategia audaz</w:t>
      </w:r>
    </w:p>
    <w:p w:rsidR="004D3B88" w:rsidRPr="007137E3" w:rsidRDefault="00071F46"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w:t>
      </w:r>
      <w:r w:rsidR="004D3B88" w:rsidRPr="007137E3">
        <w:rPr>
          <w:rFonts w:ascii="Times New Roman" w:hAnsi="Times New Roman" w:cs="Times New Roman"/>
          <w:sz w:val="24"/>
          <w:szCs w:val="24"/>
        </w:rPr>
        <w:t>Quedé impresionado por la dedicación de las a</w:t>
      </w:r>
      <w:r w:rsidRPr="007137E3">
        <w:rPr>
          <w:rFonts w:ascii="Times New Roman" w:hAnsi="Times New Roman" w:cs="Times New Roman"/>
          <w:sz w:val="24"/>
          <w:szCs w:val="24"/>
        </w:rPr>
        <w:t>utoridades con las que me reuní”, dijo De Schutter. “</w:t>
      </w:r>
      <w:r w:rsidR="004D3B88" w:rsidRPr="007137E3">
        <w:rPr>
          <w:rFonts w:ascii="Times New Roman" w:hAnsi="Times New Roman" w:cs="Times New Roman"/>
          <w:sz w:val="24"/>
          <w:szCs w:val="24"/>
        </w:rPr>
        <w:t>Pero la buena voluntad no es suficiente. Si Europa quiere ser pionera en el camino hacia una sociedad inclusiva, necesita una estrategia a nivel europeo de lucha contra la pobreza que sea audaz, comprometiéndose a reducir la pobreza en un 50% por igual en todos los Es</w:t>
      </w:r>
      <w:r w:rsidRPr="007137E3">
        <w:rPr>
          <w:rFonts w:ascii="Times New Roman" w:hAnsi="Times New Roman" w:cs="Times New Roman"/>
          <w:sz w:val="24"/>
          <w:szCs w:val="24"/>
        </w:rPr>
        <w:t>tados miembros de aquí a 2030”</w:t>
      </w:r>
      <w:r w:rsidR="004D3B88" w:rsidRPr="007137E3">
        <w:rPr>
          <w:rFonts w:ascii="Times New Roman" w:hAnsi="Times New Roman" w:cs="Times New Roman"/>
          <w:sz w:val="24"/>
          <w:szCs w:val="24"/>
        </w:rPr>
        <w:t>.</w:t>
      </w:r>
    </w:p>
    <w:p w:rsidR="004D3B88" w:rsidRPr="007137E3" w:rsidRDefault="00071F46"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w:t>
      </w:r>
      <w:r w:rsidR="004D3B88" w:rsidRPr="007137E3">
        <w:rPr>
          <w:rFonts w:ascii="Times New Roman" w:hAnsi="Times New Roman" w:cs="Times New Roman"/>
          <w:sz w:val="24"/>
          <w:szCs w:val="24"/>
        </w:rPr>
        <w:t>La crisis actual es la oportunidad para que Europa se reinvente situando la justicia social en el centro. El Plan de Acción para implementar el Pilar Europeo de Derechos Sociales, que debería incluir la Garantía Infantil y una propuesta para asegurar sistemas de ingresos mínimos adecuados en toda la UE, es una oportunidad que no debe ser des</w:t>
      </w:r>
      <w:r w:rsidRPr="007137E3">
        <w:rPr>
          <w:rFonts w:ascii="Times New Roman" w:hAnsi="Times New Roman" w:cs="Times New Roman"/>
          <w:sz w:val="24"/>
          <w:szCs w:val="24"/>
        </w:rPr>
        <w:t>perdiciada”.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El informe final de la visita del experto se presentará al Consejo de Derechos Humanos de la ONU en Ginebra en junio de 2021.</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Olivier De Schutter (Belgium) es el relator especial de Naciones Unidas sobre la extrema pobreza y los derechos humanos. Fue nombrado por el Consejo de Derechos Humanos el 1 de mayo de 2020. El Sr. De Schutter es profesor de derecho en UCLouvain y en SciencesPo (París). Fue el Relator Especial sobre el derecho a la alimentación de 2008 a 2014, y miembro del Comité de Derechos Económicos, Sociales y Culturales entre 2015 y 2020.</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 xml:space="preserve">Los Relatores Especiales forman parte de lo que se conoce como los Procedimientos Especiales del Consejo de Derechos Humanos. Los Procedimientos Especiales, el mayor </w:t>
      </w:r>
      <w:r w:rsidRPr="007137E3">
        <w:rPr>
          <w:rFonts w:ascii="Times New Roman" w:hAnsi="Times New Roman" w:cs="Times New Roman"/>
          <w:sz w:val="24"/>
          <w:szCs w:val="24"/>
        </w:rPr>
        <w:lastRenderedPageBreak/>
        <w:t>órgano de expertos independientes del sistema de derechos humanos de la ONU, es el nombre general de los mecanismos independientes de investigación y supervisión del Consejo que se ocupan de situaciones de países específicos o de cuestiones temáticas en todas las partes del mundo. Los expertos de los Procedimientos Especiales trabajan de forma voluntaria; no son personal de la ONU y no reciben un salario por su trabajo. Son independientes de cualquier gobierno u organización y prestan servicios a título individual.</w:t>
      </w:r>
    </w:p>
    <w:p w:rsidR="004B3ED3" w:rsidRPr="007137E3" w:rsidRDefault="00763DF0" w:rsidP="004D3B88">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pobreza en Europa</w:t>
      </w:r>
      <w:r w:rsidR="004B3ED3" w:rsidRPr="007137E3">
        <w:rPr>
          <w:rFonts w:ascii="Times New Roman" w:hAnsi="Times New Roman" w:cs="Times New Roman"/>
          <w:b/>
          <w:sz w:val="24"/>
          <w:szCs w:val="24"/>
        </w:rPr>
        <w:t xml:space="preserve">, según </w:t>
      </w:r>
      <w:r w:rsidR="002D3CAF" w:rsidRPr="007137E3">
        <w:rPr>
          <w:rFonts w:ascii="Times New Roman" w:hAnsi="Times New Roman" w:cs="Times New Roman"/>
          <w:b/>
          <w:sz w:val="24"/>
          <w:szCs w:val="24"/>
        </w:rPr>
        <w:t>“</w:t>
      </w:r>
      <w:r w:rsidR="004B3ED3" w:rsidRPr="007137E3">
        <w:rPr>
          <w:rFonts w:ascii="Times New Roman" w:hAnsi="Times New Roman" w:cs="Times New Roman"/>
          <w:b/>
          <w:sz w:val="24"/>
          <w:szCs w:val="24"/>
        </w:rPr>
        <w:t>San Google</w:t>
      </w:r>
      <w:r w:rsidR="002D3CAF" w:rsidRPr="007137E3">
        <w:rPr>
          <w:rFonts w:ascii="Times New Roman" w:hAnsi="Times New Roman" w:cs="Times New Roman"/>
          <w:b/>
          <w:sz w:val="24"/>
          <w:szCs w:val="24"/>
        </w:rPr>
        <w:t>”</w:t>
      </w:r>
    </w:p>
    <w:p w:rsidR="004D3B88" w:rsidRPr="007137E3" w:rsidRDefault="004D3B88" w:rsidP="004D3B88">
      <w:pPr>
        <w:spacing w:line="240" w:lineRule="auto"/>
        <w:jc w:val="both"/>
        <w:rPr>
          <w:rFonts w:ascii="Times New Roman" w:hAnsi="Times New Roman" w:cs="Times New Roman"/>
          <w:b/>
          <w:sz w:val="24"/>
          <w:szCs w:val="24"/>
        </w:rPr>
      </w:pPr>
      <w:r w:rsidRPr="007137E3">
        <w:rPr>
          <w:rFonts w:ascii="Times New Roman" w:hAnsi="Times New Roman" w:cs="Times New Roman"/>
          <w:b/>
          <w:sz w:val="24"/>
          <w:szCs w:val="24"/>
        </w:rPr>
        <w:t>¿Cuántos pobres hay en Europa?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Una de cada cinco personas en la región, el 21,1% de la población, estaba en riesgo de pobreza o exclusión social en 2019, lo cual representa un total de 92,4 millones de personas. (29 ene 2021)</w:t>
      </w:r>
    </w:p>
    <w:p w:rsidR="004D3B88" w:rsidRPr="007137E3" w:rsidRDefault="004D3B88" w:rsidP="004D3B88">
      <w:pPr>
        <w:spacing w:line="240" w:lineRule="auto"/>
        <w:jc w:val="both"/>
        <w:rPr>
          <w:rFonts w:ascii="Times New Roman" w:hAnsi="Times New Roman" w:cs="Times New Roman"/>
          <w:b/>
          <w:sz w:val="24"/>
          <w:szCs w:val="24"/>
        </w:rPr>
      </w:pPr>
      <w:r w:rsidRPr="007137E3">
        <w:rPr>
          <w:rFonts w:ascii="Times New Roman" w:hAnsi="Times New Roman" w:cs="Times New Roman"/>
          <w:b/>
          <w:sz w:val="24"/>
          <w:szCs w:val="24"/>
        </w:rPr>
        <w:t>¿Cuáles son los países más pobres de Europa?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L</w:t>
      </w:r>
      <w:r w:rsidR="002D3CAF" w:rsidRPr="007137E3">
        <w:rPr>
          <w:rFonts w:ascii="Times New Roman" w:hAnsi="Times New Roman" w:cs="Times New Roman"/>
          <w:sz w:val="24"/>
          <w:szCs w:val="24"/>
        </w:rPr>
        <w:t xml:space="preserve">os 10 países más pobres de Europa por PIB per cápita </w:t>
      </w:r>
      <w:r w:rsidRPr="007137E3">
        <w:rPr>
          <w:rFonts w:ascii="Times New Roman" w:hAnsi="Times New Roman" w:cs="Times New Roman"/>
          <w:sz w:val="24"/>
          <w:szCs w:val="24"/>
        </w:rPr>
        <w:t>(datos en USD; 2019)</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Ucrania: 3</w:t>
      </w:r>
      <w:r w:rsidR="00104FAC">
        <w:rPr>
          <w:rFonts w:ascii="Times New Roman" w:hAnsi="Times New Roman" w:cs="Times New Roman"/>
          <w:sz w:val="24"/>
          <w:szCs w:val="24"/>
        </w:rPr>
        <w:t>.</w:t>
      </w:r>
      <w:r w:rsidRPr="007137E3">
        <w:rPr>
          <w:rFonts w:ascii="Times New Roman" w:hAnsi="Times New Roman" w:cs="Times New Roman"/>
          <w:sz w:val="24"/>
          <w:szCs w:val="24"/>
        </w:rPr>
        <w:t>130 $</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Moldavia: 3</w:t>
      </w:r>
      <w:r w:rsidR="00104FAC">
        <w:rPr>
          <w:rFonts w:ascii="Times New Roman" w:hAnsi="Times New Roman" w:cs="Times New Roman"/>
          <w:sz w:val="24"/>
          <w:szCs w:val="24"/>
        </w:rPr>
        <w:t>.</w:t>
      </w:r>
      <w:r w:rsidRPr="007137E3">
        <w:rPr>
          <w:rFonts w:ascii="Times New Roman" w:hAnsi="Times New Roman" w:cs="Times New Roman"/>
          <w:sz w:val="24"/>
          <w:szCs w:val="24"/>
        </w:rPr>
        <w:t>600 $</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Armenia: 4</w:t>
      </w:r>
      <w:r w:rsidR="00104FAC">
        <w:rPr>
          <w:rFonts w:ascii="Times New Roman" w:hAnsi="Times New Roman" w:cs="Times New Roman"/>
          <w:sz w:val="24"/>
          <w:szCs w:val="24"/>
        </w:rPr>
        <w:t>.</w:t>
      </w:r>
      <w:r w:rsidRPr="007137E3">
        <w:rPr>
          <w:rFonts w:ascii="Times New Roman" w:hAnsi="Times New Roman" w:cs="Times New Roman"/>
          <w:sz w:val="24"/>
          <w:szCs w:val="24"/>
        </w:rPr>
        <w:t>450 $</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Azerbaiyán: 4</w:t>
      </w:r>
      <w:r w:rsidR="00104FAC">
        <w:rPr>
          <w:rFonts w:ascii="Times New Roman" w:hAnsi="Times New Roman" w:cs="Times New Roman"/>
          <w:sz w:val="24"/>
          <w:szCs w:val="24"/>
        </w:rPr>
        <w:t>.</w:t>
      </w:r>
      <w:r w:rsidRPr="007137E3">
        <w:rPr>
          <w:rFonts w:ascii="Times New Roman" w:hAnsi="Times New Roman" w:cs="Times New Roman"/>
          <w:sz w:val="24"/>
          <w:szCs w:val="24"/>
        </w:rPr>
        <w:t>780 $</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Georgia: 4</w:t>
      </w:r>
      <w:r w:rsidR="00104FAC">
        <w:rPr>
          <w:rFonts w:ascii="Times New Roman" w:hAnsi="Times New Roman" w:cs="Times New Roman"/>
          <w:sz w:val="24"/>
          <w:szCs w:val="24"/>
        </w:rPr>
        <w:t>.</w:t>
      </w:r>
      <w:r w:rsidRPr="007137E3">
        <w:rPr>
          <w:rFonts w:ascii="Times New Roman" w:hAnsi="Times New Roman" w:cs="Times New Roman"/>
          <w:sz w:val="24"/>
          <w:szCs w:val="24"/>
        </w:rPr>
        <w:t>810 $</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Albania: 5</w:t>
      </w:r>
      <w:r w:rsidR="00104FAC">
        <w:rPr>
          <w:rFonts w:ascii="Times New Roman" w:hAnsi="Times New Roman" w:cs="Times New Roman"/>
          <w:sz w:val="24"/>
          <w:szCs w:val="24"/>
        </w:rPr>
        <w:t>.</w:t>
      </w:r>
      <w:r w:rsidRPr="007137E3">
        <w:rPr>
          <w:rFonts w:ascii="Times New Roman" w:hAnsi="Times New Roman" w:cs="Times New Roman"/>
          <w:sz w:val="24"/>
          <w:szCs w:val="24"/>
        </w:rPr>
        <w:t>450 $</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Bosnia y Herzegovina: 5</w:t>
      </w:r>
      <w:r w:rsidR="00104FAC">
        <w:rPr>
          <w:rFonts w:ascii="Times New Roman" w:hAnsi="Times New Roman" w:cs="Times New Roman"/>
          <w:sz w:val="24"/>
          <w:szCs w:val="24"/>
        </w:rPr>
        <w:t>.</w:t>
      </w:r>
      <w:r w:rsidRPr="007137E3">
        <w:rPr>
          <w:rFonts w:ascii="Times New Roman" w:hAnsi="Times New Roman" w:cs="Times New Roman"/>
          <w:sz w:val="24"/>
          <w:szCs w:val="24"/>
        </w:rPr>
        <w:t>920 $</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Macedonia: 6</w:t>
      </w:r>
      <w:r w:rsidR="00104FAC">
        <w:rPr>
          <w:rFonts w:ascii="Times New Roman" w:hAnsi="Times New Roman" w:cs="Times New Roman"/>
          <w:sz w:val="24"/>
          <w:szCs w:val="24"/>
        </w:rPr>
        <w:t>.</w:t>
      </w:r>
      <w:r w:rsidRPr="007137E3">
        <w:rPr>
          <w:rFonts w:ascii="Times New Roman" w:hAnsi="Times New Roman" w:cs="Times New Roman"/>
          <w:sz w:val="24"/>
          <w:szCs w:val="24"/>
        </w:rPr>
        <w:t>140 $</w:t>
      </w:r>
    </w:p>
    <w:p w:rsidR="004D3B88" w:rsidRPr="007137E3" w:rsidRDefault="004D3B88" w:rsidP="004D3B88">
      <w:pPr>
        <w:spacing w:line="240" w:lineRule="auto"/>
        <w:jc w:val="both"/>
        <w:rPr>
          <w:rFonts w:ascii="Times New Roman" w:hAnsi="Times New Roman" w:cs="Times New Roman"/>
          <w:b/>
          <w:sz w:val="24"/>
          <w:szCs w:val="24"/>
        </w:rPr>
      </w:pPr>
      <w:r w:rsidRPr="007137E3">
        <w:rPr>
          <w:rFonts w:ascii="Times New Roman" w:hAnsi="Times New Roman" w:cs="Times New Roman"/>
          <w:b/>
          <w:sz w:val="24"/>
          <w:szCs w:val="24"/>
        </w:rPr>
        <w:t>¿Cómo se manifiesta la pobreza en Europa?</w:t>
      </w:r>
    </w:p>
    <w:p w:rsidR="004D3B88" w:rsidRPr="007137E3" w:rsidRDefault="004D3B88" w:rsidP="004D3B8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Unos 113 millones de europeos están en riesgo de pobreza o exclusión social. Son personas con ingresos un 60 % inferior a la media del estado en el que viven y que sólo pueden permitirse comer caliente uno de cada dos días. Suponen el 22,5 % de la población total de la Unión Europea, es decir, uno de cada cuatro</w:t>
      </w:r>
      <w:r w:rsidR="004B3ED3" w:rsidRPr="007137E3">
        <w:rPr>
          <w:rFonts w:ascii="Times New Roman" w:hAnsi="Times New Roman" w:cs="Times New Roman"/>
          <w:sz w:val="24"/>
          <w:szCs w:val="24"/>
        </w:rPr>
        <w:t>.</w:t>
      </w:r>
      <w:r w:rsidRPr="007137E3">
        <w:rPr>
          <w:rFonts w:ascii="Times New Roman" w:hAnsi="Times New Roman" w:cs="Times New Roman"/>
          <w:sz w:val="24"/>
          <w:szCs w:val="24"/>
        </w:rPr>
        <w:t xml:space="preserve"> (5 feb 2019</w:t>
      </w:r>
      <w:r w:rsidR="004B3ED3" w:rsidRPr="007137E3">
        <w:rPr>
          <w:rFonts w:ascii="Times New Roman" w:hAnsi="Times New Roman" w:cs="Times New Roman"/>
          <w:sz w:val="24"/>
          <w:szCs w:val="24"/>
        </w:rPr>
        <w:t>)</w:t>
      </w:r>
    </w:p>
    <w:p w:rsidR="00315728" w:rsidRPr="007137E3" w:rsidRDefault="00315728" w:rsidP="00315728">
      <w:pPr>
        <w:spacing w:line="240" w:lineRule="auto"/>
        <w:jc w:val="both"/>
        <w:rPr>
          <w:rFonts w:ascii="Times New Roman" w:hAnsi="Times New Roman" w:cs="Times New Roman"/>
          <w:b/>
          <w:sz w:val="24"/>
          <w:szCs w:val="24"/>
        </w:rPr>
      </w:pPr>
      <w:r w:rsidRPr="007137E3">
        <w:rPr>
          <w:rFonts w:ascii="Times New Roman" w:hAnsi="Times New Roman" w:cs="Times New Roman"/>
          <w:b/>
          <w:sz w:val="24"/>
          <w:szCs w:val="24"/>
        </w:rPr>
        <w:t>¿Qué es la pobreza absoluta?</w:t>
      </w:r>
    </w:p>
    <w:p w:rsidR="00315728" w:rsidRPr="007137E3" w:rsidRDefault="00315728" w:rsidP="0031572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Una medida de pobreza absoluta define el número de personas bajo un umbral de pobreza que depende del espacio geográfico y del tiempo. Para que una medida de pobreza sea absoluta, la línea de pobreza tiene que ser la misma para todos los países sin importar su cultura y sus niveles de desarrollo tecnológico.</w:t>
      </w:r>
    </w:p>
    <w:p w:rsidR="00315728" w:rsidRPr="007137E3" w:rsidRDefault="00315728" w:rsidP="0031572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 xml:space="preserve">Para contabilizar la pobreza absoluta se establece un mínimo de recursos al que un individuo, país o región debe tener acceso para que disfrute de una vida de calidad. En esta medición la pobreza es definida por causas unidimensionales, por ejemplo, cuando se establece como umbral de pobreza el consumo mínimo de 2.300 calorías al  día para un adulto, o la cantidad de 1,90 USD al día. Es posible decir que se trata de una medida inexacta de la pobreza, ya que considera que los recursos necesarios para la supervivencia son determinados por el </w:t>
      </w:r>
      <w:r w:rsidRPr="007137E3">
        <w:rPr>
          <w:rFonts w:ascii="Times New Roman" w:hAnsi="Times New Roman" w:cs="Times New Roman"/>
          <w:sz w:val="24"/>
          <w:szCs w:val="24"/>
        </w:rPr>
        <w:lastRenderedPageBreak/>
        <w:t>contexto y por las actividades ejercidas por los individuos. Un albañil necesita de más calorías diarias para realizar sus actividades que alguien que trabaja en una oficina. Vivir en Oslo, una de las ciudades más caras del mundo, con la cantidad de 1,90 USD al día no es suficiente para suplir las necesidades más básicas. Sin embargo, en Managua, capital de Nicaragua, con 1,90 USD diarios se pueden adquirir los recursos indispensables a una vida digna.</w:t>
      </w:r>
    </w:p>
    <w:p w:rsidR="00315728" w:rsidRPr="007137E3" w:rsidRDefault="00315728" w:rsidP="00315728">
      <w:pPr>
        <w:spacing w:line="240" w:lineRule="auto"/>
        <w:jc w:val="both"/>
        <w:rPr>
          <w:rFonts w:ascii="Times New Roman" w:hAnsi="Times New Roman" w:cs="Times New Roman"/>
          <w:b/>
          <w:sz w:val="24"/>
          <w:szCs w:val="24"/>
        </w:rPr>
      </w:pPr>
      <w:r w:rsidRPr="007137E3">
        <w:rPr>
          <w:rFonts w:ascii="Times New Roman" w:hAnsi="Times New Roman" w:cs="Times New Roman"/>
          <w:b/>
          <w:sz w:val="24"/>
          <w:szCs w:val="24"/>
        </w:rPr>
        <w:t>¿Que la pobreza relativa?</w:t>
      </w:r>
    </w:p>
    <w:p w:rsidR="00315728" w:rsidRPr="007137E3" w:rsidRDefault="00315728" w:rsidP="0031572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La pobreza se define como la insatisfacción de las necesidades básicas. La medida de pobreza relativa por otro lado, define la pobreza como la condición de estar debajo de un umbral relativo de pobreza. Es la falta de recursos de algunas personas que el resto de la sociedad da por hecho.</w:t>
      </w:r>
    </w:p>
    <w:p w:rsidR="00315728" w:rsidRPr="007137E3" w:rsidRDefault="00315728" w:rsidP="0031572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La pobreza relativa tiene en cuenta que los seres humanos son actores sociales y que se debe medir la pobreza en comparación con aquellos que comparten del mismo entorno social. La pobreza relativa se establece en función del nivel general de ingresos en la comunidad, país, o región analizada. Esta medición también presenta sus debilidades, tal como en un caso donde toda la población tenga un ingreso similar pero todos sufran de malnutrición. En esta situación, nadie es “relativamente” más pobre que el resto, aunque no se puede decir que ni</w:t>
      </w:r>
      <w:r w:rsidR="00071F46" w:rsidRPr="007137E3">
        <w:rPr>
          <w:rFonts w:ascii="Times New Roman" w:hAnsi="Times New Roman" w:cs="Times New Roman"/>
          <w:sz w:val="24"/>
          <w:szCs w:val="24"/>
        </w:rPr>
        <w:t xml:space="preserve">nguno es pobre. Como solución, </w:t>
      </w:r>
      <w:r w:rsidRPr="007137E3">
        <w:rPr>
          <w:rFonts w:ascii="Times New Roman" w:hAnsi="Times New Roman" w:cs="Times New Roman"/>
          <w:sz w:val="24"/>
          <w:szCs w:val="24"/>
        </w:rPr>
        <w:t>Amartya Sen propone el uso del enfoque de las capacidades. La falta de una capacidad es “absoluta” porque no depende de si otras personas la han satisfecho, por ejemplo sentirse respetado(a) por la comunidad. No obstante, los recursos necesarios para adquirir esa capacidad pueden ser diferentes en cada sociedad.</w:t>
      </w:r>
    </w:p>
    <w:p w:rsidR="00A731BE" w:rsidRPr="007137E3" w:rsidRDefault="00315728" w:rsidP="00A731BE">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Para calcular el umbral de pobreza relativa primero se obtiene la mediana de la distribución (el valor que deja a su izquierda el 50% de los individuos). La mediana se calcularía como la media aritmética de los dos datos intermedios (datos de ingresos de las persona 10 y la 11).</w:t>
      </w:r>
    </w:p>
    <w:p w:rsidR="00A731BE" w:rsidRPr="007137E3" w:rsidRDefault="00A731BE" w:rsidP="00A731BE">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 xml:space="preserve">- </w:t>
      </w:r>
      <w:r w:rsidRPr="007137E3">
        <w:rPr>
          <w:rFonts w:ascii="Times New Roman" w:eastAsia="Times New Roman" w:hAnsi="Times New Roman" w:cs="Times New Roman"/>
          <w:sz w:val="24"/>
          <w:szCs w:val="24"/>
          <w:u w:val="single"/>
          <w:lang w:eastAsia="es-ES"/>
        </w:rPr>
        <w:t>Los países más pobres de Europa según su PIB per cápita</w:t>
      </w:r>
    </w:p>
    <w:p w:rsidR="00A731BE" w:rsidRPr="007137E3" w:rsidRDefault="00A731BE" w:rsidP="00A731BE">
      <w:pPr>
        <w:shd w:val="clear" w:color="auto" w:fill="FFFFFF"/>
        <w:spacing w:after="390" w:line="480" w:lineRule="atLeast"/>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 xml:space="preserve">Últimos datos recogidos correspondientes a </w:t>
      </w:r>
      <w:r w:rsidRPr="007137E3">
        <w:rPr>
          <w:rFonts w:ascii="Times New Roman" w:eastAsia="Times New Roman" w:hAnsi="Times New Roman" w:cs="Times New Roman"/>
          <w:b/>
          <w:sz w:val="24"/>
          <w:szCs w:val="24"/>
          <w:lang w:eastAsia="es-ES"/>
        </w:rPr>
        <w:t>enero de 2021</w:t>
      </w:r>
      <w:r w:rsidRPr="007137E3">
        <w:rPr>
          <w:rFonts w:ascii="Times New Roman" w:eastAsia="Times New Roman" w:hAnsi="Times New Roman" w:cs="Times New Roman"/>
          <w:sz w:val="24"/>
          <w:szCs w:val="24"/>
          <w:lang w:eastAsia="es-ES"/>
        </w:rPr>
        <w:t>. (Fuente: </w:t>
      </w:r>
      <w:hyperlink r:id="rId244" w:tgtFrame="_blank" w:history="1">
        <w:r w:rsidRPr="007137E3">
          <w:rPr>
            <w:rFonts w:ascii="Times New Roman" w:eastAsia="Times New Roman" w:hAnsi="Times New Roman" w:cs="Times New Roman"/>
            <w:b/>
            <w:sz w:val="24"/>
            <w:szCs w:val="24"/>
            <w:lang w:eastAsia="es-ES"/>
          </w:rPr>
          <w:t>FMI</w:t>
        </w:r>
      </w:hyperlink>
      <w:r w:rsidRPr="007137E3">
        <w:rPr>
          <w:rFonts w:ascii="Times New Roman" w:eastAsia="Times New Roman" w:hAnsi="Times New Roman" w:cs="Times New Roman"/>
          <w:sz w:val="24"/>
          <w:szCs w:val="24"/>
          <w:lang w:eastAsia="es-ES"/>
        </w:rPr>
        <w:t>)</w:t>
      </w:r>
    </w:p>
    <w:tbl>
      <w:tblPr>
        <w:tblW w:w="8484" w:type="dxa"/>
        <w:tblCellMar>
          <w:top w:w="15" w:type="dxa"/>
          <w:left w:w="15" w:type="dxa"/>
          <w:bottom w:w="15" w:type="dxa"/>
          <w:right w:w="15" w:type="dxa"/>
        </w:tblCellMar>
        <w:tblLook w:val="04A0" w:firstRow="1" w:lastRow="0" w:firstColumn="1" w:lastColumn="0" w:noHBand="0" w:noVBand="1"/>
      </w:tblPr>
      <w:tblGrid>
        <w:gridCol w:w="822"/>
        <w:gridCol w:w="4483"/>
        <w:gridCol w:w="3179"/>
      </w:tblGrid>
      <w:tr w:rsidR="00A731BE" w:rsidRPr="007137E3" w:rsidTr="00A731BE">
        <w:trPr>
          <w:tblHeader/>
        </w:trPr>
        <w:tc>
          <w:tcPr>
            <w:tcW w:w="822" w:type="dxa"/>
            <w:tcBorders>
              <w:top w:val="nil"/>
              <w:left w:val="nil"/>
              <w:bottom w:val="single" w:sz="6" w:space="0" w:color="DDDDDD"/>
              <w:right w:val="nil"/>
            </w:tcBorders>
            <w:shd w:val="clear" w:color="auto" w:fill="D9EDF7"/>
            <w:tcMar>
              <w:top w:w="120" w:type="dxa"/>
              <w:left w:w="120" w:type="dxa"/>
              <w:bottom w:w="120" w:type="dxa"/>
              <w:right w:w="120" w:type="dxa"/>
            </w:tcMar>
            <w:vAlign w:val="center"/>
            <w:hideMark/>
          </w:tcPr>
          <w:p w:rsidR="00A731BE" w:rsidRPr="007137E3" w:rsidRDefault="00A731BE" w:rsidP="00A731BE">
            <w:pPr>
              <w:spacing w:after="0" w:line="240" w:lineRule="auto"/>
              <w:rPr>
                <w:rFonts w:ascii="Times New Roman" w:eastAsia="Times New Roman" w:hAnsi="Times New Roman" w:cs="Times New Roman"/>
                <w:b/>
                <w:bCs/>
                <w:sz w:val="24"/>
                <w:szCs w:val="24"/>
                <w:lang w:eastAsia="es-ES"/>
              </w:rPr>
            </w:pPr>
            <w:r w:rsidRPr="007137E3">
              <w:rPr>
                <w:rFonts w:ascii="Times New Roman" w:eastAsia="Times New Roman" w:hAnsi="Times New Roman" w:cs="Times New Roman"/>
                <w:b/>
                <w:bCs/>
                <w:sz w:val="24"/>
                <w:szCs w:val="24"/>
                <w:lang w:eastAsia="es-ES"/>
              </w:rPr>
              <w:t> </w:t>
            </w:r>
          </w:p>
        </w:tc>
        <w:tc>
          <w:tcPr>
            <w:tcW w:w="4483" w:type="dxa"/>
            <w:tcBorders>
              <w:top w:val="nil"/>
              <w:left w:val="nil"/>
              <w:bottom w:val="single" w:sz="6" w:space="0" w:color="DDDDDD"/>
              <w:right w:val="nil"/>
            </w:tcBorders>
            <w:shd w:val="clear" w:color="auto" w:fill="D9EDF7"/>
            <w:tcMar>
              <w:top w:w="120" w:type="dxa"/>
              <w:left w:w="120" w:type="dxa"/>
              <w:bottom w:w="120" w:type="dxa"/>
              <w:right w:w="120" w:type="dxa"/>
            </w:tcMar>
            <w:vAlign w:val="center"/>
            <w:hideMark/>
          </w:tcPr>
          <w:p w:rsidR="00A731BE" w:rsidRPr="007137E3" w:rsidRDefault="00A731BE" w:rsidP="00A731BE">
            <w:pPr>
              <w:spacing w:after="0" w:line="240" w:lineRule="auto"/>
              <w:rPr>
                <w:rFonts w:ascii="Times New Roman" w:eastAsia="Times New Roman" w:hAnsi="Times New Roman" w:cs="Times New Roman"/>
                <w:b/>
                <w:bCs/>
                <w:sz w:val="24"/>
                <w:szCs w:val="24"/>
                <w:lang w:eastAsia="es-ES"/>
              </w:rPr>
            </w:pPr>
            <w:r w:rsidRPr="007137E3">
              <w:rPr>
                <w:rFonts w:ascii="Times New Roman" w:eastAsia="Times New Roman" w:hAnsi="Times New Roman" w:cs="Times New Roman"/>
                <w:b/>
                <w:bCs/>
                <w:sz w:val="24"/>
                <w:szCs w:val="24"/>
                <w:lang w:eastAsia="es-ES"/>
              </w:rPr>
              <w:t>País</w:t>
            </w:r>
          </w:p>
        </w:tc>
        <w:tc>
          <w:tcPr>
            <w:tcW w:w="3179" w:type="dxa"/>
            <w:tcBorders>
              <w:top w:val="nil"/>
              <w:left w:val="nil"/>
              <w:bottom w:val="single" w:sz="6" w:space="0" w:color="DDDDDD"/>
              <w:right w:val="nil"/>
            </w:tcBorders>
            <w:shd w:val="clear" w:color="auto" w:fill="D9EDF7"/>
            <w:tcMar>
              <w:top w:w="120" w:type="dxa"/>
              <w:left w:w="120" w:type="dxa"/>
              <w:bottom w:w="120" w:type="dxa"/>
              <w:right w:w="120" w:type="dxa"/>
            </w:tcMar>
            <w:vAlign w:val="center"/>
            <w:hideMark/>
          </w:tcPr>
          <w:p w:rsidR="00A731BE" w:rsidRPr="007137E3" w:rsidRDefault="00A731BE" w:rsidP="00A731BE">
            <w:pPr>
              <w:spacing w:after="0" w:line="240" w:lineRule="auto"/>
              <w:rPr>
                <w:rFonts w:ascii="Times New Roman" w:eastAsia="Times New Roman" w:hAnsi="Times New Roman" w:cs="Times New Roman"/>
                <w:b/>
                <w:bCs/>
                <w:sz w:val="24"/>
                <w:szCs w:val="24"/>
                <w:lang w:eastAsia="es-ES"/>
              </w:rPr>
            </w:pPr>
            <w:r w:rsidRPr="007137E3">
              <w:rPr>
                <w:rFonts w:ascii="Times New Roman" w:eastAsia="Times New Roman" w:hAnsi="Times New Roman" w:cs="Times New Roman"/>
                <w:b/>
                <w:bCs/>
                <w:sz w:val="24"/>
                <w:szCs w:val="24"/>
                <w:lang w:eastAsia="es-ES"/>
              </w:rPr>
              <w:t>PIB per cápita (en USD)</w:t>
            </w:r>
          </w:p>
        </w:tc>
      </w:tr>
      <w:tr w:rsidR="00A731BE" w:rsidRPr="007137E3" w:rsidTr="00A731BE">
        <w:tc>
          <w:tcPr>
            <w:tcW w:w="0" w:type="auto"/>
            <w:tcBorders>
              <w:top w:val="nil"/>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w:t>
            </w:r>
          </w:p>
        </w:tc>
        <w:tc>
          <w:tcPr>
            <w:tcW w:w="0" w:type="auto"/>
            <w:tcBorders>
              <w:top w:val="nil"/>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Ucrania</w:t>
            </w:r>
          </w:p>
        </w:tc>
        <w:tc>
          <w:tcPr>
            <w:tcW w:w="3179" w:type="dxa"/>
            <w:tcBorders>
              <w:top w:val="nil"/>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3</w:t>
            </w:r>
            <w:r w:rsidR="00763DF0">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610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2.</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Azerbaiyán</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4</w:t>
            </w:r>
            <w:r w:rsidR="00763DF0">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400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3.</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Armenia</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4</w:t>
            </w:r>
            <w:r w:rsidR="00763DF0">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430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4.</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Moldavia</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4</w:t>
            </w:r>
            <w:r w:rsidR="00763DF0">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530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5.</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Georgia</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4</w:t>
            </w:r>
            <w:r w:rsidR="00763DF0">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710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6.</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Albania</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5</w:t>
            </w:r>
            <w:r w:rsidR="00763DF0">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160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7.</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Bielorrusia</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6</w:t>
            </w:r>
            <w:r w:rsidR="00763DF0">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510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8.</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Bosnia y Herzegovina</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6</w:t>
            </w:r>
            <w:r w:rsidR="00763DF0">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540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lastRenderedPageBreak/>
              <w:t>9.</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Macedonia del Norte</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6</w:t>
            </w:r>
            <w:r w:rsidR="00104FAC">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930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10.</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Turquía</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7</w:t>
            </w:r>
            <w:r w:rsidR="00104FAC">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660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11.</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Serbia</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8</w:t>
            </w:r>
            <w:r w:rsidR="00104FAC">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440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12.</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Montenegro</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9</w:t>
            </w:r>
            <w:r w:rsidR="00104FAC">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150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13.</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Kazajistán</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9</w:t>
            </w:r>
            <w:r w:rsidR="00104FAC">
              <w:rPr>
                <w:rFonts w:ascii="Times New Roman" w:eastAsia="Times New Roman" w:hAnsi="Times New Roman" w:cs="Times New Roman"/>
                <w:sz w:val="24"/>
                <w:szCs w:val="24"/>
                <w:lang w:eastAsia="es-ES"/>
              </w:rPr>
              <w:t>.</w:t>
            </w:r>
            <w:r w:rsidRPr="007137E3">
              <w:rPr>
                <w:rFonts w:ascii="Times New Roman" w:eastAsia="Times New Roman" w:hAnsi="Times New Roman" w:cs="Times New Roman"/>
                <w:sz w:val="24"/>
                <w:szCs w:val="24"/>
                <w:lang w:eastAsia="es-ES"/>
              </w:rPr>
              <w:t>450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14.</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Rusia</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104FAC" w:rsidP="00A731BE">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10.</w:t>
            </w:r>
            <w:r w:rsidR="00A731BE" w:rsidRPr="007137E3">
              <w:rPr>
                <w:rFonts w:ascii="Times New Roman" w:eastAsia="Times New Roman" w:hAnsi="Times New Roman" w:cs="Times New Roman"/>
                <w:sz w:val="24"/>
                <w:szCs w:val="24"/>
                <w:lang w:eastAsia="es-ES"/>
              </w:rPr>
              <w:t>790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15.</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Bulgaria</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104FAC" w:rsidP="00A731BE">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11.</w:t>
            </w:r>
            <w:r w:rsidR="00A731BE" w:rsidRPr="007137E3">
              <w:rPr>
                <w:rFonts w:ascii="Times New Roman" w:eastAsia="Times New Roman" w:hAnsi="Times New Roman" w:cs="Times New Roman"/>
                <w:sz w:val="24"/>
                <w:szCs w:val="24"/>
                <w:lang w:eastAsia="es-ES"/>
              </w:rPr>
              <w:t>350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16.</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Rumanía</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104FAC" w:rsidP="00A731BE">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14.</w:t>
            </w:r>
            <w:r w:rsidR="00A731BE" w:rsidRPr="007137E3">
              <w:rPr>
                <w:rFonts w:ascii="Times New Roman" w:eastAsia="Times New Roman" w:hAnsi="Times New Roman" w:cs="Times New Roman"/>
                <w:sz w:val="24"/>
                <w:szCs w:val="24"/>
                <w:lang w:eastAsia="es-ES"/>
              </w:rPr>
              <w:t>920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17.</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Croacia</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104FAC" w:rsidP="00A731BE">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16.</w:t>
            </w:r>
            <w:r w:rsidR="00A731BE" w:rsidRPr="007137E3">
              <w:rPr>
                <w:rFonts w:ascii="Times New Roman" w:eastAsia="Times New Roman" w:hAnsi="Times New Roman" w:cs="Times New Roman"/>
                <w:sz w:val="24"/>
                <w:szCs w:val="24"/>
                <w:lang w:eastAsia="es-ES"/>
              </w:rPr>
              <w:t>400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18.</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Polonia</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104FAC" w:rsidP="00A731BE">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16.</w:t>
            </w:r>
            <w:r w:rsidR="00A731BE" w:rsidRPr="007137E3">
              <w:rPr>
                <w:rFonts w:ascii="Times New Roman" w:eastAsia="Times New Roman" w:hAnsi="Times New Roman" w:cs="Times New Roman"/>
                <w:sz w:val="24"/>
                <w:szCs w:val="24"/>
                <w:lang w:eastAsia="es-ES"/>
              </w:rPr>
              <w:t>740</w:t>
            </w:r>
          </w:p>
        </w:tc>
      </w:tr>
      <w:tr w:rsidR="00A731BE" w:rsidRPr="007137E3" w:rsidTr="00A731BE">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19.</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Hungría</w:t>
            </w:r>
          </w:p>
        </w:tc>
        <w:tc>
          <w:tcPr>
            <w:tcW w:w="3179" w:type="dxa"/>
            <w:tcBorders>
              <w:top w:val="single" w:sz="6" w:space="0" w:color="DDDDDD"/>
              <w:left w:val="nil"/>
              <w:bottom w:val="nil"/>
              <w:right w:val="nil"/>
            </w:tcBorders>
            <w:shd w:val="clear" w:color="auto" w:fill="FFFFFF"/>
            <w:tcMar>
              <w:top w:w="120" w:type="dxa"/>
              <w:left w:w="120" w:type="dxa"/>
              <w:bottom w:w="120" w:type="dxa"/>
              <w:right w:w="120" w:type="dxa"/>
            </w:tcMar>
            <w:hideMark/>
          </w:tcPr>
          <w:p w:rsidR="00A731BE" w:rsidRPr="007137E3" w:rsidRDefault="00104FAC" w:rsidP="00A731BE">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17.</w:t>
            </w:r>
            <w:r w:rsidR="00A731BE" w:rsidRPr="007137E3">
              <w:rPr>
                <w:rFonts w:ascii="Times New Roman" w:eastAsia="Times New Roman" w:hAnsi="Times New Roman" w:cs="Times New Roman"/>
                <w:sz w:val="24"/>
                <w:szCs w:val="24"/>
                <w:lang w:eastAsia="es-ES"/>
              </w:rPr>
              <w:t>640</w:t>
            </w:r>
          </w:p>
        </w:tc>
      </w:tr>
      <w:tr w:rsidR="00A731BE" w:rsidRPr="007137E3" w:rsidTr="00A731BE">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20.</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A731BE" w:rsidP="00A731BE">
            <w:pPr>
              <w:spacing w:after="0" w:line="240" w:lineRule="auto"/>
              <w:rPr>
                <w:rFonts w:ascii="Times New Roman" w:eastAsia="Times New Roman" w:hAnsi="Times New Roman" w:cs="Times New Roman"/>
                <w:sz w:val="24"/>
                <w:szCs w:val="24"/>
                <w:lang w:eastAsia="es-ES"/>
              </w:rPr>
            </w:pPr>
            <w:r w:rsidRPr="007137E3">
              <w:rPr>
                <w:rFonts w:ascii="Times New Roman" w:eastAsia="Times New Roman" w:hAnsi="Times New Roman" w:cs="Times New Roman"/>
                <w:sz w:val="24"/>
                <w:szCs w:val="24"/>
                <w:lang w:eastAsia="es-ES"/>
              </w:rPr>
              <w:t>Letonia</w:t>
            </w:r>
          </w:p>
        </w:tc>
        <w:tc>
          <w:tcPr>
            <w:tcW w:w="3179" w:type="dxa"/>
            <w:tcBorders>
              <w:top w:val="single" w:sz="6" w:space="0" w:color="DDDDDD"/>
              <w:left w:val="nil"/>
              <w:bottom w:val="nil"/>
              <w:right w:val="nil"/>
            </w:tcBorders>
            <w:shd w:val="clear" w:color="auto" w:fill="F9F9F9"/>
            <w:tcMar>
              <w:top w:w="120" w:type="dxa"/>
              <w:left w:w="120" w:type="dxa"/>
              <w:bottom w:w="120" w:type="dxa"/>
              <w:right w:w="120" w:type="dxa"/>
            </w:tcMar>
            <w:hideMark/>
          </w:tcPr>
          <w:p w:rsidR="00A731BE" w:rsidRPr="007137E3" w:rsidRDefault="00104FAC" w:rsidP="00A731BE">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19.</w:t>
            </w:r>
            <w:r w:rsidR="00A731BE" w:rsidRPr="007137E3">
              <w:rPr>
                <w:rFonts w:ascii="Times New Roman" w:eastAsia="Times New Roman" w:hAnsi="Times New Roman" w:cs="Times New Roman"/>
                <w:sz w:val="24"/>
                <w:szCs w:val="24"/>
                <w:lang w:eastAsia="es-ES"/>
              </w:rPr>
              <w:t>930</w:t>
            </w:r>
          </w:p>
        </w:tc>
      </w:tr>
    </w:tbl>
    <w:p w:rsidR="00A731BE" w:rsidRPr="007137E3" w:rsidRDefault="00A731BE" w:rsidP="00315728">
      <w:pPr>
        <w:spacing w:line="240" w:lineRule="auto"/>
        <w:jc w:val="both"/>
        <w:rPr>
          <w:rFonts w:ascii="Times New Roman" w:hAnsi="Times New Roman" w:cs="Times New Roman"/>
          <w:sz w:val="24"/>
          <w:szCs w:val="24"/>
        </w:rPr>
      </w:pPr>
    </w:p>
    <w:p w:rsidR="00A36259" w:rsidRPr="007137E3" w:rsidRDefault="00A36259" w:rsidP="00EA14DB">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 xml:space="preserve">          </w:t>
      </w:r>
      <w:r w:rsidRPr="007137E3">
        <w:rPr>
          <w:rFonts w:ascii="Times New Roman" w:hAnsi="Times New Roman" w:cs="Times New Roman"/>
          <w:noProof/>
          <w:sz w:val="24"/>
          <w:szCs w:val="24"/>
          <w:lang w:eastAsia="es-ES"/>
        </w:rPr>
        <w:drawing>
          <wp:inline distT="0" distB="0" distL="0" distR="0" wp14:anchorId="334364A8" wp14:editId="3B794A3D">
            <wp:extent cx="5086350" cy="4013200"/>
            <wp:effectExtent l="0" t="0" r="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086350" cy="4013200"/>
                    </a:xfrm>
                    <a:prstGeom prst="rect">
                      <a:avLst/>
                    </a:prstGeom>
                  </pic:spPr>
                </pic:pic>
              </a:graphicData>
            </a:graphic>
          </wp:inline>
        </w:drawing>
      </w:r>
    </w:p>
    <w:p w:rsidR="001C5A31" w:rsidRPr="007137E3" w:rsidRDefault="001C5A31" w:rsidP="001C5A31">
      <w:r w:rsidRPr="007137E3">
        <w:rPr>
          <w:noProof/>
          <w:lang w:eastAsia="es-ES"/>
        </w:rPr>
        <w:lastRenderedPageBreak/>
        <w:drawing>
          <wp:inline distT="0" distB="0" distL="0" distR="0" wp14:anchorId="6B60BB38" wp14:editId="78FB5604">
            <wp:extent cx="5731510" cy="3719358"/>
            <wp:effectExtent l="0" t="0" r="254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731510" cy="3719358"/>
                    </a:xfrm>
                    <a:prstGeom prst="rect">
                      <a:avLst/>
                    </a:prstGeom>
                  </pic:spPr>
                </pic:pic>
              </a:graphicData>
            </a:graphic>
          </wp:inline>
        </w:drawing>
      </w:r>
    </w:p>
    <w:p w:rsidR="001C5A31" w:rsidRPr="007137E3" w:rsidRDefault="001C5A31" w:rsidP="001C5A31">
      <w:r w:rsidRPr="007137E3">
        <w:rPr>
          <w:noProof/>
          <w:lang w:eastAsia="es-ES"/>
        </w:rPr>
        <w:drawing>
          <wp:inline distT="0" distB="0" distL="0" distR="0" wp14:anchorId="659873E5" wp14:editId="24A30510">
            <wp:extent cx="5731510" cy="1675364"/>
            <wp:effectExtent l="0" t="0" r="2540" b="127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31510" cy="1675364"/>
                    </a:xfrm>
                    <a:prstGeom prst="rect">
                      <a:avLst/>
                    </a:prstGeom>
                  </pic:spPr>
                </pic:pic>
              </a:graphicData>
            </a:graphic>
          </wp:inline>
        </w:drawing>
      </w:r>
    </w:p>
    <w:p w:rsidR="001C5A31" w:rsidRPr="007137E3" w:rsidRDefault="001C5A31" w:rsidP="001C5A31">
      <w:r w:rsidRPr="007137E3">
        <w:rPr>
          <w:noProof/>
          <w:lang w:eastAsia="es-ES"/>
        </w:rPr>
        <w:drawing>
          <wp:inline distT="0" distB="0" distL="0" distR="0" wp14:anchorId="7CC1C941" wp14:editId="3152CEF5">
            <wp:extent cx="5731510" cy="2991285"/>
            <wp:effectExtent l="0" t="0" r="254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731510" cy="2991285"/>
                    </a:xfrm>
                    <a:prstGeom prst="rect">
                      <a:avLst/>
                    </a:prstGeom>
                  </pic:spPr>
                </pic:pic>
              </a:graphicData>
            </a:graphic>
          </wp:inline>
        </w:drawing>
      </w:r>
    </w:p>
    <w:p w:rsidR="001C5A31" w:rsidRPr="007137E3" w:rsidRDefault="001C5A31" w:rsidP="001C5A31">
      <w:r w:rsidRPr="007137E3">
        <w:rPr>
          <w:noProof/>
          <w:lang w:eastAsia="es-ES"/>
        </w:rPr>
        <w:lastRenderedPageBreak/>
        <w:drawing>
          <wp:inline distT="0" distB="0" distL="0" distR="0" wp14:anchorId="57D27C6B" wp14:editId="40FC0C4F">
            <wp:extent cx="5733848" cy="3251200"/>
            <wp:effectExtent l="0" t="0" r="635"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3249874"/>
                    </a:xfrm>
                    <a:prstGeom prst="rect">
                      <a:avLst/>
                    </a:prstGeom>
                  </pic:spPr>
                </pic:pic>
              </a:graphicData>
            </a:graphic>
          </wp:inline>
        </w:drawing>
      </w:r>
    </w:p>
    <w:p w:rsidR="001C5A31" w:rsidRPr="007137E3" w:rsidRDefault="001C5A31" w:rsidP="001C5A31">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 xml:space="preserve">Para elaborar este informe, Oxfam ha entrevistado a 295 economistas de 79 países. Entre ellos, se encuentran algunos de los y las economistas más destacados a nivel mundial, como Jayati Ghosh, Jeffrey Sachs y Gabriel Zucman. Les hemos preguntado si pensaban que la desigualdad aumentaría a causa de la pandemia de coronavirus, y les hemos planteado distintas preguntas sobre la desigualdad de ingresos y de riqueza, así como sobre la desigualdad racial y de género.  </w:t>
      </w:r>
    </w:p>
    <w:p w:rsidR="001C5A31" w:rsidRPr="007137E3" w:rsidRDefault="001C5A31" w:rsidP="001C5A31">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El 87% de las y los economistas encuestados prevé que la desigualdad de ingresos aumente o aumente mucho en sus respectivos países como consecuencia de la pandemia. Economistas de 77 de los 79 países encuestados compartían esta opinión. En 71 de los 79 países, el 78% de las y los economistas consultados creía que la desigualdad de ingresos aumentará o aumen</w:t>
      </w:r>
      <w:r w:rsidR="00200BD5">
        <w:rPr>
          <w:rFonts w:ascii="Times New Roman" w:hAnsi="Times New Roman" w:cs="Times New Roman"/>
          <w:sz w:val="24"/>
          <w:szCs w:val="24"/>
        </w:rPr>
        <w:t>tará mucho. Más de la mitad (56</w:t>
      </w:r>
      <w:r w:rsidRPr="007137E3">
        <w:rPr>
          <w:rFonts w:ascii="Times New Roman" w:hAnsi="Times New Roman" w:cs="Times New Roman"/>
          <w:sz w:val="24"/>
          <w:szCs w:val="24"/>
        </w:rPr>
        <w:t>%) creen también que es probable o muy probable que la desigualdad de géner</w:t>
      </w:r>
      <w:r w:rsidR="00200BD5">
        <w:rPr>
          <w:rFonts w:ascii="Times New Roman" w:hAnsi="Times New Roman" w:cs="Times New Roman"/>
          <w:sz w:val="24"/>
          <w:szCs w:val="24"/>
        </w:rPr>
        <w:t>o aumente, y dos tercios (el 66</w:t>
      </w:r>
      <w:r w:rsidRPr="007137E3">
        <w:rPr>
          <w:rFonts w:ascii="Times New Roman" w:hAnsi="Times New Roman" w:cs="Times New Roman"/>
          <w:sz w:val="24"/>
          <w:szCs w:val="24"/>
        </w:rPr>
        <w:t>%) de ellos piensan lo mismo respecto a la desigualdad racial. Además, dos tercios consideran también que sus Gobiernos no han adoptado ningún plan para luchar contra la desigualdad.</w:t>
      </w:r>
    </w:p>
    <w:p w:rsidR="001C5A31" w:rsidRPr="007137E3" w:rsidRDefault="00200BD5" w:rsidP="001C5A31">
      <w:pPr>
        <w:spacing w:line="240" w:lineRule="auto"/>
        <w:jc w:val="both"/>
        <w:rPr>
          <w:rFonts w:ascii="Times New Roman" w:hAnsi="Times New Roman" w:cs="Times New Roman"/>
          <w:sz w:val="24"/>
          <w:szCs w:val="24"/>
        </w:rPr>
      </w:pPr>
      <w:r>
        <w:rPr>
          <w:rFonts w:ascii="Times New Roman" w:hAnsi="Times New Roman" w:cs="Times New Roman"/>
          <w:sz w:val="24"/>
          <w:szCs w:val="24"/>
        </w:rPr>
        <w:t>Conclusión:</w:t>
      </w:r>
      <w:r w:rsidR="001C5A31" w:rsidRPr="007137E3">
        <w:rPr>
          <w:rFonts w:ascii="Times New Roman" w:hAnsi="Times New Roman" w:cs="Times New Roman"/>
          <w:sz w:val="24"/>
          <w:szCs w:val="24"/>
        </w:rPr>
        <w:t xml:space="preserve"> La pandemia de coronavirus ha puesto al descubierto y ha exacerbado las desigualdades económicas, de género y raciales, a la vez que se ha alimentado de ellas. Esta crisis ha dejado al descubierto los problemas de nuestro fallido sistema económico global, así como otros tipos de opresión estructural que permiten que una pequeña élite prospere, mientras las personas en situación de pobreza, un gran número de mujeres, las personas negras y afrodescendientes, los Pueblos Indígenas y demás comunidades históricamente excluidas y oprimidas de todo el mundo tienen dificultades para sobrevivir. Estamos en un momento crucial para la humanidad. No podemos volver al mundo brutal, injusto e insostenible en el que vivíamos antes de la irrupción del virus. La humanidad dispone de un talento increíble, una enorme riqueza y una imaginación infinita. Debemos sacar partido a estos recursos para construir una economía más justa y sostenible al servicio de todas las personas, y no sólo de una minoría privilegiada. Esto permitirá construir un futuro que no esté dirigido por los más ricos, sino de manera colectiva por una gran diversidad de voces, y que esté cimentado en los principios de la democracia y los derechos humanos.</w:t>
      </w:r>
    </w:p>
    <w:p w:rsidR="00EA14DB" w:rsidRPr="007137E3" w:rsidRDefault="00E6073E" w:rsidP="00EA14DB">
      <w:pPr>
        <w:spacing w:line="240" w:lineRule="auto"/>
        <w:jc w:val="both"/>
        <w:rPr>
          <w:rFonts w:ascii="Times New Roman" w:hAnsi="Times New Roman" w:cs="Times New Roman"/>
          <w:b/>
          <w:sz w:val="24"/>
          <w:szCs w:val="24"/>
        </w:rPr>
      </w:pPr>
      <w:r w:rsidRPr="007137E3">
        <w:rPr>
          <w:rFonts w:ascii="Times New Roman" w:hAnsi="Times New Roman" w:cs="Times New Roman"/>
          <w:b/>
          <w:sz w:val="24"/>
          <w:szCs w:val="24"/>
        </w:rPr>
        <w:lastRenderedPageBreak/>
        <w:t>Nota: durante la crisis financiera del año 2008 y la crisis sanitaria de 2021, ¿cuántos millones de personas han dejado de pertenecer a la clase media? ¿y cuántos millones que ya eran pobres o vulnerables han pasado a la indigencia? En el primer grupo imperan la frustración y la decepción; en el segundo, la desesperación y la furia.</w:t>
      </w:r>
    </w:p>
    <w:p w:rsidR="00E623D8" w:rsidRPr="007137E3" w:rsidRDefault="00E623D8" w:rsidP="00E623D8">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¿Cómo deberían responder los responsables de las políticas económicas? Según Simon Johnson, ex economista jefe del Fondo Monetario Internacional (</w:t>
      </w:r>
      <w:r w:rsidRPr="007137E3">
        <w:rPr>
          <w:rFonts w:ascii="Times New Roman" w:hAnsi="Times New Roman" w:cs="Times New Roman"/>
          <w:sz w:val="24"/>
          <w:szCs w:val="24"/>
          <w:u w:val="single"/>
        </w:rPr>
        <w:t>La mejor respuesta a las crisis</w:t>
      </w:r>
      <w:r w:rsidRPr="007137E3">
        <w:rPr>
          <w:rFonts w:ascii="Times New Roman" w:hAnsi="Times New Roman" w:cs="Times New Roman"/>
          <w:sz w:val="24"/>
          <w:szCs w:val="24"/>
        </w:rPr>
        <w:t xml:space="preserve"> - Project Syndicate - </w:t>
      </w:r>
      <w:r w:rsidRPr="007137E3">
        <w:rPr>
          <w:rFonts w:ascii="Times New Roman" w:hAnsi="Times New Roman" w:cs="Times New Roman"/>
          <w:b/>
          <w:sz w:val="24"/>
          <w:szCs w:val="24"/>
        </w:rPr>
        <w:t>1/7/21</w:t>
      </w:r>
      <w:r w:rsidRPr="007137E3">
        <w:rPr>
          <w:rFonts w:ascii="Times New Roman" w:hAnsi="Times New Roman" w:cs="Times New Roman"/>
          <w:sz w:val="24"/>
          <w:szCs w:val="24"/>
        </w:rPr>
        <w:t>): “Hay dos alternativas plausibles: centrarse en ayudar al sector financiero, en la línea de lo que se hizo en 2008-09, o ir lo más grande posible para ayudar a todos los que necesitan ayuda, como se hizo en 2020-21. Si bien la respuesta a la crisis de 2008 fue mejor que muchas alternativas, lo que se logró en 2020 debería convertirse en nuestro punto de referencia para enfrentar los cataclismos sistémicos</w:t>
      </w:r>
      <w:r w:rsidR="00D46EDF" w:rsidRPr="007137E3">
        <w:rPr>
          <w:rFonts w:ascii="Times New Roman" w:hAnsi="Times New Roman" w:cs="Times New Roman"/>
          <w:sz w:val="24"/>
          <w:szCs w:val="24"/>
        </w:rPr>
        <w:t>…</w:t>
      </w:r>
    </w:p>
    <w:p w:rsidR="00D46EDF" w:rsidRPr="007137E3" w:rsidRDefault="00D46EDF" w:rsidP="00D46EDF">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Tras la crisis financiera mundial de 2008, el consenso entre los responsables políticos de Estados Unidos y Europa fue que las medidas de rescate deberían centrarse en ayudar a prevenir la quiebra en el sector financiero. Esto significó proporcionar capital social adicional en condiciones ventajosas e intentar impulsar los precios de los activos tanto como fuera posible. La cantidad de apoyo brindado directamente a los propietarios de viviendas y a los desempleados fue pequeña en comparación, y tampoco se tuvo en cuenta a las empresas no financieras (restaurantes, tiendas, hoteles, etc.) que fueron sorprendidas por el desastre.</w:t>
      </w:r>
    </w:p>
    <w:p w:rsidR="00D46EDF" w:rsidRPr="007137E3" w:rsidRDefault="00D46EDF" w:rsidP="00D46EDF">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En 2020, las cosas fueron diferentes. El sistema financiero también estaba en peligro, pero esta vez había mucho más apetito político para ayudar a personas inocentes fuera de las finanzas.</w:t>
      </w:r>
    </w:p>
    <w:p w:rsidR="00D46EDF" w:rsidRPr="007137E3" w:rsidRDefault="00D46EDF" w:rsidP="00D46EDF">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Por supuesto, la mayoría de las personas que pierden sus trabajos o sufren pérdidas de ingresos en cualquier recesión económica deben considerarse espectadores inocentes. Pero los formuladores de políticas económicas convencionalmente consideran que tales pérdidas son normales o inevitables, o incluso, en el último eufemismo engañoso, una parte necesaria de la “destrucción creativa”…</w:t>
      </w:r>
    </w:p>
    <w:p w:rsidR="00D46EDF" w:rsidRPr="007137E3" w:rsidRDefault="00D46EDF" w:rsidP="00D46EDF">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A los multimillonarios les fue bien en 2020, al igual que lo hicieron después de 2008. La diferencia esta vez es que los hogares comunes estaban mejor protegidos.</w:t>
      </w:r>
    </w:p>
    <w:p w:rsidR="00D46EDF" w:rsidRPr="007137E3" w:rsidRDefault="00D46EDF" w:rsidP="00D46EDF">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Por supuesto, el sistema de apoyo público resultó estar lejos de ser perfecto. Ha sido demasiado difícil poner dinero en efectivo en manos de las personas que lo necesitan, incluidos los trabajadores del sector de servicios con salarios más bajos. Las pequeñas empresas que solicitan ayuda han tenido que sortear un trámite burocrático oneroso. Y el acceso a los recursos de salud pública se ha mantenido extremadamente desigual”...</w:t>
      </w:r>
    </w:p>
    <w:p w:rsidR="00D46EDF" w:rsidRPr="007137E3" w:rsidRDefault="00D46EDF" w:rsidP="00D46EDF">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Habrá impactos en el futuro y no hay razón para pensar que serán más pequeños que los que están en la memoria viva de la mayoría de las personas. En los últimos 30 años, el Muro de Berlín cayó, China se levantó, los terroristas atacaron a los EEUU, el mercado de la vivienda estalló y una pandemia mundial cerró casi todo.</w:t>
      </w:r>
    </w:p>
    <w:p w:rsidR="00D46EDF" w:rsidRPr="007137E3" w:rsidRDefault="00D46EDF" w:rsidP="00D46EDF">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Podemos y debemos prepararnos para todos los choques específicos que podamos imaginar. Pero cada una de esas interrupciones importantes fue considerada por la mayoría de la gente, y todos los políticos que importaban, como un evento de baja probabilidad.</w:t>
      </w:r>
    </w:p>
    <w:p w:rsidR="00D46EDF" w:rsidRPr="007137E3" w:rsidRDefault="00D46EDF" w:rsidP="00D46EDF">
      <w:pPr>
        <w:spacing w:line="240" w:lineRule="auto"/>
        <w:jc w:val="both"/>
        <w:rPr>
          <w:rFonts w:ascii="Times New Roman" w:hAnsi="Times New Roman" w:cs="Times New Roman"/>
          <w:sz w:val="24"/>
          <w:szCs w:val="24"/>
        </w:rPr>
      </w:pPr>
      <w:r w:rsidRPr="007137E3">
        <w:rPr>
          <w:rFonts w:ascii="Times New Roman" w:hAnsi="Times New Roman" w:cs="Times New Roman"/>
          <w:sz w:val="24"/>
          <w:szCs w:val="24"/>
        </w:rPr>
        <w:t>Pero a estas alturas, deberíamos saberlo mejor. La mejor manera de prepararse para lo imprevisible es ayudar a las personas a vivir vidas más saludables y prósperas en los buenos tiempos, y ofrecer la mayor ayuda posible a todos los que la necesiten cuando vuelvan los malos tiempos”.</w:t>
      </w:r>
    </w:p>
    <w:p w:rsidR="001B466B" w:rsidRDefault="001B466B" w:rsidP="001B466B">
      <w:pPr>
        <w:rPr>
          <w:rFonts w:ascii="Times New Roman" w:hAnsi="Times New Roman" w:cs="Times New Roman"/>
          <w:b/>
          <w:sz w:val="24"/>
          <w:szCs w:val="24"/>
        </w:rPr>
      </w:pPr>
      <w:r w:rsidRPr="009E1BA7">
        <w:rPr>
          <w:rFonts w:ascii="Times New Roman" w:hAnsi="Times New Roman" w:cs="Times New Roman"/>
          <w:b/>
          <w:sz w:val="24"/>
          <w:szCs w:val="24"/>
        </w:rPr>
        <w:lastRenderedPageBreak/>
        <w:t xml:space="preserve">- Algunos </w:t>
      </w:r>
      <w:r>
        <w:rPr>
          <w:rFonts w:ascii="Times New Roman" w:hAnsi="Times New Roman" w:cs="Times New Roman"/>
          <w:b/>
          <w:sz w:val="24"/>
          <w:szCs w:val="24"/>
        </w:rPr>
        <w:t>“</w:t>
      </w:r>
      <w:r w:rsidRPr="009E1BA7">
        <w:rPr>
          <w:rFonts w:ascii="Times New Roman" w:hAnsi="Times New Roman" w:cs="Times New Roman"/>
          <w:b/>
          <w:sz w:val="24"/>
          <w:szCs w:val="24"/>
        </w:rPr>
        <w:t>apuntes</w:t>
      </w:r>
      <w:r>
        <w:rPr>
          <w:rFonts w:ascii="Times New Roman" w:hAnsi="Times New Roman" w:cs="Times New Roman"/>
          <w:b/>
          <w:sz w:val="24"/>
          <w:szCs w:val="24"/>
        </w:rPr>
        <w:t>”</w:t>
      </w:r>
      <w:r w:rsidRPr="009E1BA7">
        <w:rPr>
          <w:rFonts w:ascii="Times New Roman" w:hAnsi="Times New Roman" w:cs="Times New Roman"/>
          <w:b/>
          <w:sz w:val="24"/>
          <w:szCs w:val="24"/>
        </w:rPr>
        <w:t xml:space="preserve"> sobre la </w:t>
      </w:r>
      <w:r>
        <w:rPr>
          <w:rFonts w:ascii="Times New Roman" w:hAnsi="Times New Roman" w:cs="Times New Roman"/>
          <w:b/>
          <w:sz w:val="24"/>
          <w:szCs w:val="24"/>
        </w:rPr>
        <w:t>“sociedad</w:t>
      </w:r>
      <w:r w:rsidR="00104FAC">
        <w:rPr>
          <w:rFonts w:ascii="Times New Roman" w:hAnsi="Times New Roman" w:cs="Times New Roman"/>
          <w:b/>
          <w:sz w:val="24"/>
          <w:szCs w:val="24"/>
        </w:rPr>
        <w:t xml:space="preserve"> -europea-</w:t>
      </w:r>
      <w:r>
        <w:rPr>
          <w:rFonts w:ascii="Times New Roman" w:hAnsi="Times New Roman" w:cs="Times New Roman"/>
          <w:b/>
          <w:sz w:val="24"/>
          <w:szCs w:val="24"/>
        </w:rPr>
        <w:t xml:space="preserve"> del malestar</w:t>
      </w:r>
      <w:r w:rsidRPr="009E1BA7">
        <w:rPr>
          <w:rFonts w:ascii="Times New Roman" w:hAnsi="Times New Roman" w:cs="Times New Roman"/>
          <w:b/>
          <w:sz w:val="24"/>
          <w:szCs w:val="24"/>
        </w:rPr>
        <w:t>”</w:t>
      </w:r>
      <w:r w:rsidR="00104FAC">
        <w:rPr>
          <w:rFonts w:ascii="Times New Roman" w:hAnsi="Times New Roman" w:cs="Times New Roman"/>
          <w:b/>
          <w:sz w:val="24"/>
          <w:szCs w:val="24"/>
        </w:rPr>
        <w:t xml:space="preserve"> </w:t>
      </w:r>
      <w:r>
        <w:rPr>
          <w:rFonts w:ascii="Times New Roman" w:hAnsi="Times New Roman" w:cs="Times New Roman"/>
          <w:b/>
          <w:sz w:val="24"/>
          <w:szCs w:val="24"/>
        </w:rPr>
        <w:t>(testigo de cargo)</w:t>
      </w:r>
    </w:p>
    <w:p w:rsidR="001B466B" w:rsidRDefault="001B466B" w:rsidP="001B466B">
      <w:pPr>
        <w:rPr>
          <w:rFonts w:ascii="Times New Roman" w:hAnsi="Times New Roman" w:cs="Times New Roman"/>
          <w:b/>
          <w:sz w:val="24"/>
          <w:szCs w:val="24"/>
        </w:rPr>
      </w:pPr>
      <w:r>
        <w:rPr>
          <w:rFonts w:ascii="Arial" w:hAnsi="Arial" w:cs="Arial"/>
          <w:noProof/>
          <w:color w:val="000000"/>
          <w:sz w:val="15"/>
          <w:szCs w:val="15"/>
          <w:lang w:eastAsia="es-ES"/>
        </w:rPr>
        <w:drawing>
          <wp:inline distT="0" distB="0" distL="0" distR="0" wp14:anchorId="46120649" wp14:editId="3C87F1C4">
            <wp:extent cx="5403850" cy="2495550"/>
            <wp:effectExtent l="0" t="0" r="6350" b="0"/>
            <wp:docPr id="138" name="Imagen 138" descr="irelandb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irelandbe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403850" cy="2495550"/>
                    </a:xfrm>
                    <a:prstGeom prst="rect">
                      <a:avLst/>
                    </a:prstGeom>
                    <a:noFill/>
                    <a:ln>
                      <a:noFill/>
                    </a:ln>
                  </pic:spPr>
                </pic:pic>
              </a:graphicData>
            </a:graphic>
          </wp:inline>
        </w:drawing>
      </w:r>
    </w:p>
    <w:p w:rsidR="001B466B" w:rsidRPr="00E43B7E" w:rsidRDefault="001B466B" w:rsidP="001B466B">
      <w:pPr>
        <w:shd w:val="clear" w:color="auto" w:fill="FFFFFF"/>
        <w:spacing w:after="0" w:line="240" w:lineRule="auto"/>
        <w:jc w:val="both"/>
        <w:textAlignment w:val="baseline"/>
        <w:rPr>
          <w:rFonts w:ascii="Times New Roman" w:eastAsia="Times New Roman" w:hAnsi="Times New Roman" w:cs="Times New Roman"/>
          <w:sz w:val="24"/>
          <w:szCs w:val="24"/>
        </w:rPr>
      </w:pPr>
      <w:r w:rsidRPr="00E43B7E">
        <w:rPr>
          <w:rFonts w:ascii="Times New Roman" w:eastAsia="Times New Roman" w:hAnsi="Times New Roman" w:cs="Times New Roman"/>
          <w:sz w:val="24"/>
          <w:szCs w:val="24"/>
        </w:rPr>
        <w:t>La clase media (de los países ricos) no va al paraíso (avergonzada de ser pobre)</w:t>
      </w:r>
    </w:p>
    <w:p w:rsidR="001B466B" w:rsidRDefault="001B466B" w:rsidP="001B466B">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1B466B" w:rsidRDefault="001B466B" w:rsidP="001B466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hAnsi="Times New Roman" w:cs="Times New Roman"/>
          <w:sz w:val="24"/>
          <w:szCs w:val="24"/>
        </w:rPr>
        <w:t>Hay mil historias, cada una es diferente…</w:t>
      </w:r>
    </w:p>
    <w:p w:rsidR="001B466B" w:rsidRDefault="001B466B" w:rsidP="001B466B">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Muchos miembros de la clase media que caen ahora en la pobreza lo ocultan a su entorno… Nunca hubieran pensado que se verían en esta situación… “Cuando ves que tu nivel de vida no es el mismo que antes, claro que te preguntas qué te ha pasado. Al principio te consuelas pensando que ya mañana irá mejor, que mañana encontrarás algo... Pero llega mañana y nada, y el dinero va bajando… Hasta que de repente te entra el miedo: “¿Y si no encuentro  un nuevo trabajo?, ¿y si me echan del piso?”.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echan la vista atrás y se preguntan en qué momento empezó todo, el motivo que puso en marcha los vasos comunicantes que acaban en la exclusión. Personas que hasta el momento del “detonante” no habían tenido ninguna relación con la exclusión y que ocultan su situación porque no quieren identificarse con una clase social denostada por la sociedad. Que no tienen para comprarse un abrigo, pero no dejan de pagar la comunidad para que no lo sepan los vecinos. Personas que viven lo que los expertos ya han acertado a denominar como “pobreza vergonzante”… que padecen la epidemia de la precariedad, cuando el empleo deja de garantizar la estabilidad de las familias… Pueden notar que hay más empleo pero que es más precario… Piden un trabajo fijo, cuando la mayoría de los empleos son temporales… Y si destinan todo a vivienda es cuando dejan de alimentarse de manera correcta, o pasan frío porque no pueden pagar la calefacción…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Al principio todo el mundo se siente aturdido, bloqueado. Uno no se levanta por la mañana y se encuentra como proyecto de futuro en la calle, sino que pasa algo y lo quiebra todo… Algunos se  cuidan mucho, se esfuerzan en mantener la dignidad y que no se note la nueva pobreza… Para los gastos básicos van pidiendo dinero a amigos con excusas, pero nunca dos veces a la misma persona. No quieren molestar…. La pobreza vergonzante… Hay una serie de espacios relacionales donde hacen su red: colegio de los niños, trabajo, ocio… Pero si les expulsan de esos espacios, eso se va perdiendo. Si se quedan sin trabajo, su círculo se reduce. Si no tienen dinero para el ocio, se vas distanciando de los amigos…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diferencia de otros tipos de pobreza, la vergonzante no llama cuando lo necesita, sino que hay que salir a buscarla. La exclusión es una lotería en la que todos juegan, pero en la que </w:t>
      </w:r>
      <w:r>
        <w:rPr>
          <w:rFonts w:ascii="Times New Roman" w:hAnsi="Times New Roman" w:cs="Times New Roman"/>
          <w:sz w:val="24"/>
          <w:szCs w:val="24"/>
        </w:rPr>
        <w:lastRenderedPageBreak/>
        <w:t xml:space="preserve">unos tienen más papeletas que otros. La falta de trabajo, el nivel de formación profesional o los entornos desestructurados son factores de riesgo, pero llegado el momento del azar, a cualquiera puede tocarle. “Es una cuestión de circunstancias. En la vida al final tomamos muchas decisiones cuyas consecuencias no podemos calcular. Contratas una hipoteca pensando que vas a poder pagar los siguientes 25 o 30 años. O formas una familia, pensando que no te vas a divorciar…”. Según los servicios sociales, la pobreza vergonzante se da más en barrios con mayor poder adquisitivo, porque no quieren ser los únicos señalados por ese problema social. “Por eso algunos pagan antes la comunidad que la calefacción”, explican.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ha cambiado los tipos de pobreza, pero no la imagen que se tiene de ella. Por eso, los que caen por primera vez en la vulnerabilidad económica tienen problemas para identificarse en su nueva realidad. Vivimos en una sociedad en la que poseer y visibilizarse como alguien que tiene dinero es fenómeno de éxito y no tener es símbolo de fracaso. Pero es cierto que la crisis económica pone a muchas familias en una situación que hasta entonces no habían vivido. Por eso, cuando se confían, la frase más habitual es “nunca pensé que me iba a ocurrir a mí”. La imagen del pobre ha cambiado, por eso no se reconocen, se puede ver por la calle a una persona con un nivel de limpieza y educación muy correcto, pero que está sufriendo una precariedad importantísima.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Uno de los sentimientos más comunes de este tipo de pobreza es la culpa, el sentir que podrían haber evitado la situación, sobre todo cuando piensan en su familia: “Cuando se enteraron, no se lo creían, que una persona con estudios como yo, acabase así”. Aunque con la vergüenza no se come, la sensación de humillación, los paraliza, deprime, aliena…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Aunque superen esa etapa de abatimiento, continúan sufriendo momentos de bajón y sobre todo, una profunda soledad que, a veces, ni siquiera pueden compartir con su familia. Cuesta que el núcleo familiar sea del todo consciente de la nueva situación “o más bien no se quieren enterar”. A veces, cuando no pueden mantener el nivel de gastos, dicen: “Joder, es que parece que somos pobres”. Ya… eso es lo que no quieren ver: “que ahora son (somos) pobres”.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La desigualdad económica ¿realmente se ha incrementado en las últimas dos décadas, conocidas como “la era de la globalización”? ¿Dónde y cuánto? Y lo que es más importante, ¿por qué? ¿Cuál es la relación, si existiera, entre la desigualdad y el desarrollo económico? ¿Cuál es el efecto sobre la desigualdad de las crisis económicas, las guerras, las revoluciones y los golpes de Estado? ¿Cuál es el efecto sobre la desigualdad de las turbulencias financieras en los países en desarrollo y, más específicamente, sobre  las crisis de la deuda y los colapsos cambiarios? ¿Cuál es el efecto de factores nacionales como las políticas públicas y cuál es el efecto de factores globales como el nivel internacional de los tipos de interés?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Desde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modelos económicos implementados. Esta situación de “bipolaridad” se consolida en la era digital. Y ahí, estamos.</w:t>
      </w:r>
    </w:p>
    <w:p w:rsidR="001B466B" w:rsidRDefault="001B466B" w:rsidP="001B466B">
      <w:pPr>
        <w:pStyle w:val="NormalWeb"/>
        <w:jc w:val="both"/>
        <w:rPr>
          <w:b/>
        </w:rPr>
      </w:pPr>
      <w:r>
        <w:rPr>
          <w:b/>
        </w:rPr>
        <w:t>La crisis de los rehenes… (un camino a ninguna parte)</w:t>
      </w:r>
    </w:p>
    <w:p w:rsidR="001B466B" w:rsidRDefault="001B466B" w:rsidP="001B466B">
      <w:pPr>
        <w:pStyle w:val="NormalWeb"/>
        <w:jc w:val="both"/>
      </w:pPr>
      <w:r>
        <w:t xml:space="preserve">Llega el Apartado más triste del relato, difícil, desagradable, angustioso, doloroso, penoso, sangrante, desolador, desconsolador,… cuando los “grandes números” se transforman en </w:t>
      </w:r>
      <w:r>
        <w:lastRenderedPageBreak/>
        <w:t>“dramas personales”, en nombres, caras, voces, desdichas, tragedias, calamidades, desventuras, miedo, espanto, horror, desesperación, depresión, pánico…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Desempleo y la falta de oportunidades económicas, </w:t>
      </w:r>
      <w:r>
        <w:rPr>
          <w:rFonts w:ascii="Times New Roman" w:hAnsi="Times New Roman"/>
          <w:sz w:val="24"/>
          <w:szCs w:val="24"/>
        </w:rPr>
        <w:t xml:space="preserve">caída de los salarios reales y de los ingresos familiares, </w:t>
      </w:r>
      <w:r>
        <w:rPr>
          <w:rFonts w:ascii="Times New Roman" w:hAnsi="Times New Roman" w:cs="Times New Roman"/>
          <w:sz w:val="24"/>
          <w:szCs w:val="24"/>
        </w:rPr>
        <w:t>grandes brechas de riqueza, altos índices de pobreza, crisis educativa,  niveles de desigualdad tercermundista, cupones de comida, carencia de sanidad pública, desahucios, villas miseria, inseguridad alimentaria infantil, fracaso escolar… tristes records del país más poderoso de la tierra, sufridos por su propia gente.</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Gente que alguna vez creyó en “el sueño americano” o en el “estado de bienestar europeo”… que se imaginó libre por siempre de padecer las lacras del Tercer Mundo, y que hoy vive la pesadilla de una post guerra sin haber tenido ninguna guerra, que hoy arrastra la desesperanza de su propia vida, las dudas sobre las posibilidades de sus hijos y el recelo por el futuro de sus nietos.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Gente que hasta ayer tenía un empleo (o dos, contando el de su mujer), un salario razonable y seguro (o dos, contando el de su mujer), casa propia (con deuda hipotecaria a largo plazo), probablemente dos automóviles (uno todo terreno, para ir al súper), colegio o universidad para los hijos, plan de pensiones, seguro de salud,  club, gimnasio, vacaciones, viajes, ocio, esparcimiento, hobbies, todos los electrodomésticos y chucherías electrónicas novedosas que las grandes tiendas ofrecían, más teléfonos móviles que miembros del hogar, varios ordenadores… en fin, todo aquello que satisfacía el consumismo glotón y confirmaba el “american way of life”, o la “seguridad desde la cuna a la tumba de los europeos”.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Casi todo ello (en muchos casos pueden quitar el “casi”) se ha ido perdiendo. El empobrecimiento ha desestructurado lo cotidiano; ha derribado con la violencia de los hechos, proyectos y expectativas que daban sentido a las propias acciones. No es sorprendente, entonces, que también ponga en jaque las creencias que el individuo se ha forjado por años acerca de sí mismo, sobre el lugar que ocupaba en el mundo, en síntesis, sobre su propia identidad. Los empobrecidos se preguntan quiénes son en esta sociedad. Les preocupa saber si siguen siendo de clase media a pesar de todo, lo cual les lleva a preguntarse qué es ser de clase media, en definitiva.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¿Un pasado mejor, una antigua jerarquía en el trabajo, un título profesional, que no se borran, alcanzan como requisito para mantenerse en la clase media? ¿Quién cambió: ellos, el resto de la sociedad, ambos? Y si toda la clase media se empobreció: ¿acaso no se sigue siendo de clase media, solo que masivamente devaluados? ¿Cuál es la frontera? ¿Hay un límite objetivo o en última instancia todo depende de cómo se ve uno? ¿Quién decide si sigo siendo o ya no soy: yo mismo, mis amigos, la sociedad? Si ya no soy de clase media, ¿Qué soy?</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empobrecimiento va erosionando poco a poco los basamentos en los que se sostiene la propia identidad social; es decir la percepción de una ubicación en la estructura social y de un posicionamiento con respecto a otros grupos sociales que forman parte de esa misma sociedad. Se trata de una preocupación central entre los nuevos pobres… Sin embargo, el interrogante sobre la propia identidad difícilmente pueda concluir en una respuesta acabada, y menos que menos común para todos los empobrecidos. La hibridez propia de la nueva pobreza, la coexistencia en la misma persona de hábitos, relaciones sociales, títulos y creencias propias tanto de su pasado no pobre como de su presente pobre, posibilitan que una misma persona pueda considerarse como perteneciendo todavía a la clase media, si toma en cuenta lo que aún posee y no dejará nunca de poseer -“soy un profesional, a pesar de todo”- , </w:t>
      </w:r>
      <w:r>
        <w:rPr>
          <w:rFonts w:ascii="Times New Roman" w:hAnsi="Times New Roman" w:cs="Times New Roman"/>
          <w:sz w:val="24"/>
          <w:szCs w:val="24"/>
        </w:rPr>
        <w:lastRenderedPageBreak/>
        <w:t>o bien como un expulsado, si toma en cuenta lo que perdió”… (La nueva pobreza en la Argentina - Alberto Minujin &amp; Gabriel Kessler)</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el empobrecimiento erosiona de algún modo la propia identidad social, es interesante ver específicamente por qué vías lo hace. En muchos casos, la crisis de identidad aparece en relación directa con la caída de poder adquisitivo, la contracción del consumo. Esta es una visión muy extendida de lo que definiría a la clase media: el consumo. Una identidad que se sostiene en base al acceso a bienes y servicios que permitían algo más que lo puramente ligado a la supervivencia. Identidad construida en base a determinada ropa, salidas, vacaciones, electrodomésticos, automóvil…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La clase media aquí se define entonces en la cotidianidad, en los hábitos de consumo, de frecuentación de lugares y en la manipulación de bienes. Quizá parezca a simple vista una identidad “superficial”, más ligada a una cuestión de imagen y al consumismo que a un sentimiento profundo. Sin embargo, es esta propia cotidianidad, ligada a los hábitos, a la casa, a todo aquello con lo que uno se relaciona cada día, lo que constituye gran parte de la identidad de la clase media, en tanto identidad.</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Identidad cotidiana , que no exige ningún compromiso ni rito particular para reafirmar su pertenencia, como sí se le requiere, por ejemplo, a quien se considera feligrés de una determinada religión o miembro de una agrupación política. Se es de clase media por el solo hecho de vivir como se vive. Y éste es también su talón de Aquiles en la caída: los cambios en los hábitos cotidianos implican la desestructuración de las bases de identidad.</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Otra forma de erosión de la identidad, es la terrible sensación de que aquello que se es, que siempre se ha sido y de lo que se está orgulloso, ha perdido todo su prestigio social. Para algunos de ellos, la identidad aparece puesta en tela de juicio al ver retrospectivamente que todos los ideales y valores alrededor de los cuales estructuraron su vida no han dado los frutos esperados. Lo que aparece en escena es la sensación de haber hecho una elección equivocada, o en su caso, la sensación de que “cuando te tocaba, te escamotearon el premio”.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Hasta ahora me he referido a nuevos pobres que sufren la depreciación salarial, pero que todavía están ocupados; distinta es la erosión de la identidad que se produce al sufrir el desempleo. A veces el cuestionamiento de la identidad viene dado por la mirada de los demás, hasta la de los más cercanos. A veces, la mirada de los demás interviene para calificar de modo positivo o negativo una misma conducta, dependiendo, justamente, del grupo social donde se la ubica. En la construcción de la identidad intervienen también prejuicios, estereotipos, imágenes de clase que sirven no solo para construir una imagen de los otros, sino, por sobre todo, para establecer una frontera entre esos otros y uno mismo. La pobreza implica una marca, un estigma que los nuevos pobres luchan por evitar.</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Considerarse “clase pobre” o aun perteneciente a la clase media tiene consecuencias distintas, como por ejemplo  con relación a autopercibirse como objeto legítimo de políticas públicas. Muchas familias que sufren una verdadera situación de pobreza, llegan a considerar que, de todos modos, “su situación es transitoria”, que no era a ellos a quienes se debía ayudar, sino a los “verdaderos pobres”.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Entran en juego aquí muchos factores: en primer lugar la sensación de estigma frente a medidas de tipo asistencialistas. Muchas familias en muy mala situación llegan a sentirse muy incómodos ante una medida de “darles” y, más aún, algo tan íntimo como es la elección de la dieta familiar. Pero además, sin excepción, lo que los nuevos pobres exigen es trabajo, </w:t>
      </w:r>
      <w:r>
        <w:rPr>
          <w:rFonts w:ascii="Times New Roman" w:hAnsi="Times New Roman" w:cs="Times New Roman"/>
          <w:sz w:val="24"/>
          <w:szCs w:val="24"/>
        </w:rPr>
        <w:lastRenderedPageBreak/>
        <w:t>trabajo bien remunerado, que permita restablecer el piso mínimo de justicia que exigen de su sociedad: “que si trabajas te alcance para vivir”.</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Permanecer en la clase media ayuda a resguardar la identidad ante el dislocamiento generalizado de la cotidianidad. La inscripción dentro de la categoría colectiva puede actuar como un eje estructurante de demandas: el desfase entre aquello a lo que la propia condición -en tanto profesional, trabajador o miembro de la clase media- debería permitir acceder y lo que realmente hoy se tiene se transforma a veces en la base legítima de una serie de reivindicaciones, aunque no lleguen al terreno de lo público y de la acción colectiva. Sin embargo, permanecer exige también un esfuerzo, a menudo sobrehumano, de resguardo de ciertas prácticas cuya supresión confirmaría que la expulsión de clase ha acontecido.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En el otro extremo, estar fuera de la clase media puede tener un efecto dresestructurante, sobre todo en aquellos que no han podido encontrar un nuevo refugio. Pero en muchos de los que se ven como “ex clase media” o directamente ya dentro de la “clase baja” o “trabajadora”, llevará también a una mayor resignación frente a la vivencia de las limitaciones y carencias hoy socialmente aceptadas como propias de tal grupo.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Un ideal tambaleante: el progreso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Los estadounidenses, y los europeos, han sido educados con la idea de progreso como un destino, un puerto de llegada que daba sentido a gran parte de sus acciones y, sobre todo, a sus sacrificios. En la base de sus creencias más profundas el futuro y el progreso aparecen casi fusionados, como si fueran lo mismo: el progreso aparece como el signo de los tiempos, como si todo debiera progresar, perfeccionarse, mejorar con el correr de los años. Mirar hoy el pasado y caer en la cuenta de que, por más sacrificios y ahorros que se hayan hecho, por más que se hayan cumplido las reglas, el “saldo da en rojo”, es uno de los más duros golpes para los que han caído: el empobrecimiento es la afrenta más grande que pueda hacerse a la idea de progreso, es su mayor desmentida.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Renunciar a la idea de progreso es demasiado doloroso: implica resignarse a la inexistencia de algún principio de justicia que rija el mundo, algo que se mantenga en pie a pesar de las vicisitudes circunstanciales que la mano del hombre inflija. El progreso funciona como principio de justicia y equidad de base de todo orden social: una creencia que promete que a mayor esfuerzo, a mayor mérito y sacrificio, corresponderán mayores logros.      </w:t>
      </w:r>
    </w:p>
    <w:p w:rsidR="001B466B" w:rsidRPr="00DD0C8A" w:rsidRDefault="001B466B" w:rsidP="001B466B">
      <w:pPr>
        <w:spacing w:line="240" w:lineRule="auto"/>
        <w:jc w:val="both"/>
        <w:rPr>
          <w:rFonts w:ascii="Times New Roman" w:hAnsi="Times New Roman" w:cs="Times New Roman"/>
          <w:b/>
          <w:sz w:val="24"/>
          <w:szCs w:val="24"/>
        </w:rPr>
      </w:pPr>
      <w:r w:rsidRPr="00DD0C8A">
        <w:rPr>
          <w:rFonts w:ascii="Times New Roman" w:hAnsi="Times New Roman" w:cs="Times New Roman"/>
          <w:b/>
          <w:sz w:val="24"/>
          <w:szCs w:val="24"/>
        </w:rPr>
        <w:t>Del Estado del Bienestar al Estado del Malestar</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lenguaje de los hechos.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Cuando no ya no puede negar lo obvio, torcer la realidad, ocultar la evidencia, demostrar lo indemostrable, los “neoecon” han pasado de la desigualdad a la indiferencia, de allí al odio, y por encima de todo al egoísmo…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Han logrado -y siguen- difundir el mensaje de que los dos principales programas del Estado del Bienestar -pensiones y salud- son dos bombas de relojería  en el corazón de la economía de mercado (¿qué mercado?)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dicen, los gobiernos y las oposiciones practican con las pensiones la política del avestruz o, lo que es lo mismo, hacen suyo el viejo lema keynesiano “a largo plazo, todos muertos”. Los mayores constituyen una porción de votos cada vez mayor y lógicamente tienen pavor al cambio. Sin embargo, la pregunta es qué sucederá cuando las jóvenes generaciones se nieguen a sacrificar su nivel de vida para pagar las pensiones y/o la sanidad </w:t>
      </w:r>
      <w:r>
        <w:rPr>
          <w:rFonts w:ascii="Times New Roman" w:hAnsi="Times New Roman" w:cs="Times New Roman"/>
          <w:sz w:val="24"/>
          <w:szCs w:val="24"/>
        </w:rPr>
        <w:lastRenderedPageBreak/>
        <w:t>de los viejos o se rebelen contra una situación de trabajos forzados en beneficio de los mayores. Un escenario como éste no es improbable, sino muy posible, y constituirá un serio problema social y político en un horizonte no muy lejano. Es la “guerra civil fría” sugerida por Alain Madelin ante la resistencia de la derecha francesa a adoptar una reforma en serio de las pensiones.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Desde este enfoque, los países industrializados deberían plantearse la posibilidad de sustituir de manera progresiva el actual sistema de pensiones basado en el reparto por otro sustentado en la capitalización.</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La razón (¿qué razón?) es que la cobertura pública del retiro está en crisis en todas partes.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Según dicen, cuando se creó en la mayoría de los países industrializados, el número de cotizantes era muy superior al de los que percibían prestaciones por jubilación y muy pocos vivían hasta la edad necesaria para percibir sus prestaciones, lo que garantizaba que pudiese cumplir sus promesas. A comienzos del siglo XXI la situación es distinta. La caída de la tasa de natalidad, unida al aumento de la esperanza de vida, implica que un número cada vez más reducido de jóvenes trabajadores no sólo tendrá que soportar una carga fiscal creciente para financiar las pensiones de sus mayores, sino que no recibirá los mismos beneficios. Si no se hace nada, esa gigantesca transferencia de rentas de las clases activas a las pasivas reducirá el crecimiento y el nivel de vida de las generaciones futuras, al tiempo que pondrá las bases para un conflicto intergeneracional de consecuencias imprevisibles.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¿Qué hacer?, se preguntan los “neoecon”, y se contestan -para continuar “colando” el mensaje-, “De entrada, un aumento de los impuestos y/o cotizaciones a la Seguridad Social para financiar el modelo de reparto tendría efectos económicos muy negativos. La oferta de trabajo no es inelástica. De hecho, responde a los cambios en los tipos impositivos. Desde esta perspectiva, mantener el actual sistema de pensiones y el inevitable incremento de la carga fiscal necesario para financiarlo reduciría los incentivos para incorporarse a la vida laboral. Esta caída o desaceleración de la tasa de actividad, que se producirá en todo caso por razones demográficas, tendría un impacto negativo sobre el PIB y acentuaría los desequilibrios estructurales del esquema de reparto. A la vez, la subida de la imposición sobre el factor trabajo deprimiría la tasa de ahorro privado y la acumulación de capital que alimenta el crecimiento económico y de la productividad en el medio y largo plazo”.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Otros -más cínicos, si cabe- sostienen que desde que la democracia moderna puso la ciudadanía como raíz de la legitimidad política han existido tensiones entre libertad e igualdad. En toda sociedad democrática -dicen-, la libertad para todos entra en conflicto con la igualdad para todos, y viceversa. Pero no importa con qué frecuencia proclamamos que todos “hemos nacido libres e iguales en dignidad y derechos”, este choque de principios no ha disminuido…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Y rematan, “la dimensión óptima del Estado de bienestar en un país desarrollado y próspero es aquélla que es sostenible en el tiempo y que crea unas reglas de juego estables y predecibles para los agentes que cubre las contingencias sin desincentivar decisiones de ahorro y trabajo”…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A todos estos “escribas” de la globalización, la privatización, la financierización y el librecambio, podría contestarles diciéndoles que han sido ellos -o sus mentores, o quienes le pagan la nómina- los que han propiciado y han logrado “tirar el agua de la palangana con el bebé adentro”…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Que no son los factores demográficos los que desbalancean -el lado de la demanda- el equilibrio de la cobertura pública del sistema de la seguridad social -pensiones, sanidad y subsidio de desempleo-, sino que es  el bajo nivel de ocupación y remuneración de la población en edad de trabajar -el lado de la oferta-, el que provoca -con premeditación y alevosía- la insostenibilidad del Estado del bienestar.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Pero voy a d</w:t>
      </w:r>
      <w:r w:rsidR="00104FAC">
        <w:rPr>
          <w:rFonts w:ascii="Times New Roman" w:hAnsi="Times New Roman" w:cs="Times New Roman"/>
          <w:sz w:val="24"/>
          <w:szCs w:val="24"/>
        </w:rPr>
        <w:t>ejar que les conteste Ernesto Sá</w:t>
      </w:r>
      <w:r>
        <w:rPr>
          <w:rFonts w:ascii="Times New Roman" w:hAnsi="Times New Roman" w:cs="Times New Roman"/>
          <w:sz w:val="24"/>
          <w:szCs w:val="24"/>
        </w:rPr>
        <w:t>bato (“Antes del fin”): “Al parecer, la dignidad de la vida humana no estaba prevista en el plan de la globalización. La angustia es lo único que ha alcanzado niveles nunca vistos. Es un mundo que vive en la perversidad, donde unos pocos contabilizan sus logros sobre la amputación de la vida de la inmensa mayoría. Se ha hecho creer a algún pobre diablo que pertenece al Primer Mundo por acceder a los innumerables productos de un supermercado. Y mientras aquel pobre infeliz duerme tranquilo, encerrado en su fortaleza de aparatos y cachivaches, miles de familias deben sobrevivir con un dólar diario. Son millones los excluidos del gran banquete de los economicistas…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Ahora, el hombre está al borde de convertirse en un clon por encargo: ojos celestes, simpático, emprendedor, insensible al dolor o trágicamente, preparado para esclavo. Engranajes de una máquina, factores de un sistema, ¡qué lejos, Hölderlin, de cuando los hombres se sentían hijos de los Dioses!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Los jóvenes lo sufren: ya no quieren tener hijos. No cabe escepticismo mayor.</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Así como los animales en cautiverio, nuestras jóvenes generaciones no se arriesgan a ser padres. Tal es el estado del mundo que les hemos entregado”…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busco respuesta en Pascal Bruckner (“Miseria de la prosperidad”): “Nunca hasta ahora se habían dado desigualdades tan fuertes con un enriquecimiento tan espectacular de fondo…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Como ya sabemos, la nueva preponderancia de los mercados financieros, la revolución tecnológica, el paso de un capitalismo empresarial a un capitalismo donde los accionistas imponen la norma en detrimento de los trabajadores explican en gran medida esta situación. De esto se deriva la congelación de las rentas del trabajo, la desconexión entre el crecimiento económico y la evolución de los valores bursátiles, la disfunción de la movilidad social y el fin del contrato de trabajo establecido tras la segunda guerra mundial, garante de la estabilidad del empleo y la protección de los poderes públicos. Como si todas las conquistas posteriores a 1945 se hubieran borrado a favor de una sociedad más fría, hostil a los débiles y sonriente para los pudientes. Parece necesario volver a empezar, iniciar una nueva lucha por la vida y la dignidad. Es un retorno a la casilla de salida, a los albores del movimiento obrero, pero sin las ilusiones que movían a los militantes y agitadores de entonces. Es el regreso de un capitalismo duro, despiadado con los inútiles, generador de empleos de baja cualificación y escasa remuneración, un sistema brutal pues carece de perspectiva de un futuro mejor”…</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agrego algunas palabras de Zygmunt Bauman (“Comunidad”): “En resumen: se ha acabado la mayoría de los puntos de referencia constantes y sólidamente establecidos que sugerían un entorno social más duradero, más seguro y más digno de confianza que el tiempo que duraba una vida individual. Se ha acabado la certeza de que “volveremos a vernos”, de que estaremos viéndonos repetidamente y durante un largo tiempo futuro, y de que, por tanto, puede suponerse que la sociedad tiene una larga memoria y que lo que nos hagamos mutuamente nos confortará o atormentará en el futuro; de que lo que nos hagamos recíprocamente tendrá una importancia algo más episódica, puesto que las consecuencias de </w:t>
      </w:r>
      <w:r>
        <w:rPr>
          <w:rFonts w:ascii="Times New Roman" w:hAnsi="Times New Roman" w:cs="Times New Roman"/>
          <w:sz w:val="24"/>
          <w:szCs w:val="24"/>
        </w:rPr>
        <w:lastRenderedPageBreak/>
        <w:t>nuestras acciones nos acompañarán mucho tiempo después de que nuestras acciones, en apariencia, hayan finalizado, sobreviviendo en la mente y en los hechos de testigos que no van a desaparecer… Es esta experiencia la que hoy se echa de menos, y su ausencia se describe como “decadencia”, “muerte” o “eclipse” de la comunidad… Los lazos comunitarios se hacen cada vez más prescindibles… Las lealtades personales disminuyen su alcance a través del sucesivo debilitamiento de los lazos nacionales, los lazos regionales, los lazos comunitarios, los lazos con el vecindario, los lazos familiares y, finalmente, los lazos con una imagen coherente de la propia identidad…</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La percepción de la injusticia y de los agravios que suscita, como tantas otras cosas en la época de desvinculación que define el estado “liquido” de la modernidad, ha sufrido un proceso de “individualización”. Se supone que los problemas se sufren y solucionan en solitario y son singularmente inadecuados para acumularse en una comunidad de intereses que busca soluciones colectivas a problemas individuales”…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otro de sus libros (“Modernidad líquida”), el mismo Bauman, sostiene: “No obstante, si la idea de progreso en su forma actual nos resulta tan poco familiar que cada uno se pregunta si aún está entre nosotros, es porque el progreso, como tantos otros parámetros de la vida moderna, ha sido “individualizado”; lo que es más: “desregulado” y “privatizado”. Está desregulado porque  la oferta de opciones para “mejorar” las realidades presentes es muy diversa, y porque el tema de si una novedad en particular significa verdaderamente una mejora respecto de otra ha quedado librado, antes y después de su aparición, a la libre competencia entre ambas, competencia que perdura incluso después de que ya hemos elegido una de ellas. Y el progreso está privatizado porque el mejoramiento ya no es una empresa colectiva sino individual: se espera que los hombres y mujeres individuales usen, por sí mismos e individualmente, su propio ingenio, recursos y laboriosidad para elevar su condición a otra más satisfactoria y dejar atrás todo aquello de su condición presente que les repugne. Como apuntara Ulrico Beck en su esclarecedor estudio sobre la “Risikogesellschaft” contemporánea, “la tendencia es hacia la aparición de formas y condiciones de existencia individualizadas que impulsan a las personas -en nombre de su propia supervivencia material- a transformarse en el centro de su propia planificación y conducta de vida… De hecho, uno debe optar y cambiar su identidad social y a la vez aceptar el riesgo que esto implica… El individuo en sí mismo se transforma en la unidad reproductiva de lo social en el mundo vital”…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El enfoque predominante, basado en el mercado y la competencia han contribuido considerablemente a la actual deprimida situación económica y social, poniéndose de manifiesto la dificultad de atraer a los ciudadanos hacia un sistema económico hostil a la provisión del bienestar y la solidaridad social.</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En mi -modesta- opinión, la mejor manera de superar los actuales problemas consiste en promover un modelo de desarrollo para toda Europa cuyas piedras angulares estén constituidas por el pleno empleo, un alto nivel de bienestar, equidad social, sostenibilidad ecológica y una amplia cooperación internacional. Este modelo social podría convertirse en una alternativa muy atractiva y poderosa al modelo de Estados Unidos de poder militar con pobres estándares sociales. Pero no es en absoluto el resultado automático ni el fruto de los mercados liberalizados y la competencia. Su puesta en práctica deberá hacer frente a la resistencia de aquellos grupos y poderes que se benefician de la actual situación, y requiere, por tanto, una intervención política enérgica. La calidad de dicha intervención depende en su desarrollo de un amplio movimiento social y un debate público abierto, es decir, de su carácter democrático.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Las actuales estrategias de la globalización de mercado y del capital están dando lugar a la concentración de sectores de gran riqueza, junto a grandes masas de miseria y a un gran número de población superflua y desprovista de derechos. Hasta 1960 había en el mundo un rico por cada 30 pobres; según revela Oxfam en un informe presentado en el Foro de Davos de enero de 2020, los 2153 milmillonarios que hay</w:t>
      </w:r>
      <w:r w:rsidRPr="00DD0C8A">
        <w:rPr>
          <w:rFonts w:ascii="Times New Roman" w:hAnsi="Times New Roman" w:cs="Times New Roman"/>
          <w:sz w:val="24"/>
          <w:szCs w:val="24"/>
        </w:rPr>
        <w:t xml:space="preserve"> en el mundo poseen más riqueza que 4600 millones de personas (un 60% de la poblac</w:t>
      </w:r>
      <w:r>
        <w:rPr>
          <w:rFonts w:ascii="Times New Roman" w:hAnsi="Times New Roman" w:cs="Times New Roman"/>
          <w:sz w:val="24"/>
          <w:szCs w:val="24"/>
        </w:rPr>
        <w:t>ión mundial).</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La ideología neoliberal del mercado reduce la vida humana a un mero análisis de costes y beneficios que desemboca en un individualismo sistemático basado en el cálculo de las ventajas individuales obtenidas dentro de un grupo social. Todo ello encamina a los seres humanos hacia un neoindividualismo posesivo y consumista que configura la base antropológica y social de nuestra época.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Esta ideología se transforma en un factor poderoso de desintegración y descohesión social, ya que ha dejado carente de vínculos sociales a un amplio sector de la población mundial, que pasa a convertirse en una especie de nuevos “parias” de la civilización global. Los nuevos excluidos del mercado global tienen una característica en común: su falta de capacidad económica para el consumo, su imposibilidad de llegar a ser una especie de “consumidor universal” o transnacional; en una palabra, su “prescindibilidad” para el sistema. El consumo o, mejor dicho, la capacidad económica para consumir -basada en una lógica individualista y competitiva-, se convierte actualmente en el criterio más importante de inclusión o exclusión social. El neoindividualismo consumista quiebra la conciencia de clase social, fragmenta la sociedad e incluso “privatiza” el propio vínculo social. La desigualdad ya no representa sólo un mecanismo ideológico de relación jerarquizada que se integra socialmente mediante la existencia de derechos de contenido redistributivo y mediante la aspiración al “interés general” de las relaciones de producción capitalistas. Ahora el neoliberalismo la ha convertido en un factor determinante de la exclusión social. Quien no resulta competitivo en la lucha económica es eliminado definitivamente de ella.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Practicamos ahora un individualismo sin mala conciencia que acaba desembocando en un nihilismo destructivo, donde los objetos nos marcan exteriormente y donde se premia la posesión de riqueza, se “criminaliza” la pobreza y la ganancia privada se eleva a valor supremo. Este neoindividualismo posesivo se desdobla, a su vez, en lo que, paradójicamente, se podría denominar como “individualismo de la desposesión”, que es aquel que deriva de los efectos negativos que la sociedad global arroja sobre la mayoría de las personas: ausencia de trabajo, precarización del mismo, incultura, inseguridad y desprotección institucional. Tras ello lo que existe es una ética de la desesperanza y del “sálvese quien pueda”. Aunque, dado el caso, tal vez, tampoco alcance. </w:t>
      </w:r>
    </w:p>
    <w:p w:rsidR="001B466B" w:rsidRDefault="00104FAC"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Una vez más, volviendo a Sá</w:t>
      </w:r>
      <w:r w:rsidR="001B466B">
        <w:rPr>
          <w:rFonts w:ascii="Times New Roman" w:hAnsi="Times New Roman" w:cs="Times New Roman"/>
          <w:sz w:val="24"/>
          <w:szCs w:val="24"/>
        </w:rPr>
        <w:t>bato (“España en los diarios de mi vejez”): “Porque esta crisis, que tanta desolación está ocasionando, tiene también su contrapartida: ya no hay posibilidades para los pueblos ni para las personas de jugarse por sí mismos. El “sálvese quien pueda” no sólo es inmoral, sino que tampoco alcanza. Es ésta una hora decisiva. Sobre nuestra generación pesa el destino, y es ésta nuestra responsabilidad histórica”.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más preocupante es que el neoindividualismo privatista aspira a convertirse en una nueva ética universal y homogénea, perfectamente difundida por los monopolios mediáticos. Su universalidad moral se difunde frente a cualquiera de las éticas. Estamos ahora ante la universalización de un individualismo que se basa en el criterio del imperio de la ley del más fuerte y abandona a los seres humanos a su insegura gestión de los riesgos de alimentación, salud, educación, vivienda, trabajo y condiciones del mismo, vejez, enfermedades, </w:t>
      </w:r>
      <w:r>
        <w:rPr>
          <w:rFonts w:ascii="Times New Roman" w:hAnsi="Times New Roman" w:cs="Times New Roman"/>
          <w:sz w:val="24"/>
          <w:szCs w:val="24"/>
        </w:rPr>
        <w:lastRenderedPageBreak/>
        <w:t>discapacidad y seguridad. El neoindividualismo destruye la dimensión colectiva, solidaria y democrática de las relaciones sociales, rompe los vínculos de integración e instala a los seres humanos en una cultura de la satisfacción y del consumo inmediato. Asimismo sacraliza la competitividad como base antropológica de las relaciones entre individuos y produce una incomunicación o una especie de “autismo” social entre los seres humanos de consecuencias hasta ahora imprevisibles.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Es el triunfo de la privacidad sobre la colectividad. Según esta lógica, la gestión de las consecuencias sociales “perversas” de la globalización (paro estructural permanente, falta de cobertura social de las situaciones carenciales o de riesgo, conflictividad y violencia social, pobreza, repliegue cultural, analfabetismo, enfermedad, radicalización étnica, inseguridad) se traslada del ámbito público al ámbito de responsabilidad individual y, consecuentemente, a la gestión individual o, en el mejor de los casos, a la ayuda familiar. La sociedad deja de ofrecer mecanismos institucionales y universales de integración social, seguridad y solidaridad y, consecuentemente, abandona a las personas a su solitario, inseguro y “mercantilizado” destino. Las soluciones colectivas y solidarias no parecen factibles. La competitividad individual dentro del mercado es la única salvación posible.</w:t>
      </w:r>
    </w:p>
    <w:p w:rsidR="001F46E1" w:rsidRPr="001F46E1" w:rsidRDefault="00E777C4" w:rsidP="001F46E1">
      <w:pPr>
        <w:pStyle w:val="NormalWeb"/>
        <w:spacing w:after="180"/>
        <w:jc w:val="both"/>
        <w:rPr>
          <w:b/>
          <w:spacing w:val="-1"/>
        </w:rPr>
      </w:pPr>
      <w:r w:rsidRPr="00E15C08">
        <w:rPr>
          <w:b/>
        </w:rPr>
        <w:t>Nota (julio 2021):</w:t>
      </w:r>
      <w:r>
        <w:rPr>
          <w:b/>
        </w:rPr>
        <w:t xml:space="preserve"> </w:t>
      </w:r>
      <w:r w:rsidR="001F46E1" w:rsidRPr="001F46E1">
        <w:rPr>
          <w:b/>
          <w:spacing w:val="-1"/>
        </w:rPr>
        <w:t>Nunca los europeos podrán superar a los americanos en picardía y falta de escrúpulos. Nunca los europeos podrán tener los costos laborales y capacidad de dumping de los chinos. Entonces, a qué seguir “empujando la soga”. Si no es para ahorcarse, insistir no tiene sentido.</w:t>
      </w:r>
    </w:p>
    <w:p w:rsidR="001F46E1" w:rsidRPr="001F46E1" w:rsidRDefault="001F46E1" w:rsidP="001F46E1">
      <w:pPr>
        <w:pStyle w:val="NormalWeb"/>
        <w:spacing w:after="180"/>
        <w:jc w:val="both"/>
        <w:rPr>
          <w:b/>
          <w:spacing w:val="-1"/>
        </w:rPr>
      </w:pPr>
      <w:r w:rsidRPr="001F46E1">
        <w:rPr>
          <w:b/>
          <w:spacing w:val="-1"/>
        </w:rPr>
        <w:t>Si “estábamos mejor, cuando estábamos peor” ¿no habrá que revisar las últimas actuaciones? No será que al final, la tierra no es plana, que el fin de la historia no es cierto, que la globalización, el librecambio, el multilateralismo, y la financierización, han provocado un retroceso en el estándar de vida de los europeos, generado desempleo, aumentado la incertidumbre, incrementado la des</w:t>
      </w:r>
      <w:r w:rsidR="00200BD5">
        <w:rPr>
          <w:b/>
          <w:spacing w:val="-1"/>
        </w:rPr>
        <w:t>igualdad de ingresos, y deteniendo</w:t>
      </w:r>
      <w:r w:rsidRPr="001F46E1">
        <w:rPr>
          <w:b/>
          <w:spacing w:val="-1"/>
        </w:rPr>
        <w:t xml:space="preserve"> el ascensor social.</w:t>
      </w:r>
    </w:p>
    <w:p w:rsidR="001F46E1" w:rsidRPr="001F46E1" w:rsidRDefault="001F46E1" w:rsidP="001F46E1">
      <w:pPr>
        <w:spacing w:line="240" w:lineRule="auto"/>
        <w:jc w:val="both"/>
        <w:rPr>
          <w:rFonts w:ascii="Times New Roman" w:eastAsia="Times New Roman" w:hAnsi="Times New Roman" w:cs="Times New Roman"/>
          <w:b/>
          <w:spacing w:val="-1"/>
          <w:sz w:val="24"/>
          <w:szCs w:val="24"/>
        </w:rPr>
      </w:pPr>
      <w:r w:rsidRPr="001F46E1">
        <w:rPr>
          <w:rFonts w:ascii="Times New Roman" w:eastAsia="Times New Roman" w:hAnsi="Times New Roman" w:cs="Times New Roman"/>
          <w:b/>
          <w:spacing w:val="-1"/>
          <w:sz w:val="24"/>
          <w:szCs w:val="24"/>
        </w:rPr>
        <w:t>Mientras los “políticos” europeos juegan a las “esquinitas” (quítate tú, que me pongo yo), la gente sufre para conseguir un empleo, para salir del precariado, para recuperar el nivel de ingresos, para llegar a fin de mes, para ser atendido en el servicio de salud, para salir bien formado de la escuela pública, para ofrecer a sus hijos un futuro mejor que el propio, para poder continuar cobrando una pensión digna, para no s</w:t>
      </w:r>
      <w:r w:rsidR="00200BD5">
        <w:rPr>
          <w:rFonts w:ascii="Times New Roman" w:eastAsia="Times New Roman" w:hAnsi="Times New Roman" w:cs="Times New Roman"/>
          <w:b/>
          <w:spacing w:val="-1"/>
          <w:sz w:val="24"/>
          <w:szCs w:val="24"/>
        </w:rPr>
        <w:t>er un “nuevo pobre”.</w:t>
      </w:r>
    </w:p>
    <w:p w:rsidR="001F46E1" w:rsidRPr="001F46E1" w:rsidRDefault="001F46E1" w:rsidP="001F46E1">
      <w:pPr>
        <w:spacing w:line="240" w:lineRule="auto"/>
        <w:jc w:val="both"/>
        <w:rPr>
          <w:rFonts w:ascii="Times New Roman" w:eastAsia="Times New Roman" w:hAnsi="Times New Roman" w:cs="Times New Roman"/>
          <w:b/>
          <w:spacing w:val="-1"/>
          <w:sz w:val="24"/>
          <w:szCs w:val="24"/>
        </w:rPr>
      </w:pPr>
      <w:r w:rsidRPr="001F46E1">
        <w:rPr>
          <w:rFonts w:ascii="Times New Roman" w:eastAsia="Times New Roman" w:hAnsi="Times New Roman" w:cs="Times New Roman"/>
          <w:b/>
          <w:spacing w:val="-1"/>
          <w:sz w:val="24"/>
          <w:szCs w:val="24"/>
        </w:rPr>
        <w:t>Esta es la materia prima con que se “amasa el populismo”. De la arrogancia (avaricia, fatuidad, indiferencia, ceguera voluntaria) de unos, a la desesperación (desilusión, frustración, abandono, desprotección, falta de alternativas) de los otros, deviene el populismo.</w:t>
      </w:r>
    </w:p>
    <w:p w:rsidR="001F46E1" w:rsidRPr="001F46E1" w:rsidRDefault="001F46E1" w:rsidP="001F46E1">
      <w:pPr>
        <w:pStyle w:val="NormalWeb"/>
        <w:spacing w:after="180"/>
        <w:jc w:val="both"/>
        <w:rPr>
          <w:b/>
          <w:spacing w:val="-1"/>
        </w:rPr>
      </w:pPr>
      <w:r w:rsidRPr="001F46E1">
        <w:rPr>
          <w:b/>
          <w:spacing w:val="-1"/>
        </w:rPr>
        <w:t>Son muchos los responsables de que “esto” haya llegado hasta aquí: “Se puede hablar, con todo el mundo… pero gobernar es muy difícil, y no vamos a meternos en líos ni tomar decisiones que no nos competen” (sic)… entonces actúan como espectadores distraídos. Una buena siesta, la invernada del dejar hacer, y “vayan días y vengan ollas” que decía el bueno de Sancho, y ya se arreglará, que el tiempo lo cura todo, porque además “nunca pensamos que fueran a ser capaces de llegar tan lejos”, y así, con esta corte de cobardes, en esa inacción criminal, en la más clamorosa dejación de responsabilidades, el problema llegó a engordar al punto de poner en riesgo la existencia misma de la Unión Europea.</w:t>
      </w:r>
    </w:p>
    <w:p w:rsidR="00EE565B" w:rsidRDefault="00EE565B" w:rsidP="001B466B">
      <w:pPr>
        <w:pStyle w:val="NormalWeb"/>
        <w:spacing w:before="0" w:beforeAutospacing="0" w:after="0" w:afterAutospacing="0"/>
        <w:jc w:val="both"/>
        <w:textAlignment w:val="baseline"/>
        <w:rPr>
          <w:b/>
          <w:color w:val="000000"/>
        </w:rPr>
      </w:pPr>
      <w:r>
        <w:rPr>
          <w:b/>
          <w:color w:val="000000"/>
        </w:rPr>
        <w:lastRenderedPageBreak/>
        <w:t xml:space="preserve">- </w:t>
      </w:r>
      <w:r w:rsidR="00356A21">
        <w:rPr>
          <w:b/>
          <w:color w:val="000000"/>
        </w:rPr>
        <w:t xml:space="preserve">La vergüenza de haber sido; el dolor de ya no ser (la pobreza en medio de la riqueza) </w:t>
      </w:r>
    </w:p>
    <w:p w:rsidR="00EE565B" w:rsidRDefault="00EE565B" w:rsidP="001B466B">
      <w:pPr>
        <w:pStyle w:val="NormalWeb"/>
        <w:spacing w:before="0" w:beforeAutospacing="0" w:after="0" w:afterAutospacing="0"/>
        <w:jc w:val="both"/>
        <w:textAlignment w:val="baseline"/>
        <w:rPr>
          <w:b/>
          <w:color w:val="000000"/>
        </w:rPr>
      </w:pPr>
    </w:p>
    <w:p w:rsidR="001B466B" w:rsidRDefault="00EE565B" w:rsidP="001B466B">
      <w:pPr>
        <w:pStyle w:val="NormalWeb"/>
        <w:spacing w:before="0" w:beforeAutospacing="0" w:after="0" w:afterAutospacing="0"/>
        <w:jc w:val="both"/>
        <w:textAlignment w:val="baseline"/>
        <w:rPr>
          <w:b/>
          <w:color w:val="000000"/>
        </w:rPr>
      </w:pPr>
      <w:r>
        <w:rPr>
          <w:b/>
          <w:color w:val="000000"/>
        </w:rPr>
        <w:t xml:space="preserve">                              </w:t>
      </w:r>
      <w:r>
        <w:rPr>
          <w:noProof/>
        </w:rPr>
        <w:drawing>
          <wp:inline distT="0" distB="0" distL="0" distR="0" wp14:anchorId="13E79170" wp14:editId="1D36E91A">
            <wp:extent cx="3364865" cy="3723005"/>
            <wp:effectExtent l="0" t="0" r="6985" b="0"/>
            <wp:docPr id="145" name="Imagen 145" descr="El grito, Edward Munch (1893) "/>
            <wp:cNvGraphicFramePr/>
            <a:graphic xmlns:a="http://schemas.openxmlformats.org/drawingml/2006/main">
              <a:graphicData uri="http://schemas.openxmlformats.org/drawingml/2006/picture">
                <pic:pic xmlns:pic="http://schemas.openxmlformats.org/drawingml/2006/picture">
                  <pic:nvPicPr>
                    <pic:cNvPr id="124" name="Imagen 124" descr="El grito, Edward Munch (1893) "/>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64865" cy="3723005"/>
                    </a:xfrm>
                    <a:prstGeom prst="rect">
                      <a:avLst/>
                    </a:prstGeom>
                    <a:noFill/>
                    <a:ln>
                      <a:noFill/>
                    </a:ln>
                  </pic:spPr>
                </pic:pic>
              </a:graphicData>
            </a:graphic>
          </wp:inline>
        </w:drawing>
      </w:r>
      <w:r w:rsidR="001B466B">
        <w:rPr>
          <w:b/>
          <w:color w:val="000000"/>
        </w:rPr>
        <w:t xml:space="preserve"> </w:t>
      </w:r>
    </w:p>
    <w:p w:rsidR="001B466B" w:rsidRDefault="001B466B" w:rsidP="001B466B">
      <w:pPr>
        <w:pStyle w:val="NormalWeb"/>
        <w:spacing w:before="0" w:beforeAutospacing="0" w:after="0" w:afterAutospacing="0"/>
        <w:jc w:val="both"/>
        <w:textAlignment w:val="baseline"/>
        <w:rPr>
          <w:b/>
          <w:color w:val="000000"/>
        </w:rPr>
      </w:pPr>
    </w:p>
    <w:p w:rsidR="001B466B" w:rsidRDefault="001B466B" w:rsidP="001B466B">
      <w:pPr>
        <w:pStyle w:val="NormalWeb"/>
        <w:spacing w:before="0" w:beforeAutospacing="0" w:after="0" w:afterAutospacing="0"/>
        <w:jc w:val="both"/>
        <w:textAlignment w:val="baseline"/>
        <w:rPr>
          <w:b/>
          <w:color w:val="000000"/>
        </w:rPr>
      </w:pPr>
      <w:r>
        <w:rPr>
          <w:b/>
          <w:color w:val="000000"/>
        </w:rPr>
        <w:t xml:space="preserve">Triste, melancólico y… ¿fatal? </w:t>
      </w:r>
      <w:r>
        <w:rPr>
          <w:b/>
        </w:rPr>
        <w:t>(topografía del terror económico y social)</w:t>
      </w:r>
    </w:p>
    <w:p w:rsidR="001B466B" w:rsidRDefault="001B466B" w:rsidP="001B466B">
      <w:pPr>
        <w:pStyle w:val="NormalWeb"/>
        <w:spacing w:before="0" w:beforeAutospacing="0" w:after="0" w:afterAutospacing="0"/>
        <w:jc w:val="both"/>
        <w:textAlignment w:val="baseline"/>
        <w:rPr>
          <w:b/>
          <w:color w:val="000000"/>
        </w:rPr>
      </w:pPr>
      <w:r>
        <w:rPr>
          <w:b/>
        </w:rPr>
        <w:t xml:space="preserve"> </w:t>
      </w:r>
    </w:p>
    <w:p w:rsidR="001B466B" w:rsidRDefault="001B466B" w:rsidP="001B466B">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 xml:space="preserve">Hablaron de la aldea global, de un mundo sin fronteras; proclamaron el desarrollo económico universal, expandiendo por doquier las bendiciones de la libertad de comercio, de la circulación de personas y capitales y, por supuesto, de los derechos civiles; los beneficios de la subcontratación, las ventajas de la deslocalización, pregonaron la revolución tecnológica de las oportunidades, declararon el fin de la Historia… y sin embargo, los acontecimientos de los últimos años han tomado una deriva tan inquietante como para preguntarse si se ha intentado cambiar todo sin cambiar demasiado ni hacer cambiar a los que no quieren cambiar nada, se niegan a reconocer sus errores y desprecian el peligro mortal que corren con el auge del “reinado del egoísmo”, como compendio de todos los males de la globalización y el individualismo liberal. Han logrado “aplanar la Tierra”, poblando con  zombis jibarizados, los países avanzados (ahora, en vías de subdesarrollo). Unos idiotas felices, adictos al móvil. </w:t>
      </w:r>
    </w:p>
    <w:p w:rsidR="001B466B" w:rsidRDefault="001B466B" w:rsidP="001B466B">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rPr>
        <w:t>¿Se puede convocar a unirse en torno a la idea de “libertad de mercado” cuando se tolera (y hasta defiende) un tinglado genuinamente liberticida, como el “socialismo de mercado” o el “capitalismo de estado”? El objetivo final de quienes han diseñado este modelo es la vuelta a un neo-feudalismo, a una nueva servidumbre, apoyados en un sistema claramente represivo.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haber soportado tantas promesas rotas, tanto desguace laboral, tantas ilusiones frustradas, tanta humillación social, tanto futuro robado: ¿cómo se puede seguir alimentando la bestia (China, bandera de conveniencia), mientras se entona el himno “America first”? ¿cómo se pueden proyectar los Estados Unidos de Europa, cuando se cercena la columna vertebral del desarrollo económico y equilibrio social, que representa la clase media?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¿Queda vida en la clase media norteamericana o europea? ¿es consciente la clase media de esos países del daño infligido y la degradación provocada? ¿hasta dónde se dejará crecer a </w:t>
      </w:r>
      <w:r>
        <w:rPr>
          <w:rFonts w:ascii="Times New Roman" w:hAnsi="Times New Roman" w:cs="Times New Roman"/>
          <w:sz w:val="24"/>
          <w:szCs w:val="24"/>
        </w:rPr>
        <w:lastRenderedPageBreak/>
        <w:t xml:space="preserve">ese enemigo formidable que representa China? ¿hasta cuándo se seguirá tolerando esta fenomenal impostura? ¿cuánto tiempo se puede soportar un modelo económico que permite que se trate como “siervos de la gleba” al 80% de la población? ¿cuánto tiempo habrá que esperar para que se desarticule un sistema de explotación y exterminio de clases, liberticida y feudal? ¿cuánto, para que se desarticulen sus tramas y connivencias corruptas?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Hemos llegado a un punto que era casi imposible de imaginar, algo imposible de soportar, pero real. Los falsos liberales, que han resultado ser, unos peligrosos liberticidas, están convirtiendo en mortal e irreversible lo que pudo ser venial y reversible. Olvidar esto ni se puede ni se debe. </w:t>
      </w:r>
      <w:r>
        <w:rPr>
          <w:rFonts w:ascii="Times New Roman" w:hAnsi="Times New Roman" w:cs="Times New Roman"/>
          <w:color w:val="000000"/>
          <w:sz w:val="24"/>
          <w:szCs w:val="24"/>
        </w:rPr>
        <w:t xml:space="preserve">No es liberalismo, no es productividad, no es competitividad. ¿Es estupidez, inmolación innecesaria, suicidio asistido, avaricia, arrogancia, fatuidad, exceso de cortoplacismo,  presión de Wall Street (expectativas del mercado) para que se puedan continuar presentando mejoras en los resultados trimestrales, adicción a los bonus, exceso de stock options…?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Si los responsables de las políticas en Estados Unidos y Europa siguen preocupados por complacer a Wall Street, a las grandes empresas y a los economistas neoliberales, el desempeño económico de sus países se verá afectado y las desigualdades de riqueza entre los norteamericanos y europeos seguirán creciendo. Esto a su vez aumentará el riesgo de una mayor inestabilidad social, extremismo y populismo. Las elites estadounidenses y europeas no pueden darse el lujo de ignorar las señales de alarma obvias de la misma manera que pasaron por alto la burbuja de las hipotecas de alto riesgo que desató la crisis financiera de 2008.</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haber aguantado tantas afrentas y algunas más (la lista resulta interminable): apaguen la tele, desconecten el móvil, cierren el iPad… miren a sus hijos y nietos (nuevos pobres, de países ricos)… y respóndanse esta pregunta final (fatal) ¿cómo se puede “pedir la muerte” de la clase media (norteamericana o europea) antes de luchar? Ustedes mismos… </w:t>
      </w:r>
    </w:p>
    <w:p w:rsidR="001B466B" w:rsidRDefault="001B466B" w:rsidP="001B466B">
      <w:pPr>
        <w:pStyle w:val="NormalWeb"/>
        <w:jc w:val="both"/>
      </w:pPr>
      <w:r>
        <w:rPr>
          <w:color w:val="000000"/>
        </w:rPr>
        <w:t xml:space="preserve">Si están dispuestos a aceptar al “deep blue”, como animal de compañía, a tolerar </w:t>
      </w:r>
      <w:r>
        <w:t>un sistema encaminado a sostener una expansión artificial de la demanda vía deuda, alrededor de distintos procesos especulativos, ninguno productivo…</w:t>
      </w:r>
      <w:r>
        <w:rPr>
          <w:color w:val="000000"/>
        </w:rPr>
        <w:t xml:space="preserve"> cuando se queden sin trabajo y se vean empujados al abismo de la pobreza, siempre tendrán la “magnífica” oportunidad de “emplearse” haciendo paquetes en Amazon, como chofer en Uber, alquilar alguna de sus habitaciones, o el sillón preferido, o vuestra cama matrimonial, por Airbnb, hacer repartos en bicicleta para Glovo o Deliveroo, ser piloto de drones, ser escritor en Twitter (para lo cual no solo tendrán que redactar textos en 140 caracteres, sino, lo que es peor aún, pensar en 140 caracteres), </w:t>
      </w:r>
      <w:r>
        <w:t xml:space="preserve">aparcador de patinetes, agente de seguros para accidentes con peatones causados por automóviles sin conductor o scooters, impresor de cabezas en 3D para desbloquear smartphones, experto en conocimiento linkado, probador de Nintendo, muñeco de Pokemon, emoji en WhatsApp, fotógrafo de todo, influencer en Instagram, personal trainer, centinela de la ideología de género, activista LGTBI, chaleco amarillo, tripulante de buques de ONG para cooperar con las mafias que trafican con inmigrantes ilegales en el Mediterráneo, youtuber, blogger, falso autónomo de cualquiera de las “plataformas”, pero siempre “work in progress”. </w:t>
      </w:r>
    </w:p>
    <w:p w:rsidR="001B466B" w:rsidRDefault="001B466B" w:rsidP="001B466B">
      <w:pPr>
        <w:pStyle w:val="NormalWeb"/>
        <w:spacing w:before="0" w:beforeAutospacing="0" w:after="0" w:afterAutospacing="0"/>
        <w:jc w:val="both"/>
        <w:textAlignment w:val="baseline"/>
        <w:rPr>
          <w:color w:val="000000"/>
        </w:rPr>
      </w:pPr>
      <w:r>
        <w:rPr>
          <w:color w:val="000000"/>
        </w:rPr>
        <w:t xml:space="preserve">Mientras continúan abducidos por el último modelo de iPhone, se hacen selfies con los colegas, siguen vendiendo la intimidad por Facebook o se sienten famosos por un día en Instagram, no deben olvidarse de tomar las pastillas para (no, contra) la amnesia, o de  poner edulcorantes al mejunje, para poder “tragarse” un sistema económico tan injusto como impresentable (haciendo más soportable el sistema de ablación social en marcha). </w:t>
      </w:r>
    </w:p>
    <w:p w:rsidR="001B466B" w:rsidRDefault="001B466B" w:rsidP="001B466B">
      <w:pPr>
        <w:pStyle w:val="NormalWeb"/>
        <w:spacing w:before="0" w:beforeAutospacing="0" w:after="0" w:afterAutospacing="0"/>
        <w:jc w:val="both"/>
        <w:textAlignment w:val="baseline"/>
        <w:rPr>
          <w:color w:val="000000"/>
        </w:rPr>
      </w:pPr>
    </w:p>
    <w:p w:rsidR="001B466B" w:rsidRDefault="001B466B" w:rsidP="001B466B">
      <w:pPr>
        <w:pStyle w:val="NormalWeb"/>
        <w:spacing w:before="0" w:beforeAutospacing="0" w:after="0" w:afterAutospacing="0"/>
        <w:jc w:val="both"/>
        <w:textAlignment w:val="baseline"/>
        <w:rPr>
          <w:color w:val="000000"/>
        </w:rPr>
      </w:pPr>
      <w:r>
        <w:rPr>
          <w:color w:val="000000"/>
        </w:rPr>
        <w:lastRenderedPageBreak/>
        <w:t>Creo humildemente, que toda esta “pirotecnia” de la “nueva economía” (robótica, inteligencia artificial, datos de voz, analítica aumentada, algoritmos, tecnologías disruptivas, asociacionismo, gig economy…) de los países avanzados, ha servido para poco. En el fondo, para nada. Para nada bueno, se entiende. Si todo esto se hizo para dejar a todos contentos (países pobres y ricos): el “invento” ha fracasado. Porque no todos están contentos. Casi nadie lo está (al menos, en los países ricos).</w:t>
      </w:r>
    </w:p>
    <w:p w:rsidR="001B466B" w:rsidRDefault="001B466B" w:rsidP="001B466B">
      <w:pPr>
        <w:pStyle w:val="NormalWeb"/>
        <w:spacing w:before="0" w:beforeAutospacing="0" w:after="0" w:afterAutospacing="0"/>
        <w:jc w:val="both"/>
        <w:textAlignment w:val="baseline"/>
        <w:rPr>
          <w:color w:val="000000"/>
        </w:rPr>
      </w:pPr>
    </w:p>
    <w:p w:rsidR="001B466B" w:rsidRDefault="001B466B" w:rsidP="001B466B">
      <w:pPr>
        <w:pStyle w:val="NormalWeb"/>
        <w:spacing w:before="0" w:beforeAutospacing="0" w:after="0" w:afterAutospacing="0"/>
        <w:jc w:val="both"/>
        <w:textAlignment w:val="baseline"/>
        <w:rPr>
          <w:b/>
        </w:rPr>
      </w:pPr>
      <w:r>
        <w:rPr>
          <w:color w:val="000000"/>
        </w:rPr>
        <w:t xml:space="preserve">En la batalla del aplausómetro ganan China (lista para el “sorpasso”), Wall Street (a lomos del relajamiento cuantitativo y las burbujas prefabricadas), y algunos países emergentes (no todos) atentos a pescar en río revuelto. El resto, trabajadores, profesionales, jóvenes, pensionistas, familias, pequeños empresarios, de los países desarrollados, hastiados de tener que aceptar el “nuevo normal”, </w:t>
      </w:r>
      <w:r>
        <w:t>de una China que hace alarde del mayor PIB del mundo (en términos de paridad de poder adquisitivo), c</w:t>
      </w:r>
      <w:r>
        <w:rPr>
          <w:color w:val="000000"/>
        </w:rPr>
        <w:t>omo una hecho de la naturaleza; cansados de soportar e</w:t>
      </w:r>
      <w:r>
        <w:t>l impacto negativo en términos de bienestar que provoca el “adiós a las armas” (economía real) de sus países (antes, avanzados).</w:t>
      </w:r>
      <w:r>
        <w:rPr>
          <w:color w:val="000000"/>
        </w:rPr>
        <w:t xml:space="preserve"> </w:t>
      </w:r>
      <w:r>
        <w:t xml:space="preserve">Mientras imponen al personal una resiliencia farisea, la concentración empresarial y de riqueza que ello conlleva, y la búsqueda a cualquier precio de una rentabilidad determinada, tienen un impacto demoledor en los trabajadores, clientes y proveedores. Y todo ello  con un proceso de acumulación en pocas manos, es decir, con un incremento sin paragón de las desigualdades. </w:t>
      </w:r>
      <w:r>
        <w:rPr>
          <w:b/>
        </w:rPr>
        <w:t>Un neofeudalismo en toda regla: adiós clase media, adiós…</w:t>
      </w:r>
    </w:p>
    <w:p w:rsidR="00EE565B" w:rsidRDefault="00EE565B" w:rsidP="001B466B">
      <w:pPr>
        <w:pStyle w:val="NormalWeb"/>
        <w:spacing w:before="0" w:beforeAutospacing="0" w:after="0" w:afterAutospacing="0"/>
        <w:jc w:val="both"/>
        <w:textAlignment w:val="baseline"/>
        <w:rPr>
          <w:b/>
        </w:rPr>
      </w:pP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b/>
          <w:sz w:val="24"/>
          <w:szCs w:val="24"/>
        </w:rPr>
        <w:t>Post scriptum</w:t>
      </w:r>
      <w:r>
        <w:rPr>
          <w:rFonts w:ascii="Times New Roman" w:hAnsi="Times New Roman" w:cs="Times New Roman"/>
          <w:sz w:val="24"/>
          <w:szCs w:val="24"/>
        </w:rPr>
        <w:t xml:space="preserve">: Suelo incluir en los Papers, un Apartado que casi siempre denomino: </w:t>
      </w:r>
      <w:r>
        <w:rPr>
          <w:rFonts w:ascii="Times New Roman" w:hAnsi="Times New Roman" w:cs="Times New Roman"/>
          <w:b/>
          <w:sz w:val="24"/>
          <w:szCs w:val="24"/>
        </w:rPr>
        <w:t>“La opinión de los que saben”</w:t>
      </w:r>
      <w:r>
        <w:rPr>
          <w:rFonts w:ascii="Times New Roman" w:hAnsi="Times New Roman" w:cs="Times New Roman"/>
          <w:sz w:val="24"/>
          <w:szCs w:val="24"/>
        </w:rPr>
        <w:t xml:space="preserve"> (aunque a veces, según los autores citados, agrego la coletilla </w:t>
      </w:r>
      <w:r>
        <w:rPr>
          <w:rFonts w:ascii="Times New Roman" w:hAnsi="Times New Roman" w:cs="Times New Roman"/>
          <w:b/>
          <w:sz w:val="24"/>
          <w:szCs w:val="24"/>
        </w:rPr>
        <w:t>“varios nobelados y algunos “noveleros”</w:t>
      </w:r>
      <w:r>
        <w:rPr>
          <w:rFonts w:ascii="Times New Roman" w:hAnsi="Times New Roman" w:cs="Times New Roman"/>
          <w:sz w:val="24"/>
          <w:szCs w:val="24"/>
        </w:rPr>
        <w:t>); lo hago con la intención de ampliar el nivel de información de los lectores, y permitirles contrastar mis comentarios y propuestas con el juicio de los “grandes bonetes” del pensamiento económico, las “vacas sagradas” de las universidades más prestigiosas, o los profetas de los dogmas, mantras y paradigmas de moda.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caso, no he encontrado muchos autores que discutan sobre la declinación de las clases sociales en los países avanzados. Aunque hay varios que han tratado asuntos referidos a la distribución (regresiva) de los ingresos, lamentablemente, no puedo aportarles artículos que cuantifiquen el proceso de “laminación” de la clase media en Estados Unidos o Europa. No obstante ello, les agrego algunos párrafos de publicaciones recientes, firmadas por autores de reconocido prestigio, como “coda” de este Paper, para que ustedes puedan “dar o quitar razón” a lo suscripto, por este humilde “reportero económico”, a lo largo del texto. </w:t>
      </w:r>
    </w:p>
    <w:p w:rsidR="001B466B" w:rsidRDefault="001B466B" w:rsidP="001B466B">
      <w:pPr>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 “Cuánto cambió en tres décadas. Allá por 1989, el colapso del bloque soviético parecía augurar el triunfo de los principios y valores de la democracia liberal. La creación ese mismo año de la World Wide Web prometía una nueva era de florecimiento para la humanidad y de cooperación internacional. Todavía en los primeros años de este siglo se repetían consignas osadas como que “la distancia ha muerto” y “la Tierra es plana”.</w:t>
      </w:r>
    </w:p>
    <w:p w:rsidR="001B466B" w:rsidRDefault="001B466B" w:rsidP="001B466B">
      <w:pPr>
        <w:spacing w:after="0" w:line="240" w:lineRule="auto"/>
        <w:jc w:val="both"/>
        <w:textAlignment w:val="baseline"/>
        <w:rPr>
          <w:rFonts w:ascii="Times New Roman" w:eastAsia="Times New Roman" w:hAnsi="Times New Roman" w:cs="Times New Roman"/>
          <w:i/>
          <w:sz w:val="24"/>
          <w:szCs w:val="24"/>
        </w:rPr>
      </w:pPr>
    </w:p>
    <w:p w:rsidR="001B466B" w:rsidRDefault="001B466B" w:rsidP="001B466B">
      <w:pPr>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Pero en vez de aplanar la Tierra, la globalización la ha vuelto más montañosa y despareja. Hoy más que nunca, el código postal determina las perspectivas, la expectativa de vida y el destino de las personas. En vez de reemplazar los ideales nacionales con valores compartidos, la globalización llevó a una competencia feroz, a la decadencia de los estados de bienestar y a la corrosión de las instituciones internacionales. Y aunque técnicamente hay más democracias hoy que en 1989, muchas se están volviendo más iliberales.</w:t>
      </w:r>
    </w:p>
    <w:p w:rsidR="00200BD5" w:rsidRDefault="00200BD5" w:rsidP="001B466B">
      <w:pPr>
        <w:spacing w:after="0" w:line="240" w:lineRule="auto"/>
        <w:jc w:val="both"/>
        <w:textAlignment w:val="baseline"/>
        <w:rPr>
          <w:rFonts w:ascii="Times New Roman" w:eastAsia="Times New Roman" w:hAnsi="Times New Roman" w:cs="Times New Roman"/>
          <w:i/>
          <w:sz w:val="24"/>
          <w:szCs w:val="24"/>
        </w:rPr>
      </w:pPr>
    </w:p>
    <w:p w:rsidR="001B466B" w:rsidRDefault="001B466B" w:rsidP="001B466B">
      <w:pPr>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No extraña que el apoyo público a la globalización haya menguado. Y en esto no ayudaron los ataques del 11 de septiembre de 2001 y los 5,6 billones de dólares gastados en la “guerra </w:t>
      </w:r>
      <w:r>
        <w:rPr>
          <w:rFonts w:ascii="Times New Roman" w:eastAsia="Times New Roman" w:hAnsi="Times New Roman" w:cs="Times New Roman"/>
          <w:i/>
          <w:sz w:val="24"/>
          <w:szCs w:val="24"/>
        </w:rPr>
        <w:lastRenderedPageBreak/>
        <w:t>al terrorismo”. Tampoco lo hizo la crisis financiera de 2008, que expuso la incapacidad de expertos e instituciones para manejar la interdependencia y el cambio tecnológico. Una creciente divisoria entre las élites y todos aquellos que han sido “olvidados” envenena la política hace una generación…</w:t>
      </w:r>
    </w:p>
    <w:p w:rsidR="001B466B" w:rsidRDefault="001B466B" w:rsidP="001B466B">
      <w:pPr>
        <w:spacing w:after="0" w:line="240" w:lineRule="auto"/>
        <w:jc w:val="both"/>
        <w:textAlignment w:val="baseline"/>
        <w:rPr>
          <w:rFonts w:ascii="Times New Roman" w:eastAsia="Times New Roman" w:hAnsi="Times New Roman" w:cs="Times New Roman"/>
          <w:i/>
          <w:sz w:val="24"/>
          <w:szCs w:val="24"/>
        </w:rPr>
      </w:pPr>
    </w:p>
    <w:p w:rsidR="001B466B" w:rsidRDefault="001B466B" w:rsidP="001B466B">
      <w:pPr>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¿Podrán la dirigencia política y la ciudadanía reunir la voluntad para encarar las amenazas compartidas, o vamos camino de una mayor fragmentación? Mucho dependerá de las medidas que se tomen en 2019. Hoy más que nunca, debemos hacer frente a los motores del cambio, cada vez más rápidos e interdependientes…</w:t>
      </w:r>
    </w:p>
    <w:p w:rsidR="001B466B" w:rsidRDefault="001B466B" w:rsidP="001B466B">
      <w:pPr>
        <w:spacing w:after="0" w:line="240" w:lineRule="auto"/>
        <w:jc w:val="both"/>
        <w:textAlignment w:val="baseline"/>
        <w:rPr>
          <w:rFonts w:ascii="Times New Roman" w:eastAsia="Times New Roman" w:hAnsi="Times New Roman" w:cs="Times New Roman"/>
          <w:i/>
          <w:sz w:val="24"/>
          <w:szCs w:val="24"/>
        </w:rPr>
      </w:pPr>
    </w:p>
    <w:p w:rsidR="001B466B" w:rsidRDefault="001B466B" w:rsidP="001B466B">
      <w:pPr>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i/>
          <w:sz w:val="24"/>
          <w:szCs w:val="24"/>
        </w:rPr>
        <w:t>Nunca hubo tanto en juego como en 2019. Cuando la política está supeditada al extremismo, a los algoritmos, a las noticias falsas y a la manipulación extranjera, la democracia misma está en peligro. Sin un involucramiento más activo de las autoridades y dirigencias políticas, no puede haber esperanzas para el futuro. El ritmo cada vez más veloz de los cambios, sumado a la creciente interdependencia internacional, no facilita la búsqueda de soluciones compartidas, sino que la dificulta”…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 xml:space="preserve">(Project Syndicate- </w:t>
      </w:r>
      <w:r>
        <w:rPr>
          <w:rFonts w:ascii="Times New Roman" w:eastAsia="Times New Roman" w:hAnsi="Times New Roman" w:cs="Times New Roman"/>
          <w:b/>
          <w:sz w:val="24"/>
          <w:szCs w:val="24"/>
          <w:lang w:val="en-US"/>
        </w:rPr>
        <w:t>4/1/19</w:t>
      </w:r>
      <w:r>
        <w:rPr>
          <w:rFonts w:ascii="Times New Roman" w:eastAsia="Times New Roman" w:hAnsi="Times New Roman" w:cs="Times New Roman"/>
          <w:sz w:val="24"/>
          <w:szCs w:val="24"/>
          <w:lang w:val="en-US"/>
        </w:rPr>
        <w:t>)</w:t>
      </w:r>
    </w:p>
    <w:p w:rsidR="001B466B" w:rsidRDefault="001B466B" w:rsidP="001B466B">
      <w:pPr>
        <w:spacing w:after="0" w:line="240" w:lineRule="auto"/>
        <w:jc w:val="both"/>
        <w:textAlignment w:val="baseline"/>
        <w:rPr>
          <w:rFonts w:ascii="Times New Roman" w:eastAsia="Times New Roman" w:hAnsi="Times New Roman" w:cs="Times New Roman"/>
          <w:i/>
          <w:sz w:val="24"/>
          <w:szCs w:val="24"/>
          <w:lang w:val="en-US"/>
        </w:rPr>
      </w:pPr>
    </w:p>
    <w:p w:rsidR="001B466B" w:rsidRDefault="001B466B" w:rsidP="001B466B">
      <w:pPr>
        <w:spacing w:after="0" w:line="240" w:lineRule="auto"/>
        <w:jc w:val="both"/>
        <w:textAlignment w:val="baseline"/>
        <w:rPr>
          <w:rFonts w:ascii="Times New Roman" w:eastAsia="Times New Roman" w:hAnsi="Times New Roman" w:cs="Times New Roman"/>
          <w:sz w:val="20"/>
          <w:szCs w:val="20"/>
          <w:lang w:val="en-US"/>
        </w:rPr>
      </w:pPr>
      <w:r>
        <w:rPr>
          <w:rFonts w:ascii="Times New Roman" w:eastAsia="Times New Roman" w:hAnsi="Times New Roman" w:cs="Times New Roman"/>
          <w:color w:val="000000"/>
          <w:sz w:val="20"/>
          <w:szCs w:val="20"/>
          <w:lang w:val="en-US"/>
        </w:rPr>
        <w:t>(</w:t>
      </w:r>
      <w:r>
        <w:rPr>
          <w:rFonts w:ascii="Times New Roman" w:eastAsia="Times New Roman" w:hAnsi="Times New Roman" w:cs="Times New Roman"/>
          <w:b/>
          <w:color w:val="000000"/>
          <w:sz w:val="20"/>
          <w:szCs w:val="20"/>
          <w:lang w:val="en-US"/>
        </w:rPr>
        <w:t>Ian Goldin</w:t>
      </w:r>
      <w:r>
        <w:rPr>
          <w:rFonts w:ascii="Times New Roman" w:eastAsia="Times New Roman" w:hAnsi="Times New Roman" w:cs="Times New Roman"/>
          <w:color w:val="000000"/>
          <w:sz w:val="20"/>
          <w:szCs w:val="20"/>
          <w:lang w:val="en-US"/>
        </w:rPr>
        <w:t xml:space="preserve">, Professor of Globalization and Development and Director of the Oxford Martin Programme on Technological and Economic Change at the University of Oxford, is an author of The Pursuit of Development: Economic Growth, Social Change, and Ideas; Exceptional People: How Migration Shaped Our World and Will Define Our Future, Age of Discovery: Navigating the Risks and Rewards of Our New Renaissance, The Butterfly Defect: How Globalization Creates Systemic Risks, and What to Do About It,  Migration and the Economy: Economic Realities, Social Impacts and Political Choices, and Development: A Very Short Introduction. He is the author and presenter of the BBC series After the Crash…) </w:t>
      </w:r>
    </w:p>
    <w:p w:rsidR="001B466B" w:rsidRDefault="001B466B" w:rsidP="001B466B">
      <w:pPr>
        <w:spacing w:after="0" w:line="240" w:lineRule="auto"/>
        <w:jc w:val="both"/>
        <w:textAlignment w:val="baseline"/>
        <w:rPr>
          <w:rFonts w:ascii="Times New Roman" w:eastAsia="Times New Roman" w:hAnsi="Times New Roman" w:cs="Times New Roman"/>
          <w:sz w:val="20"/>
          <w:szCs w:val="20"/>
          <w:lang w:val="en-US"/>
        </w:rPr>
      </w:pP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“Después de la Segunda Guerra Mundial, la comunidad internacional aunó esfuerzos para construir un futuro compartido. Hoy en día, debe hacer esto de nuevo. Debido a la lenta y desigual recuperación durante la década tras la crisis financiera mundial, una parte sustancial de la sociedad se ha visto atrapada por la insatisfacción y la amargura; y, no sólo con respecto a la política y los políticos, sino también con relación a la globalización y todo el sistema económico que esta sustenta. En una época de inseguridad y frustración generalizadas, el populismo, se ha tornado como una opción cada vez más atractiva, como una alternativa al status quo…</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Al fin y al cabo, este momento de crisis ha planteado preguntas importantes sobre nuestra arquitectura de gobernanza global. Teniendo en cuenta que cada vez más y más votantes exigen “recuperar el control” de las manos de las “fuerzas globales”, el desafío que se enfrenta es la restauración de la soberanía en un mundo que necesita de la cooperación entre partes. En lugar de cerrar las economías a través del proteccionismo y la política nacionalista, debemos forjar un nuevo pacto social entre los ciudadanos y sus líderes, para que todos se sientan lo suficientemente seguros dentro de su propio país como para permanecer abiertos al mundo en general. Si esto falla, la continua desintegración de nuestro tejido social podría, en última instancia, provocar el colapso de la democracia.</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Además, los desafíos asociados con la Cuarta Revolución Industrial (4IR) coinciden con el rápido surgimiento de restricciones ecológicas, el advenimiento de un orden internacional cada vez más multipolar y una creciente desigualdad. Estos sucesos integrados están marcando el comienzo de una nueva era de globalización. Si esta nueva era va a mejorar la condición humana dependerá de si la gobernanza corporativa, local, nacional e internacional se puede adaptar a estos sucesos, a tiempo.</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lastRenderedPageBreak/>
        <w:t>De manera paralela, un nuevo marco para la cooperación público-privada global ha ido tomando forma. La cooperación público-privada consiste en aprovechar el sector privado y los mercados abiertos para impulsar el crecimiento económico para el bien público, teniendo siempre en cuenta la sostenibilidad ambiental y la inclusión social. Sin embargo, para determinar lo que comprende el bien público, primero debemos identificar las causas de la desigualdad.</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Por ejemplo, si bien los mercados abiertos y la mayor competencia ciertamente producen ganadores y perdedores en el ámbito internacional, también pueden tener un efecto aún más pronunciado sobre la desigualdad a nivel nacional. Es más, la creciente brecha entre quienes forman parte del precariado y los privilegiados se está reforzando con los modelos de negocios de la Cuarta Revolución Industrial (4IR), que a menudo hacen que las ganancias sean para quienes son dueños del capital o de la propiedad intelectual.</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Cerrar esa brecha requiere que reconozcamos que estamos viviendo en un nuevo tipo de economía impulsada por la innovación, y que se necesitan nuevas normas, estándares, políticas y convenios globales para salvaguardar la confianza del público. La nueva economía ya ha perturbado y recombinado innumerables industrias, y ha desplazado a millones de trabajadores. Esta nueva economía desmaterializa la producción a medida de que aumenta la intensidad del conocimiento en la creación de valor. A su vez, también aumenta la competencia dentro de los mercados nacionales de productos, capitales y trabajo, así como entre los países que adoptan diferentes estrategias de comercio e inversión. Y, aviva la desconfianza, en especial con relación a las empresas de tecnología y la forma como estas administran nuestros datos…</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La globalización apenas ha comenzado; pero, ya estamos muy poco preparados para ella. Aferrarse a una mentalidad obsoleta y llevar a cabo pequeños ajustes a nuestros procesos e instituciones existentes, no será para nada suficiente. En cambio, debemos rediseñar estos procesos e instituciones desde cero, con el propósito de poder aprovechar las nuevas oportunidades que nos esperan, mientras paralelamente evitamos el tipo de perturbaciones que presenciamos hoy.</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A medida que desarrollamos un nuevo abordaje para dirigirnos hacia la nueva economía, debemos recordar que no estamos jugando un juego de suma cero. Este no es un tema de dicotomías: libre comercio o proteccionismo, tecnología o empleos, inmigración o protección de los ciudadanos, crecimiento o igualdad. Todas esas dicotomías son falsas, y las podemos evitar desarrollando políticas que favorezcan la palabra “y”, haciendo que prevalezca sobre la “o”, permitiendo que se pueda ir tras la consecución de la totalidad de los mencionados intereses, de manera paralela.</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Sin duda, los pesimistas argumentarán que las condiciones políticas se interponen en el camino de un diálogo global productivo sobre la Globalización 4.0 y la nueva economía. Pero, los realistas utilizarán el momento actual para explorar las brechas en el sistema actual e identificar los requisitos para un futuro abordaje. Y, los optimistas se aferrarán a la esperanza de que las partes interesadas con visión de futuro crearan una comunidad de intereses compartidos y, en última instancia, un propósito compartido.</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Los cambios que están en curso hoy en día no son cambios aislados que afectan a un país, una industria o un problema en particular. Son cambios universales; y, por lo tanto, requieren de una respuesta global. La no adopción de un nuevo abordaje cooperativo sería una tragedia para la humanidad. Con el propósito de elaborar un plan para una </w:t>
      </w:r>
      <w:r>
        <w:rPr>
          <w:rFonts w:ascii="Times New Roman" w:eastAsia="Times New Roman" w:hAnsi="Times New Roman" w:cs="Times New Roman"/>
          <w:bCs/>
          <w:i/>
          <w:sz w:val="24"/>
          <w:szCs w:val="24"/>
        </w:rPr>
        <w:lastRenderedPageBreak/>
        <w:t>arquitectura de gobernanza global compartida, tenemos que evitar quedarnos atascados en el momento actual de gestión de crisis.</w:t>
      </w:r>
    </w:p>
    <w:p w:rsidR="001B466B" w:rsidRDefault="001B466B" w:rsidP="001B466B">
      <w:pPr>
        <w:spacing w:after="180" w:line="240" w:lineRule="auto"/>
        <w:jc w:val="both"/>
        <w:rPr>
          <w:rFonts w:ascii="Times New Roman" w:eastAsia="Times New Roman" w:hAnsi="Times New Roman" w:cs="Times New Roman"/>
          <w:bCs/>
          <w:i/>
          <w:sz w:val="24"/>
          <w:szCs w:val="24"/>
          <w:lang w:val="en-US"/>
        </w:rPr>
      </w:pPr>
      <w:r>
        <w:rPr>
          <w:rFonts w:ascii="Times New Roman" w:eastAsia="Times New Roman" w:hAnsi="Times New Roman" w:cs="Times New Roman"/>
          <w:bCs/>
          <w:i/>
          <w:sz w:val="24"/>
          <w:szCs w:val="24"/>
        </w:rPr>
        <w:t xml:space="preserve">Específicamente, esta tarea requerirá dos cosas de la comunidad internacional: un compromiso más amplio y una mayor imaginación. El compromiso de todas las partes interesadas en un diálogo sostenido será crucial, al igual que la imaginación para pensar de manera sistémica, y más allá de las propias consideraciones institucionales y nacionales cortoplacistas… Estos serán los dos principios organizativos de la próxima Reunión Anual del Foro Económico Mundial en Davos-Klosters, que se reunirá para considerar el tema “Globalización 4.0: Configuración de una arquitectura global en la era de la Cuarta Revolución Industrial”. Estemos listos o no, un nuevo mundo se nos viene encima”. </w:t>
      </w:r>
      <w:r>
        <w:rPr>
          <w:rFonts w:ascii="Times New Roman" w:eastAsia="Times New Roman" w:hAnsi="Times New Roman" w:cs="Times New Roman"/>
          <w:bCs/>
          <w:sz w:val="24"/>
          <w:szCs w:val="24"/>
          <w:lang w:val="en-US"/>
        </w:rPr>
        <w:t xml:space="preserve">(Project Syndicate - </w:t>
      </w:r>
      <w:r>
        <w:rPr>
          <w:rFonts w:ascii="Times New Roman" w:eastAsia="Times New Roman" w:hAnsi="Times New Roman" w:cs="Times New Roman"/>
          <w:b/>
          <w:bCs/>
          <w:sz w:val="24"/>
          <w:szCs w:val="24"/>
          <w:lang w:val="en-US"/>
        </w:rPr>
        <w:t>5/1/19</w:t>
      </w:r>
      <w:r>
        <w:rPr>
          <w:rFonts w:ascii="Times New Roman" w:eastAsia="Times New Roman" w:hAnsi="Times New Roman" w:cs="Times New Roman"/>
          <w:bCs/>
          <w:sz w:val="24"/>
          <w:szCs w:val="24"/>
          <w:lang w:val="en-US"/>
        </w:rPr>
        <w:t>)</w:t>
      </w:r>
    </w:p>
    <w:p w:rsidR="001B466B" w:rsidRDefault="001B466B" w:rsidP="001B466B">
      <w:pPr>
        <w:spacing w:after="180" w:line="240" w:lineRule="auto"/>
        <w:jc w:val="both"/>
        <w:rPr>
          <w:rFonts w:ascii="Times New Roman" w:eastAsia="Times New Roman" w:hAnsi="Times New Roman" w:cs="Times New Roman"/>
          <w:bCs/>
          <w:sz w:val="20"/>
          <w:szCs w:val="20"/>
          <w:lang w:val="en-US"/>
        </w:rPr>
      </w:pPr>
      <w:r>
        <w:rPr>
          <w:rFonts w:ascii="Times New Roman" w:eastAsia="Times New Roman" w:hAnsi="Times New Roman" w:cs="Times New Roman"/>
          <w:bCs/>
          <w:sz w:val="20"/>
          <w:szCs w:val="20"/>
          <w:lang w:val="en-US"/>
        </w:rPr>
        <w:t>(</w:t>
      </w:r>
      <w:r>
        <w:rPr>
          <w:rFonts w:ascii="Times New Roman" w:eastAsia="Times New Roman" w:hAnsi="Times New Roman" w:cs="Times New Roman"/>
          <w:b/>
          <w:bCs/>
          <w:sz w:val="20"/>
          <w:szCs w:val="20"/>
          <w:lang w:val="en-US"/>
        </w:rPr>
        <w:t>Klaus Schwab</w:t>
      </w:r>
      <w:r>
        <w:rPr>
          <w:rFonts w:ascii="Times New Roman" w:eastAsia="Times New Roman" w:hAnsi="Times New Roman" w:cs="Times New Roman"/>
          <w:bCs/>
          <w:sz w:val="20"/>
          <w:szCs w:val="20"/>
          <w:lang w:val="en-US"/>
        </w:rPr>
        <w:t xml:space="preserve"> is Founder and Executive Chairman of the World Economic Forum)</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“Hay buenos motivos para el descontento de hoy: cuatro décadas de promesas de los líderes políticos tanto de centro izquierda como de centro derecha, que abrazaron la fe neoliberal de que la globalización, la financiarización, la desregulación, la privatización y una serie de reformas relacionadas traerían aparejada una prosperidad sin precedentes, han caído en saco roto. Mientras que a una pequeña elite parece haberle ido muy bien, grandes segmentos de la población han quedado excluidos de la clase media y se han sumergido en un nuevo mundo de vulnerabilidad e inseguridad. Hasta los líderes en países con una desigualdad baja pero creciente han sentido la ira de su pueblo… </w:t>
      </w:r>
    </w:p>
    <w:p w:rsidR="001B466B" w:rsidRDefault="001B466B" w:rsidP="001B466B">
      <w:pPr>
        <w:spacing w:after="180" w:line="240" w:lineRule="auto"/>
        <w:jc w:val="both"/>
        <w:rPr>
          <w:rFonts w:ascii="Times New Roman" w:eastAsia="Times New Roman" w:hAnsi="Times New Roman" w:cs="Times New Roman"/>
          <w:bCs/>
          <w:i/>
          <w:sz w:val="24"/>
          <w:szCs w:val="24"/>
          <w:lang w:val="en-US"/>
        </w:rPr>
      </w:pPr>
      <w:r>
        <w:rPr>
          <w:rFonts w:ascii="Times New Roman" w:eastAsia="Times New Roman" w:hAnsi="Times New Roman" w:cs="Times New Roman"/>
          <w:bCs/>
          <w:i/>
          <w:sz w:val="24"/>
          <w:szCs w:val="24"/>
        </w:rPr>
        <w:t xml:space="preserve">En resumen, existe una enorme desconfianza en los gobiernos y los políticos, lo que implica que pedir sacrificios hoy a cambio de la promesa de una vida mejor mañana no será aceptado. Y esto es particularmente válido para las políticas “de goteo”: recortes impositivos para los ricos que, se supone, terminarán beneficiando a todos los demás”… </w:t>
      </w:r>
      <w:r>
        <w:rPr>
          <w:rFonts w:ascii="Times New Roman" w:eastAsia="Times New Roman" w:hAnsi="Times New Roman" w:cs="Times New Roman"/>
          <w:bCs/>
          <w:sz w:val="24"/>
          <w:szCs w:val="24"/>
          <w:lang w:val="en-US"/>
        </w:rPr>
        <w:t xml:space="preserve">(Project Syndicate - </w:t>
      </w:r>
      <w:r>
        <w:rPr>
          <w:rFonts w:ascii="Times New Roman" w:eastAsia="Times New Roman" w:hAnsi="Times New Roman" w:cs="Times New Roman"/>
          <w:b/>
          <w:bCs/>
          <w:sz w:val="24"/>
          <w:szCs w:val="24"/>
          <w:lang w:val="en-US"/>
        </w:rPr>
        <w:t>7/1/19</w:t>
      </w:r>
      <w:r>
        <w:rPr>
          <w:rFonts w:ascii="Times New Roman" w:eastAsia="Times New Roman" w:hAnsi="Times New Roman" w:cs="Times New Roman"/>
          <w:bCs/>
          <w:sz w:val="24"/>
          <w:szCs w:val="24"/>
          <w:lang w:val="en-US"/>
        </w:rPr>
        <w:t>)</w:t>
      </w:r>
    </w:p>
    <w:p w:rsidR="001B466B" w:rsidRDefault="001B466B" w:rsidP="001B466B">
      <w:pPr>
        <w:spacing w:after="180" w:line="240" w:lineRule="auto"/>
        <w:jc w:val="both"/>
        <w:rPr>
          <w:rFonts w:ascii="Times New Roman" w:eastAsia="Times New Roman" w:hAnsi="Times New Roman" w:cs="Times New Roman"/>
          <w:bCs/>
          <w:sz w:val="20"/>
          <w:szCs w:val="20"/>
          <w:lang w:val="en-US"/>
        </w:rPr>
      </w:pPr>
      <w:r>
        <w:rPr>
          <w:rFonts w:ascii="Times New Roman" w:eastAsia="Times New Roman" w:hAnsi="Times New Roman" w:cs="Times New Roman"/>
          <w:bCs/>
          <w:sz w:val="20"/>
          <w:szCs w:val="20"/>
          <w:lang w:val="en-US"/>
        </w:rPr>
        <w:t>(</w:t>
      </w:r>
      <w:r>
        <w:rPr>
          <w:rFonts w:ascii="Times New Roman" w:eastAsia="Times New Roman" w:hAnsi="Times New Roman" w:cs="Times New Roman"/>
          <w:b/>
          <w:bCs/>
          <w:sz w:val="20"/>
          <w:szCs w:val="20"/>
          <w:lang w:val="en-US"/>
        </w:rPr>
        <w:t>Joseph E. Stiglitz</w:t>
      </w:r>
      <w:r>
        <w:rPr>
          <w:rFonts w:ascii="Times New Roman" w:eastAsia="Times New Roman" w:hAnsi="Times New Roman" w:cs="Times New Roman"/>
          <w:bCs/>
          <w:sz w:val="20"/>
          <w:szCs w:val="20"/>
          <w:lang w:val="en-US"/>
        </w:rPr>
        <w:t>, a Nobel laureate in economics, is University Professor at Columbia University and Chief Economist at the Roosevelt Institute. His most recent book is Globalization and Its Discontents Revisited: Anti-Globalization in the Era of Trump)</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“Y estos norteamericanos tienen muchos motivos para estar furiosos. Como señal más evidente, Estados Unidos es la única sociedad desarrollada importante donde el ingreso promedio de la mitad inferior no sólo se ha estancado, sino que ha caído marcadamente, como ha documentado Danny Quah de la Universidad Nacional de Singapur. Aún más preocupante, el ingreso promedio del 1% superior de la población fue 138 veces superior al del 50% inferior en 2010, comparado con 41 veces más alto en 1980.</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No existe una explicación única sobre por qué la desigualdad en Estados Unidos se ha disparado mientras que los intereses económicos del 50% inferior de la sociedad se han ignorado. Pero podemos obtener por lo menos una respuesta parcial si analizamos los dos principios de justicia que articuló el filósofo John Rawls de Harvard en su famoso libro Teoría de la justicia. El primer principio enfatiza que cada persona debería tener “un derecho igual a la libertad más amplia”, mientras que el segundo dice que las desigualdades sociales y económicas han de ser conformadas de modo tal que sean “ventajosas para todos”.</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El hecho innegable es que los liberales occidentales han enfatizado el primer principio por sobre el segundo, tanto en la teoría como en la práctica, priorizando la libertad individual y preocupándose mucho menos por la desigualdad. Creen que mientras haya elecciones y la gente pueda votar libre y equitativamente, están dadas las condiciones para una estabilidad </w:t>
      </w:r>
      <w:r>
        <w:rPr>
          <w:rFonts w:ascii="Times New Roman" w:eastAsia="Times New Roman" w:hAnsi="Times New Roman" w:cs="Times New Roman"/>
          <w:bCs/>
          <w:i/>
          <w:sz w:val="24"/>
          <w:szCs w:val="24"/>
        </w:rPr>
        <w:lastRenderedPageBreak/>
        <w:t>social. Por lo tanto, se deduce que quienes fracasan económicamente lo hacen por incompetencia personal, no por las condiciones sociales.</w:t>
      </w:r>
    </w:p>
    <w:p w:rsidR="001B466B" w:rsidRDefault="001B466B" w:rsidP="001B466B">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Sin embargo, no había ninguna duda cuando China se sumó a la Organización Mundial de Comercio en 2001 de que lo que vendría después era una “destrucción creativa” en las economías desarrolladas, con los consiguientes millones de pérdidas de empleo. Las elites de esas economías -ya sea en Estados Unidos, Francia u otra parte- tenían la responsabilidad de ayudar a quienes estaban perdiendo sus empleos. Pero esa ayuda no era inminente…</w:t>
      </w:r>
    </w:p>
    <w:p w:rsidR="001B466B" w:rsidRDefault="001B466B" w:rsidP="001B466B">
      <w:pPr>
        <w:spacing w:after="180" w:line="240" w:lineRule="auto"/>
        <w:jc w:val="both"/>
        <w:rPr>
          <w:rFonts w:ascii="Times New Roman" w:eastAsia="Times New Roman" w:hAnsi="Times New Roman" w:cs="Times New Roman"/>
          <w:bCs/>
          <w:i/>
          <w:sz w:val="24"/>
          <w:szCs w:val="24"/>
          <w:lang w:val="en-US"/>
        </w:rPr>
      </w:pPr>
      <w:r>
        <w:rPr>
          <w:rFonts w:ascii="Times New Roman" w:eastAsia="Times New Roman" w:hAnsi="Times New Roman" w:cs="Times New Roman"/>
          <w:bCs/>
          <w:i/>
          <w:sz w:val="24"/>
          <w:szCs w:val="24"/>
        </w:rPr>
        <w:t xml:space="preserve">Por esta razón, los liberales pueden haber cometido un error estratégico al centrar su furia en el propio Trump. Por el contrario, deberían preguntarse por qué gran parte del 50% inferior confía en él (y hasta puede reelegirlo). Y si fueran honestos, los liberales admitirían que efectivamente ellos han desilusionado a la mitad inferior de la sociedad. Si los liberales quieren derrotar a Trump, existe un único camino: recuperar la confianza de los votantes que conforman gran parte de su base. Esto les exigirá reestructurar sus sociedades de manera que el crecimiento económico beneficie a la mitad inferior más que al 1% superior. En teoría, esto se puede lograr fácilmente. En la práctica, sin embargo, los grandes intereses creados invariablemente intentarán bloquear la reforma. La opción para los liberales es clara: pueden sentirse bien condenando a Trump, o pueden hacer el bien atacando los intereses de la elite que contribuyó a su elección”… </w:t>
      </w:r>
      <w:r>
        <w:rPr>
          <w:rFonts w:ascii="Times New Roman" w:eastAsia="Times New Roman" w:hAnsi="Times New Roman" w:cs="Times New Roman"/>
          <w:bCs/>
          <w:sz w:val="24"/>
          <w:szCs w:val="24"/>
          <w:lang w:val="en-US"/>
        </w:rPr>
        <w:t xml:space="preserve">(Project Syndicate - </w:t>
      </w:r>
      <w:r>
        <w:rPr>
          <w:rFonts w:ascii="Times New Roman" w:eastAsia="Times New Roman" w:hAnsi="Times New Roman" w:cs="Times New Roman"/>
          <w:b/>
          <w:bCs/>
          <w:sz w:val="24"/>
          <w:szCs w:val="24"/>
          <w:lang w:val="en-US"/>
        </w:rPr>
        <w:t>22/1/19</w:t>
      </w:r>
      <w:r>
        <w:rPr>
          <w:rFonts w:ascii="Times New Roman" w:eastAsia="Times New Roman" w:hAnsi="Times New Roman" w:cs="Times New Roman"/>
          <w:bCs/>
          <w:sz w:val="24"/>
          <w:szCs w:val="24"/>
          <w:lang w:val="en-US"/>
        </w:rPr>
        <w:t>)</w:t>
      </w:r>
    </w:p>
    <w:p w:rsidR="001B466B" w:rsidRDefault="001B466B" w:rsidP="001B466B">
      <w:pPr>
        <w:spacing w:after="180" w:line="240" w:lineRule="auto"/>
        <w:jc w:val="both"/>
        <w:rPr>
          <w:rFonts w:ascii="Times New Roman" w:eastAsia="Times New Roman" w:hAnsi="Times New Roman" w:cs="Times New Roman"/>
          <w:bCs/>
          <w:sz w:val="20"/>
          <w:szCs w:val="20"/>
          <w:lang w:val="en-US"/>
        </w:rPr>
      </w:pPr>
      <w:r>
        <w:rPr>
          <w:rFonts w:ascii="Times New Roman" w:eastAsia="Times New Roman" w:hAnsi="Times New Roman" w:cs="Times New Roman"/>
          <w:bCs/>
          <w:sz w:val="20"/>
          <w:szCs w:val="20"/>
          <w:lang w:val="en-US"/>
        </w:rPr>
        <w:t>(</w:t>
      </w:r>
      <w:r>
        <w:rPr>
          <w:rFonts w:ascii="Times New Roman" w:eastAsia="Times New Roman" w:hAnsi="Times New Roman" w:cs="Times New Roman"/>
          <w:b/>
          <w:bCs/>
          <w:sz w:val="20"/>
          <w:szCs w:val="20"/>
          <w:lang w:val="en-US"/>
        </w:rPr>
        <w:t>Kishore Mahbubani</w:t>
      </w:r>
      <w:r>
        <w:rPr>
          <w:rFonts w:ascii="Times New Roman" w:eastAsia="Times New Roman" w:hAnsi="Times New Roman" w:cs="Times New Roman"/>
          <w:bCs/>
          <w:sz w:val="20"/>
          <w:szCs w:val="20"/>
          <w:lang w:val="en-US"/>
        </w:rPr>
        <w:t>, Professor in the Practice of Public Policy at the National University of Singapore, is the author of Has the West Lost It? and the co-author with Jeffery Sng of The ASEAN Miracle: A Catalyst for Peace. He was selected as one of Prospect magazine’s top 50 world thinkers in 2014)</w:t>
      </w:r>
      <w:r>
        <w:rPr>
          <w:rFonts w:ascii="Times New Roman" w:hAnsi="Times New Roman" w:cs="Times New Roman"/>
          <w:sz w:val="24"/>
          <w:szCs w:val="24"/>
          <w:lang w:val="en-US"/>
        </w:rPr>
        <w:t xml:space="preserve">   </w:t>
      </w:r>
    </w:p>
    <w:p w:rsidR="001B466B" w:rsidRDefault="001B466B" w:rsidP="001B466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 relato trágico de la crisis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Los “nuevos” pobres son aquellos que no vieron venir la cachetada. Aquellos que se creyeron “predestinados” a ser más ricos que sus padres. Aquellos que “hipotecaron” la mitad de los ingresos familiares (o más) para vivir en una casa, muy por encima de sus posibilidades. Aquellos que “confiaron” en el empleo continuo y el ingreso creciente.</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Dicen Alberto Minujin y Gabriel Kessler, en su libro “La nueva pobreza en la Argentina” - Temas de Hoy - 1995) que, “los “nuevos” pobres se parecen a los no pobres en algunos aspectos socioculturales, como el acceso a la enseñanza media y superior, el número de hijos por familia -más reducido que entre los pobres estructurales- etc.; y a los pobres de veja data, en los aspectos asociados a la crisis: el desempleo, la precariedad laboral, la falta de cobertura de salud, entre otros”…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Hasta no hace muchos años, los ciudadanos de Estados Unidos y los países miembros de la Unión Europea, habían formado una sociedad relativamente integrada, en la que una importante clase media había surgido como resultado de un proceso de movilidad social ascendente cuya continuidad no se ponía en cuestión. Desde 1989 (caída de muro de Berlín) en adelante, y ahora, luego de algo más de seis años de empobrecimiento masivo de la clase media, no hay duda de que estos países ya no son los mismos países.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empobrecimiento de una parte importante de las clases medias de estos países (antes considerados “avanzados”) no fue un acontecimiento natural ni una catástrofe inexorable, ni </w:t>
      </w:r>
      <w:r>
        <w:rPr>
          <w:rFonts w:ascii="Times New Roman" w:hAnsi="Times New Roman" w:cs="Times New Roman"/>
          <w:sz w:val="24"/>
          <w:szCs w:val="24"/>
        </w:rPr>
        <w:lastRenderedPageBreak/>
        <w:t>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suma: el empobrecimiento fue (y sigue siendo) un hecho económico, un hecho social y un hecho político. </w:t>
      </w:r>
    </w:p>
    <w:p w:rsidR="001B466B" w:rsidRPr="002649AB" w:rsidRDefault="001B466B" w:rsidP="001B466B">
      <w:pPr>
        <w:spacing w:line="240" w:lineRule="auto"/>
        <w:jc w:val="both"/>
        <w:rPr>
          <w:rFonts w:ascii="Times New Roman" w:hAnsi="Times New Roman" w:cs="Times New Roman"/>
          <w:b/>
          <w:sz w:val="24"/>
          <w:szCs w:val="24"/>
        </w:rPr>
      </w:pPr>
      <w:r w:rsidRPr="002649AB">
        <w:rPr>
          <w:rFonts w:ascii="Times New Roman" w:hAnsi="Times New Roman" w:cs="Times New Roman"/>
          <w:b/>
          <w:sz w:val="24"/>
          <w:szCs w:val="24"/>
        </w:rPr>
        <w:t>La desvalorización del “capital humano”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terciarización,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incluso, caen por debajo de esto.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cierto modo como socializado y anonimizado; se volvió abstracto, dejando la forma personalizable de toda la sociedad. “El capital” ya no es un grupo de propietarios legales, sino el principio común que determina la vida y la acción de todos los miembros de la sociedad, no solo exteriormente sino también en su propia subjetividad.</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 crisis y a través de la crisis, se efectúa una vez más una mutación estructural de la sociedad capitalista, disolviendo las situaciones sociales antiguas, aparentemente claras. El meollo de la crisis consiste justamente en que las nuevas fuerzas productivas de la microelectrónica funden el trabajo y, con él, la sustancia del propio capital. Dada la reducción cada vez mayor de la clase obrera industrial, se crea cada vez menos plusvalía. El capital </w:t>
      </w:r>
      <w:r>
        <w:rPr>
          <w:rFonts w:ascii="Times New Roman" w:hAnsi="Times New Roman" w:cs="Times New Roman"/>
          <w:sz w:val="24"/>
          <w:szCs w:val="24"/>
        </w:rPr>
        <w:lastRenderedPageBreak/>
        <w:t xml:space="preserve">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marca al capitalismo global hace dos décadas. Pero lo que es nuevo es que ahora la clase media en los países occidentales también sea atropellada.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las burbujas financieras en Asia, en Europa y también, en parte, en los Estados Unidos, comienzan ahora, desde el año 2000, a hacer efectiva de manera brutal la quiebra de la clase media, ya temida anteriormente.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desempleo creciente de académicos.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privatización y la terciarización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“desproletarización” de la producción. </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Por otra parte la desvalorización de las calificaciones corre pareja con una expansión objetiva del concepto de “capital humano”. Al revés de la decadencia de la nueva clase 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desnudo. Surge una relación inmediata entre las personas atomizadas y la economía del valor, que se limita a reproducirse de manera simulada, por medio de déficits y burbujas financieras. Cuanto mayor se vuelven las diferencias entre el pobre y el rico, más desaparecen las diferencias estructurales de las clases en la estructuración del capitalismo…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declive de la clase media no es ciertamente un relámpago que llega sin avisar: en 1985 (Rosenthal, 1985), el economista del departamento de estadística del Ministerio de Trabajo estadounidense Neal H. Rosenthal se preguntaba si ya se había iniciado -como lo habían denunciado otros- una polarización de las rentas con la consiguiente progresiva reducción de la clase media y la creación, por un lado, de una gran masa de ricos y, por otro, de un ejército de nuevos proletarios. Su análisis lo llevaba a concluir que hasta ese momento no se había verificado nada parecido. Añadía, sin embargo, que los procesos de desindustrialización -entonces apenas iniciados- y el desarrollo de las nuevas tecnologías de alta rentabilidad podrían provocar un fenómeno de este tipo a partir de la segunda mitad de los años noventa.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Sus previsiones se han revelado bastante exactas, como también la convicción -con visión de futuro, puesto que en 1985 todavía estábamos en la era pre-Internet, Microsoft era una pequeña empresa y Bill Gates estaba empezando a monopolizar los ordenadores personales mundiales con su nuevo sistema operativo- de que las industrias “high tech” (alta tecnología) favorecerían una polarización de las rentas.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Otras voces se han dejado oír en los últimos años: precisamente a mediados de los años noventa (julio de 1997), Rudi Dornbusch, economista del Massachusetts Institute of Technology (MIT), célebre por sus análisis mordaces y un lenguaje rudo y socarrón, publicó “Bye bye middle class”, un ensayo en el que preveía la inminente desaparición del “big government” (gran gobierno) (la tendencia de muchos gobiernos a incluir en la esfera pública la mayoría de los servicios dados a los ciudadanos y también una porción considerable de las actividades productivas), del “welfare state” (estado del bienestar) y de la propia “clase media, acostumbrada a la comodidad, por no decir a la pereza”. Dornbusch era consciente de que la abolición del estado del bienestar era un desafío que los gobiernos no sabían cómo afrontar. Advertía, sin embargo, que los políticos debían empezar a prepararse para los tiempos difíciles, en los que la competición entre sistemas y empresas, las privatizaciones y la globalización, además de algunas innegables ventajas económicas, producirían también graves problemas sociales, empezando, precisamente, por una reducción de las rentas del trabajador no especializado. Un desafío políticamente difícil, sobre todo para una Europa sacudida, por un lado, por las “inevitables desigualdades y la coexistencia de millonarios enriquecidos gracias a las tecnologías, mientras, por el otro, los electores de la antigua clase media se sienten aislados”. Así pues, Dornbusch pronosticaba desde entonces una navegación tempestuosa por democracias que se ven obligadas a ajustar cuentas, al mismo tiempo, con un aumento de las desigualdades y una difusa seguridad económica. Veía sólo una luz en el horizonte: la inminente llegada del euro como “oportunidad para una nueva y dinámica visión de Europa”. Si estuviese vivo aún, quién sabe qué abrasivas ironías reservaría a la Europa de hoy, en plena crisis económica, institucional y de liderazgo político.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En su libro, “El fin de la clase media y el nacimiento de la sociedad de bajo coste”, Massimo Gaggi y Edoardo Narduzzi (Ed. Lengua de Trapo - 2006), sostienen: De hecho, es un verdadero magma social. Un contexto en continua ebullición en el que alguien sube y otro baja en la jerarquía de la potencialidad de realización y de vida, pero siempre dentro de un campo de acción “delimitado” y compartido. En el magma conviven una, cien, mil y ninguna clase: cada grupo tiende a distinguirse por detalles más o menos pequeños, pero ninguno tiene las características necesarias para que lo consagren como clase media o nueva clase de referencia.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Nos deslizamos, así, casi sin enterarnos, mucho más allá de la lógica -todavía clasista- del estado del bienestar (pensiones modestas para la siderurgia pero suntuosas para la telefónica; la protección de la regulación de empleo para los parados de la industria, pero no para los de </w:t>
      </w:r>
      <w:r>
        <w:rPr>
          <w:rFonts w:ascii="Times New Roman" w:hAnsi="Times New Roman" w:cs="Times New Roman"/>
          <w:sz w:val="24"/>
          <w:szCs w:val="24"/>
        </w:rPr>
        <w:lastRenderedPageBreak/>
        <w:t>servicios, etc.), para dejar sitio a un universo humano flexible, descontractualizado, deseoso de ampliar al máximo las posibilidades de consumo. Un universo infraideologizado, decidido a procurarse bienes y servicios en el proveedor mundial que ofrece las condiciones más ventajosas, que pretende una menor mediación por parte de las instituciones tradicionales, religiosamente abierto, integrado en tiempo real con todos los canales de comunicación o de interacción y cada vez menos centrado en las tradicionales agencias de socialización, empezando precisamente por la familia.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La clase media, aunque sin una razón de ser política -su papel de contención de los empujes revolucionarios de la clase obrera-, probablemente habría sobrevivido al transcurrir del tiempo si la razón económica que había favorecido su formación no se hubiera desintegrado como la nieve al sol. La sociedad intermedia representaba y representa el tipo ideal de consumidor de última necesidad, preparado para comprar cualquier producto que la oferta sea capaz de proponerle. Mejor si va acompañado de cualquier mensaje promocional.</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El matrimonio era perfecto: la industria concebía nuevos productos capaces de satisfacer necesidades a veces reales, a veces solamente latentes, y los presentaba a la voracidad de la clase media, preparada para representar el propio papel de consumidor obediente y poco selectivo. Así las empresas crecían y con ellas también la potencialidad de adquisición de la clase media. Una relación aparentemente indisoluble: por una parte, la clase media, al ahorrar, ponía gran parte del capital necesario a disposición de la industria material para poder ampliar la oferta; por otra parte, al consumir a manos llenas todo lo que podía, satisfacía sus deseos y se realizaba en el plano de la identidad de clase.</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Un sistema con su equilibrio, capaz también de contener el empuje revolucionario de la minoría que estaba llamada a hacer funcionar esas máquinas: obreros que veían en cualquier caso crecer también su nivel de bienestar y que empezaban a tener la fundada esperanza de subir algún peldaño en la escala social, pasando de ser obreros a ser empleados.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Este sistema funciona mientras el escenario de acción e interacción permanece, restringido al ámbito nacional o poco más. Cuando algunos aspectos de esta ecuación estallan o se ponen en entredicho en cuanto a su utilidad “superior”, entonces también la clase media está obligada a encarar lo nuevo que avanza. Y en este caso lo nuevo ha avanzado con dos máscaras: la del triunfo de la economía de mercado y la del capitalismo sin fronteras.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El primer aspecto tiene una implicación intrínsecamente política porque supone un papel del mercado más allá de la dimensión del lugar organizado para el intercambio, hasta convertirse en una verdadera y propia ideología colectiva. Sólo el mercado, según esta interpretación, puede garantizar desarrollo, inclusión, democracia y justicia social. El mercado es la única ideología de la historia “acabada”, es decir, la ideología elemental que habilita el funcionamiento regular y aceptado de los intercambios. Pero un mercado transformado en ideología dominante no necesita una clase contrarrevolucionaria que lo defienda, que tutele los intereses que manifiesta. O, por lo menos, así lo creen sus sacerdotes, mientras no se manifiesten algunas reacciones de “rechazo”, como el no a la Constitución europea en los referendos de la primavera de 2005 en Francia y Holanda. Por otro lado, en una economía que ya no es nacional sino globalizada -y aquí llegamos al segundo aspecto-, cambian también los papeles de las clases sociales y el propio sistema de los intereses que hay que defender.</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terremoto económico, productivo y social, no se cumple el doble papel desarrollado por la clase media: por un lado, el de centro de intereses homogéneos en las democracias electivas posindustriales (dique natural, por lo tanto, no sólo del comunismo sino también del </w:t>
      </w:r>
      <w:r>
        <w:rPr>
          <w:rFonts w:ascii="Times New Roman" w:hAnsi="Times New Roman" w:cs="Times New Roman"/>
          <w:sz w:val="24"/>
          <w:szCs w:val="24"/>
        </w:rPr>
        <w:lastRenderedPageBreak/>
        <w:t>capitalismo “salvaje e hipercompetitivo”) y, por otro, el de mantenedor de un nivel óptimo de demanda adicional de bienes de consumo duraderos, necesario para que la industria alcance economías de escala y genere valores; en definitiva, para ganar consenso.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Actualmente, ninguna de estas dos condiciones “se mantiene”: la democracia representativa tiene que afrontar la pulverización de los intereses que ya no pueden contar con el cúmulo de ideologías “fuertes” y de un sistema productivo cerrado y basado en bienes de consumo estandarizados, capaces de encarnar un estatus social. La demanda ha alcanzado una escala global, los productos son infinitos y se han hecho “interclasistas” (un ejemplo: el iPhone), las empresas materiales pueden recuperar en los mercados de Brasil o China las ventas perdidas en Alemania o Italia.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La globalización ha provocado trastornos económicos y sociales que producirán “tres mil millones de nuevos capitalistas”, como dice el eficaz eslogan convertido en el título del libro de Clyde Prestowitz, gurú republicano del libre comercio (fue consejero del presidente Reagan y negociador de los acuerdos comerciales internacionales durante su mandato). Según Prestowitz (2005), las dinámicas actuales son hijas de la coincidencia de tres factores: la derrota del comunismo, que ha empujado a tres mil millones de chinos, rusos e indios al capitalismo (interpretado, además, de manera bastante “agresiva”); la revolución de Internet, que ha “anulado el tiempo”; y la difusión de la mensajería aérea de bajo coste -desde Federal Express a DHL-, que ha “anulado el espacio”. El trabajo de estos enormes grupos de bajo coste se está utilizando en (casi) cualquier parte del mundo porque permite transferir rápidamente mercancías y prestaciones intelectuales con gravámenes insignificantes. Si Estados Unidos no espabila, China volverá pronto a ocupar un papel central, como en la época del Imperio Medio: hacia el año 2050 China superará a los Estados Unidos en renta nacional bruta (aunque, si se usa como medidor el poder adquisitivo, el adelantamiento podría cumplirse en 2025).</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Es precisamente este progresivo desplazamiento de los equilibrios de la demanda mundial hacia los países llamados emergentes lo que mina en la base los cimientos económicos sobre los que la clase media ha encontrado en los últimos siglos su estabilidad. Si la disminución de la demanda del “milieu” social francés está más que compensada por la capacidad de consumo de los neoacomodados indios, entonces, para quien invierte en el sistema productivo, la necesidad de una clase de consumidores occidentales con la cartera llena se convierte en un aspecto menos vital.</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Dos factores explican bastante bien las razones por las que las lógicas productivas y mercantiles contemporáneas implican la superación de la clase media o, como mínimo, de su papel. Las sociedades “neófitas” del capitalismo global de corte occidental, las asiáticas en particular, están lo más alejadas posibles del concepto de clase media. Es más: son, de partida, mucho más parecidas a la imagen del magma social, de la sociedad-masa que hemos señalado anteriormente como el modelo de referencia posmaterial…</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Son precisamente estos grupos de nueva demanda, que se han ido formando a partir de finales de los años setenta y que con el inicio del nuevo siglo han acelerado el paso para ganar papel y peso internacional, los que quitan, cada vez más rápidamente, el oxígeno necesario para alimentar la energía motora de la clase media occidental. No sólo porque contribuyen considerablemente a rediseñar las características de consumo mundial en términos de tipología y costes de los bienes y de los servicios, sino también porque se hace difícil imaginar la supervivencia de una clase media occidental o europea con las características de las últimas décadas cuando asoman al mercado mundial mil quinientos millones de nuevos </w:t>
      </w:r>
      <w:r>
        <w:rPr>
          <w:rFonts w:ascii="Times New Roman" w:hAnsi="Times New Roman" w:cs="Times New Roman"/>
          <w:sz w:val="24"/>
          <w:szCs w:val="24"/>
        </w:rPr>
        <w:lastRenderedPageBreak/>
        <w:t>trabajadores a bajo coste. Sujetos cada vez más escolarizados e indiferentes a las lógicas de quien, en el mundo del bienestar, quiere defender las “conquistas del pasado”.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Así, en los países industrializados, la necesidad económica que hay que satisfacer a través de una clase homogénea de consumidores reconocibles está sujeta a la lógica de los grandes números: para conseguir el mismo resultado es preferible extender lo más rápido posible a cientos de millones de consumidores el umbral del bienestar. La sociedad de masa nace naturalmente con el crecimiento y el desarrollo económico del nuevo mundo. La antigua forma de producción, y con ella las clases que la han alimentado, ha sido arrollada por el nuevo empuje del globo convertido en mercado competitivo y abierto.</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conseguir sus propios objetivos.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Así, sucumbe el papel económico desarrollado con éxito por la clase media, mientras el consumidor burgués sufre una eutanasia más o menos lenta. El mismo destino le espera a la estructura industrial que ha caracterizado a la economía de mercado de la clase media…</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Como es bien sabido, la globalización, al redistribuir el trabajo a escala mundial, presiona los salarios en todos los sectores expuestos a la competencia internacional. Además, obliga a los contratadores a reducir los beneficios sociales y sanitarios hasta el momento garantizados a los trabajadores. Obviamente esto sucede en países -como los Estados Unidos- en que el Estado ha delegado ampliamente a las empresas la tarea de construir una red de protecciones sociales.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El proceso actual tiene las extraordinarias dimensiones de una transformación social en la que la clase media, como estábamos acostumbrados a verla hace veinte o treinta años, se desvanece, sustituida por una sociedad más polarizada: profesionales, operadores de mercados financieros, trabajadores del conocimiento, empleados de servicios “protegidos” o empresarios de los sectores innovadores saben posicionarse ahí donde el nuevo sistema económico produce o distribuye riqueza y, por lo tanto, consiguen garantizarse una renta que, de todas formas sigue creciendo. Es la “sociedad creativa” (Richard Florida). Por otro lado, se acumula la fuerza-trabajo de más baja especialización: obreros de la industria expuesta a la competencia internacional y empleados de los servicios tradicionales (desde el transporte a la restauración) que se encuentran comprimidos entre reducción de rentas y reducción de garantías sociales. Europa, además, posee un ejército de parados. En Estados Unidos, sin embargo, el fantasma no es el paro sino el riesgo de tener que sustituir un trabajo industrial bien pagado por un empleo en el sector servicios que ofrece una retribución más baja y carece de coberturas sanitarias y sociales.</w:t>
      </w:r>
    </w:p>
    <w:p w:rsidR="001B466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En Estados Unidos, el número de personas sin ninguna cobertura sanitaria, excepto la básica y gratuita asegurada por el servicio público, sigue creciendo: según los datos de 2021, el problema abarca a cuarenta y cinco millones de ciudadanos americanos. No poderse permitir ni siquiera una mínima póliza sanitaria es señal evidente de indigencia o de dificultad económica de las familias…</w:t>
      </w:r>
    </w:p>
    <w:p w:rsidR="00EE565B" w:rsidRDefault="001B466B" w:rsidP="001B46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Año tras año, esta dinámica divergente de las rentas ha producido desequilibrios todavía más macroscópicos en la acumulación de riqueza (inmobiliaria, financiera, etc.): llegando a una distribución tan desigual no se veía desde la “edad del jazz”, los locos y salvajes años veinte. </w:t>
      </w:r>
    </w:p>
    <w:p w:rsidR="00356A21" w:rsidRDefault="00356A21" w:rsidP="001B466B">
      <w:pPr>
        <w:spacing w:line="240" w:lineRule="auto"/>
        <w:jc w:val="both"/>
        <w:rPr>
          <w:rFonts w:ascii="Times New Roman" w:hAnsi="Times New Roman" w:cs="Times New Roman"/>
          <w:sz w:val="24"/>
          <w:szCs w:val="24"/>
        </w:rPr>
      </w:pPr>
    </w:p>
    <w:p w:rsidR="001B466B" w:rsidRPr="00EE565B" w:rsidRDefault="001B466B" w:rsidP="001B466B">
      <w:pPr>
        <w:spacing w:line="240" w:lineRule="auto"/>
        <w:jc w:val="both"/>
        <w:rPr>
          <w:rFonts w:ascii="Times New Roman" w:hAnsi="Times New Roman" w:cs="Times New Roman"/>
          <w:sz w:val="24"/>
          <w:szCs w:val="24"/>
        </w:rPr>
      </w:pPr>
      <w:r w:rsidRPr="002D3CAF">
        <w:rPr>
          <w:rFonts w:ascii="Times New Roman" w:hAnsi="Times New Roman" w:cs="Times New Roman"/>
          <w:b/>
          <w:sz w:val="24"/>
          <w:szCs w:val="24"/>
        </w:rPr>
        <w:t>- Todos los fuegos el fuego</w:t>
      </w:r>
      <w:r w:rsidR="00DE27E7">
        <w:rPr>
          <w:rFonts w:ascii="Times New Roman" w:hAnsi="Times New Roman" w:cs="Times New Roman"/>
          <w:b/>
          <w:sz w:val="24"/>
          <w:szCs w:val="24"/>
        </w:rPr>
        <w:t xml:space="preserve"> (el mayor de los “pecados”</w:t>
      </w:r>
      <w:r w:rsidR="0021606D">
        <w:rPr>
          <w:rFonts w:ascii="Times New Roman" w:hAnsi="Times New Roman" w:cs="Times New Roman"/>
          <w:b/>
          <w:sz w:val="24"/>
          <w:szCs w:val="24"/>
        </w:rPr>
        <w:t>,</w:t>
      </w:r>
      <w:r w:rsidR="00DE27E7">
        <w:rPr>
          <w:rFonts w:ascii="Times New Roman" w:hAnsi="Times New Roman" w:cs="Times New Roman"/>
          <w:b/>
          <w:sz w:val="24"/>
          <w:szCs w:val="24"/>
        </w:rPr>
        <w:t xml:space="preserve"> de una “economía bipolar”</w:t>
      </w:r>
      <w:r>
        <w:rPr>
          <w:rFonts w:ascii="Times New Roman" w:hAnsi="Times New Roman" w:cs="Times New Roman"/>
          <w:b/>
          <w:sz w:val="24"/>
          <w:szCs w:val="24"/>
        </w:rPr>
        <w:t>)</w:t>
      </w:r>
    </w:p>
    <w:p w:rsidR="001B466B" w:rsidRDefault="001B466B" w:rsidP="001B466B">
      <w:pPr>
        <w:spacing w:line="240" w:lineRule="auto"/>
        <w:jc w:val="both"/>
        <w:rPr>
          <w:rFonts w:ascii="Times New Roman" w:hAnsi="Times New Roman" w:cs="Times New Roman"/>
          <w:b/>
          <w:sz w:val="24"/>
          <w:szCs w:val="24"/>
        </w:rPr>
      </w:pPr>
    </w:p>
    <w:p w:rsidR="001B466B" w:rsidRDefault="001B466B" w:rsidP="001B466B">
      <w:pPr>
        <w:spacing w:line="240" w:lineRule="auto"/>
        <w:jc w:val="both"/>
        <w:rPr>
          <w:rFonts w:ascii="Times New Roman" w:hAnsi="Times New Roman" w:cs="Times New Roman"/>
          <w:b/>
          <w:sz w:val="24"/>
          <w:szCs w:val="24"/>
        </w:rPr>
      </w:pPr>
      <w:r>
        <w:rPr>
          <w:noProof/>
          <w:lang w:eastAsia="es-ES"/>
        </w:rPr>
        <w:drawing>
          <wp:inline distT="0" distB="0" distL="0" distR="0" wp14:anchorId="218E3F77" wp14:editId="6925754B">
            <wp:extent cx="5727700" cy="3206750"/>
            <wp:effectExtent l="0" t="0" r="6350" b="0"/>
            <wp:docPr id="144" name="Imagen 144" descr="&quot;desnutrición-infantil-Españ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ot;desnutrición-infantil-España&quot;"/>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31510" cy="3208883"/>
                    </a:xfrm>
                    <a:prstGeom prst="rect">
                      <a:avLst/>
                    </a:prstGeom>
                    <a:noFill/>
                    <a:ln>
                      <a:noFill/>
                    </a:ln>
                  </pic:spPr>
                </pic:pic>
              </a:graphicData>
            </a:graphic>
          </wp:inline>
        </w:drawing>
      </w:r>
    </w:p>
    <w:p w:rsidR="00EE565B" w:rsidRDefault="00EE565B" w:rsidP="001B466B">
      <w:pPr>
        <w:pStyle w:val="NormalWeb"/>
        <w:shd w:val="clear" w:color="auto" w:fill="FFFFFF"/>
        <w:spacing w:before="0" w:beforeAutospacing="0" w:after="300" w:afterAutospacing="0"/>
        <w:jc w:val="both"/>
        <w:rPr>
          <w:rStyle w:val="Textoennegrita"/>
          <w:b w:val="0"/>
        </w:rPr>
      </w:pPr>
    </w:p>
    <w:p w:rsidR="001B466B" w:rsidRPr="00D06762" w:rsidRDefault="001B466B" w:rsidP="001B466B">
      <w:pPr>
        <w:pStyle w:val="NormalWeb"/>
        <w:shd w:val="clear" w:color="auto" w:fill="FFFFFF"/>
        <w:spacing w:before="0" w:beforeAutospacing="0" w:after="300" w:afterAutospacing="0"/>
        <w:jc w:val="both"/>
      </w:pPr>
      <w:r w:rsidRPr="00D06762">
        <w:rPr>
          <w:rStyle w:val="Textoennegrita"/>
          <w:b w:val="0"/>
        </w:rPr>
        <w:t>Una correcta nutrición es un derecho fundamental,</w:t>
      </w:r>
      <w:r w:rsidRPr="00D06762">
        <w:t> según se fijó en la Convención sobre los </w:t>
      </w:r>
      <w:hyperlink r:id="rId253" w:tgtFrame="_blank" w:history="1">
        <w:r w:rsidRPr="00D06762">
          <w:rPr>
            <w:rStyle w:val="Hipervnculo"/>
            <w:color w:val="auto"/>
            <w:u w:val="none"/>
          </w:rPr>
          <w:t>Derechos del Niño</w:t>
        </w:r>
      </w:hyperlink>
      <w:r w:rsidRPr="00D06762">
        <w:t>, ya que es necesaria para su desarrollo, pues sienta las bases para que en la edad adulta puedan mantener una buena salud. Algunas de las consecuencias que tiene la desnutrición en los niños y niñas son:</w:t>
      </w:r>
    </w:p>
    <w:p w:rsidR="001B466B" w:rsidRPr="00D06762" w:rsidRDefault="001B466B" w:rsidP="001B466B">
      <w:pPr>
        <w:numPr>
          <w:ilvl w:val="0"/>
          <w:numId w:val="17"/>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6762">
        <w:rPr>
          <w:rFonts w:ascii="Times New Roman" w:hAnsi="Times New Roman" w:cs="Times New Roman"/>
          <w:sz w:val="24"/>
          <w:szCs w:val="24"/>
        </w:rPr>
        <w:t>Retraso en el crecimiento (talla o peso inferior al que corresponde a su edad).</w:t>
      </w:r>
    </w:p>
    <w:p w:rsidR="001B466B" w:rsidRPr="00D06762" w:rsidRDefault="001B466B" w:rsidP="001B466B">
      <w:pPr>
        <w:numPr>
          <w:ilvl w:val="0"/>
          <w:numId w:val="17"/>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6762">
        <w:rPr>
          <w:rFonts w:ascii="Times New Roman" w:hAnsi="Times New Roman" w:cs="Times New Roman"/>
          <w:sz w:val="24"/>
          <w:szCs w:val="24"/>
        </w:rPr>
        <w:t>Reducción de la capacidad cognitiva, lo que provoca mayor dificultad durante el apre</w:t>
      </w:r>
      <w:r w:rsidR="0021606D">
        <w:rPr>
          <w:rFonts w:ascii="Times New Roman" w:hAnsi="Times New Roman" w:cs="Times New Roman"/>
          <w:sz w:val="24"/>
          <w:szCs w:val="24"/>
        </w:rPr>
        <w:t>n</w:t>
      </w:r>
      <w:r w:rsidRPr="00D06762">
        <w:rPr>
          <w:rFonts w:ascii="Times New Roman" w:hAnsi="Times New Roman" w:cs="Times New Roman"/>
          <w:sz w:val="24"/>
          <w:szCs w:val="24"/>
        </w:rPr>
        <w:t>dizaje.</w:t>
      </w:r>
    </w:p>
    <w:p w:rsidR="001B466B" w:rsidRPr="00D06762" w:rsidRDefault="001B466B" w:rsidP="001B466B">
      <w:pPr>
        <w:numPr>
          <w:ilvl w:val="0"/>
          <w:numId w:val="17"/>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6762">
        <w:rPr>
          <w:rFonts w:ascii="Times New Roman" w:hAnsi="Times New Roman" w:cs="Times New Roman"/>
          <w:sz w:val="24"/>
          <w:szCs w:val="24"/>
        </w:rPr>
        <w:t>Propensión a las infecciones por la falta de vitaminas.</w:t>
      </w:r>
    </w:p>
    <w:p w:rsidR="001B466B" w:rsidRPr="00D06762" w:rsidRDefault="001B466B" w:rsidP="001B466B">
      <w:pPr>
        <w:numPr>
          <w:ilvl w:val="0"/>
          <w:numId w:val="17"/>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6762">
        <w:rPr>
          <w:rFonts w:ascii="Times New Roman" w:hAnsi="Times New Roman" w:cs="Times New Roman"/>
          <w:sz w:val="24"/>
          <w:szCs w:val="24"/>
        </w:rPr>
        <w:t>Riesgo de ceguera, problemas de piel, y daños en la boca del estómago y el sistema respiratorio.</w:t>
      </w:r>
    </w:p>
    <w:p w:rsidR="001B466B" w:rsidRPr="00D06762" w:rsidRDefault="001B466B" w:rsidP="001B466B">
      <w:pPr>
        <w:numPr>
          <w:ilvl w:val="0"/>
          <w:numId w:val="17"/>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6762">
        <w:rPr>
          <w:rFonts w:ascii="Times New Roman" w:hAnsi="Times New Roman" w:cs="Times New Roman"/>
          <w:sz w:val="24"/>
          <w:szCs w:val="24"/>
        </w:rPr>
        <w:t>La falta de minerales produce problemas metabólicos, anemia, debilidad ósea…</w:t>
      </w:r>
    </w:p>
    <w:p w:rsidR="001B466B" w:rsidRPr="00D06762" w:rsidRDefault="001B466B" w:rsidP="001B466B">
      <w:pPr>
        <w:numPr>
          <w:ilvl w:val="0"/>
          <w:numId w:val="17"/>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6762">
        <w:rPr>
          <w:rFonts w:ascii="Times New Roman" w:hAnsi="Times New Roman" w:cs="Times New Roman"/>
          <w:sz w:val="24"/>
          <w:szCs w:val="24"/>
        </w:rPr>
        <w:t>Alteraciones en las funciones de los órganos como los riñones y el hígado, que pueden provocar intoxicaciones.</w:t>
      </w:r>
    </w:p>
    <w:p w:rsidR="001B466B" w:rsidRPr="00D06762" w:rsidRDefault="001B466B" w:rsidP="001B466B">
      <w:pPr>
        <w:numPr>
          <w:ilvl w:val="0"/>
          <w:numId w:val="17"/>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6762">
        <w:rPr>
          <w:rFonts w:ascii="Times New Roman" w:hAnsi="Times New Roman" w:cs="Times New Roman"/>
          <w:sz w:val="24"/>
          <w:szCs w:val="24"/>
        </w:rPr>
        <w:t>En el caso de las niñas, darán a luz a bebés más pequeños en el futuro, y podrán tener problemas en el embarazo y en el parto.</w:t>
      </w:r>
    </w:p>
    <w:p w:rsidR="00DB50B5" w:rsidRPr="00EE565B" w:rsidRDefault="00DB50B5" w:rsidP="00DB50B5">
      <w:pPr>
        <w:spacing w:line="240" w:lineRule="auto"/>
        <w:jc w:val="both"/>
        <w:rPr>
          <w:rFonts w:ascii="Times New Roman" w:hAnsi="Times New Roman" w:cs="Times New Roman"/>
          <w:b/>
          <w:sz w:val="24"/>
          <w:szCs w:val="24"/>
        </w:rPr>
      </w:pPr>
      <w:r w:rsidRPr="000C28C6">
        <w:rPr>
          <w:rFonts w:ascii="Times New Roman" w:hAnsi="Times New Roman" w:cs="Times New Roman"/>
          <w:b/>
          <w:sz w:val="24"/>
          <w:szCs w:val="24"/>
        </w:rPr>
        <w:t>¿Cuáles son las consecuenci</w:t>
      </w:r>
      <w:r w:rsidR="00EE565B">
        <w:rPr>
          <w:rFonts w:ascii="Times New Roman" w:hAnsi="Times New Roman" w:cs="Times New Roman"/>
          <w:b/>
          <w:sz w:val="24"/>
          <w:szCs w:val="24"/>
        </w:rPr>
        <w:t>as de la desnutrición infantil?</w:t>
      </w:r>
    </w:p>
    <w:p w:rsidR="00DB50B5" w:rsidRDefault="00DB50B5" w:rsidP="00DB50B5">
      <w:pPr>
        <w:spacing w:line="240" w:lineRule="auto"/>
        <w:jc w:val="both"/>
        <w:rPr>
          <w:rFonts w:ascii="Times New Roman" w:hAnsi="Times New Roman" w:cs="Times New Roman"/>
          <w:sz w:val="24"/>
          <w:szCs w:val="24"/>
        </w:rPr>
      </w:pPr>
      <w:r w:rsidRPr="00077490">
        <w:rPr>
          <w:rFonts w:ascii="Times New Roman" w:hAnsi="Times New Roman" w:cs="Times New Roman"/>
          <w:sz w:val="24"/>
          <w:szCs w:val="24"/>
        </w:rPr>
        <w:t>Reduce la capacidad física y la productividad económica. Disminuye la capacidad intelectual y de aprendizaje. Detiene el crecimiento y el desarrollo físico. Causa deficiencias metabólicas.</w:t>
      </w:r>
    </w:p>
    <w:p w:rsidR="00DB50B5" w:rsidRPr="00077490" w:rsidRDefault="00DB50B5" w:rsidP="00DB50B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FC2993A" wp14:editId="777D2FCB">
            <wp:extent cx="5726634" cy="3016250"/>
            <wp:effectExtent l="0" t="0" r="7620" b="0"/>
            <wp:docPr id="114" name="Imagen 114" descr="desnutricioninfan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nutricioninfantil"/>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1510" cy="3018818"/>
                    </a:xfrm>
                    <a:prstGeom prst="rect">
                      <a:avLst/>
                    </a:prstGeom>
                    <a:noFill/>
                    <a:ln>
                      <a:noFill/>
                    </a:ln>
                  </pic:spPr>
                </pic:pic>
              </a:graphicData>
            </a:graphic>
          </wp:inline>
        </w:drawing>
      </w:r>
    </w:p>
    <w:p w:rsidR="00DB50B5" w:rsidRPr="00077490" w:rsidRDefault="00DB50B5" w:rsidP="00DB50B5">
      <w:pPr>
        <w:spacing w:line="240" w:lineRule="auto"/>
        <w:jc w:val="both"/>
        <w:textAlignment w:val="baseline"/>
        <w:rPr>
          <w:rFonts w:ascii="Times New Roman" w:hAnsi="Times New Roman" w:cs="Times New Roman"/>
          <w:b/>
          <w:sz w:val="24"/>
          <w:szCs w:val="24"/>
        </w:rPr>
      </w:pPr>
      <w:r w:rsidRPr="00077490">
        <w:rPr>
          <w:rStyle w:val="arrow"/>
          <w:rFonts w:ascii="Times New Roman" w:hAnsi="Times New Roman" w:cs="Times New Roman"/>
          <w:b/>
          <w:sz w:val="24"/>
          <w:szCs w:val="24"/>
          <w:bdr w:val="none" w:sz="0" w:space="0" w:color="auto" w:frame="1"/>
        </w:rPr>
        <w:t> (Acnur - 14/5/20)</w:t>
      </w:r>
    </w:p>
    <w:p w:rsidR="00DB50B5" w:rsidRPr="00077490" w:rsidRDefault="00DB50B5" w:rsidP="00DB50B5">
      <w:pPr>
        <w:pStyle w:val="Ttulo2"/>
        <w:jc w:val="both"/>
        <w:textAlignment w:val="baseline"/>
        <w:rPr>
          <w:sz w:val="24"/>
          <w:szCs w:val="24"/>
        </w:rPr>
      </w:pPr>
      <w:r w:rsidRPr="00077490">
        <w:rPr>
          <w:sz w:val="24"/>
          <w:szCs w:val="24"/>
        </w:rPr>
        <w:t>Tipos de desnutrición infantil</w:t>
      </w:r>
    </w:p>
    <w:p w:rsidR="00DB50B5" w:rsidRPr="00077490" w:rsidRDefault="00DB50B5" w:rsidP="00DB50B5">
      <w:pPr>
        <w:pStyle w:val="Ttulo3"/>
        <w:spacing w:before="0" w:line="240" w:lineRule="auto"/>
        <w:jc w:val="both"/>
        <w:textAlignment w:val="baseline"/>
        <w:rPr>
          <w:rFonts w:ascii="Times New Roman" w:hAnsi="Times New Roman" w:cs="Times New Roman"/>
          <w:color w:val="auto"/>
          <w:sz w:val="24"/>
          <w:szCs w:val="24"/>
        </w:rPr>
      </w:pPr>
      <w:r w:rsidRPr="00077490">
        <w:rPr>
          <w:rFonts w:ascii="Times New Roman" w:hAnsi="Times New Roman" w:cs="Times New Roman"/>
          <w:color w:val="auto"/>
          <w:sz w:val="24"/>
          <w:szCs w:val="24"/>
        </w:rPr>
        <w:t>Desnutrición crónica</w:t>
      </w:r>
    </w:p>
    <w:p w:rsidR="00DB50B5" w:rsidRPr="00077490" w:rsidRDefault="00DB50B5" w:rsidP="00DB50B5">
      <w:pPr>
        <w:spacing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El niño presenta retraso en el crecimiento. Su altura es demasiado baja para su edad. Conlleva consecuencias irreversibles, como retraso en el desarrollo motor, deterioro de la función cognitiva y bajo rendimiento escolar.</w:t>
      </w:r>
    </w:p>
    <w:p w:rsidR="00DB50B5" w:rsidRPr="00077490" w:rsidRDefault="00DB50B5" w:rsidP="00DB50B5">
      <w:pPr>
        <w:pStyle w:val="Ttulo3"/>
        <w:spacing w:before="0" w:line="240" w:lineRule="auto"/>
        <w:jc w:val="both"/>
        <w:textAlignment w:val="baseline"/>
        <w:rPr>
          <w:rFonts w:ascii="Times New Roman" w:hAnsi="Times New Roman" w:cs="Times New Roman"/>
          <w:color w:val="auto"/>
          <w:sz w:val="24"/>
          <w:szCs w:val="24"/>
        </w:rPr>
      </w:pPr>
      <w:r w:rsidRPr="00077490">
        <w:rPr>
          <w:rFonts w:ascii="Times New Roman" w:hAnsi="Times New Roman" w:cs="Times New Roman"/>
          <w:color w:val="auto"/>
          <w:sz w:val="24"/>
          <w:szCs w:val="24"/>
        </w:rPr>
        <w:t>Desnutrición aguda</w:t>
      </w:r>
    </w:p>
    <w:p w:rsidR="00DB50B5" w:rsidRPr="00077490" w:rsidRDefault="00DB50B5" w:rsidP="00DB50B5">
      <w:pPr>
        <w:spacing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El niño pesa poco para su altura y el perímetro de su brazo está muy por debajo del estándar de referencia. Se trata de una de las principales causas de fallecimiento entre menores de cinco años. Suele producirse por una grave escasez de alimentos.</w:t>
      </w:r>
    </w:p>
    <w:p w:rsidR="00DB50B5" w:rsidRPr="00077490" w:rsidRDefault="00DB50B5" w:rsidP="00DB50B5">
      <w:pPr>
        <w:pStyle w:val="Ttulo3"/>
        <w:spacing w:before="0" w:line="240" w:lineRule="auto"/>
        <w:jc w:val="both"/>
        <w:textAlignment w:val="baseline"/>
        <w:rPr>
          <w:rFonts w:ascii="Times New Roman" w:hAnsi="Times New Roman" w:cs="Times New Roman"/>
          <w:color w:val="auto"/>
          <w:sz w:val="24"/>
          <w:szCs w:val="24"/>
        </w:rPr>
      </w:pPr>
      <w:r w:rsidRPr="00077490">
        <w:rPr>
          <w:rFonts w:ascii="Times New Roman" w:hAnsi="Times New Roman" w:cs="Times New Roman"/>
          <w:color w:val="auto"/>
          <w:sz w:val="24"/>
          <w:szCs w:val="24"/>
        </w:rPr>
        <w:t>Hambre oculta</w:t>
      </w:r>
    </w:p>
    <w:p w:rsidR="00DB50B5" w:rsidRPr="00077490" w:rsidRDefault="00DB50B5" w:rsidP="00DB50B5">
      <w:pPr>
        <w:spacing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Como su propio nombre indica, es esa que no se ve. El niño no está por debajo de su peso o de su altura, sino que carece de minerales y vitaminas necesarios para su correcto desarrollo. Puede conllevar deterioro mental, lentitud de reflejos o incluso la muerte.</w:t>
      </w:r>
    </w:p>
    <w:p w:rsidR="00DB50B5" w:rsidRPr="00077490" w:rsidRDefault="00DB50B5" w:rsidP="00DB50B5">
      <w:pPr>
        <w:pStyle w:val="Ttulo2"/>
        <w:jc w:val="both"/>
        <w:textAlignment w:val="baseline"/>
        <w:rPr>
          <w:sz w:val="24"/>
          <w:szCs w:val="24"/>
        </w:rPr>
      </w:pPr>
      <w:r w:rsidRPr="00077490">
        <w:rPr>
          <w:sz w:val="24"/>
          <w:szCs w:val="24"/>
        </w:rPr>
        <w:t>Las causas</w:t>
      </w:r>
    </w:p>
    <w:p w:rsidR="00DB50B5" w:rsidRPr="00077490" w:rsidRDefault="00DB50B5" w:rsidP="00DB50B5">
      <w:pPr>
        <w:numPr>
          <w:ilvl w:val="0"/>
          <w:numId w:val="13"/>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Desplazamientos.</w:t>
      </w:r>
    </w:p>
    <w:p w:rsidR="00DB50B5" w:rsidRPr="00077490" w:rsidRDefault="00DB50B5" w:rsidP="00DB50B5">
      <w:pPr>
        <w:numPr>
          <w:ilvl w:val="0"/>
          <w:numId w:val="13"/>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Conflictos.</w:t>
      </w:r>
    </w:p>
    <w:p w:rsidR="00DB50B5" w:rsidRPr="00077490" w:rsidRDefault="00DB50B5" w:rsidP="00DB50B5">
      <w:pPr>
        <w:numPr>
          <w:ilvl w:val="0"/>
          <w:numId w:val="13"/>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Guerras.</w:t>
      </w:r>
    </w:p>
    <w:p w:rsidR="00DB50B5" w:rsidRPr="00077490" w:rsidRDefault="00DB50B5" w:rsidP="00DB50B5">
      <w:pPr>
        <w:numPr>
          <w:ilvl w:val="0"/>
          <w:numId w:val="13"/>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Consumo insuficiente de alimentos.</w:t>
      </w:r>
    </w:p>
    <w:p w:rsidR="00DB50B5" w:rsidRPr="00077490" w:rsidRDefault="00DB50B5" w:rsidP="00DB50B5">
      <w:pPr>
        <w:numPr>
          <w:ilvl w:val="0"/>
          <w:numId w:val="13"/>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Servicios de salud inadecuados o deficientes.</w:t>
      </w:r>
    </w:p>
    <w:p w:rsidR="00DB50B5" w:rsidRPr="00077490" w:rsidRDefault="00DB50B5" w:rsidP="00DB50B5">
      <w:pPr>
        <w:numPr>
          <w:ilvl w:val="0"/>
          <w:numId w:val="13"/>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Falta de agua potable y sistema de saneamiento adecuado.</w:t>
      </w:r>
    </w:p>
    <w:p w:rsidR="00DB50B5" w:rsidRPr="000C28C6" w:rsidRDefault="00DB50B5" w:rsidP="00DB50B5">
      <w:pPr>
        <w:pStyle w:val="NormalWeb"/>
        <w:spacing w:before="0" w:after="0"/>
        <w:jc w:val="both"/>
        <w:textAlignment w:val="baseline"/>
      </w:pPr>
      <w:r w:rsidRPr="000C28C6">
        <w:t>La principal causa de la desnutrición en el mundo es la </w:t>
      </w:r>
      <w:r w:rsidRPr="00CA3920">
        <w:rPr>
          <w:rStyle w:val="Textoennegrita"/>
          <w:b w:val="0"/>
          <w:bdr w:val="none" w:sz="0" w:space="0" w:color="auto" w:frame="1"/>
        </w:rPr>
        <w:t>pobreza</w:t>
      </w:r>
      <w:r w:rsidRPr="000C28C6">
        <w:t>. Millones de niños carecen de alimento o subsisten con dietas perjudiciales para su salud porque no tienen otra opción. La </w:t>
      </w:r>
      <w:r w:rsidRPr="00CA3920">
        <w:rPr>
          <w:rStyle w:val="Textoennegrita"/>
          <w:b w:val="0"/>
          <w:bdr w:val="none" w:sz="0" w:space="0" w:color="auto" w:frame="1"/>
        </w:rPr>
        <w:t>desigualdad</w:t>
      </w:r>
      <w:r w:rsidRPr="000C28C6">
        <w:t>, los </w:t>
      </w:r>
      <w:r w:rsidRPr="00CA3920">
        <w:rPr>
          <w:rStyle w:val="Textoennegrita"/>
          <w:b w:val="0"/>
          <w:bdr w:val="none" w:sz="0" w:space="0" w:color="auto" w:frame="1"/>
        </w:rPr>
        <w:t>conflictos</w:t>
      </w:r>
      <w:r w:rsidRPr="000C28C6">
        <w:rPr>
          <w:rStyle w:val="Textoennegrita"/>
          <w:bdr w:val="none" w:sz="0" w:space="0" w:color="auto" w:frame="1"/>
        </w:rPr>
        <w:t> </w:t>
      </w:r>
      <w:r w:rsidRPr="000C28C6">
        <w:t>y las </w:t>
      </w:r>
      <w:r w:rsidRPr="00CA3920">
        <w:rPr>
          <w:rStyle w:val="Textoennegrita"/>
          <w:b w:val="0"/>
          <w:bdr w:val="none" w:sz="0" w:space="0" w:color="auto" w:frame="1"/>
        </w:rPr>
        <w:t>guerras</w:t>
      </w:r>
      <w:r w:rsidRPr="000C28C6">
        <w:rPr>
          <w:rStyle w:val="Textoennegrita"/>
          <w:bdr w:val="none" w:sz="0" w:space="0" w:color="auto" w:frame="1"/>
        </w:rPr>
        <w:t> </w:t>
      </w:r>
      <w:r w:rsidRPr="000C28C6">
        <w:t>también están detrás de la desnutrición infantil en el mundo.</w:t>
      </w:r>
    </w:p>
    <w:p w:rsidR="00DB50B5" w:rsidRPr="000C28C6" w:rsidRDefault="00DB50B5" w:rsidP="00DB50B5">
      <w:pPr>
        <w:pStyle w:val="NormalWeb"/>
        <w:spacing w:before="0" w:after="0"/>
        <w:jc w:val="both"/>
        <w:textAlignment w:val="baseline"/>
      </w:pPr>
      <w:r w:rsidRPr="000C28C6">
        <w:lastRenderedPageBreak/>
        <w:t>Los </w:t>
      </w:r>
      <w:r w:rsidRPr="002D3CAF">
        <w:rPr>
          <w:rStyle w:val="Textoennegrita"/>
          <w:b w:val="0"/>
          <w:bdr w:val="none" w:sz="0" w:space="0" w:color="auto" w:frame="1"/>
        </w:rPr>
        <w:t>desastres</w:t>
      </w:r>
      <w:r w:rsidRPr="000C28C6">
        <w:rPr>
          <w:rStyle w:val="Textoennegrita"/>
          <w:bdr w:val="none" w:sz="0" w:space="0" w:color="auto" w:frame="1"/>
        </w:rPr>
        <w:t> </w:t>
      </w:r>
      <w:r w:rsidRPr="000C28C6">
        <w:t>relacionados con el </w:t>
      </w:r>
      <w:r w:rsidRPr="00CA3920">
        <w:rPr>
          <w:rStyle w:val="Textoennegrita"/>
          <w:b w:val="0"/>
          <w:bdr w:val="none" w:sz="0" w:space="0" w:color="auto" w:frame="1"/>
        </w:rPr>
        <w:t>clima</w:t>
      </w:r>
      <w:r w:rsidRPr="000C28C6">
        <w:rPr>
          <w:rStyle w:val="Textoennegrita"/>
          <w:bdr w:val="none" w:sz="0" w:space="0" w:color="auto" w:frame="1"/>
        </w:rPr>
        <w:t> </w:t>
      </w:r>
      <w:r w:rsidRPr="000C28C6">
        <w:t>provocan crisis alimentarias graves y encarecen los precios de la comida, además de perjudicar la calidad de los productos agrícolas.</w:t>
      </w:r>
    </w:p>
    <w:p w:rsidR="00DB50B5" w:rsidRPr="00077490" w:rsidRDefault="00DB50B5" w:rsidP="00DB50B5">
      <w:pPr>
        <w:pStyle w:val="Ttulo2"/>
        <w:jc w:val="both"/>
        <w:textAlignment w:val="baseline"/>
        <w:rPr>
          <w:sz w:val="24"/>
          <w:szCs w:val="24"/>
        </w:rPr>
      </w:pPr>
      <w:r w:rsidRPr="00077490">
        <w:rPr>
          <w:sz w:val="24"/>
          <w:szCs w:val="24"/>
        </w:rPr>
        <w:t>Las consecuencias</w:t>
      </w:r>
    </w:p>
    <w:p w:rsidR="00DB50B5" w:rsidRPr="00077490" w:rsidRDefault="00DB50B5" w:rsidP="00DB50B5">
      <w:pPr>
        <w:numPr>
          <w:ilvl w:val="0"/>
          <w:numId w:val="14"/>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Mortalidad.</w:t>
      </w:r>
    </w:p>
    <w:p w:rsidR="00DB50B5" w:rsidRPr="00077490" w:rsidRDefault="00DB50B5" w:rsidP="00DB50B5">
      <w:pPr>
        <w:numPr>
          <w:ilvl w:val="0"/>
          <w:numId w:val="14"/>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Reduce la capacidad física y la productividad económica.</w:t>
      </w:r>
    </w:p>
    <w:p w:rsidR="00DB50B5" w:rsidRPr="00077490" w:rsidRDefault="00DB50B5" w:rsidP="00DB50B5">
      <w:pPr>
        <w:numPr>
          <w:ilvl w:val="0"/>
          <w:numId w:val="14"/>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Disminuye la capacidad intelectual y de aprendizaje.</w:t>
      </w:r>
    </w:p>
    <w:p w:rsidR="00DB50B5" w:rsidRPr="00077490" w:rsidRDefault="00DB50B5" w:rsidP="00DB50B5">
      <w:pPr>
        <w:numPr>
          <w:ilvl w:val="0"/>
          <w:numId w:val="14"/>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Detiene el crecimiento y el desarrollo físico.</w:t>
      </w:r>
    </w:p>
    <w:p w:rsidR="00DB50B5" w:rsidRPr="00077490" w:rsidRDefault="00DB50B5" w:rsidP="00DB50B5">
      <w:pPr>
        <w:numPr>
          <w:ilvl w:val="0"/>
          <w:numId w:val="14"/>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Causa deficiencias metabólicas.</w:t>
      </w:r>
    </w:p>
    <w:p w:rsidR="00DB50B5" w:rsidRPr="00077490" w:rsidRDefault="00DB50B5" w:rsidP="00DB50B5">
      <w:pPr>
        <w:numPr>
          <w:ilvl w:val="0"/>
          <w:numId w:val="14"/>
        </w:numPr>
        <w:spacing w:before="100" w:beforeAutospacing="1" w:after="100" w:afterAutospacing="1" w:line="240" w:lineRule="auto"/>
        <w:jc w:val="both"/>
        <w:textAlignment w:val="baseline"/>
        <w:rPr>
          <w:rFonts w:ascii="Times New Roman" w:hAnsi="Times New Roman" w:cs="Times New Roman"/>
          <w:sz w:val="24"/>
          <w:szCs w:val="24"/>
        </w:rPr>
      </w:pPr>
      <w:r w:rsidRPr="00077490">
        <w:rPr>
          <w:rFonts w:ascii="Times New Roman" w:hAnsi="Times New Roman" w:cs="Times New Roman"/>
          <w:sz w:val="24"/>
          <w:szCs w:val="24"/>
        </w:rPr>
        <w:t>Podría desencadenar enfermedades cardiovasculares.</w:t>
      </w:r>
    </w:p>
    <w:p w:rsidR="00DB50B5" w:rsidRPr="00077490" w:rsidRDefault="00DB50B5" w:rsidP="00DB50B5">
      <w:pPr>
        <w:spacing w:before="100" w:beforeAutospacing="1" w:after="100" w:afterAutospacing="1" w:line="240" w:lineRule="auto"/>
        <w:textAlignment w:val="baseline"/>
        <w:outlineLvl w:val="1"/>
        <w:rPr>
          <w:rFonts w:ascii="Times New Roman" w:eastAsia="Times New Roman" w:hAnsi="Times New Roman" w:cs="Times New Roman"/>
          <w:b/>
          <w:bCs/>
          <w:sz w:val="24"/>
          <w:szCs w:val="24"/>
          <w:lang w:eastAsia="es-ES"/>
        </w:rPr>
      </w:pPr>
      <w:r w:rsidRPr="00077490">
        <w:rPr>
          <w:rFonts w:ascii="Times New Roman" w:eastAsia="Times New Roman" w:hAnsi="Times New Roman" w:cs="Times New Roman"/>
          <w:b/>
          <w:bCs/>
          <w:sz w:val="24"/>
          <w:szCs w:val="24"/>
          <w:lang w:eastAsia="es-ES"/>
        </w:rPr>
        <w:t>Cómo combatir desnutrición infantil</w:t>
      </w:r>
    </w:p>
    <w:p w:rsidR="00DB50B5" w:rsidRPr="00077490" w:rsidRDefault="00DB50B5" w:rsidP="00DB50B5">
      <w:pPr>
        <w:spacing w:after="0" w:line="360" w:lineRule="atLeast"/>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Visibilizar el problema y sus causas.</w:t>
      </w:r>
    </w:p>
    <w:p w:rsidR="00DB50B5" w:rsidRPr="00077490" w:rsidRDefault="00DB50B5" w:rsidP="00DB50B5">
      <w:pPr>
        <w:pStyle w:val="Prrafodelista"/>
        <w:numPr>
          <w:ilvl w:val="0"/>
          <w:numId w:val="15"/>
        </w:numPr>
        <w:spacing w:after="0" w:line="360" w:lineRule="atLeast"/>
        <w:textAlignment w:val="baseline"/>
        <w:rPr>
          <w:rFonts w:ascii="Times New Roman" w:eastAsia="Times New Roman" w:hAnsi="Times New Roman" w:cs="Times New Roman"/>
          <w:sz w:val="24"/>
          <w:szCs w:val="24"/>
          <w:lang w:eastAsia="es-ES"/>
        </w:rPr>
      </w:pPr>
      <w:r w:rsidRPr="00077490">
        <w:rPr>
          <w:rFonts w:ascii="Times New Roman" w:hAnsi="Times New Roman" w:cs="Times New Roman"/>
          <w:sz w:val="24"/>
          <w:szCs w:val="24"/>
        </w:rPr>
        <w:t>Desarrollar estrategias multisectoriales que engloben todos los aspectos del problema.</w:t>
      </w:r>
    </w:p>
    <w:p w:rsidR="00DB50B5" w:rsidRPr="00077490" w:rsidRDefault="00DB50B5" w:rsidP="00DB50B5">
      <w:pPr>
        <w:spacing w:after="0" w:line="360" w:lineRule="atLeast"/>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360" w:lineRule="atLeast"/>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Trabajar en la prevención.</w:t>
      </w:r>
    </w:p>
    <w:p w:rsidR="00DB50B5" w:rsidRPr="00077490" w:rsidRDefault="00DB50B5" w:rsidP="00DB50B5">
      <w:pPr>
        <w:pStyle w:val="Prrafodelista"/>
        <w:numPr>
          <w:ilvl w:val="0"/>
          <w:numId w:val="15"/>
        </w:numPr>
        <w:spacing w:after="0" w:line="360" w:lineRule="atLeast"/>
        <w:textAlignment w:val="baseline"/>
        <w:rPr>
          <w:rFonts w:ascii="Times New Roman" w:eastAsia="Times New Roman" w:hAnsi="Times New Roman" w:cs="Times New Roman"/>
          <w:sz w:val="24"/>
          <w:szCs w:val="24"/>
          <w:lang w:eastAsia="es-ES"/>
        </w:rPr>
      </w:pPr>
      <w:r w:rsidRPr="00077490">
        <w:rPr>
          <w:rFonts w:ascii="Times New Roman" w:hAnsi="Times New Roman" w:cs="Times New Roman"/>
          <w:sz w:val="24"/>
          <w:szCs w:val="24"/>
        </w:rPr>
        <w:t>Trabajar con un enfoque de equidad que permita alcanzar a las poblaciones más pobres y vulnerables.</w:t>
      </w:r>
    </w:p>
    <w:p w:rsidR="00DB50B5" w:rsidRPr="00077490" w:rsidRDefault="00DB50B5" w:rsidP="00DB50B5">
      <w:pPr>
        <w:pStyle w:val="Prrafodelista"/>
        <w:spacing w:after="0" w:line="360" w:lineRule="atLeast"/>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360" w:lineRule="atLeast"/>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Aumentar los fondos para luchar contra la desnutrición infantil.</w:t>
      </w:r>
    </w:p>
    <w:p w:rsidR="00DB50B5" w:rsidRDefault="00DB50B5" w:rsidP="00DB50B5">
      <w:pPr>
        <w:pStyle w:val="Prrafodelista"/>
        <w:numPr>
          <w:ilvl w:val="0"/>
          <w:numId w:val="15"/>
        </w:numPr>
        <w:spacing w:after="0" w:line="360" w:lineRule="atLeast"/>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Abordar las intervenciones esenciales durante los 1.000 días críticos para la vida: el embarazo y los 2 primeros años de vida.</w:t>
      </w:r>
    </w:p>
    <w:p w:rsidR="00DB50B5" w:rsidRDefault="00DB50B5" w:rsidP="00DB50B5">
      <w:pPr>
        <w:spacing w:after="0" w:line="360" w:lineRule="atLeast"/>
        <w:textAlignment w:val="baseline"/>
        <w:rPr>
          <w:rFonts w:ascii="Times New Roman" w:eastAsia="Times New Roman" w:hAnsi="Times New Roman" w:cs="Times New Roman"/>
          <w:b/>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Tipos de desnutrición infantil</w:t>
      </w:r>
      <w:r>
        <w:rPr>
          <w:rFonts w:ascii="Times New Roman" w:eastAsia="Times New Roman" w:hAnsi="Times New Roman" w:cs="Times New Roman"/>
          <w:sz w:val="24"/>
          <w:szCs w:val="24"/>
          <w:lang w:eastAsia="es-ES"/>
        </w:rPr>
        <w:t xml:space="preserve"> </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 xml:space="preserve"> Según la UNICEF, el índice de desnutrición se determina mediante la observación directa, que permite identificar niños demasiado delgados o con las piernas hinchadas; y midiendo la talla, el peso, el perímetro del brazo y conociendo la edad del niño, que se comparan con unos estándares de referencia.</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 xml:space="preserve"> La desnutrición se manifiesta en el niño de diversas formas:</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 Es más pequeño de lo que le corresponde para su edad.</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 Pesa poco para su altura.</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 Pesa menos de lo que le corresponde para su edad.</w:t>
      </w:r>
    </w:p>
    <w:p w:rsidR="00DE27E7" w:rsidRDefault="00DE27E7"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Cada una de estas manifestaciones está relacionada con un tipo específico de carencias. La altura refleja carencias nutricionales durante un tiempo prolongado, mientras que el peso es un indicador de carencias agudas. De ahí las distin</w:t>
      </w:r>
      <w:r>
        <w:rPr>
          <w:rFonts w:ascii="Times New Roman" w:eastAsia="Times New Roman" w:hAnsi="Times New Roman" w:cs="Times New Roman"/>
          <w:sz w:val="24"/>
          <w:szCs w:val="24"/>
          <w:lang w:eastAsia="es-ES"/>
        </w:rPr>
        <w:t>tas categorías de desnutrición:</w:t>
      </w:r>
      <w:r w:rsidRPr="00077490">
        <w:rPr>
          <w:rFonts w:ascii="Times New Roman" w:eastAsia="Times New Roman" w:hAnsi="Times New Roman" w:cs="Times New Roman"/>
          <w:sz w:val="24"/>
          <w:szCs w:val="24"/>
          <w:lang w:eastAsia="es-ES"/>
        </w:rPr>
        <w:t xml:space="preserve"> </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 xml:space="preserve">Desnutrición crónica - Un niño que sufre desnutrición crónica presenta un retraso en su crecimiento. Se mide comparando la talla del niño con el estándar recomendado para su edad. Indica una carencia de los nutrientes necesarios durante un tiempo prolongado, por lo que </w:t>
      </w:r>
      <w:r w:rsidRPr="00077490">
        <w:rPr>
          <w:rFonts w:ascii="Times New Roman" w:eastAsia="Times New Roman" w:hAnsi="Times New Roman" w:cs="Times New Roman"/>
          <w:sz w:val="24"/>
          <w:szCs w:val="24"/>
          <w:lang w:eastAsia="es-ES"/>
        </w:rPr>
        <w:lastRenderedPageBreak/>
        <w:t>aumenta el riesgo de que contraiga enfermedades y afecta al desarrollo físico e intelectual del niño. La desnutrición crónica, siendo un problema de mayor magnitud en cuanto al número de niños afectados, es a veces invisible y recibe menor atención. El retraso en el crecimiento puede comenzar antes de nacer, cuando el niño aún está en el útero de su madre. Si no se actúa durante el embarazo y antes de que el niño cumpla los 2 años de edad, las consecuencias son irreversibles y se harán sentir durante el resto su vida.</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Desnutrición aguda moderada - Un niño con desnutrición aguda moderada pesa menos de lo que le corresponde con relación a su altura. Se mide también por el perímetro del brazo, que está por debajo del estándar de referencia. Requiere un tratamiento inmed</w:t>
      </w:r>
      <w:r>
        <w:rPr>
          <w:rFonts w:ascii="Times New Roman" w:eastAsia="Times New Roman" w:hAnsi="Times New Roman" w:cs="Times New Roman"/>
          <w:sz w:val="24"/>
          <w:szCs w:val="24"/>
          <w:lang w:eastAsia="es-ES"/>
        </w:rPr>
        <w:t>iato para prevenir que empeore.</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Desnutrición aguda grave o severa - Es la forma de desnutrición más grave. El niño tiene un peso muy por debajo del estándar de referencia para su altura. Se mide también por el perímetro del brazo. Altera todos los procesos vitales del niño y conlleva un alto riesgo de mortalidad. El riesgo de muerte para un niño con desnutrición aguda grave es 9 veces superior que para un niño en condiciones normales. Requiere atención médica urgente.</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La desnutrición debida a la falta de vitaminas y minerales (micronutrientes) se puede manifestar de múltiples maneras. La fatiga, la reducción de la capacidad de aprendizaje o de inmun</w:t>
      </w:r>
      <w:r>
        <w:rPr>
          <w:rFonts w:ascii="Times New Roman" w:eastAsia="Times New Roman" w:hAnsi="Times New Roman" w:cs="Times New Roman"/>
          <w:sz w:val="24"/>
          <w:szCs w:val="24"/>
          <w:lang w:eastAsia="es-ES"/>
        </w:rPr>
        <w:t>idad son sólo algunas de ellas.</w:t>
      </w:r>
    </w:p>
    <w:p w:rsidR="00DB50B5"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Default="00DB50B5" w:rsidP="00DB50B5">
      <w:pPr>
        <w:spacing w:after="0" w:line="360" w:lineRule="atLeast"/>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C</w:t>
      </w:r>
      <w:r>
        <w:rPr>
          <w:rFonts w:ascii="Times New Roman" w:eastAsia="Times New Roman" w:hAnsi="Times New Roman" w:cs="Times New Roman"/>
          <w:sz w:val="24"/>
          <w:szCs w:val="24"/>
          <w:lang w:eastAsia="es-ES"/>
        </w:rPr>
        <w:t xml:space="preserve">onsecuencias de la desnutrición </w:t>
      </w:r>
    </w:p>
    <w:p w:rsidR="00DB50B5" w:rsidRPr="00077490" w:rsidRDefault="00DB50B5" w:rsidP="00DB50B5">
      <w:pPr>
        <w:spacing w:after="0" w:line="360" w:lineRule="atLeast"/>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En cuanto a las consecuencias de desnutrición, durante la infancia y la edad preescolar se asocian con retardo en el crecimiento y el desarrollo psicomotor, mayor riesgo de morbilidad con efectos adversos a largo plazo, incluyendo disminución en la capacidad de trabajo físico y en el desempeño intelectual en la edad escolar, la adolescencia y la edad adulta, lo que repercute en la capacidad del i</w:t>
      </w:r>
      <w:r>
        <w:rPr>
          <w:rFonts w:ascii="Times New Roman" w:eastAsia="Times New Roman" w:hAnsi="Times New Roman" w:cs="Times New Roman"/>
          <w:sz w:val="24"/>
          <w:szCs w:val="24"/>
          <w:lang w:eastAsia="es-ES"/>
        </w:rPr>
        <w:t>ndividuo para generar ingresos.</w:t>
      </w:r>
      <w:r w:rsidRPr="00077490">
        <w:rPr>
          <w:rFonts w:ascii="Times New Roman" w:eastAsia="Times New Roman" w:hAnsi="Times New Roman" w:cs="Times New Roman"/>
          <w:sz w:val="24"/>
          <w:szCs w:val="24"/>
          <w:lang w:eastAsia="es-ES"/>
        </w:rPr>
        <w:t xml:space="preserve"> Y en ocasiones, incrementa la propensión a enfermedades como obesidad, diabetes, hipertensión,</w:t>
      </w:r>
      <w:r>
        <w:rPr>
          <w:rFonts w:ascii="Times New Roman" w:eastAsia="Times New Roman" w:hAnsi="Times New Roman" w:cs="Times New Roman"/>
          <w:sz w:val="24"/>
          <w:szCs w:val="24"/>
          <w:lang w:eastAsia="es-ES"/>
        </w:rPr>
        <w:t xml:space="preserve"> dislipidemias e incapacidades.</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Igualmente, la desnutrición durante los primeros años de vida, a través de sus efectos adversos en el crecimiento durante la infancia de las mujeres, tiene efectos negativos en el peso al na</w:t>
      </w:r>
      <w:r>
        <w:rPr>
          <w:rFonts w:ascii="Times New Roman" w:eastAsia="Times New Roman" w:hAnsi="Times New Roman" w:cs="Times New Roman"/>
          <w:sz w:val="24"/>
          <w:szCs w:val="24"/>
          <w:lang w:eastAsia="es-ES"/>
        </w:rPr>
        <w:t>cer de la siguiente generación.</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El desarrollo del cerebro también puede verse afectado directa o indirectamente como consecuencia de desnutrición infantil. La mayor susceptibilidad del sistema nervioso para ser afectado por desnutrición abarca desde la mitad de la gestación hasta los dos primeros años de vida, periodo en el cual, el cerebro alcanza un crecimiento estimado en 1/7 parte durante el periodo prenatal y 6/7 part</w:t>
      </w:r>
      <w:r>
        <w:rPr>
          <w:rFonts w:ascii="Times New Roman" w:eastAsia="Times New Roman" w:hAnsi="Times New Roman" w:cs="Times New Roman"/>
          <w:sz w:val="24"/>
          <w:szCs w:val="24"/>
          <w:lang w:eastAsia="es-ES"/>
        </w:rPr>
        <w:t>es durante el periodo posnatal.</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 xml:space="preserve">La desnutrición aguda puede ocasionar daño cerebral permanente en este lapso y con ello producir retardo del crecimiento antropométrico, cognitivo, emocional y en las funciones intelectuales por reducción del número y función de las células gliales, retardo en el crecimiento de dendritas, alteración en la sinaptogénesis </w:t>
      </w:r>
      <w:r>
        <w:rPr>
          <w:rFonts w:ascii="Times New Roman" w:eastAsia="Times New Roman" w:hAnsi="Times New Roman" w:cs="Times New Roman"/>
          <w:sz w:val="24"/>
          <w:szCs w:val="24"/>
          <w:lang w:eastAsia="es-ES"/>
        </w:rPr>
        <w:t>y defectos en la mielinización.</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Afortunadamente, la desnutrición infantil es prevenible y se pueden evitar diversas complicaciones sí es identifica a tiempo.</w:t>
      </w:r>
    </w:p>
    <w:p w:rsidR="00EE565B" w:rsidRPr="00077490" w:rsidRDefault="00EE565B"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lastRenderedPageBreak/>
        <w:t>Anemia</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 xml:space="preserve">La anemia por deficiencia de hierro, junto con la desnutrición crónica, son los problemas nutricionales </w:t>
      </w:r>
      <w:r>
        <w:rPr>
          <w:rFonts w:ascii="Times New Roman" w:eastAsia="Times New Roman" w:hAnsi="Times New Roman" w:cs="Times New Roman"/>
          <w:sz w:val="24"/>
          <w:szCs w:val="24"/>
          <w:lang w:eastAsia="es-ES"/>
        </w:rPr>
        <w:t>de mayor prevalencia.</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La deficiencia de hierro inhibe la habilidad de regular la temperatura cuando hace frío y altera la producción hormonal y el metabolismo, afectando a los neurotransmisores y las hormonas tiroideas asociadas con las funciones musculares y neurológicas, regu</w:t>
      </w:r>
      <w:r>
        <w:rPr>
          <w:rFonts w:ascii="Times New Roman" w:eastAsia="Times New Roman" w:hAnsi="Times New Roman" w:cs="Times New Roman"/>
          <w:sz w:val="24"/>
          <w:szCs w:val="24"/>
          <w:lang w:eastAsia="es-ES"/>
        </w:rPr>
        <w:t>ladoras de la temperatura.</w:t>
      </w:r>
      <w:r w:rsidRPr="00077490">
        <w:rPr>
          <w:rFonts w:ascii="Times New Roman" w:eastAsia="Times New Roman" w:hAnsi="Times New Roman" w:cs="Times New Roman"/>
          <w:sz w:val="24"/>
          <w:szCs w:val="24"/>
          <w:lang w:eastAsia="es-ES"/>
        </w:rPr>
        <w:t xml:space="preserve"> </w:t>
      </w:r>
    </w:p>
    <w:p w:rsidR="00DB50B5" w:rsidRPr="00077490"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p>
    <w:p w:rsidR="00DB50B5" w:rsidRDefault="00DB50B5" w:rsidP="00DB50B5">
      <w:pPr>
        <w:spacing w:after="0" w:line="240" w:lineRule="auto"/>
        <w:jc w:val="both"/>
        <w:textAlignment w:val="baseline"/>
        <w:rPr>
          <w:rFonts w:ascii="Times New Roman" w:eastAsia="Times New Roman" w:hAnsi="Times New Roman" w:cs="Times New Roman"/>
          <w:sz w:val="24"/>
          <w:szCs w:val="24"/>
          <w:lang w:eastAsia="es-ES"/>
        </w:rPr>
      </w:pPr>
      <w:r w:rsidRPr="00077490">
        <w:rPr>
          <w:rFonts w:ascii="Times New Roman" w:eastAsia="Times New Roman" w:hAnsi="Times New Roman" w:cs="Times New Roman"/>
          <w:sz w:val="24"/>
          <w:szCs w:val="24"/>
          <w:lang w:eastAsia="es-ES"/>
        </w:rPr>
        <w:t>La anemia afecta principalmente a mujeres embarazadas y a los niños menores de 2 años, en estos últimos, los daños ocasionados por anemia son irreversibles, aún después de tratamiento. Los niños que presentan anemia en los primeros años de vida sufrirán retardo en el desarrollo psicomotor, y cuando lleguen a la edad escolar su habilidad vocal y su coordinación motora habrá disminuido significativamente.</w:t>
      </w:r>
    </w:p>
    <w:p w:rsidR="00453C82" w:rsidRDefault="00453C82" w:rsidP="00DB50B5">
      <w:pPr>
        <w:spacing w:after="0" w:line="240" w:lineRule="auto"/>
        <w:jc w:val="both"/>
        <w:textAlignment w:val="baseline"/>
        <w:rPr>
          <w:rFonts w:ascii="Times New Roman" w:eastAsia="Times New Roman" w:hAnsi="Times New Roman" w:cs="Times New Roman"/>
          <w:sz w:val="24"/>
          <w:szCs w:val="24"/>
          <w:lang w:eastAsia="es-ES"/>
        </w:rPr>
      </w:pPr>
    </w:p>
    <w:p w:rsidR="00453C82" w:rsidRDefault="00453C82" w:rsidP="00DB50B5">
      <w:pPr>
        <w:spacing w:after="0" w:line="240" w:lineRule="auto"/>
        <w:jc w:val="both"/>
        <w:textAlignment w:val="baseline"/>
        <w:rPr>
          <w:rFonts w:ascii="Times New Roman" w:eastAsia="Times New Roman" w:hAnsi="Times New Roman" w:cs="Times New Roman"/>
          <w:b/>
          <w:sz w:val="24"/>
          <w:szCs w:val="24"/>
          <w:lang w:eastAsia="es-ES"/>
        </w:rPr>
      </w:pPr>
      <w:r w:rsidRPr="00453C82">
        <w:rPr>
          <w:rFonts w:ascii="Times New Roman" w:eastAsia="Times New Roman" w:hAnsi="Times New Roman" w:cs="Times New Roman"/>
          <w:b/>
          <w:sz w:val="24"/>
          <w:szCs w:val="24"/>
          <w:lang w:eastAsia="es-ES"/>
        </w:rPr>
        <w:t>Las consecuencias de la… ¿“nutrición”?</w:t>
      </w:r>
    </w:p>
    <w:p w:rsidR="00453C82" w:rsidRDefault="00453C82" w:rsidP="00DB50B5">
      <w:pPr>
        <w:spacing w:after="0" w:line="240" w:lineRule="auto"/>
        <w:jc w:val="both"/>
        <w:textAlignment w:val="baseline"/>
        <w:rPr>
          <w:rFonts w:ascii="Times New Roman" w:eastAsia="Times New Roman" w:hAnsi="Times New Roman" w:cs="Times New Roman"/>
          <w:b/>
          <w:sz w:val="24"/>
          <w:szCs w:val="24"/>
          <w:lang w:eastAsia="es-ES"/>
        </w:rPr>
      </w:pPr>
    </w:p>
    <w:p w:rsidR="00453C82" w:rsidRPr="005A5D19" w:rsidRDefault="00453C82" w:rsidP="00453C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5D19">
        <w:rPr>
          <w:rFonts w:ascii="Times New Roman" w:hAnsi="Times New Roman" w:cs="Times New Roman"/>
          <w:sz w:val="24"/>
          <w:szCs w:val="24"/>
          <w:u w:val="single"/>
        </w:rPr>
        <w:t>Por qué los holandeses son los más altos del mundo (y qué valiosos secretos podrían revelar)</w:t>
      </w:r>
      <w:r>
        <w:rPr>
          <w:rFonts w:ascii="Times New Roman" w:hAnsi="Times New Roman" w:cs="Times New Roman"/>
          <w:sz w:val="24"/>
          <w:szCs w:val="24"/>
        </w:rPr>
        <w:t xml:space="preserve"> (BBCMundo - </w:t>
      </w:r>
      <w:r w:rsidRPr="005A5D19">
        <w:rPr>
          <w:rFonts w:ascii="Times New Roman" w:hAnsi="Times New Roman" w:cs="Times New Roman"/>
          <w:b/>
          <w:sz w:val="24"/>
          <w:szCs w:val="24"/>
        </w:rPr>
        <w:t>4/9/21</w:t>
      </w:r>
      <w:r>
        <w:rPr>
          <w:rFonts w:ascii="Times New Roman" w:hAnsi="Times New Roman" w:cs="Times New Roman"/>
          <w:sz w:val="24"/>
          <w:szCs w:val="24"/>
        </w:rPr>
        <w:t>)</w:t>
      </w:r>
    </w:p>
    <w:p w:rsidR="00453C82" w:rsidRDefault="00453C82" w:rsidP="00453C82">
      <w:pPr>
        <w:spacing w:line="240" w:lineRule="auto"/>
        <w:jc w:val="both"/>
        <w:rPr>
          <w:rFonts w:ascii="Times New Roman" w:hAnsi="Times New Roman" w:cs="Times New Roman"/>
          <w:sz w:val="24"/>
          <w:szCs w:val="24"/>
        </w:rPr>
      </w:pPr>
      <w:r w:rsidRPr="005A5D19">
        <w:rPr>
          <w:rFonts w:ascii="Times New Roman" w:hAnsi="Times New Roman" w:cs="Times New Roman"/>
          <w:sz w:val="24"/>
          <w:szCs w:val="24"/>
        </w:rPr>
        <w:t>Una tierra de gigantes. Con una población que, en promedio, se eleva varios centímetros más que el resto de los humanos, las personas más altas del mundo están en los Países Bajos.</w:t>
      </w:r>
    </w:p>
    <w:p w:rsidR="00453C82" w:rsidRDefault="00453C82" w:rsidP="00453C82">
      <w:pPr>
        <w:shd w:val="clear" w:color="auto" w:fill="FDFDFD"/>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noProof/>
          <w:color w:val="000000"/>
          <w:sz w:val="24"/>
          <w:szCs w:val="24"/>
          <w:lang w:eastAsia="es-ES"/>
        </w:rPr>
        <w:drawing>
          <wp:inline distT="0" distB="0" distL="0" distR="0" wp14:anchorId="5BAE244B" wp14:editId="42B32744">
            <wp:extent cx="5702300" cy="3048000"/>
            <wp:effectExtent l="0" t="0" r="0" b="0"/>
            <wp:docPr id="113" name="Imagen 113" descr="zuecos de distintos tamañ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uecos de distintos tamaños"/>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02300" cy="3048000"/>
                    </a:xfrm>
                    <a:prstGeom prst="rect">
                      <a:avLst/>
                    </a:prstGeom>
                    <a:noFill/>
                    <a:ln>
                      <a:noFill/>
                    </a:ln>
                  </pic:spPr>
                </pic:pic>
              </a:graphicData>
            </a:graphic>
          </wp:inline>
        </w:drawing>
      </w:r>
    </w:p>
    <w:p w:rsidR="00453C82" w:rsidRDefault="00453C82" w:rsidP="00453C82">
      <w:pPr>
        <w:shd w:val="clear" w:color="auto" w:fill="FDFDFD"/>
        <w:spacing w:after="0" w:line="240" w:lineRule="auto"/>
        <w:rPr>
          <w:rFonts w:ascii="Times New Roman" w:eastAsia="Times New Roman" w:hAnsi="Times New Roman" w:cs="Times New Roman"/>
          <w:color w:val="000000"/>
          <w:sz w:val="24"/>
          <w:szCs w:val="24"/>
          <w:lang w:eastAsia="es-ES"/>
        </w:rPr>
      </w:pPr>
    </w:p>
    <w:p w:rsidR="00453C82" w:rsidRDefault="00453C82" w:rsidP="00453C82">
      <w:pPr>
        <w:pStyle w:val="bbc-bm53ic"/>
        <w:shd w:val="clear" w:color="auto" w:fill="FDFDFD"/>
        <w:spacing w:before="0" w:beforeAutospacing="0" w:after="0" w:afterAutospacing="0"/>
        <w:jc w:val="both"/>
      </w:pPr>
      <w:r w:rsidRPr="00033BE5">
        <w:t>No siempre fue así.</w:t>
      </w:r>
    </w:p>
    <w:p w:rsidR="00453C82" w:rsidRPr="00033BE5" w:rsidRDefault="00453C82" w:rsidP="00453C82">
      <w:pPr>
        <w:pStyle w:val="bbc-bm53ic"/>
        <w:shd w:val="clear" w:color="auto" w:fill="FDFDFD"/>
        <w:spacing w:before="0" w:beforeAutospacing="0" w:after="0" w:afterAutospacing="0"/>
        <w:jc w:val="both"/>
      </w:pPr>
    </w:p>
    <w:p w:rsidR="00453C82" w:rsidRPr="00453C82" w:rsidRDefault="00453C82" w:rsidP="00453C82">
      <w:pPr>
        <w:pStyle w:val="bbc-bm53ic"/>
        <w:shd w:val="clear" w:color="auto" w:fill="FDFDFD"/>
        <w:spacing w:before="0" w:beforeAutospacing="0" w:after="0" w:afterAutospacing="0"/>
        <w:jc w:val="both"/>
      </w:pPr>
      <w:r w:rsidRPr="00453C82">
        <w:t>Una revisión de los registros militares holandeses para </w:t>
      </w:r>
      <w:hyperlink r:id="rId256" w:history="1">
        <w:r w:rsidRPr="00453C82">
          <w:rPr>
            <w:rStyle w:val="Hipervnculo"/>
            <w:color w:val="auto"/>
            <w:u w:val="none"/>
          </w:rPr>
          <w:t>un estudio publicado por la Royal Society of London</w:t>
        </w:r>
      </w:hyperlink>
      <w:r w:rsidRPr="00453C82">
        <w:t> encontró que a mediados del siglo XIX, los hombres en los Países Bajos se encontraban entre las personas más bajas de Europa.</w:t>
      </w:r>
    </w:p>
    <w:p w:rsidR="00453C82" w:rsidRPr="00453C82" w:rsidRDefault="00453C82" w:rsidP="00453C82">
      <w:pPr>
        <w:pStyle w:val="bbc-bm53ic"/>
        <w:shd w:val="clear" w:color="auto" w:fill="FDFDFD"/>
        <w:spacing w:before="0" w:beforeAutospacing="0" w:after="0" w:afterAutospacing="0"/>
        <w:jc w:val="both"/>
      </w:pPr>
    </w:p>
    <w:p w:rsidR="00453C82" w:rsidRPr="00453C82" w:rsidRDefault="001B466B" w:rsidP="00453C82">
      <w:pPr>
        <w:pStyle w:val="bbc-bm53ic"/>
        <w:shd w:val="clear" w:color="auto" w:fill="FDFDFD"/>
        <w:spacing w:before="0" w:beforeAutospacing="0" w:after="0" w:afterAutospacing="0"/>
        <w:jc w:val="both"/>
      </w:pPr>
      <w:r>
        <w:lastRenderedPageBreak/>
        <w:t>“</w:t>
      </w:r>
      <w:r w:rsidR="00453C82" w:rsidRPr="00453C82">
        <w:t>En 1860, los militares holandeses medían </w:t>
      </w:r>
      <w:r w:rsidR="00453C82" w:rsidRPr="001B466B">
        <w:rPr>
          <w:bCs/>
        </w:rPr>
        <w:t>unos 165 cm de altura</w:t>
      </w:r>
      <w:r>
        <w:t>”</w:t>
      </w:r>
      <w:r w:rsidR="00453C82" w:rsidRPr="00453C82">
        <w:t>, </w:t>
      </w:r>
      <w:hyperlink r:id="rId257" w:history="1">
        <w:r w:rsidR="00453C82" w:rsidRPr="00453C82">
          <w:rPr>
            <w:rStyle w:val="Hipervnculo"/>
            <w:color w:val="auto"/>
            <w:u w:val="none"/>
          </w:rPr>
          <w:t>le dijo a Gavin Haines de BBC Travel</w:t>
        </w:r>
      </w:hyperlink>
      <w:r w:rsidR="00453C82" w:rsidRPr="00453C82">
        <w:t> la profesora Louise Barrett de la Universidad de Lethbridge, Canadá, quien formó parte del estudio.</w:t>
      </w:r>
    </w:p>
    <w:p w:rsidR="00453C82" w:rsidRPr="00453C82" w:rsidRDefault="00453C82" w:rsidP="00453C82">
      <w:pPr>
        <w:pStyle w:val="bbc-bm53ic"/>
        <w:shd w:val="clear" w:color="auto" w:fill="FDFDFD"/>
        <w:spacing w:before="0" w:beforeAutospacing="0" w:after="0" w:afterAutospacing="0"/>
        <w:jc w:val="both"/>
      </w:pPr>
    </w:p>
    <w:p w:rsidR="00453C82" w:rsidRPr="00453C82" w:rsidRDefault="001B466B" w:rsidP="00453C8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453C82" w:rsidRPr="00453C82">
        <w:rPr>
          <w:rFonts w:ascii="Times New Roman" w:eastAsia="Times New Roman" w:hAnsi="Times New Roman" w:cs="Times New Roman"/>
          <w:sz w:val="24"/>
          <w:szCs w:val="24"/>
          <w:lang w:eastAsia="es-ES"/>
        </w:rPr>
        <w:t>En</w:t>
      </w:r>
      <w:r>
        <w:rPr>
          <w:rFonts w:ascii="Times New Roman" w:eastAsia="Times New Roman" w:hAnsi="Times New Roman" w:cs="Times New Roman"/>
          <w:sz w:val="24"/>
          <w:szCs w:val="24"/>
          <w:lang w:eastAsia="es-ES"/>
        </w:rPr>
        <w:t xml:space="preserve"> ese momento, los hombres en EEUU medían alreded</w:t>
      </w:r>
      <w:r w:rsidR="00873824">
        <w:rPr>
          <w:rFonts w:ascii="Times New Roman" w:eastAsia="Times New Roman" w:hAnsi="Times New Roman" w:cs="Times New Roman"/>
          <w:sz w:val="24"/>
          <w:szCs w:val="24"/>
          <w:lang w:eastAsia="es-ES"/>
        </w:rPr>
        <w:t>or de 5 cm</w:t>
      </w:r>
      <w:r>
        <w:rPr>
          <w:rFonts w:ascii="Times New Roman" w:eastAsia="Times New Roman" w:hAnsi="Times New Roman" w:cs="Times New Roman"/>
          <w:sz w:val="24"/>
          <w:szCs w:val="24"/>
          <w:lang w:eastAsia="es-ES"/>
        </w:rPr>
        <w:t>. Más”</w:t>
      </w:r>
      <w:r w:rsidR="00453C82" w:rsidRPr="00453C82">
        <w:rPr>
          <w:rFonts w:ascii="Times New Roman" w:eastAsia="Times New Roman" w:hAnsi="Times New Roman" w:cs="Times New Roman"/>
          <w:sz w:val="24"/>
          <w:szCs w:val="24"/>
          <w:lang w:eastAsia="es-ES"/>
        </w:rPr>
        <w:t>, y esa diferencia los hacía las personas más altas del mundo…</w:t>
      </w:r>
    </w:p>
    <w:p w:rsidR="00453C82" w:rsidRPr="00453C82" w:rsidRDefault="00453C82" w:rsidP="00453C82">
      <w:pPr>
        <w:shd w:val="clear" w:color="auto" w:fill="FDFDFD"/>
        <w:spacing w:after="0" w:line="240" w:lineRule="auto"/>
        <w:jc w:val="both"/>
        <w:rPr>
          <w:rFonts w:ascii="Times New Roman" w:eastAsia="Times New Roman" w:hAnsi="Times New Roman" w:cs="Times New Roman"/>
          <w:sz w:val="24"/>
          <w:szCs w:val="24"/>
          <w:lang w:eastAsia="es-ES"/>
        </w:rPr>
      </w:pPr>
    </w:p>
    <w:p w:rsidR="00453C82" w:rsidRPr="001B466B" w:rsidRDefault="00453C82" w:rsidP="00453C82">
      <w:pPr>
        <w:pStyle w:val="bbc-bm53ic"/>
        <w:shd w:val="clear" w:color="auto" w:fill="FDFDFD"/>
        <w:spacing w:before="0" w:beforeAutospacing="0" w:after="0" w:afterAutospacing="0"/>
        <w:jc w:val="both"/>
      </w:pPr>
      <w:r w:rsidRPr="00453C82">
        <w:t>160 años más tarde, un estudio hecho con mediciones de altura y peso en 65 millones de participantes en 200 países y territorios </w:t>
      </w:r>
      <w:hyperlink r:id="rId258" w:anchor="seccestitle130" w:history="1">
        <w:r w:rsidRPr="00453C82">
          <w:rPr>
            <w:rStyle w:val="Hipervnculo"/>
            <w:color w:val="auto"/>
            <w:u w:val="none"/>
          </w:rPr>
          <w:t>publicado por la revista médica The Lancet</w:t>
        </w:r>
      </w:hyperlink>
      <w:r w:rsidRPr="00453C82">
        <w:t> reveló que en 2019, la altura media de los jóvenes de 19 años de los Países Bajos era </w:t>
      </w:r>
      <w:r w:rsidRPr="001B466B">
        <w:rPr>
          <w:bCs/>
        </w:rPr>
        <w:t>183,8 centímetros</w:t>
      </w:r>
      <w:r w:rsidRPr="001B466B">
        <w:t>.</w:t>
      </w:r>
    </w:p>
    <w:p w:rsidR="00453C82" w:rsidRPr="00033BE5" w:rsidRDefault="00453C82" w:rsidP="00453C82">
      <w:pPr>
        <w:pStyle w:val="bbc-bm53ic"/>
        <w:shd w:val="clear" w:color="auto" w:fill="FDFDFD"/>
        <w:spacing w:before="0" w:beforeAutospacing="0" w:after="0" w:afterAutospacing="0"/>
        <w:jc w:val="both"/>
      </w:pPr>
    </w:p>
    <w:p w:rsidR="00453C82" w:rsidRDefault="00453C82" w:rsidP="00453C82">
      <w:pPr>
        <w:pStyle w:val="bbc-bm53ic"/>
        <w:shd w:val="clear" w:color="auto" w:fill="FDFDFD"/>
        <w:spacing w:before="0" w:beforeAutospacing="0" w:after="0" w:afterAutospacing="0"/>
        <w:jc w:val="both"/>
      </w:pPr>
      <w:r w:rsidRPr="00033BE5">
        <w:t>Sus homólogos estadounidenses se hab</w:t>
      </w:r>
      <w:r w:rsidR="00873824">
        <w:t>ían quedado atrás, con 177,1 cm</w:t>
      </w:r>
      <w:r w:rsidRPr="00033BE5">
        <w:t>. promedio.</w:t>
      </w:r>
    </w:p>
    <w:p w:rsidR="00453C82" w:rsidRPr="00033BE5" w:rsidRDefault="00453C82" w:rsidP="00453C82">
      <w:pPr>
        <w:pStyle w:val="bbc-bm53ic"/>
        <w:shd w:val="clear" w:color="auto" w:fill="FDFDFD"/>
        <w:spacing w:before="0" w:beforeAutospacing="0" w:after="0" w:afterAutospacing="0"/>
        <w:jc w:val="both"/>
      </w:pPr>
    </w:p>
    <w:p w:rsidR="00453C82" w:rsidRPr="00033BE5" w:rsidRDefault="00453C82" w:rsidP="00453C82">
      <w:pPr>
        <w:pStyle w:val="bbc-bm53ic"/>
        <w:shd w:val="clear" w:color="auto" w:fill="FDFDFD"/>
        <w:spacing w:before="0" w:beforeAutospacing="0" w:after="0" w:afterAutospacing="0"/>
        <w:jc w:val="both"/>
      </w:pPr>
      <w:r w:rsidRPr="00033BE5">
        <w:t>La medida para las neerlandesas de la misma edad es 170,4 centímetros.</w:t>
      </w:r>
    </w:p>
    <w:p w:rsidR="00453C82" w:rsidRPr="00033BE5" w:rsidRDefault="00453C82" w:rsidP="00453C82">
      <w:pPr>
        <w:pStyle w:val="bbc-bm53ic"/>
        <w:shd w:val="clear" w:color="auto" w:fill="FDFDFD"/>
        <w:spacing w:before="0" w:beforeAutospacing="0" w:after="0" w:afterAutospacing="0"/>
        <w:jc w:val="both"/>
      </w:pPr>
    </w:p>
    <w:p w:rsidR="00453C82" w:rsidRPr="00033BE5" w:rsidRDefault="00453C82" w:rsidP="00453C82">
      <w:pPr>
        <w:pStyle w:val="bbc-bm53ic"/>
        <w:shd w:val="clear" w:color="auto" w:fill="FDFDFD"/>
        <w:spacing w:before="0" w:beforeAutospacing="0" w:after="0" w:afterAutospacing="0"/>
        <w:jc w:val="both"/>
      </w:pPr>
      <w:r w:rsidRPr="00033BE5">
        <w:t>(…)</w:t>
      </w:r>
    </w:p>
    <w:p w:rsidR="00453C82" w:rsidRPr="00033BE5" w:rsidRDefault="00453C82" w:rsidP="00453C82">
      <w:pPr>
        <w:pStyle w:val="bbc-bm53ic"/>
        <w:shd w:val="clear" w:color="auto" w:fill="FDFDFD"/>
        <w:spacing w:before="0" w:beforeAutospacing="0" w:after="0" w:afterAutospacing="0"/>
        <w:jc w:val="both"/>
      </w:pPr>
    </w:p>
    <w:p w:rsidR="00453C82" w:rsidRDefault="00453C82" w:rsidP="00453C82">
      <w:pPr>
        <w:shd w:val="clear" w:color="auto" w:fill="FDFDFD"/>
        <w:spacing w:after="0" w:line="240" w:lineRule="auto"/>
        <w:jc w:val="both"/>
        <w:rPr>
          <w:rFonts w:ascii="Times New Roman" w:eastAsia="Times New Roman" w:hAnsi="Times New Roman" w:cs="Times New Roman"/>
          <w:sz w:val="24"/>
          <w:szCs w:val="24"/>
          <w:lang w:eastAsia="es-ES"/>
        </w:rPr>
      </w:pPr>
      <w:r w:rsidRPr="005A5D19">
        <w:rPr>
          <w:rFonts w:ascii="Times New Roman" w:eastAsia="Times New Roman" w:hAnsi="Times New Roman" w:cs="Times New Roman"/>
          <w:sz w:val="24"/>
          <w:szCs w:val="24"/>
          <w:lang w:eastAsia="es-ES"/>
        </w:rPr>
        <w:t>Los científicos continúan debatiendo las causas de este crecimiento acelerado: se cree que la mejora de la nutrición, la democratización de la riqueza, los factores genéticos y la selección natural de los hombres altos influyen.</w:t>
      </w:r>
    </w:p>
    <w:p w:rsidR="00CA3920" w:rsidRPr="005A5D19" w:rsidRDefault="00CA3920" w:rsidP="00453C82">
      <w:pPr>
        <w:shd w:val="clear" w:color="auto" w:fill="FDFDFD"/>
        <w:spacing w:after="0" w:line="240" w:lineRule="auto"/>
        <w:jc w:val="both"/>
        <w:rPr>
          <w:rFonts w:ascii="Times New Roman" w:eastAsia="Times New Roman" w:hAnsi="Times New Roman" w:cs="Times New Roman"/>
          <w:sz w:val="24"/>
          <w:szCs w:val="24"/>
          <w:lang w:eastAsia="es-ES"/>
        </w:rPr>
      </w:pPr>
    </w:p>
    <w:p w:rsidR="00453C82" w:rsidRPr="00CA3920" w:rsidRDefault="00453C82" w:rsidP="00453C82">
      <w:pPr>
        <w:shd w:val="clear" w:color="auto" w:fill="FDFDFD"/>
        <w:spacing w:after="0" w:line="240" w:lineRule="auto"/>
        <w:jc w:val="both"/>
        <w:rPr>
          <w:rFonts w:ascii="Times New Roman" w:eastAsia="Times New Roman" w:hAnsi="Times New Roman" w:cs="Times New Roman"/>
          <w:sz w:val="24"/>
          <w:szCs w:val="24"/>
          <w:lang w:eastAsia="es-ES"/>
        </w:rPr>
      </w:pPr>
      <w:r w:rsidRPr="005A5D19">
        <w:rPr>
          <w:rFonts w:ascii="Times New Roman" w:eastAsia="Times New Roman" w:hAnsi="Times New Roman" w:cs="Times New Roman"/>
          <w:sz w:val="24"/>
          <w:szCs w:val="24"/>
          <w:lang w:eastAsia="es-ES"/>
        </w:rPr>
        <w:t>Pero en Holanda, donde se ha registrado un aumento de 20 centímetros en los últimos 200 años, y donde hasta los inmigrantes generalmente terminan siendo más altos que las personas que permanecen en sus países de origen, </w:t>
      </w:r>
      <w:r w:rsidRPr="00CA3920">
        <w:rPr>
          <w:rFonts w:ascii="Times New Roman" w:eastAsia="Times New Roman" w:hAnsi="Times New Roman" w:cs="Times New Roman"/>
          <w:bCs/>
          <w:sz w:val="24"/>
          <w:szCs w:val="24"/>
          <w:lang w:eastAsia="es-ES"/>
        </w:rPr>
        <w:t>parece que algo más estuviera pasando</w:t>
      </w:r>
      <w:r w:rsidRPr="00CA3920">
        <w:rPr>
          <w:rFonts w:ascii="Times New Roman" w:eastAsia="Times New Roman" w:hAnsi="Times New Roman" w:cs="Times New Roman"/>
          <w:sz w:val="24"/>
          <w:szCs w:val="24"/>
          <w:lang w:eastAsia="es-ES"/>
        </w:rPr>
        <w:t>.</w:t>
      </w:r>
    </w:p>
    <w:p w:rsidR="00453C82" w:rsidRPr="00033BE5" w:rsidRDefault="00453C82" w:rsidP="00453C82">
      <w:pPr>
        <w:shd w:val="clear" w:color="auto" w:fill="FDFDFD"/>
        <w:spacing w:after="0" w:line="240" w:lineRule="auto"/>
        <w:jc w:val="both"/>
        <w:rPr>
          <w:rFonts w:ascii="Times New Roman" w:eastAsia="Times New Roman" w:hAnsi="Times New Roman" w:cs="Times New Roman"/>
          <w:sz w:val="24"/>
          <w:szCs w:val="24"/>
          <w:lang w:eastAsia="es-ES"/>
        </w:rPr>
      </w:pPr>
    </w:p>
    <w:p w:rsidR="00453C82" w:rsidRDefault="00453C82" w:rsidP="00453C82">
      <w:pPr>
        <w:shd w:val="clear" w:color="auto" w:fill="FDFDFD"/>
        <w:spacing w:after="0" w:line="240" w:lineRule="auto"/>
        <w:jc w:val="both"/>
        <w:rPr>
          <w:rFonts w:ascii="Times New Roman" w:eastAsia="Times New Roman" w:hAnsi="Times New Roman" w:cs="Times New Roman"/>
          <w:sz w:val="24"/>
          <w:szCs w:val="24"/>
          <w:lang w:eastAsia="es-ES"/>
        </w:rPr>
      </w:pPr>
      <w:r w:rsidRPr="005A5D19">
        <w:rPr>
          <w:rFonts w:ascii="Times New Roman" w:eastAsia="Times New Roman" w:hAnsi="Times New Roman" w:cs="Times New Roman"/>
          <w:sz w:val="24"/>
          <w:szCs w:val="24"/>
          <w:lang w:eastAsia="es-ES"/>
        </w:rPr>
        <w:t>Los factores ambientales también han disparado a los holandeses, agregó Barrett, citando su sistema de salud líder en el mundo, los bajos niveles de desigualdad de ingresos y el excelente sistema de bienestar social.</w:t>
      </w:r>
    </w:p>
    <w:p w:rsidR="00453C82" w:rsidRPr="005A5D19" w:rsidRDefault="00453C82" w:rsidP="00453C82">
      <w:pPr>
        <w:shd w:val="clear" w:color="auto" w:fill="FDFDFD"/>
        <w:spacing w:after="0" w:line="240" w:lineRule="auto"/>
        <w:jc w:val="both"/>
        <w:rPr>
          <w:rFonts w:ascii="Times New Roman" w:eastAsia="Times New Roman" w:hAnsi="Times New Roman" w:cs="Times New Roman"/>
          <w:sz w:val="24"/>
          <w:szCs w:val="24"/>
          <w:lang w:eastAsia="es-ES"/>
        </w:rPr>
      </w:pPr>
    </w:p>
    <w:p w:rsidR="00453C82" w:rsidRDefault="00CA3920" w:rsidP="00453C8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453C82">
        <w:rPr>
          <w:rFonts w:ascii="Times New Roman" w:eastAsia="Times New Roman" w:hAnsi="Times New Roman" w:cs="Times New Roman"/>
          <w:sz w:val="24"/>
          <w:szCs w:val="24"/>
          <w:lang w:eastAsia="es-ES"/>
        </w:rPr>
        <w:t>(En los Países Bajos)</w:t>
      </w:r>
      <w:r w:rsidR="00453C82" w:rsidRPr="005A5D19">
        <w:rPr>
          <w:rFonts w:ascii="Times New Roman" w:eastAsia="Times New Roman" w:hAnsi="Times New Roman" w:cs="Times New Roman"/>
          <w:sz w:val="24"/>
          <w:szCs w:val="24"/>
          <w:lang w:eastAsia="es-ES"/>
        </w:rPr>
        <w:t> </w:t>
      </w:r>
      <w:r w:rsidR="00453C82" w:rsidRPr="00CA3920">
        <w:rPr>
          <w:rFonts w:ascii="Times New Roman" w:eastAsia="Times New Roman" w:hAnsi="Times New Roman" w:cs="Times New Roman"/>
          <w:bCs/>
          <w:sz w:val="24"/>
          <w:szCs w:val="24"/>
          <w:lang w:eastAsia="es-ES"/>
        </w:rPr>
        <w:t>todo está orientado a producir bebés que luego no sufran ninguno de los tipos de cosas que reducen la altura</w:t>
      </w:r>
      <w:r>
        <w:rPr>
          <w:rFonts w:ascii="Times New Roman" w:eastAsia="Times New Roman" w:hAnsi="Times New Roman" w:cs="Times New Roman"/>
          <w:sz w:val="24"/>
          <w:szCs w:val="24"/>
          <w:lang w:eastAsia="es-ES"/>
        </w:rPr>
        <w:t>”</w:t>
      </w:r>
      <w:r w:rsidR="00453C82" w:rsidRPr="005A5D19">
        <w:rPr>
          <w:rFonts w:ascii="Times New Roman" w:eastAsia="Times New Roman" w:hAnsi="Times New Roman" w:cs="Times New Roman"/>
          <w:sz w:val="24"/>
          <w:szCs w:val="24"/>
          <w:lang w:eastAsia="es-ES"/>
        </w:rPr>
        <w:t>, dijo.</w:t>
      </w:r>
    </w:p>
    <w:p w:rsidR="00453C82" w:rsidRPr="005A5D19" w:rsidRDefault="00453C82" w:rsidP="00453C82">
      <w:pPr>
        <w:shd w:val="clear" w:color="auto" w:fill="FDFDFD"/>
        <w:spacing w:after="0" w:line="240" w:lineRule="auto"/>
        <w:jc w:val="both"/>
        <w:rPr>
          <w:rFonts w:ascii="Times New Roman" w:eastAsia="Times New Roman" w:hAnsi="Times New Roman" w:cs="Times New Roman"/>
          <w:sz w:val="24"/>
          <w:szCs w:val="24"/>
          <w:lang w:eastAsia="es-ES"/>
        </w:rPr>
      </w:pPr>
    </w:p>
    <w:p w:rsidR="00453C82" w:rsidRDefault="00453C82" w:rsidP="00453C82">
      <w:pPr>
        <w:shd w:val="clear" w:color="auto" w:fill="FDFDFD"/>
        <w:spacing w:after="0" w:line="240" w:lineRule="auto"/>
        <w:jc w:val="both"/>
        <w:rPr>
          <w:rFonts w:ascii="Times New Roman" w:eastAsia="Times New Roman" w:hAnsi="Times New Roman" w:cs="Times New Roman"/>
          <w:sz w:val="24"/>
          <w:szCs w:val="24"/>
          <w:lang w:eastAsia="es-ES"/>
        </w:rPr>
      </w:pPr>
      <w:r w:rsidRPr="005A5D19">
        <w:rPr>
          <w:rFonts w:ascii="Times New Roman" w:eastAsia="Times New Roman" w:hAnsi="Times New Roman" w:cs="Times New Roman"/>
          <w:sz w:val="24"/>
          <w:szCs w:val="24"/>
          <w:lang w:eastAsia="es-ES"/>
        </w:rPr>
        <w:t>Otro factor probablemente ha contribuido a que sean cada vez más altos es su apetito</w:t>
      </w:r>
      <w:r w:rsidR="00CA3920">
        <w:rPr>
          <w:rFonts w:ascii="Times New Roman" w:eastAsia="Times New Roman" w:hAnsi="Times New Roman" w:cs="Times New Roman"/>
          <w:sz w:val="24"/>
          <w:szCs w:val="24"/>
          <w:lang w:eastAsia="es-ES"/>
        </w:rPr>
        <w:t xml:space="preserve"> voraz por los lácteos, ya que “</w:t>
      </w:r>
      <w:r w:rsidRPr="005A5D19">
        <w:rPr>
          <w:rFonts w:ascii="Times New Roman" w:eastAsia="Times New Roman" w:hAnsi="Times New Roman" w:cs="Times New Roman"/>
          <w:sz w:val="24"/>
          <w:szCs w:val="24"/>
          <w:lang w:eastAsia="es-ES"/>
        </w:rPr>
        <w:t xml:space="preserve">el calcio forma los huesos y el crecimiento depende de </w:t>
      </w:r>
      <w:r w:rsidR="00CA3920">
        <w:rPr>
          <w:rFonts w:ascii="Times New Roman" w:eastAsia="Times New Roman" w:hAnsi="Times New Roman" w:cs="Times New Roman"/>
          <w:sz w:val="24"/>
          <w:szCs w:val="24"/>
          <w:lang w:eastAsia="es-ES"/>
        </w:rPr>
        <w:t>tener un buen suministro de eso”</w:t>
      </w:r>
      <w:r w:rsidRPr="005A5D19">
        <w:rPr>
          <w:rFonts w:ascii="Times New Roman" w:eastAsia="Times New Roman" w:hAnsi="Times New Roman" w:cs="Times New Roman"/>
          <w:sz w:val="24"/>
          <w:szCs w:val="24"/>
          <w:lang w:eastAsia="es-ES"/>
        </w:rPr>
        <w:t>, explicó Barrett</w:t>
      </w:r>
      <w:r w:rsidRPr="00033BE5">
        <w:rPr>
          <w:rFonts w:ascii="Times New Roman" w:eastAsia="Times New Roman" w:hAnsi="Times New Roman" w:cs="Times New Roman"/>
          <w:sz w:val="24"/>
          <w:szCs w:val="24"/>
          <w:lang w:eastAsia="es-ES"/>
        </w:rPr>
        <w:t>…</w:t>
      </w:r>
    </w:p>
    <w:p w:rsidR="00453C82" w:rsidRPr="00453C82" w:rsidRDefault="00453C82" w:rsidP="00DB50B5">
      <w:pPr>
        <w:spacing w:after="0" w:line="240" w:lineRule="auto"/>
        <w:jc w:val="both"/>
        <w:textAlignment w:val="baseline"/>
        <w:rPr>
          <w:rFonts w:ascii="Times New Roman" w:eastAsia="Times New Roman" w:hAnsi="Times New Roman" w:cs="Times New Roman"/>
          <w:b/>
          <w:sz w:val="24"/>
          <w:szCs w:val="24"/>
          <w:lang w:eastAsia="es-ES"/>
        </w:rPr>
      </w:pPr>
    </w:p>
    <w:p w:rsidR="00AA62A3" w:rsidRDefault="000F32CC" w:rsidP="00D46ED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00EE565B">
        <w:rPr>
          <w:rFonts w:ascii="Times New Roman" w:hAnsi="Times New Roman" w:cs="Times New Roman"/>
          <w:b/>
          <w:sz w:val="24"/>
          <w:szCs w:val="24"/>
        </w:rPr>
        <w:t xml:space="preserve">¿Cuál es la </w:t>
      </w:r>
      <w:r w:rsidR="00B86271">
        <w:rPr>
          <w:rFonts w:ascii="Times New Roman" w:hAnsi="Times New Roman" w:cs="Times New Roman"/>
          <w:b/>
          <w:sz w:val="24"/>
          <w:szCs w:val="24"/>
        </w:rPr>
        <w:t>“</w:t>
      </w:r>
      <w:r w:rsidR="00EE565B">
        <w:rPr>
          <w:rFonts w:ascii="Times New Roman" w:hAnsi="Times New Roman" w:cs="Times New Roman"/>
          <w:b/>
          <w:sz w:val="24"/>
          <w:szCs w:val="24"/>
        </w:rPr>
        <w:t>solución final</w:t>
      </w:r>
      <w:r w:rsidR="00B86271">
        <w:rPr>
          <w:rFonts w:ascii="Times New Roman" w:hAnsi="Times New Roman" w:cs="Times New Roman"/>
          <w:b/>
          <w:sz w:val="24"/>
          <w:szCs w:val="24"/>
        </w:rPr>
        <w:t>”</w:t>
      </w:r>
      <w:r w:rsidR="00EE565B">
        <w:rPr>
          <w:rFonts w:ascii="Times New Roman" w:hAnsi="Times New Roman" w:cs="Times New Roman"/>
          <w:b/>
          <w:sz w:val="24"/>
          <w:szCs w:val="24"/>
        </w:rPr>
        <w:t>?</w:t>
      </w:r>
      <w:r w:rsidR="00B86271">
        <w:rPr>
          <w:rFonts w:ascii="Times New Roman" w:hAnsi="Times New Roman" w:cs="Times New Roman"/>
          <w:b/>
          <w:sz w:val="24"/>
          <w:szCs w:val="24"/>
        </w:rPr>
        <w:t xml:space="preserve">... ¿crear </w:t>
      </w:r>
      <w:r w:rsidR="00EE565B">
        <w:rPr>
          <w:rFonts w:ascii="Times New Roman" w:hAnsi="Times New Roman" w:cs="Times New Roman"/>
          <w:b/>
          <w:sz w:val="24"/>
          <w:szCs w:val="24"/>
        </w:rPr>
        <w:t>una sociedad de</w:t>
      </w:r>
      <w:r w:rsidR="00DE27E7">
        <w:rPr>
          <w:rFonts w:ascii="Times New Roman" w:hAnsi="Times New Roman" w:cs="Times New Roman"/>
          <w:b/>
          <w:sz w:val="24"/>
          <w:szCs w:val="24"/>
        </w:rPr>
        <w:t xml:space="preserve"> anormales, </w:t>
      </w:r>
      <w:r w:rsidR="00B86271">
        <w:rPr>
          <w:rFonts w:ascii="Times New Roman" w:hAnsi="Times New Roman" w:cs="Times New Roman"/>
          <w:b/>
          <w:sz w:val="24"/>
          <w:szCs w:val="24"/>
        </w:rPr>
        <w:t>analfabetos funcionales,</w:t>
      </w:r>
      <w:r w:rsidR="00DE27E7">
        <w:rPr>
          <w:rFonts w:ascii="Times New Roman" w:hAnsi="Times New Roman" w:cs="Times New Roman"/>
          <w:b/>
          <w:sz w:val="24"/>
          <w:szCs w:val="24"/>
        </w:rPr>
        <w:t xml:space="preserve"> </w:t>
      </w:r>
      <w:r w:rsidR="00E60E8E">
        <w:rPr>
          <w:rFonts w:ascii="Times New Roman" w:hAnsi="Times New Roman" w:cs="Times New Roman"/>
          <w:b/>
          <w:sz w:val="24"/>
          <w:szCs w:val="24"/>
        </w:rPr>
        <w:t xml:space="preserve"> </w:t>
      </w:r>
      <w:r w:rsidR="00EE565B">
        <w:rPr>
          <w:rFonts w:ascii="Times New Roman" w:hAnsi="Times New Roman" w:cs="Times New Roman"/>
          <w:b/>
          <w:sz w:val="24"/>
          <w:szCs w:val="24"/>
        </w:rPr>
        <w:t>marginales</w:t>
      </w:r>
      <w:r w:rsidR="00B86271">
        <w:rPr>
          <w:rFonts w:ascii="Times New Roman" w:hAnsi="Times New Roman" w:cs="Times New Roman"/>
          <w:b/>
          <w:sz w:val="24"/>
          <w:szCs w:val="24"/>
        </w:rPr>
        <w:t>, delincuentes,</w:t>
      </w:r>
      <w:r w:rsidR="00EE565B">
        <w:rPr>
          <w:rFonts w:ascii="Times New Roman" w:hAnsi="Times New Roman" w:cs="Times New Roman"/>
          <w:b/>
          <w:sz w:val="24"/>
          <w:szCs w:val="24"/>
        </w:rPr>
        <w:t xml:space="preserve"> y drogadictos… pero</w:t>
      </w:r>
      <w:r w:rsidR="00E60E8E">
        <w:rPr>
          <w:rFonts w:ascii="Times New Roman" w:hAnsi="Times New Roman" w:cs="Times New Roman"/>
          <w:b/>
          <w:sz w:val="24"/>
          <w:szCs w:val="24"/>
        </w:rPr>
        <w:t xml:space="preserve"> “conectada” (</w:t>
      </w:r>
      <w:r w:rsidR="00EE565B">
        <w:rPr>
          <w:rFonts w:ascii="Times New Roman" w:hAnsi="Times New Roman" w:cs="Times New Roman"/>
          <w:b/>
          <w:sz w:val="24"/>
          <w:szCs w:val="24"/>
        </w:rPr>
        <w:t>con iPhone</w:t>
      </w:r>
      <w:r w:rsidR="00E60E8E">
        <w:rPr>
          <w:rFonts w:ascii="Times New Roman" w:hAnsi="Times New Roman" w:cs="Times New Roman"/>
          <w:b/>
          <w:sz w:val="24"/>
          <w:szCs w:val="24"/>
        </w:rPr>
        <w:t>)?</w:t>
      </w:r>
    </w:p>
    <w:p w:rsidR="00AA62A3" w:rsidRDefault="00AA62A3" w:rsidP="00D46EDF">
      <w:pPr>
        <w:spacing w:line="240" w:lineRule="auto"/>
        <w:jc w:val="both"/>
        <w:rPr>
          <w:rFonts w:ascii="Times New Roman" w:hAnsi="Times New Roman" w:cs="Times New Roman"/>
          <w:b/>
          <w:sz w:val="24"/>
          <w:szCs w:val="24"/>
        </w:rPr>
      </w:pPr>
      <w:r>
        <w:rPr>
          <w:rFonts w:ascii="Times New Roman" w:hAnsi="Times New Roman" w:cs="Times New Roman"/>
          <w:b/>
          <w:sz w:val="24"/>
          <w:szCs w:val="24"/>
        </w:rPr>
        <w:t>“Cuando encuentren por la calles lisiados, enanos, jorobados, obesos, mujeres barbudas, o peor aún, lo que no se ve; gritos guturales que suben desde los sótanos, y los graneros, donde las familias esconden a los hijos de tres cabezas o seis piernas”… (Ítalo Calvino - Ciudades invisibles).</w:t>
      </w:r>
    </w:p>
    <w:p w:rsidR="00AA62A3" w:rsidRDefault="00AA62A3" w:rsidP="00D46ED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Entonces descubrirán, Señores “amos del universo” que la conquista definitiva, de los tesoros del imperio no son sino apariencias ilusorias. Entonces se encontrarán ante una difícil opción, o admitir que todos sus cálculos estaban equivocados y sus cifras no consiguen describir el paraíso “davosiano”, o revelar que el orden de las cosas es el que se refleja en “la cuidad de los monstruos”. </w:t>
      </w:r>
      <w:r w:rsidR="00E60E8E">
        <w:rPr>
          <w:rFonts w:ascii="Times New Roman" w:hAnsi="Times New Roman" w:cs="Times New Roman"/>
          <w:b/>
          <w:sz w:val="24"/>
          <w:szCs w:val="24"/>
        </w:rPr>
        <w:t xml:space="preserve"> </w:t>
      </w:r>
    </w:p>
    <w:p w:rsidR="000F32CC" w:rsidRDefault="000F32CC" w:rsidP="000F32C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DB50B5">
        <w:rPr>
          <w:rFonts w:ascii="Times New Roman" w:hAnsi="Times New Roman" w:cs="Times New Roman"/>
          <w:b/>
          <w:sz w:val="24"/>
          <w:szCs w:val="24"/>
        </w:rPr>
        <w:t xml:space="preserve">El </w:t>
      </w:r>
      <w:r>
        <w:rPr>
          <w:rFonts w:ascii="Times New Roman" w:hAnsi="Times New Roman" w:cs="Times New Roman"/>
          <w:b/>
          <w:sz w:val="24"/>
          <w:szCs w:val="24"/>
        </w:rPr>
        <w:t>“</w:t>
      </w:r>
      <w:r w:rsidRPr="00DB50B5">
        <w:rPr>
          <w:rFonts w:ascii="Times New Roman" w:hAnsi="Times New Roman" w:cs="Times New Roman"/>
          <w:b/>
          <w:sz w:val="24"/>
          <w:szCs w:val="24"/>
        </w:rPr>
        <w:t>helicóptero</w:t>
      </w:r>
      <w:r>
        <w:rPr>
          <w:rFonts w:ascii="Times New Roman" w:hAnsi="Times New Roman" w:cs="Times New Roman"/>
          <w:b/>
          <w:sz w:val="24"/>
          <w:szCs w:val="24"/>
        </w:rPr>
        <w:t>”</w:t>
      </w:r>
      <w:r w:rsidRPr="00DB50B5">
        <w:rPr>
          <w:rFonts w:ascii="Times New Roman" w:hAnsi="Times New Roman" w:cs="Times New Roman"/>
          <w:b/>
          <w:sz w:val="24"/>
          <w:szCs w:val="24"/>
        </w:rPr>
        <w:t xml:space="preserve"> de los Bancos Centrales (¿solución o problema?)</w:t>
      </w:r>
    </w:p>
    <w:p w:rsidR="000F32CC" w:rsidRDefault="000F32CC" w:rsidP="000F32CC">
      <w:pPr>
        <w:spacing w:line="240" w:lineRule="auto"/>
        <w:jc w:val="both"/>
        <w:rPr>
          <w:rFonts w:ascii="Times New Roman" w:hAnsi="Times New Roman" w:cs="Times New Roman"/>
          <w:sz w:val="24"/>
          <w:szCs w:val="24"/>
        </w:rPr>
      </w:pPr>
      <w:r w:rsidRPr="004232CC">
        <w:rPr>
          <w:rFonts w:ascii="Times New Roman" w:hAnsi="Times New Roman" w:cs="Times New Roman"/>
          <w:sz w:val="24"/>
          <w:szCs w:val="24"/>
        </w:rPr>
        <w:t>La decidida actuación de las autoridades monetarias evitó un encarecimiento de la deuda de los países y ha servido de respaldo a las medidas excepcionales de los Gobiernos, pero, a cambio, se ha inyectado mu</w:t>
      </w:r>
      <w:r>
        <w:rPr>
          <w:rFonts w:ascii="Times New Roman" w:hAnsi="Times New Roman" w:cs="Times New Roman"/>
          <w:sz w:val="24"/>
          <w:szCs w:val="24"/>
        </w:rPr>
        <w:t>cho dinero en el sistema. En EE</w:t>
      </w:r>
      <w:r w:rsidRPr="004232CC">
        <w:rPr>
          <w:rFonts w:ascii="Times New Roman" w:hAnsi="Times New Roman" w:cs="Times New Roman"/>
          <w:sz w:val="24"/>
          <w:szCs w:val="24"/>
        </w:rPr>
        <w:t>UU, el dinero en circulación, medido a través del agregado monetario conocido como M3 (ver gráfico), se ha elevado en un año y medio un 31,2%, hasta máximos históricos.</w:t>
      </w:r>
    </w:p>
    <w:p w:rsidR="000F32CC" w:rsidRPr="004232CC" w:rsidRDefault="000F32CC" w:rsidP="000F32CC">
      <w:pPr>
        <w:spacing w:line="240" w:lineRule="auto"/>
        <w:jc w:val="both"/>
        <w:rPr>
          <w:rFonts w:ascii="Times New Roman" w:hAnsi="Times New Roman" w:cs="Times New Roman"/>
          <w:sz w:val="24"/>
          <w:szCs w:val="24"/>
        </w:rPr>
      </w:pPr>
      <w:r w:rsidRPr="004232CC">
        <w:rPr>
          <w:rFonts w:ascii="Times New Roman" w:hAnsi="Times New Roman" w:cs="Times New Roman"/>
          <w:noProof/>
          <w:sz w:val="24"/>
          <w:szCs w:val="24"/>
          <w:lang w:eastAsia="es-ES"/>
        </w:rPr>
        <w:drawing>
          <wp:inline distT="0" distB="0" distL="0" distR="0" wp14:anchorId="2CE43E21" wp14:editId="4B303A13">
            <wp:extent cx="5727700" cy="3149600"/>
            <wp:effectExtent l="0" t="0" r="635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731510" cy="3151695"/>
                    </a:xfrm>
                    <a:prstGeom prst="rect">
                      <a:avLst/>
                    </a:prstGeom>
                  </pic:spPr>
                </pic:pic>
              </a:graphicData>
            </a:graphic>
          </wp:inline>
        </w:drawing>
      </w:r>
    </w:p>
    <w:p w:rsidR="000F32CC" w:rsidRDefault="000F32CC" w:rsidP="000F32CC">
      <w:pPr>
        <w:spacing w:line="240" w:lineRule="auto"/>
        <w:jc w:val="both"/>
        <w:rPr>
          <w:rFonts w:ascii="Times New Roman" w:hAnsi="Times New Roman" w:cs="Times New Roman"/>
          <w:sz w:val="24"/>
          <w:szCs w:val="24"/>
        </w:rPr>
      </w:pPr>
      <w:r w:rsidRPr="004232CC">
        <w:rPr>
          <w:rFonts w:ascii="Times New Roman" w:hAnsi="Times New Roman" w:cs="Times New Roman"/>
          <w:sz w:val="24"/>
          <w:szCs w:val="24"/>
        </w:rPr>
        <w:t>En Europa, este agregado monetario también está en máximos históricos tras crecer un 13,7% desde finales de 2019. Desde que hay registros, nunca la Reserva Federal ni el Banco Central Europeo habían sido tan generosos, y el miedo es que la inflación obligue a dar marcha atrás a su generosidad.</w:t>
      </w:r>
    </w:p>
    <w:p w:rsidR="000F32CC" w:rsidRPr="004232CC" w:rsidRDefault="000F32CC" w:rsidP="000F32CC">
      <w:pPr>
        <w:spacing w:line="240" w:lineRule="auto"/>
        <w:jc w:val="both"/>
        <w:rPr>
          <w:rFonts w:ascii="Times New Roman" w:hAnsi="Times New Roman" w:cs="Times New Roman"/>
          <w:sz w:val="24"/>
          <w:szCs w:val="24"/>
        </w:rPr>
      </w:pPr>
      <w:r w:rsidRPr="004232CC">
        <w:rPr>
          <w:rFonts w:ascii="Times New Roman" w:hAnsi="Times New Roman" w:cs="Times New Roman"/>
          <w:noProof/>
          <w:sz w:val="24"/>
          <w:szCs w:val="24"/>
          <w:lang w:eastAsia="es-ES"/>
        </w:rPr>
        <w:drawing>
          <wp:inline distT="0" distB="0" distL="0" distR="0" wp14:anchorId="1430CCB0" wp14:editId="2F2930FD">
            <wp:extent cx="5733376" cy="3359150"/>
            <wp:effectExtent l="0" t="0" r="127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731510" cy="3358057"/>
                    </a:xfrm>
                    <a:prstGeom prst="rect">
                      <a:avLst/>
                    </a:prstGeom>
                  </pic:spPr>
                </pic:pic>
              </a:graphicData>
            </a:graphic>
          </wp:inline>
        </w:drawing>
      </w:r>
    </w:p>
    <w:p w:rsidR="000F32CC" w:rsidRPr="004232CC" w:rsidRDefault="000F32CC" w:rsidP="000F32CC">
      <w:pPr>
        <w:spacing w:line="240" w:lineRule="auto"/>
        <w:jc w:val="both"/>
        <w:rPr>
          <w:rFonts w:ascii="Times New Roman" w:hAnsi="Times New Roman" w:cs="Times New Roman"/>
          <w:sz w:val="24"/>
          <w:szCs w:val="24"/>
        </w:rPr>
      </w:pPr>
      <w:r w:rsidRPr="004232CC">
        <w:rPr>
          <w:rFonts w:ascii="Times New Roman" w:hAnsi="Times New Roman" w:cs="Times New Roman"/>
          <w:sz w:val="24"/>
          <w:szCs w:val="24"/>
        </w:rPr>
        <w:lastRenderedPageBreak/>
        <w:t>El consumo en Estados Unidos está bastante por encima del nivel previo a la crisis. Allí, el Gobierno ha recurrido como medida para luchar contra las dificultades económicas a entregar cheques directamente a los bolsillos de la gente. Ese es un dinero muy fácil de gastar. En Estado</w:t>
      </w:r>
      <w:r>
        <w:rPr>
          <w:rFonts w:ascii="Times New Roman" w:hAnsi="Times New Roman" w:cs="Times New Roman"/>
          <w:sz w:val="24"/>
          <w:szCs w:val="24"/>
        </w:rPr>
        <w:t xml:space="preserve">s Unidos </w:t>
      </w:r>
      <w:r w:rsidRPr="004232CC">
        <w:rPr>
          <w:rFonts w:ascii="Times New Roman" w:hAnsi="Times New Roman" w:cs="Times New Roman"/>
          <w:sz w:val="24"/>
          <w:szCs w:val="24"/>
        </w:rPr>
        <w:t>se puede pensar que el repunte de la inflación tiene que ver, en parte, con el aumento de la mas</w:t>
      </w:r>
      <w:r>
        <w:rPr>
          <w:rFonts w:ascii="Times New Roman" w:hAnsi="Times New Roman" w:cs="Times New Roman"/>
          <w:sz w:val="24"/>
          <w:szCs w:val="24"/>
        </w:rPr>
        <w:t>a monetaria.</w:t>
      </w:r>
    </w:p>
    <w:p w:rsidR="000F32CC" w:rsidRDefault="000F32CC" w:rsidP="000F32CC">
      <w:pPr>
        <w:spacing w:line="240" w:lineRule="auto"/>
        <w:jc w:val="both"/>
        <w:rPr>
          <w:rFonts w:ascii="Times New Roman" w:hAnsi="Times New Roman" w:cs="Times New Roman"/>
          <w:sz w:val="24"/>
          <w:szCs w:val="24"/>
        </w:rPr>
      </w:pPr>
      <w:r w:rsidRPr="004232CC">
        <w:rPr>
          <w:rFonts w:ascii="Times New Roman" w:hAnsi="Times New Roman" w:cs="Times New Roman"/>
          <w:sz w:val="24"/>
          <w:szCs w:val="24"/>
        </w:rPr>
        <w:t>Precisamente, a modo de señal confirmando que la máxima autoridad monetaria estadounidense es consciente de la preocupación, el pasado 16 de junio</w:t>
      </w:r>
      <w:r w:rsidR="0021606D">
        <w:rPr>
          <w:rFonts w:ascii="Times New Roman" w:hAnsi="Times New Roman" w:cs="Times New Roman"/>
          <w:sz w:val="24"/>
          <w:szCs w:val="24"/>
        </w:rPr>
        <w:t xml:space="preserve"> (2021)</w:t>
      </w:r>
      <w:r w:rsidRPr="004232CC">
        <w:rPr>
          <w:rFonts w:ascii="Times New Roman" w:hAnsi="Times New Roman" w:cs="Times New Roman"/>
          <w:sz w:val="24"/>
          <w:szCs w:val="24"/>
        </w:rPr>
        <w:t xml:space="preserve"> la Reserva Federal anunció que en 2023 espera realizar dos subidas en los tipos de interés del dólar. Esta medida es la respuesta monetaria que se suele dar cuando la inflación da problemas.</w:t>
      </w:r>
    </w:p>
    <w:p w:rsidR="000F32CC" w:rsidRDefault="000F32CC" w:rsidP="000F32CC">
      <w:pPr>
        <w:spacing w:line="240" w:lineRule="auto"/>
        <w:jc w:val="both"/>
        <w:rPr>
          <w:rFonts w:ascii="Times New Roman" w:hAnsi="Times New Roman" w:cs="Times New Roman"/>
          <w:sz w:val="24"/>
          <w:szCs w:val="24"/>
        </w:rPr>
      </w:pPr>
      <w:r w:rsidRPr="004232CC">
        <w:rPr>
          <w:rFonts w:ascii="Times New Roman" w:hAnsi="Times New Roman" w:cs="Times New Roman"/>
          <w:sz w:val="24"/>
          <w:szCs w:val="24"/>
        </w:rPr>
        <w:t>Distinta es la situación en Europa. No solo la inflación y el crecimiento de la masa monetaria es menor, también lo es el margen de maniobra del Banco Central Europeo, ya que retirar los estímulos tendría nefastas consecuencias para países como</w:t>
      </w:r>
      <w:r>
        <w:rPr>
          <w:rFonts w:ascii="Times New Roman" w:hAnsi="Times New Roman" w:cs="Times New Roman"/>
          <w:sz w:val="24"/>
          <w:szCs w:val="24"/>
        </w:rPr>
        <w:t xml:space="preserve"> Italia (donde </w:t>
      </w:r>
      <w:r w:rsidRPr="004232CC">
        <w:rPr>
          <w:rFonts w:ascii="Times New Roman" w:hAnsi="Times New Roman" w:cs="Times New Roman"/>
          <w:sz w:val="24"/>
          <w:szCs w:val="24"/>
        </w:rPr>
        <w:t>el aumento del coste de la deuda afectaría a una capacidad de inv</w:t>
      </w:r>
      <w:r>
        <w:rPr>
          <w:rFonts w:ascii="Times New Roman" w:hAnsi="Times New Roman" w:cs="Times New Roman"/>
          <w:sz w:val="24"/>
          <w:szCs w:val="24"/>
        </w:rPr>
        <w:t xml:space="preserve">ersión que ya de por sí es baja), o España (donde una </w:t>
      </w:r>
      <w:r w:rsidRPr="004232CC">
        <w:rPr>
          <w:rFonts w:ascii="Times New Roman" w:hAnsi="Times New Roman" w:cs="Times New Roman"/>
          <w:sz w:val="24"/>
          <w:szCs w:val="24"/>
        </w:rPr>
        <w:t>retirada elevaría el coste de la deuda, lo que significaría retraer recursos a o</w:t>
      </w:r>
      <w:r>
        <w:rPr>
          <w:rFonts w:ascii="Times New Roman" w:hAnsi="Times New Roman" w:cs="Times New Roman"/>
          <w:sz w:val="24"/>
          <w:szCs w:val="24"/>
        </w:rPr>
        <w:t>tras partidas presupuestarias; l</w:t>
      </w:r>
      <w:r w:rsidRPr="004232CC">
        <w:rPr>
          <w:rFonts w:ascii="Times New Roman" w:hAnsi="Times New Roman" w:cs="Times New Roman"/>
          <w:sz w:val="24"/>
          <w:szCs w:val="24"/>
        </w:rPr>
        <w:t>a deuda española se sitúa por encima del 125%, el déficit ronda el 10% y el Estado dedica alrededor del 47% del Presupuesto a pagar pensiones y prestaciones de de­sempleo</w:t>
      </w:r>
      <w:r>
        <w:rPr>
          <w:rFonts w:ascii="Times New Roman" w:hAnsi="Times New Roman" w:cs="Times New Roman"/>
          <w:sz w:val="24"/>
          <w:szCs w:val="24"/>
        </w:rPr>
        <w:t xml:space="preserve">). </w:t>
      </w:r>
    </w:p>
    <w:p w:rsidR="000F32CC" w:rsidRDefault="000F32CC" w:rsidP="000F32CC">
      <w:pPr>
        <w:spacing w:line="240" w:lineRule="auto"/>
        <w:jc w:val="both"/>
        <w:rPr>
          <w:rFonts w:ascii="Times New Roman" w:hAnsi="Times New Roman" w:cs="Times New Roman"/>
          <w:sz w:val="24"/>
          <w:szCs w:val="24"/>
        </w:rPr>
      </w:pPr>
      <w:r w:rsidRPr="004232CC">
        <w:rPr>
          <w:rFonts w:ascii="Times New Roman" w:hAnsi="Times New Roman" w:cs="Times New Roman"/>
          <w:sz w:val="24"/>
          <w:szCs w:val="24"/>
        </w:rPr>
        <w:t>Un fantasma recorre Estados Unidos. También Europa. Se trata del fantasma de la inflación. Aliada del crecimiento económico en su justa medida, brutal enemiga cuando se desboca o se esconde en tasas negativas. Hoy, vuelve a materializarse tras el año pasado</w:t>
      </w:r>
      <w:r w:rsidR="0021606D">
        <w:rPr>
          <w:rFonts w:ascii="Times New Roman" w:hAnsi="Times New Roman" w:cs="Times New Roman"/>
          <w:sz w:val="24"/>
          <w:szCs w:val="24"/>
        </w:rPr>
        <w:t xml:space="preserve"> (2020)</w:t>
      </w:r>
      <w:r w:rsidRPr="004232CC">
        <w:rPr>
          <w:rFonts w:ascii="Times New Roman" w:hAnsi="Times New Roman" w:cs="Times New Roman"/>
          <w:sz w:val="24"/>
          <w:szCs w:val="24"/>
        </w:rPr>
        <w:t xml:space="preserve"> permanecer invisible. El parón a todos los niveles provocado por la pandemia causó que los índices que sirven de termómetro de los precios se hundieran en medio de la falta de demanda. Mientras tanto, la oferta trató de resistir una debacle de ingresos en algunos casos absoluta mediante procesos de hibernación. Al calor del progresivo y no exento de problemas proceso de vacunación y la consiguiente movilidad que ha facilitado, la demanda ha despertado. Y con ella ha venido el crecimiento económico y, también, la inflación.</w:t>
      </w:r>
    </w:p>
    <w:p w:rsidR="000F32CC" w:rsidRDefault="000F32CC" w:rsidP="000F32CC">
      <w:pPr>
        <w:spacing w:line="240" w:lineRule="auto"/>
        <w:jc w:val="both"/>
        <w:rPr>
          <w:rFonts w:ascii="Times New Roman" w:hAnsi="Times New Roman" w:cs="Times New Roman"/>
          <w:sz w:val="24"/>
          <w:szCs w:val="24"/>
        </w:rPr>
      </w:pPr>
      <w:r w:rsidRPr="007A36B3">
        <w:rPr>
          <w:rFonts w:ascii="Times New Roman" w:hAnsi="Times New Roman" w:cs="Times New Roman"/>
          <w:sz w:val="24"/>
          <w:szCs w:val="24"/>
        </w:rPr>
        <w:t>Los niveles de deuda pública y privada (empresas sobre todo) se encuentran en máximos de las últimas décadas, mientras que la inflación empieza a asomar la cabeza, azuzada por unas políticas fiscales (siguen incrementando la deuda pública)</w:t>
      </w:r>
      <w:r>
        <w:rPr>
          <w:rFonts w:ascii="Times New Roman" w:hAnsi="Times New Roman" w:cs="Times New Roman"/>
          <w:sz w:val="24"/>
          <w:szCs w:val="24"/>
        </w:rPr>
        <w:t xml:space="preserve"> y monetarias sin precedentes. “</w:t>
      </w:r>
      <w:r w:rsidRPr="007A36B3">
        <w:rPr>
          <w:rFonts w:ascii="Times New Roman" w:hAnsi="Times New Roman" w:cs="Times New Roman"/>
          <w:sz w:val="24"/>
          <w:szCs w:val="24"/>
        </w:rPr>
        <w:t>Se está preparando el escenario para la madre de las crisis de la deuda estanf</w:t>
      </w:r>
      <w:r>
        <w:rPr>
          <w:rFonts w:ascii="Times New Roman" w:hAnsi="Times New Roman" w:cs="Times New Roman"/>
          <w:sz w:val="24"/>
          <w:szCs w:val="24"/>
        </w:rPr>
        <w:t>lacionaria en los próximos años”</w:t>
      </w:r>
      <w:r w:rsidRPr="007A36B3">
        <w:rPr>
          <w:rFonts w:ascii="Times New Roman" w:hAnsi="Times New Roman" w:cs="Times New Roman"/>
          <w:sz w:val="24"/>
          <w:szCs w:val="24"/>
        </w:rPr>
        <w:t>, asegura Nouriel Roubini en un artículo publicado en Project Syndicate.</w:t>
      </w:r>
      <w:r>
        <w:rPr>
          <w:rFonts w:ascii="Times New Roman" w:hAnsi="Times New Roman" w:cs="Times New Roman"/>
          <w:sz w:val="24"/>
          <w:szCs w:val="24"/>
        </w:rPr>
        <w:t xml:space="preserve"> (El Economista - </w:t>
      </w:r>
      <w:r w:rsidRPr="003F0A4E">
        <w:rPr>
          <w:rFonts w:ascii="Times New Roman" w:hAnsi="Times New Roman" w:cs="Times New Roman"/>
          <w:b/>
          <w:sz w:val="24"/>
          <w:szCs w:val="24"/>
        </w:rPr>
        <w:t>3/7/21</w:t>
      </w:r>
      <w:r>
        <w:rPr>
          <w:rFonts w:ascii="Times New Roman" w:hAnsi="Times New Roman" w:cs="Times New Roman"/>
          <w:sz w:val="24"/>
          <w:szCs w:val="24"/>
        </w:rPr>
        <w:t>)</w:t>
      </w: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r w:rsidRPr="00B26355">
        <w:rPr>
          <w:rFonts w:ascii="Times New Roman" w:hAnsi="Times New Roman" w:cs="Times New Roman"/>
          <w:b/>
          <w:sz w:val="24"/>
          <w:szCs w:val="24"/>
        </w:rPr>
        <w:t>Nota</w:t>
      </w:r>
      <w:r w:rsidR="0021606D">
        <w:rPr>
          <w:rFonts w:ascii="Times New Roman" w:hAnsi="Times New Roman" w:cs="Times New Roman"/>
          <w:b/>
          <w:sz w:val="24"/>
          <w:szCs w:val="24"/>
        </w:rPr>
        <w:t xml:space="preserve"> (Julio 2021)</w:t>
      </w:r>
      <w:r w:rsidRPr="00B26355">
        <w:rPr>
          <w:rFonts w:ascii="Times New Roman" w:hAnsi="Times New Roman" w:cs="Times New Roman"/>
          <w:b/>
          <w:sz w:val="24"/>
          <w:szCs w:val="24"/>
        </w:rPr>
        <w:t xml:space="preserve">: </w:t>
      </w:r>
      <w:r w:rsidRPr="00B26355">
        <w:rPr>
          <w:rFonts w:ascii="Times New Roman" w:eastAsia="Times New Roman" w:hAnsi="Times New Roman" w:cs="Times New Roman"/>
          <w:b/>
          <w:sz w:val="24"/>
          <w:szCs w:val="24"/>
          <w:lang w:eastAsia="es-ES"/>
        </w:rPr>
        <w:t>La actual desconexión entre la calma del mercado y las tensiones sociales subyacentes resulta sorprendentem</w:t>
      </w:r>
      <w:r>
        <w:rPr>
          <w:rFonts w:ascii="Times New Roman" w:eastAsia="Times New Roman" w:hAnsi="Times New Roman" w:cs="Times New Roman"/>
          <w:b/>
          <w:sz w:val="24"/>
          <w:szCs w:val="24"/>
          <w:lang w:eastAsia="es-ES"/>
        </w:rPr>
        <w:t>en</w:t>
      </w:r>
      <w:r w:rsidRPr="00B26355">
        <w:rPr>
          <w:rFonts w:ascii="Times New Roman" w:eastAsia="Times New Roman" w:hAnsi="Times New Roman" w:cs="Times New Roman"/>
          <w:b/>
          <w:sz w:val="24"/>
          <w:szCs w:val="24"/>
          <w:lang w:eastAsia="es-ES"/>
        </w:rPr>
        <w:t>te aguda en los países avanzados (ahora, en vías de subdesarrollo). La pregunta es cuánto tiempo más puede continuar esta disonancia evidente.</w:t>
      </w: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r w:rsidRPr="008D1763">
        <w:rPr>
          <w:rFonts w:ascii="Times New Roman" w:eastAsia="Times New Roman" w:hAnsi="Times New Roman" w:cs="Times New Roman"/>
          <w:b/>
          <w:sz w:val="24"/>
          <w:szCs w:val="24"/>
          <w:lang w:eastAsia="es-ES"/>
        </w:rPr>
        <w:t>Los datos económicos en lo que va del año son buenos sólo porque no son tan espantosos como en 2020, mientras, los hogares de bajos ingresos han sido especialmente golpeados por la pandemia y la c</w:t>
      </w:r>
      <w:r>
        <w:rPr>
          <w:rFonts w:ascii="Times New Roman" w:eastAsia="Times New Roman" w:hAnsi="Times New Roman" w:cs="Times New Roman"/>
          <w:b/>
          <w:sz w:val="24"/>
          <w:szCs w:val="24"/>
          <w:lang w:eastAsia="es-ES"/>
        </w:rPr>
        <w:t xml:space="preserve">risis económica asociada a ella, y </w:t>
      </w:r>
      <w:r w:rsidRPr="008D1763">
        <w:rPr>
          <w:rFonts w:ascii="Times New Roman" w:eastAsia="Times New Roman" w:hAnsi="Times New Roman" w:cs="Times New Roman"/>
          <w:b/>
          <w:sz w:val="24"/>
          <w:szCs w:val="24"/>
          <w:lang w:eastAsia="es-ES"/>
        </w:rPr>
        <w:t>la incertidumbre política aumenta</w:t>
      </w:r>
      <w:r>
        <w:rPr>
          <w:rFonts w:ascii="Times New Roman" w:eastAsia="Times New Roman" w:hAnsi="Times New Roman" w:cs="Times New Roman"/>
          <w:b/>
          <w:sz w:val="24"/>
          <w:szCs w:val="24"/>
          <w:lang w:eastAsia="es-ES"/>
        </w:rPr>
        <w:t xml:space="preserve">. ¿Hasta cuándo </w:t>
      </w:r>
      <w:r w:rsidRPr="008D1763">
        <w:rPr>
          <w:rFonts w:ascii="Times New Roman" w:eastAsia="Times New Roman" w:hAnsi="Times New Roman" w:cs="Times New Roman"/>
          <w:b/>
          <w:sz w:val="24"/>
          <w:szCs w:val="24"/>
          <w:lang w:eastAsia="es-ES"/>
        </w:rPr>
        <w:t>los gobiernos de los países avanzados podrán disimular temporariame</w:t>
      </w:r>
      <w:r>
        <w:rPr>
          <w:rFonts w:ascii="Times New Roman" w:eastAsia="Times New Roman" w:hAnsi="Times New Roman" w:cs="Times New Roman"/>
          <w:b/>
          <w:sz w:val="24"/>
          <w:szCs w:val="24"/>
          <w:lang w:eastAsia="es-ES"/>
        </w:rPr>
        <w:t>nte los problemas (económicos y sociales) con más deuda?</w:t>
      </w: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 xml:space="preserve">- </w:t>
      </w:r>
      <w:r w:rsidRPr="003817B6">
        <w:rPr>
          <w:rFonts w:ascii="Times New Roman" w:eastAsia="Times New Roman" w:hAnsi="Times New Roman" w:cs="Times New Roman"/>
          <w:b/>
          <w:sz w:val="24"/>
          <w:szCs w:val="24"/>
          <w:lang w:eastAsia="es-ES"/>
        </w:rPr>
        <w:t>Utopías no cumplidas</w:t>
      </w: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                                  </w:t>
      </w:r>
      <w:r>
        <w:rPr>
          <w:noProof/>
          <w:lang w:eastAsia="es-ES"/>
        </w:rPr>
        <w:drawing>
          <wp:inline distT="0" distB="0" distL="0" distR="0" wp14:anchorId="5A492476" wp14:editId="4308B8CE">
            <wp:extent cx="2857500" cy="2012950"/>
            <wp:effectExtent l="0" t="0" r="0" b="6350"/>
            <wp:docPr id="150" name="Imagen 150" descr="https://nadaesgratis.es/wp-content/uploads/Picture2-36-300x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adaesgratis.es/wp-content/uploads/Picture2-36-300x211.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57500" cy="2012950"/>
                    </a:xfrm>
                    <a:prstGeom prst="rect">
                      <a:avLst/>
                    </a:prstGeom>
                    <a:noFill/>
                    <a:ln>
                      <a:noFill/>
                    </a:ln>
                  </pic:spPr>
                </pic:pic>
              </a:graphicData>
            </a:graphic>
          </wp:inline>
        </w:drawing>
      </w: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Pr="00A67571"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A67571">
        <w:rPr>
          <w:rFonts w:ascii="Times New Roman" w:eastAsia="Times New Roman" w:hAnsi="Times New Roman" w:cs="Times New Roman"/>
          <w:sz w:val="24"/>
          <w:szCs w:val="24"/>
          <w:lang w:eastAsia="es-ES"/>
        </w:rPr>
        <w:t xml:space="preserve">Tanto en Estados Unidos como en la Unión Europea, las quiebras corporativas han caído durante los 15 meses de la pandemia, a pesar de la profunda recesión que generó. Esa caída es producto de la ampliación por parte de los gobiernos </w:t>
      </w:r>
      <w:r>
        <w:rPr>
          <w:rFonts w:ascii="Times New Roman" w:eastAsia="Times New Roman" w:hAnsi="Times New Roman" w:cs="Times New Roman"/>
          <w:sz w:val="24"/>
          <w:szCs w:val="24"/>
          <w:lang w:eastAsia="es-ES"/>
        </w:rPr>
        <w:t>de los países ricos -</w:t>
      </w:r>
      <w:r w:rsidRPr="00A67571">
        <w:rPr>
          <w:rFonts w:ascii="Times New Roman" w:eastAsia="Times New Roman" w:hAnsi="Times New Roman" w:cs="Times New Roman"/>
          <w:sz w:val="24"/>
          <w:szCs w:val="24"/>
          <w:lang w:eastAsia="es-ES"/>
        </w:rPr>
        <w:t>en su deseo entendible de atenuar el golpe económico de la pandemia- de todas las redes de seguridad posibles para las empresas. Muchas veces, sin embargo, lo hicieron sin ni siquiera intentar separar a aquellas que tenían buenas perspectivas económicas de las que no las tenían.</w:t>
      </w:r>
    </w:p>
    <w:p w:rsidR="000F32CC" w:rsidRPr="00A67571"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Pr="00723920"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A67571">
        <w:rPr>
          <w:rFonts w:ascii="Times New Roman" w:eastAsia="Times New Roman" w:hAnsi="Times New Roman" w:cs="Times New Roman"/>
          <w:sz w:val="24"/>
          <w:szCs w:val="24"/>
          <w:lang w:eastAsia="es-ES"/>
        </w:rPr>
        <w:t>Como resultado de ello, el proceso de selección natural del sector empresario se ha debilitado precisamente cuando el COVID-19 ha acelerado muchas tendencias preexistentes, aumentado el porcentaje de empresas que deberían considerarse zombis</w:t>
      </w:r>
      <w:r>
        <w:rPr>
          <w:rFonts w:ascii="Times New Roman" w:eastAsia="Times New Roman" w:hAnsi="Times New Roman" w:cs="Times New Roman"/>
          <w:sz w:val="24"/>
          <w:szCs w:val="24"/>
          <w:lang w:eastAsia="es-ES"/>
        </w:rPr>
        <w:t>”..</w:t>
      </w:r>
      <w:r w:rsidRPr="00A67571">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Pr="00723920">
        <w:rPr>
          <w:rFonts w:ascii="Times New Roman" w:eastAsia="Times New Roman" w:hAnsi="Times New Roman" w:cs="Times New Roman"/>
          <w:sz w:val="24"/>
          <w:szCs w:val="24"/>
          <w:lang w:eastAsia="es-ES"/>
        </w:rPr>
        <w:t>s</w:t>
      </w:r>
      <w:r>
        <w:rPr>
          <w:rFonts w:ascii="Times New Roman" w:eastAsia="Times New Roman" w:hAnsi="Times New Roman" w:cs="Times New Roman"/>
          <w:sz w:val="24"/>
          <w:szCs w:val="24"/>
          <w:lang w:eastAsia="es-ES"/>
        </w:rPr>
        <w:t xml:space="preserve">ostiene </w:t>
      </w:r>
      <w:r w:rsidRPr="00723920">
        <w:rPr>
          <w:rFonts w:ascii="Times New Roman" w:eastAsia="Times New Roman" w:hAnsi="Times New Roman" w:cs="Times New Roman"/>
          <w:sz w:val="24"/>
          <w:szCs w:val="24"/>
          <w:lang w:eastAsia="es-ES"/>
        </w:rPr>
        <w:t xml:space="preserve">Luigi Zingales - Professor of Finance at the University of Chicago - </w:t>
      </w:r>
      <w:r w:rsidRPr="00723920">
        <w:rPr>
          <w:rFonts w:ascii="Times New Roman" w:eastAsia="Times New Roman" w:hAnsi="Times New Roman" w:cs="Times New Roman"/>
          <w:sz w:val="24"/>
          <w:szCs w:val="24"/>
          <w:u w:val="single"/>
          <w:lang w:eastAsia="es-ES"/>
        </w:rPr>
        <w:t>Ataque de los zombis del COVID</w:t>
      </w:r>
      <w:r w:rsidRPr="00723920">
        <w:rPr>
          <w:rFonts w:ascii="Times New Roman" w:eastAsia="Times New Roman" w:hAnsi="Times New Roman" w:cs="Times New Roman"/>
          <w:sz w:val="24"/>
          <w:szCs w:val="24"/>
          <w:lang w:eastAsia="es-ES"/>
        </w:rPr>
        <w:t xml:space="preserve"> - Project Syndicate - </w:t>
      </w:r>
      <w:r w:rsidRPr="00723920">
        <w:rPr>
          <w:rFonts w:ascii="Times New Roman" w:eastAsia="Times New Roman" w:hAnsi="Times New Roman" w:cs="Times New Roman"/>
          <w:b/>
          <w:sz w:val="24"/>
          <w:szCs w:val="24"/>
          <w:lang w:eastAsia="es-ES"/>
        </w:rPr>
        <w:t>2/7/21</w:t>
      </w:r>
      <w:r w:rsidRPr="00723920">
        <w:rPr>
          <w:rFonts w:ascii="Times New Roman" w:eastAsia="Times New Roman" w:hAnsi="Times New Roman" w:cs="Times New Roman"/>
          <w:sz w:val="24"/>
          <w:szCs w:val="24"/>
          <w:lang w:eastAsia="es-ES"/>
        </w:rPr>
        <w:t>).</w:t>
      </w:r>
    </w:p>
    <w:p w:rsidR="000F32CC" w:rsidRPr="00723920"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293BDD">
        <w:rPr>
          <w:rFonts w:ascii="Times New Roman" w:eastAsia="Times New Roman" w:hAnsi="Times New Roman" w:cs="Times New Roman"/>
          <w:sz w:val="24"/>
          <w:szCs w:val="24"/>
          <w:lang w:eastAsia="es-ES"/>
        </w:rPr>
        <w:t>Si en la crisis fin</w:t>
      </w:r>
      <w:r>
        <w:rPr>
          <w:rFonts w:ascii="Times New Roman" w:eastAsia="Times New Roman" w:hAnsi="Times New Roman" w:cs="Times New Roman"/>
          <w:sz w:val="24"/>
          <w:szCs w:val="24"/>
          <w:lang w:eastAsia="es-ES"/>
        </w:rPr>
        <w:t>an</w:t>
      </w:r>
      <w:r w:rsidRPr="00293BDD">
        <w:rPr>
          <w:rFonts w:ascii="Times New Roman" w:eastAsia="Times New Roman" w:hAnsi="Times New Roman" w:cs="Times New Roman"/>
          <w:sz w:val="24"/>
          <w:szCs w:val="24"/>
          <w:lang w:eastAsia="es-ES"/>
        </w:rPr>
        <w:t>ciera del año 2</w:t>
      </w:r>
      <w:r>
        <w:rPr>
          <w:rFonts w:ascii="Times New Roman" w:eastAsia="Times New Roman" w:hAnsi="Times New Roman" w:cs="Times New Roman"/>
          <w:sz w:val="24"/>
          <w:szCs w:val="24"/>
          <w:lang w:eastAsia="es-ES"/>
        </w:rPr>
        <w:t>008 (créditos subprime), los gobiernos “solo” se ocuparon de “salvar a la banca”, en lo que llevamos de crisis sanitaria hasta junio 2021 (pandemia Covid-19), los gobiernos “solo” se están ocupando de “salvar -algunas- empresas- (las más grandes, las que tiene mejores lobbies, las que tiene una mayor connivencia con el poder político) dejando abandonado al sector de las pequeñas y medianas empresas, a los trabajadores que padecieron o padecen la suspensión temporal de actividades, a los desempleados, y a los pobres, en general (afectados por ambas crisis).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Mirando las series estadísticas anteriores sobre “pobreza” en los países avanzados (Estados Unidos y Unión Europea), se puede observar que durante el período 2008-2020, la cantidad de personas en riesgo de pobreza o exclusión social, se ha mantenido, ha crecido, o no ha disminuido al ritmo de la recuperación económica posterior a cada crisis.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 los gobiernos de los países avanzados se “olvidaron” de ellos (nada sorprendente en unos políticos de plastilina), o el modelo económico vigente (globalización, desregulación, privatización), no ha servido para sacar a la gente de la pobreza (resultado previsible).</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desempleados, los jóvenes que no estudian ni trabajan, y los pobres (en general) han sido los grandes olvidados de las crisis, y los grandes olvidados de las recuperaciones.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 que la crisis (2008 y 2020) nos dejó: países del primer mundo con problemas de tercer mundo.</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En los Estados Unidos, el “sueño americano” se ha transformado en la “pesadilla americana”.</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la Unión Europea, el “estado de bienestar” se ha transformado en el “estado de malestar”.</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Ante la indiferencia de unos empresarios sin escrúpulos, y de unos políticos sin vergüenza.</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lugar de cuestionar o criticar la situación social, el sufrimiento se privatiza, ya no hay que mejorar las situaciones externas, sino los estados de ánimo. La pobreza pasa a ser considerada por el poder de turno, como una “sensación”. El “relato” enmascara la “realidad”.</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Si tuviera que señalar algunas de las “utopías no cumplidas” del “paradigma” de la globalización, y las nuevas tecnologías, en mi humilde opinión, destacaría las siguientes: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455D3C">
        <w:rPr>
          <w:rFonts w:ascii="Helvetica" w:hAnsi="Helvetica"/>
          <w:noProof/>
          <w:color w:val="3F3F42"/>
          <w:lang w:eastAsia="es-ES"/>
        </w:rPr>
        <w:drawing>
          <wp:inline distT="0" distB="0" distL="0" distR="0" wp14:anchorId="40A68CEE" wp14:editId="507954FC">
            <wp:extent cx="5734050" cy="248285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731510" cy="2481750"/>
                    </a:xfrm>
                    <a:prstGeom prst="rect">
                      <a:avLst/>
                    </a:prstGeom>
                  </pic:spPr>
                </pic:pic>
              </a:graphicData>
            </a:graphic>
          </wp:inline>
        </w:drawing>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Globalización, librecambio, multilateralismo, libre movimiento de capitales, financierización, desregulación, privatización, deslocalización, cortoplacismo, economía de casino…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72485D">
        <w:rPr>
          <w:rFonts w:ascii="Times New Roman" w:eastAsia="Times New Roman" w:hAnsi="Times New Roman" w:cs="Times New Roman"/>
          <w:sz w:val="24"/>
          <w:szCs w:val="24"/>
          <w:lang w:eastAsia="es-ES"/>
        </w:rPr>
        <w:t xml:space="preserve">o que ha sucedido es que durante 30 años, desde la década de 1980 en adelante, el capitalismo (comercial, primero; financiero, luego; y de datos, después) ha tenido un enfoque singular sobre las ganancias, que fueron excesivas y causaron muchos de problemas en la sociedad. Una desregulación excesiva, que golpeó especialmente a la clase trabajadora de los países desarrollados. </w:t>
      </w:r>
    </w:p>
    <w:p w:rsidR="000F32CC" w:rsidRPr="0072485D"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72485D">
        <w:rPr>
          <w:rFonts w:ascii="Times New Roman" w:eastAsia="Times New Roman" w:hAnsi="Times New Roman" w:cs="Times New Roman"/>
          <w:sz w:val="24"/>
          <w:szCs w:val="24"/>
          <w:lang w:eastAsia="es-ES"/>
        </w:rPr>
        <w:t>Robert Heilbroner y William Milberg en su libro: “La crisis de visión en el pensamiento económico moderno”, publicado en 1995, afirmaban que una demoledora crisis, más amplia y profunda que nunca, estaba afectando a la teoría económica moderna. La crisis en cuestión era consecuencia de la ausencia de una visión, de un conjunto de aquellos conceptos políticos y sociales compartidos, de los que depende, en última instancia, la economía. A la decadencia de la perspectiva económica le han seguido diversas tendencias cuyo denominador común era una impecable elegancia a la hora de exponer los términos, acompañada de una absoluta inoperancia en su aplicación práctica.</w:t>
      </w:r>
    </w:p>
    <w:p w:rsidR="000F32CC" w:rsidRPr="0072485D"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72485D">
        <w:rPr>
          <w:rFonts w:ascii="Times New Roman" w:eastAsia="Times New Roman" w:hAnsi="Times New Roman" w:cs="Times New Roman"/>
          <w:sz w:val="24"/>
          <w:szCs w:val="24"/>
          <w:lang w:eastAsia="es-ES"/>
        </w:rPr>
        <w:t xml:space="preserve">En esta misma línea, el premio Nobel de economía 2018, Paul Romer, en un imprescindible artículo: “The Trouble with Macroeconomics”, sostenía: “En los últimos tres decenios, los métodos y conclusiones de la macroeconomía se han deteriorado hasta el punto de que gran parte de la labor en esta esfera ya no puede calificarse de investigación científica. El </w:t>
      </w:r>
      <w:r w:rsidRPr="0072485D">
        <w:rPr>
          <w:rFonts w:ascii="Times New Roman" w:eastAsia="Times New Roman" w:hAnsi="Times New Roman" w:cs="Times New Roman"/>
          <w:sz w:val="24"/>
          <w:szCs w:val="24"/>
          <w:lang w:eastAsia="es-ES"/>
        </w:rPr>
        <w:lastRenderedPageBreak/>
        <w:t>tratamiento de la identificación en los modelos macroeconómicos no es más creíble que en los grandes modelos keynesianos de primera generación, y es peor porque es mucho más opaco. La mayor preocupación es que la pseudociencia macroeconómica está socavando las normas de la ciencia en toda la economía. Si es así, todos los dominios de política que toca la economía podrían perder la acumulación de conocimientos útiles que caracterizan a la verdadera ciencia, el mayor invento humano”.</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noProof/>
          <w:lang w:eastAsia="es-ES"/>
        </w:rPr>
        <w:drawing>
          <wp:inline distT="0" distB="0" distL="0" distR="0" wp14:anchorId="59BE2F2C" wp14:editId="70248CD7">
            <wp:extent cx="5726993" cy="2635250"/>
            <wp:effectExtent l="0" t="0" r="7620" b="0"/>
            <wp:docPr id="152" name="Imagen 152" descr="op_disparte1_SadikDemirozGetty Images_digitaldol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p_disparte1_SadikDemirozGetty Images_digitaldollar"/>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731510" cy="2637329"/>
                    </a:xfrm>
                    <a:prstGeom prst="rect">
                      <a:avLst/>
                    </a:prstGeom>
                    <a:noFill/>
                    <a:ln>
                      <a:noFill/>
                    </a:ln>
                  </pic:spPr>
                </pic:pic>
              </a:graphicData>
            </a:graphic>
          </wp:inline>
        </w:drawing>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Digitalización, redes sociales, economía de las plataformas, disrupción, gig-economy, robotización, algoritmos, big data, tráfico de datos, gestión automatizada, economía del entretenimiento, blockchain, criptomonedas, inteligencia artificial...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Unas t</w:t>
      </w:r>
      <w:r w:rsidRPr="00B75902">
        <w:rPr>
          <w:rFonts w:ascii="Times New Roman" w:eastAsia="Times New Roman" w:hAnsi="Times New Roman" w:cs="Times New Roman"/>
          <w:sz w:val="24"/>
          <w:szCs w:val="24"/>
          <w:lang w:eastAsia="es-ES"/>
        </w:rPr>
        <w:t>ecnologías digitales “sin remordimiento” (creadas por los funambulistas de las startups, unicornios, decacornios o hectacornios: vehículos autónomos, impresoras 3D, drones, servicios de nube, metadatos, algoritmos, motores neuronales, digitalización del mundo físico, trajes robóticos, reconocimiento facial, desintermediación, desagregación, desmaterialización, gadgets, apps, tuits,  criptomonedas, blockchain, snapchat, instagram</w:t>
      </w:r>
      <w:r w:rsidR="0021606D">
        <w:rPr>
          <w:rFonts w:ascii="Times New Roman" w:eastAsia="Times New Roman" w:hAnsi="Times New Roman" w:cs="Times New Roman"/>
          <w:sz w:val="24"/>
          <w:szCs w:val="24"/>
          <w:lang w:eastAsia="es-ES"/>
        </w:rPr>
        <w:t xml:space="preserve">, hashtags, fakenews, </w:t>
      </w:r>
      <w:r w:rsidRPr="00B75902">
        <w:rPr>
          <w:rFonts w:ascii="Times New Roman" w:eastAsia="Times New Roman" w:hAnsi="Times New Roman" w:cs="Times New Roman"/>
          <w:sz w:val="24"/>
          <w:szCs w:val="24"/>
          <w:lang w:eastAsia="es-ES"/>
        </w:rPr>
        <w:t>bloggers, trendsetters, youtubers, followe</w:t>
      </w:r>
      <w:r w:rsidR="00873824">
        <w:rPr>
          <w:rFonts w:ascii="Times New Roman" w:eastAsia="Times New Roman" w:hAnsi="Times New Roman" w:cs="Times New Roman"/>
          <w:sz w:val="24"/>
          <w:szCs w:val="24"/>
          <w:lang w:eastAsia="es-ES"/>
        </w:rPr>
        <w:t>r</w:t>
      </w:r>
      <w:r w:rsidRPr="00B75902">
        <w:rPr>
          <w:rFonts w:ascii="Times New Roman" w:eastAsia="Times New Roman" w:hAnsi="Times New Roman" w:cs="Times New Roman"/>
          <w:sz w:val="24"/>
          <w:szCs w:val="24"/>
          <w:lang w:eastAsia="es-ES"/>
        </w:rPr>
        <w:t xml:space="preserve">s, video juegos, memes, emoticonos, play station, fut 18 draft, homescapes, parcheesi, wish, pokémon go, nintendo switch, snipperclips y 1-2 switch, gafas de realidad virtual, y otras infinitas “sopas bobas” para “encantar” a los “idiotas felices”), tanta basura tecnológica… tanta insignificancia… tanta ficción… tanta intoxicación… tanto papanatismo… tanta ceguera voluntaria… tanto abominable fraude… tanta mugre… tanta miseria… tanta traición… tanto mamoneo… tanto pesebre… tanta perezosa tranquilidad… tanta estolidez…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Todas estas “alternativas creativas” (de la factoría: Wall Street + Silicon Valley) y sus “daños colaterales” (sobre la comunidad: trabajadores, desempleados, jóvenes, pensionistas, y pobres)… ¿son sencillamente la expresión de una conjura, la confirmación de un acuerdo, la apoteosis de una coalición?</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¿Hace falta provocar tanto sufrimiento social</w:t>
      </w:r>
      <w:r w:rsidR="00873824">
        <w:rPr>
          <w:rFonts w:ascii="Times New Roman" w:eastAsia="Times New Roman" w:hAnsi="Times New Roman" w:cs="Times New Roman"/>
          <w:sz w:val="24"/>
          <w:szCs w:val="24"/>
          <w:lang w:eastAsia="es-ES"/>
        </w:rPr>
        <w:t>, para terminar encargando el “</w:t>
      </w:r>
      <w:r>
        <w:rPr>
          <w:rFonts w:ascii="Times New Roman" w:eastAsia="Times New Roman" w:hAnsi="Times New Roman" w:cs="Times New Roman"/>
          <w:sz w:val="24"/>
          <w:szCs w:val="24"/>
          <w:lang w:eastAsia="es-ES"/>
        </w:rPr>
        <w:t>gran reseteo” de la economía, al Partido Comunist</w:t>
      </w:r>
      <w:r w:rsidR="00873824">
        <w:rPr>
          <w:rFonts w:ascii="Times New Roman" w:eastAsia="Times New Roman" w:hAnsi="Times New Roman" w:cs="Times New Roman"/>
          <w:sz w:val="24"/>
          <w:szCs w:val="24"/>
          <w:lang w:eastAsia="es-ES"/>
        </w:rPr>
        <w:t>a de China (Davos - enero 2021)?</w:t>
      </w:r>
      <w:r>
        <w:rPr>
          <w:rFonts w:ascii="Times New Roman" w:eastAsia="Times New Roman" w:hAnsi="Times New Roman" w:cs="Times New Roman"/>
          <w:sz w:val="24"/>
          <w:szCs w:val="24"/>
          <w:lang w:eastAsia="es-ES"/>
        </w:rPr>
        <w:t xml:space="preserve"> Una capitulación absoluta del capitalismo. Una huida hacia delante de los “amos del universo” (¡a buen puerto!). Un desesperado intento de seguir “empujando la soga” (de una economía de especulación y entretenimiento).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B75902">
        <w:rPr>
          <w:rFonts w:ascii="Times New Roman" w:eastAsia="Times New Roman" w:hAnsi="Times New Roman" w:cs="Times New Roman"/>
          <w:sz w:val="24"/>
          <w:szCs w:val="24"/>
          <w:lang w:eastAsia="es-ES"/>
        </w:rPr>
        <w:lastRenderedPageBreak/>
        <w:t>Más allá del “futurismo distópico” de Davos (con letra de Silicon Valley, música de Wall Street, y coreografía de PCCh),</w:t>
      </w:r>
      <w:r>
        <w:rPr>
          <w:rFonts w:ascii="Times New Roman" w:eastAsia="Times New Roman" w:hAnsi="Times New Roman" w:cs="Times New Roman"/>
          <w:sz w:val="24"/>
          <w:szCs w:val="24"/>
          <w:lang w:eastAsia="es-ES"/>
        </w:rPr>
        <w:t xml:space="preserve"> e</w:t>
      </w:r>
      <w:r w:rsidRPr="00B75902">
        <w:rPr>
          <w:rFonts w:ascii="Times New Roman" w:eastAsia="Times New Roman" w:hAnsi="Times New Roman" w:cs="Times New Roman"/>
          <w:sz w:val="24"/>
          <w:szCs w:val="24"/>
          <w:lang w:eastAsia="es-ES"/>
        </w:rPr>
        <w:t>l “gran reseteo”, es un vuelta a las andadas, con la garantía de una dictadura (de estado y de mercado), que sigue sin observar que las empresas (con, o sin, Inteligencia Artificial) deben hacer más que ofrecer beneficios a sus accionistas… que deben redefinir su papel en relación con el impacto de sus decisiones en sus trabajadores, clientes, proveedores, comunidad y el medio ambiente. El “gran reseteo” es una forma de mantenerse a flote con la ayuda del Partido Comunista de China (la “gran apuesta”).</w:t>
      </w:r>
    </w:p>
    <w:p w:rsidR="000F32CC" w:rsidRPr="00B75902"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B75902">
        <w:rPr>
          <w:rFonts w:ascii="Times New Roman" w:eastAsia="Times New Roman" w:hAnsi="Times New Roman" w:cs="Times New Roman"/>
          <w:sz w:val="24"/>
          <w:szCs w:val="24"/>
          <w:lang w:eastAsia="es-ES"/>
        </w:rPr>
        <w:t xml:space="preserve">Y para ello, “dibujan” las grandes “oportunidades” que traerá el futuro para aumentar la satisfacción vital de la ciudadanía. El plan comunista de Davos (enero 2021) deja claro el objetivo de fondo del “gran reseteo”: “No tendrás nada y serás feliz”.  </w:t>
      </w:r>
    </w:p>
    <w:p w:rsidR="000F32CC" w:rsidRPr="00B75902"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B75902">
        <w:rPr>
          <w:rFonts w:ascii="Times New Roman" w:eastAsia="Times New Roman" w:hAnsi="Times New Roman" w:cs="Times New Roman"/>
          <w:sz w:val="24"/>
          <w:szCs w:val="24"/>
          <w:lang w:eastAsia="es-ES"/>
        </w:rPr>
        <w:t>En uno de los mandamientos citados en el Foro Económico Mundial figura la idea de que en “2030 no tendrás nada y serás feliz”. Un plan que esconde intenciones comunistas a escala global y que busca desposeer a la población de sus bienes y ganancias. Bajo conceptos como el “capitalismo inclusivo” o medidas que eleven los impuestos y la creación de nuevos eco-tributos, la clase media verá progresivamente un empobrecimiento de su vida, si bien, (según los postulados de Davos) esto no será motivo de amargura, sino de “felicidad”.</w:t>
      </w:r>
    </w:p>
    <w:p w:rsidR="000F32CC" w:rsidRPr="00B75902"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B75902">
        <w:rPr>
          <w:rFonts w:ascii="Times New Roman" w:eastAsia="Times New Roman" w:hAnsi="Times New Roman" w:cs="Times New Roman"/>
          <w:sz w:val="24"/>
          <w:szCs w:val="24"/>
          <w:lang w:eastAsia="es-ES"/>
        </w:rPr>
        <w:t>Es decir, tener menos ingresos y pagar más impuestos, nos hará estar más satisfechos con nosotros mismos. Es así como venden, la precariedad laboral, la disminución de los salarios, el aumento de la presión fiscal, o la represión financiera: una verdadera oportunidad que llenará nuestro vacío vital. A fuerza de “likes”, se alcanzará la gloria.</w:t>
      </w:r>
    </w:p>
    <w:p w:rsidR="000F32CC" w:rsidRPr="00B75902"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B75902">
        <w:rPr>
          <w:rFonts w:ascii="Times New Roman" w:eastAsia="Times New Roman" w:hAnsi="Times New Roman" w:cs="Times New Roman"/>
          <w:sz w:val="24"/>
          <w:szCs w:val="24"/>
          <w:lang w:eastAsia="es-ES"/>
        </w:rPr>
        <w:t>¿Y cómo aumentar la satisfacción vital de la ciudadanía? Pues bien, estos ingenieros sociales dicen haberse dado cuenta de que las diferencias de satisfacción vital se reducen mucho entre personas con ingresos medios, y altos. Esto nos sugiere que, a partir de un cierto punto, más dinero no da más felicidad. Estar “conectados”, colmará la dicha.</w:t>
      </w:r>
    </w:p>
    <w:p w:rsidR="000F32CC" w:rsidRPr="00B75902"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B75902">
        <w:rPr>
          <w:rFonts w:ascii="Times New Roman" w:eastAsia="Times New Roman" w:hAnsi="Times New Roman" w:cs="Times New Roman"/>
          <w:sz w:val="24"/>
          <w:szCs w:val="24"/>
          <w:lang w:eastAsia="es-ES"/>
        </w:rPr>
        <w:t>El canto de sirena es el mismo de siempre, “satisfacción vital”, “bienestar subjetivo”, y “felicidad común”, para inocular la idea en la psique de los ciudadanos, que expropiar su futuro es lo correcto para “beneficiar a todos”. El Santo Oficio del Foro de Davos.</w:t>
      </w:r>
    </w:p>
    <w:p w:rsidR="000F32CC" w:rsidRPr="00B75902"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B75902">
        <w:rPr>
          <w:rFonts w:ascii="Times New Roman" w:eastAsia="Times New Roman" w:hAnsi="Times New Roman" w:cs="Times New Roman"/>
          <w:sz w:val="24"/>
          <w:szCs w:val="24"/>
          <w:lang w:eastAsia="es-ES"/>
        </w:rPr>
        <w:t>Pero la problemática de fondo (en los países avanzados) sigue sin solucionarse: si durante las próximas décadas no se logran resolver problemas actuales como el elevado desempleo estructural, la alta precariedad o la distribución equitativa de los ingresos, la transformación tecnológica y las nuevas formas de trabajo podrían traducirse en un mayor deterioro de las condiciones laborales, elevando aún más la insatisfacción laboral de sus ciudadanos, aunque Davos proclame que… “serán felices”.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el “ofertorio” de Davos: ¿será la dictadura china, la “encargada” de implantar una ingeniería social de dominación? ¿será la dictadura china, la “encargada” de realizar los experimentos de control y manipulación? ¿será la dictadura china, la “encargada” de la globalización (ahora, sí) de un mundo anestesiado, dónde ya no habrá más revoluciones?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Dónde, al final, de lo que se trata, es que los pobres obedezcan creyendo en algunos casos que eso los hace más ricos.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 xml:space="preserve">- </w:t>
      </w:r>
      <w:r w:rsidRPr="006B60DC">
        <w:rPr>
          <w:rFonts w:ascii="Times New Roman" w:eastAsia="Times New Roman" w:hAnsi="Times New Roman" w:cs="Times New Roman"/>
          <w:b/>
          <w:sz w:val="24"/>
          <w:szCs w:val="24"/>
          <w:lang w:eastAsia="es-ES"/>
        </w:rPr>
        <w:t xml:space="preserve">La </w:t>
      </w:r>
      <w:r w:rsidR="00116C35">
        <w:rPr>
          <w:rFonts w:ascii="Times New Roman" w:eastAsia="Times New Roman" w:hAnsi="Times New Roman" w:cs="Times New Roman"/>
          <w:b/>
          <w:sz w:val="24"/>
          <w:szCs w:val="24"/>
          <w:lang w:eastAsia="es-ES"/>
        </w:rPr>
        <w:t>“</w:t>
      </w:r>
      <w:r w:rsidRPr="006B60DC">
        <w:rPr>
          <w:rFonts w:ascii="Times New Roman" w:eastAsia="Times New Roman" w:hAnsi="Times New Roman" w:cs="Times New Roman"/>
          <w:b/>
          <w:sz w:val="24"/>
          <w:szCs w:val="24"/>
          <w:lang w:eastAsia="es-ES"/>
        </w:rPr>
        <w:t>carc</w:t>
      </w:r>
      <w:r w:rsidR="001E4B1C">
        <w:rPr>
          <w:rFonts w:ascii="Times New Roman" w:eastAsia="Times New Roman" w:hAnsi="Times New Roman" w:cs="Times New Roman"/>
          <w:b/>
          <w:sz w:val="24"/>
          <w:szCs w:val="24"/>
          <w:lang w:eastAsia="es-ES"/>
        </w:rPr>
        <w:t>ajada universal</w:t>
      </w:r>
      <w:r w:rsidR="00116C35">
        <w:rPr>
          <w:rFonts w:ascii="Times New Roman" w:eastAsia="Times New Roman" w:hAnsi="Times New Roman" w:cs="Times New Roman"/>
          <w:b/>
          <w:sz w:val="24"/>
          <w:szCs w:val="24"/>
          <w:lang w:eastAsia="es-ES"/>
        </w:rPr>
        <w:t>”</w:t>
      </w:r>
      <w:r w:rsidR="001E4B1C">
        <w:rPr>
          <w:rFonts w:ascii="Times New Roman" w:eastAsia="Times New Roman" w:hAnsi="Times New Roman" w:cs="Times New Roman"/>
          <w:b/>
          <w:sz w:val="24"/>
          <w:szCs w:val="24"/>
          <w:lang w:eastAsia="es-ES"/>
        </w:rPr>
        <w:t xml:space="preserve"> se los “alquimistas</w:t>
      </w:r>
      <w:r w:rsidRPr="006B60DC">
        <w:rPr>
          <w:rFonts w:ascii="Times New Roman" w:eastAsia="Times New Roman" w:hAnsi="Times New Roman" w:cs="Times New Roman"/>
          <w:b/>
          <w:sz w:val="24"/>
          <w:szCs w:val="24"/>
          <w:lang w:eastAsia="es-ES"/>
        </w:rPr>
        <w:t xml:space="preserve">” de Silicon Valley </w:t>
      </w:r>
      <w:r>
        <w:rPr>
          <w:rFonts w:ascii="Times New Roman" w:eastAsia="Times New Roman" w:hAnsi="Times New Roman" w:cs="Times New Roman"/>
          <w:b/>
          <w:sz w:val="24"/>
          <w:szCs w:val="24"/>
          <w:lang w:eastAsia="es-ES"/>
        </w:rPr>
        <w:t>(la banalidad del mal)</w:t>
      </w: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r>
        <w:rPr>
          <w:noProof/>
          <w:lang w:eastAsia="es-ES"/>
        </w:rPr>
        <w:drawing>
          <wp:inline distT="0" distB="0" distL="0" distR="0" wp14:anchorId="453BF67D" wp14:editId="286BDFEB">
            <wp:extent cx="5725960" cy="2635250"/>
            <wp:effectExtent l="0" t="0" r="8255" b="0"/>
            <wp:docPr id="153" name="Imagen 153" descr="op_eeckhout1_Alex WongGetty Images_bezoslaug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_eeckhout1_Alex WongGetty Images_bezoslaughi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31510" cy="2637804"/>
                    </a:xfrm>
                    <a:prstGeom prst="rect">
                      <a:avLst/>
                    </a:prstGeom>
                    <a:noFill/>
                    <a:ln>
                      <a:noFill/>
                    </a:ln>
                  </pic:spPr>
                </pic:pic>
              </a:graphicData>
            </a:graphic>
          </wp:inline>
        </w:drawing>
      </w:r>
    </w:p>
    <w:p w:rsidR="000F32CC" w:rsidRDefault="000F32CC" w:rsidP="000F32CC">
      <w:pPr>
        <w:shd w:val="clear" w:color="auto" w:fill="FDFDFD"/>
        <w:spacing w:after="0" w:line="240" w:lineRule="auto"/>
        <w:jc w:val="both"/>
        <w:rPr>
          <w:rFonts w:ascii="Times New Roman" w:eastAsia="Times New Roman" w:hAnsi="Times New Roman" w:cs="Times New Roman"/>
          <w:b/>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un momento en el que se ensancha hasta el infinito el terreno de la investigación, que todo se somete a mediciones y triangulaciones, a estudios geológicos y meteorológicos, a captación de aguas,  a sondeos de sus aguas marítimas, a la demarcación de sus límites, a la exploración de sus bosques y cordilleras… donde dejándose llevar por un utilitarismo tan propio de su “clase” (la cofradía de los “global players”), añaden al estudio del pasado, ciertos diagramas y estadísticas referentes: a su producción anual de uñas, pelos y caspa; al voltaje de su fuerza motriz; a su rendimiento normal de guano, materias textiles y aceites crudos; al área de sus yacimientos petrolíferos; a sus estaciones termales, bancos de coral y pesquerías, etcétera, etcétera… todos imprescindibles para una industrialización racional (sostenible, circular, verde), para acometer la transformación tecnológica (digital, disruptiva, inteligente, inmaterial, interactiva, instantánea, viral),  con el objetivo de fa</w:t>
      </w:r>
      <w:r w:rsidR="001E4B1C">
        <w:rPr>
          <w:rFonts w:ascii="Times New Roman" w:eastAsia="Times New Roman" w:hAnsi="Times New Roman" w:cs="Times New Roman"/>
          <w:sz w:val="24"/>
          <w:szCs w:val="24"/>
          <w:lang w:eastAsia="es-ES"/>
        </w:rPr>
        <w:t>cilitar y acelerar el “gran salto adelante”</w:t>
      </w:r>
      <w:r w:rsidRPr="0029369F">
        <w:rPr>
          <w:rFonts w:ascii="Times New Roman" w:eastAsia="Times New Roman" w:hAnsi="Times New Roman" w:cs="Times New Roman"/>
          <w:sz w:val="24"/>
          <w:szCs w:val="24"/>
          <w:lang w:eastAsia="es-ES"/>
        </w:rPr>
        <w:t xml:space="preserve"> de la socie</w:t>
      </w:r>
      <w:r>
        <w:rPr>
          <w:rFonts w:ascii="Times New Roman" w:eastAsia="Times New Roman" w:hAnsi="Times New Roman" w:cs="Times New Roman"/>
          <w:sz w:val="24"/>
          <w:szCs w:val="24"/>
          <w:lang w:eastAsia="es-ES"/>
        </w:rPr>
        <w:t xml:space="preserve">dad actual, hacia el “gran reseteo” de la economía… resulta sorprendente que… nadie se preocupe  por el daño que se está ocasionando al futuro de la humanidad (sí, de la humanidad) permitiendo la inseguridad alimentaria de la infancia.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Niños mal nutridos, con problemas de crecimiento, mal formados o discapacitados, con dificultades de aprendizaje, con altas tasas de abandono escolar, con grandes probabilidades de terminar teniendo problemas de marginalidad, alcoholismo, drogadicción, promiscuidad,  embarazos no deseados, delincuencia, y prisión.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Un problema que siempre pareció lejano, remoto, propio de los países del tercer mundo. Dónde los países ricos se “libraban” del complejo de culpa, haciendo donaciones a las ONG, enviando ayuda a través de la ONU, o promoviendo al “apadrinamiento” por sus ciudadanos de algún niño carenciado. También la “adopción” </w:t>
      </w:r>
      <w:r w:rsidR="0069330D">
        <w:rPr>
          <w:rFonts w:ascii="Times New Roman" w:eastAsia="Times New Roman" w:hAnsi="Times New Roman" w:cs="Times New Roman"/>
          <w:sz w:val="24"/>
          <w:szCs w:val="24"/>
          <w:lang w:eastAsia="es-ES"/>
        </w:rPr>
        <w:t>de infantes</w:t>
      </w:r>
      <w:r w:rsidR="001E4B1C">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se usó para lavar conciencias.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Pero ahora, que los países del primer mundo están en “vías d</w:t>
      </w:r>
      <w:r w:rsidR="001E4B1C">
        <w:rPr>
          <w:rFonts w:ascii="Times New Roman" w:eastAsia="Times New Roman" w:hAnsi="Times New Roman" w:cs="Times New Roman"/>
          <w:sz w:val="24"/>
          <w:szCs w:val="24"/>
          <w:lang w:eastAsia="es-ES"/>
        </w:rPr>
        <w:t>e subdesarrollo” (acelerada</w:t>
      </w:r>
      <w:r>
        <w:rPr>
          <w:rFonts w:ascii="Times New Roman" w:eastAsia="Times New Roman" w:hAnsi="Times New Roman" w:cs="Times New Roman"/>
          <w:sz w:val="24"/>
          <w:szCs w:val="24"/>
          <w:lang w:eastAsia="es-ES"/>
        </w:rPr>
        <w:t>, desde la crisis financiera del año 20</w:t>
      </w:r>
      <w:r w:rsidR="001E4B1C">
        <w:rPr>
          <w:rFonts w:ascii="Times New Roman" w:eastAsia="Times New Roman" w:hAnsi="Times New Roman" w:cs="Times New Roman"/>
          <w:sz w:val="24"/>
          <w:szCs w:val="24"/>
          <w:lang w:eastAsia="es-ES"/>
        </w:rPr>
        <w:t>08 y explosiva</w:t>
      </w:r>
      <w:r>
        <w:rPr>
          <w:rFonts w:ascii="Times New Roman" w:eastAsia="Times New Roman" w:hAnsi="Times New Roman" w:cs="Times New Roman"/>
          <w:sz w:val="24"/>
          <w:szCs w:val="24"/>
          <w:lang w:eastAsia="es-ES"/>
        </w:rPr>
        <w:t>, desde el inicio de la crisis sanitaria del año 2020), el problema de la pobreza se ha</w:t>
      </w:r>
      <w:r w:rsidR="001E4B1C">
        <w:rPr>
          <w:rFonts w:ascii="Times New Roman" w:eastAsia="Times New Roman" w:hAnsi="Times New Roman" w:cs="Times New Roman"/>
          <w:sz w:val="24"/>
          <w:szCs w:val="24"/>
          <w:lang w:eastAsia="es-ES"/>
        </w:rPr>
        <w:t xml:space="preserve"> “generalizado”, es más evidente, </w:t>
      </w:r>
      <w:r w:rsidR="00EA257B">
        <w:rPr>
          <w:rFonts w:ascii="Times New Roman" w:eastAsia="Times New Roman" w:hAnsi="Times New Roman" w:cs="Times New Roman"/>
          <w:sz w:val="24"/>
          <w:szCs w:val="24"/>
          <w:lang w:eastAsia="es-ES"/>
        </w:rPr>
        <w:t>más desolador</w:t>
      </w:r>
      <w:r>
        <w:rPr>
          <w:rFonts w:ascii="Times New Roman" w:eastAsia="Times New Roman" w:hAnsi="Times New Roman" w:cs="Times New Roman"/>
          <w:sz w:val="24"/>
          <w:szCs w:val="24"/>
          <w:lang w:eastAsia="es-ES"/>
        </w:rPr>
        <w:t>.</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Entonces, cuando el “tercermundismo” se extiende por EEUU y la UE,  surgen interrogantes: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el primer mundo</w:t>
      </w:r>
      <w:r w:rsidR="00116C35">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tienen más derechos los animales, que los pobres y sus hijos?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pobres del primer mundo</w:t>
      </w:r>
      <w:r w:rsidR="00116C35">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están fuera del “big data”?</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niños subalimentados del primer mundo</w:t>
      </w:r>
      <w:r w:rsidR="00116C35">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no son “resilientes”?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pobres del primer mundo</w:t>
      </w:r>
      <w:r w:rsidR="00116C35">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no dan el “target” (“progres”, disruptivos, bi-sexuales, feministas,</w:t>
      </w:r>
      <w:r w:rsidR="0069330D">
        <w:rPr>
          <w:rFonts w:ascii="Times New Roman" w:eastAsia="Times New Roman" w:hAnsi="Times New Roman" w:cs="Times New Roman"/>
          <w:sz w:val="24"/>
          <w:szCs w:val="24"/>
          <w:lang w:eastAsia="es-ES"/>
        </w:rPr>
        <w:t xml:space="preserve"> ecologistas, vegetarianos</w:t>
      </w:r>
      <w:r>
        <w:rPr>
          <w:rFonts w:ascii="Times New Roman" w:eastAsia="Times New Roman" w:hAnsi="Times New Roman" w:cs="Times New Roman"/>
          <w:sz w:val="24"/>
          <w:szCs w:val="24"/>
          <w:lang w:eastAsia="es-ES"/>
        </w:rPr>
        <w:t>, animalistas)</w:t>
      </w:r>
      <w:r w:rsidR="00EA257B">
        <w:rPr>
          <w:rFonts w:ascii="Times New Roman" w:eastAsia="Times New Roman" w:hAnsi="Times New Roman" w:cs="Times New Roman"/>
          <w:sz w:val="24"/>
          <w:szCs w:val="24"/>
          <w:lang w:eastAsia="es-ES"/>
        </w:rPr>
        <w:t>, para integrarse a la sociedad</w:t>
      </w:r>
      <w:r>
        <w:rPr>
          <w:rFonts w:ascii="Times New Roman" w:eastAsia="Times New Roman" w:hAnsi="Times New Roman" w:cs="Times New Roman"/>
          <w:sz w:val="24"/>
          <w:szCs w:val="24"/>
          <w:lang w:eastAsia="es-ES"/>
        </w:rPr>
        <w:t>?</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EA257B"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w:t>
      </w:r>
      <w:r w:rsidR="00116C35">
        <w:rPr>
          <w:rFonts w:ascii="Times New Roman" w:eastAsia="Times New Roman" w:hAnsi="Times New Roman" w:cs="Times New Roman"/>
          <w:sz w:val="24"/>
          <w:szCs w:val="24"/>
          <w:lang w:eastAsia="es-ES"/>
        </w:rPr>
        <w:t>e s</w:t>
      </w:r>
      <w:r>
        <w:rPr>
          <w:rFonts w:ascii="Times New Roman" w:eastAsia="Times New Roman" w:hAnsi="Times New Roman" w:cs="Times New Roman"/>
          <w:sz w:val="24"/>
          <w:szCs w:val="24"/>
          <w:lang w:eastAsia="es-ES"/>
        </w:rPr>
        <w:t>upone que l</w:t>
      </w:r>
      <w:r w:rsidR="000F32CC">
        <w:rPr>
          <w:rFonts w:ascii="Times New Roman" w:eastAsia="Times New Roman" w:hAnsi="Times New Roman" w:cs="Times New Roman"/>
          <w:sz w:val="24"/>
          <w:szCs w:val="24"/>
          <w:lang w:eastAsia="es-ES"/>
        </w:rPr>
        <w:t>os “ignorantes” usarán más el móvil</w:t>
      </w:r>
      <w:r>
        <w:rPr>
          <w:rFonts w:ascii="Times New Roman" w:eastAsia="Times New Roman" w:hAnsi="Times New Roman" w:cs="Times New Roman"/>
          <w:sz w:val="24"/>
          <w:szCs w:val="24"/>
          <w:lang w:eastAsia="es-ES"/>
        </w:rPr>
        <w:t xml:space="preserve"> (aunque esto resulte una tautología)</w:t>
      </w:r>
      <w:r w:rsidR="000F32CC">
        <w:rPr>
          <w:rFonts w:ascii="Times New Roman" w:eastAsia="Times New Roman" w:hAnsi="Times New Roman" w:cs="Times New Roman"/>
          <w:sz w:val="24"/>
          <w:szCs w:val="24"/>
          <w:lang w:eastAsia="es-ES"/>
        </w:rPr>
        <w:t>?</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¿Podrán (los amos), a fuerza de “soma”</w:t>
      </w:r>
      <w:r w:rsidR="0069330D">
        <w:rPr>
          <w:rFonts w:ascii="Times New Roman" w:eastAsia="Times New Roman" w:hAnsi="Times New Roman" w:cs="Times New Roman"/>
          <w:sz w:val="24"/>
          <w:szCs w:val="24"/>
          <w:lang w:eastAsia="es-ES"/>
        </w:rPr>
        <w:t>, conseguir</w:t>
      </w:r>
      <w:r>
        <w:rPr>
          <w:rFonts w:ascii="Times New Roman" w:eastAsia="Times New Roman" w:hAnsi="Times New Roman" w:cs="Times New Roman"/>
          <w:sz w:val="24"/>
          <w:szCs w:val="24"/>
          <w:lang w:eastAsia="es-ES"/>
        </w:rPr>
        <w:t xml:space="preserve"> que los pobres no recuerden como era su infancia?</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¿Lograrán (los amos) que los pobres, y sus hijos, nunca sepan de su “parálisis de vida”?</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Mientras los amos (o sus siervos académicos) evacuan respuestas, algunos “reparos”: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Pasar de la “nueva” pobreza, a las colas del hambre, es cosa de un par de meses, para algunos, tal vez de un par de semanas. De allí a la desnutrición infantil, queda poca distancia.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“desnutrición” infantil (tanto en los países del primer mundo, como en los países del tercer mundo) es una “fábrica” de tarados, es la creación de una sociedad “pigmea” (tanto física como intelectualmente). Si en los países pobres es una desgracia difícilmente evitable, en los países avanzados es una calamidad imperdonable.</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Aunque haya 47,4 millones de personas viviendo en barrios de bajos ingresos, y con poco acceso a la comida saludable, en los Estados Unidos…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Aunque haya 92, 4 millones de personas en riesgo de pobreza o exclusión social en la Unión Europea…</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parece que para Wall Street y Silicon Valley</w:t>
      </w:r>
      <w:r w:rsidR="00116C35">
        <w:rPr>
          <w:rFonts w:ascii="Times New Roman" w:eastAsia="Times New Roman" w:hAnsi="Times New Roman" w:cs="Times New Roman"/>
          <w:sz w:val="24"/>
          <w:szCs w:val="24"/>
          <w:lang w:eastAsia="es-ES"/>
        </w:rPr>
        <w:t>, y sus vasallos</w:t>
      </w:r>
      <w:r w:rsidR="0069330D">
        <w:rPr>
          <w:rFonts w:ascii="Times New Roman" w:eastAsia="Times New Roman" w:hAnsi="Times New Roman" w:cs="Times New Roman"/>
          <w:sz w:val="24"/>
          <w:szCs w:val="24"/>
          <w:lang w:eastAsia="es-ES"/>
        </w:rPr>
        <w:t xml:space="preserve"> del Foro Económico Mundial (Davos)</w:t>
      </w:r>
      <w:r w:rsidR="00116C35">
        <w:rPr>
          <w:rFonts w:ascii="Times New Roman" w:eastAsia="Times New Roman" w:hAnsi="Times New Roman" w:cs="Times New Roman"/>
          <w:sz w:val="24"/>
          <w:szCs w:val="24"/>
          <w:lang w:eastAsia="es-ES"/>
        </w:rPr>
        <w:t>,</w:t>
      </w:r>
      <w:r w:rsidR="0069330D">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la “pobreza” (en los países avanzados) es “solo” un obstáculo que saltar, eludir o disimular… mientras los políticos</w:t>
      </w:r>
      <w:r w:rsidR="0069330D">
        <w:rPr>
          <w:rFonts w:ascii="Times New Roman" w:eastAsia="Times New Roman" w:hAnsi="Times New Roman" w:cs="Times New Roman"/>
          <w:sz w:val="24"/>
          <w:szCs w:val="24"/>
          <w:lang w:eastAsia="es-ES"/>
        </w:rPr>
        <w:t xml:space="preserve"> (de los países avanzados)</w:t>
      </w:r>
      <w:r>
        <w:rPr>
          <w:rFonts w:ascii="Times New Roman" w:eastAsia="Times New Roman" w:hAnsi="Times New Roman" w:cs="Times New Roman"/>
          <w:sz w:val="24"/>
          <w:szCs w:val="24"/>
          <w:lang w:eastAsia="es-ES"/>
        </w:rPr>
        <w:t xml:space="preserve"> practican la ceguer</w:t>
      </w:r>
      <w:r w:rsidR="0069330D">
        <w:rPr>
          <w:rFonts w:ascii="Times New Roman" w:eastAsia="Times New Roman" w:hAnsi="Times New Roman" w:cs="Times New Roman"/>
          <w:sz w:val="24"/>
          <w:szCs w:val="24"/>
          <w:lang w:eastAsia="es-ES"/>
        </w:rPr>
        <w:t>a voluntaria (cuando no explotan</w:t>
      </w:r>
      <w:r>
        <w:rPr>
          <w:rFonts w:ascii="Times New Roman" w:eastAsia="Times New Roman" w:hAnsi="Times New Roman" w:cs="Times New Roman"/>
          <w:sz w:val="24"/>
          <w:szCs w:val="24"/>
          <w:lang w:eastAsia="es-ES"/>
        </w:rPr>
        <w:t xml:space="preserve"> al “pobrismo” clientelar como</w:t>
      </w:r>
      <w:r w:rsidR="0069330D">
        <w:rPr>
          <w:rFonts w:ascii="Times New Roman" w:eastAsia="Times New Roman" w:hAnsi="Times New Roman" w:cs="Times New Roman"/>
          <w:sz w:val="24"/>
          <w:szCs w:val="24"/>
          <w:lang w:eastAsia="es-ES"/>
        </w:rPr>
        <w:t xml:space="preserve"> una</w:t>
      </w:r>
      <w:r>
        <w:rPr>
          <w:rFonts w:ascii="Times New Roman" w:eastAsia="Times New Roman" w:hAnsi="Times New Roman" w:cs="Times New Roman"/>
          <w:sz w:val="24"/>
          <w:szCs w:val="24"/>
          <w:lang w:eastAsia="es-ES"/>
        </w:rPr>
        <w:t xml:space="preserve"> herramienta electoral).</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un problema de estupidez de la clase dirigente, o es una consecuencia de la maldad, avaricia, codicia, egoísmo, cicatería,</w:t>
      </w:r>
      <w:r w:rsidR="00116C35">
        <w:rPr>
          <w:rFonts w:ascii="Times New Roman" w:eastAsia="Times New Roman" w:hAnsi="Times New Roman" w:cs="Times New Roman"/>
          <w:sz w:val="24"/>
          <w:szCs w:val="24"/>
          <w:lang w:eastAsia="es-ES"/>
        </w:rPr>
        <w:t xml:space="preserve"> arrogancia,</w:t>
      </w:r>
      <w:r>
        <w:rPr>
          <w:rFonts w:ascii="Times New Roman" w:eastAsia="Times New Roman" w:hAnsi="Times New Roman" w:cs="Times New Roman"/>
          <w:sz w:val="24"/>
          <w:szCs w:val="24"/>
          <w:lang w:eastAsia="es-ES"/>
        </w:rPr>
        <w:t xml:space="preserve">  indiferen</w:t>
      </w:r>
      <w:r w:rsidR="00116C35">
        <w:rPr>
          <w:rFonts w:ascii="Times New Roman" w:eastAsia="Times New Roman" w:hAnsi="Times New Roman" w:cs="Times New Roman"/>
          <w:sz w:val="24"/>
          <w:szCs w:val="24"/>
          <w:lang w:eastAsia="es-ES"/>
        </w:rPr>
        <w:t xml:space="preserve">cia, desinterés, miopía, </w:t>
      </w:r>
      <w:r>
        <w:rPr>
          <w:rFonts w:ascii="Times New Roman" w:eastAsia="Times New Roman" w:hAnsi="Times New Roman" w:cs="Times New Roman"/>
          <w:sz w:val="24"/>
          <w:szCs w:val="24"/>
          <w:lang w:eastAsia="es-ES"/>
        </w:rPr>
        <w:t>o miseria moral, de los políticos</w:t>
      </w:r>
      <w:r w:rsidR="00116C35">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y grandes empresarios</w:t>
      </w:r>
      <w:r w:rsidR="00116C35">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de los EEUU y la UE?</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Me inclino más por la “maldad” (premeditación, intencionalidad, planificación, cálculo, trama), que por la “estupidez” (necedad, simpleza, estulticia, ignorancia, majadería, imbecilidad).   Aunque no descarto que en el caso de los dirigentes políticos se sumen ambas.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Alguno</w:t>
      </w:r>
      <w:r w:rsidR="00116C35">
        <w:rPr>
          <w:rFonts w:ascii="Times New Roman" w:eastAsia="Times New Roman" w:hAnsi="Times New Roman" w:cs="Times New Roman"/>
          <w:sz w:val="24"/>
          <w:szCs w:val="24"/>
          <w:lang w:eastAsia="es-ES"/>
        </w:rPr>
        <w:t>s</w:t>
      </w:r>
      <w:r>
        <w:rPr>
          <w:rFonts w:ascii="Times New Roman" w:eastAsia="Times New Roman" w:hAnsi="Times New Roman" w:cs="Times New Roman"/>
          <w:sz w:val="24"/>
          <w:szCs w:val="24"/>
          <w:lang w:eastAsia="es-ES"/>
        </w:rPr>
        <w:t xml:space="preserve"> podría</w:t>
      </w:r>
      <w:r w:rsidR="00116C35">
        <w:rPr>
          <w:rFonts w:ascii="Times New Roman" w:eastAsia="Times New Roman" w:hAnsi="Times New Roman" w:cs="Times New Roman"/>
          <w:sz w:val="24"/>
          <w:szCs w:val="24"/>
          <w:lang w:eastAsia="es-ES"/>
        </w:rPr>
        <w:t>n</w:t>
      </w:r>
      <w:r>
        <w:rPr>
          <w:rFonts w:ascii="Times New Roman" w:eastAsia="Times New Roman" w:hAnsi="Times New Roman" w:cs="Times New Roman"/>
          <w:sz w:val="24"/>
          <w:szCs w:val="24"/>
          <w:lang w:eastAsia="es-ES"/>
        </w:rPr>
        <w:t xml:space="preserve"> preguntarse (me incluyo) si es que no tienen el más mínimo “instinto de superviv</w:t>
      </w:r>
      <w:r w:rsidR="00BD12C1">
        <w:rPr>
          <w:rFonts w:ascii="Times New Roman" w:eastAsia="Times New Roman" w:hAnsi="Times New Roman" w:cs="Times New Roman"/>
          <w:sz w:val="24"/>
          <w:szCs w:val="24"/>
          <w:lang w:eastAsia="es-ES"/>
        </w:rPr>
        <w:t>encia”. Como clase (plutocrática</w:t>
      </w:r>
      <w:r>
        <w:rPr>
          <w:rFonts w:ascii="Times New Roman" w:eastAsia="Times New Roman" w:hAnsi="Times New Roman" w:cs="Times New Roman"/>
          <w:sz w:val="24"/>
          <w:szCs w:val="24"/>
          <w:lang w:eastAsia="es-ES"/>
        </w:rPr>
        <w:t>) deberían, por motivos de seguridad, o de perpetuación familiar, intentar minimizar los motivos de inseguridad de las personas y bienes.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temen que la pobreza (absoluta) al lado de la riqueza (extrema), despierte un espíritu de venganza, agresividad, ofensa, agravio, insulto, ultraje, desquite, represalia, o escarmiento?</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¿Podrán proteger a sus hijos y nietos… de las hordas de “bárbaros” sociópatas y drogados? ¿Cuánto tardarán lo</w:t>
      </w:r>
      <w:r w:rsidR="00910A51">
        <w:rPr>
          <w:rFonts w:ascii="Times New Roman" w:eastAsia="Times New Roman" w:hAnsi="Times New Roman" w:cs="Times New Roman"/>
          <w:sz w:val="24"/>
          <w:szCs w:val="24"/>
          <w:lang w:eastAsia="es-ES"/>
        </w:rPr>
        <w:t>s “descerebrados” (previsibles</w:t>
      </w:r>
      <w:r>
        <w:rPr>
          <w:rFonts w:ascii="Times New Roman" w:eastAsia="Times New Roman" w:hAnsi="Times New Roman" w:cs="Times New Roman"/>
          <w:sz w:val="24"/>
          <w:szCs w:val="24"/>
          <w:lang w:eastAsia="es-ES"/>
        </w:rPr>
        <w:t>) en saltar el cerco que separa sus miserables “chabolas”, de los lujosos “barrios privados”? ¿Alcanzarán los “seguratas” para repeler al “aluvión zoológico”?</w:t>
      </w:r>
      <w:r w:rsidR="00910A51">
        <w:rPr>
          <w:rFonts w:ascii="Times New Roman" w:eastAsia="Times New Roman" w:hAnsi="Times New Roman" w:cs="Times New Roman"/>
          <w:sz w:val="24"/>
          <w:szCs w:val="24"/>
          <w:lang w:eastAsia="es-ES"/>
        </w:rPr>
        <w:t xml:space="preserve"> ¿Ordenarán a las FFAA que defiendan sus propiedades?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noProof/>
          <w:lang w:eastAsia="es-ES"/>
        </w:rPr>
        <w:drawing>
          <wp:inline distT="0" distB="0" distL="0" distR="0" wp14:anchorId="4D7A114A" wp14:editId="5EF61255">
            <wp:extent cx="5727700" cy="2571750"/>
            <wp:effectExtent l="0" t="0" r="6350" b="0"/>
            <wp:docPr id="154" name="Imagen 154" descr="16 Imágenes Que Describen El Contraste Entre La Pobreza Y La Riqueza En El  Mundo | Upso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6 Imágenes Que Describen El Contraste Entre La Pobreza Y La Riqueza En El  Mundo | Upsocl"/>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727700" cy="2571750"/>
                    </a:xfrm>
                    <a:prstGeom prst="rect">
                      <a:avLst/>
                    </a:prstGeom>
                    <a:noFill/>
                    <a:ln>
                      <a:noFill/>
                    </a:ln>
                  </pic:spPr>
                </pic:pic>
              </a:graphicData>
            </a:graphic>
          </wp:inline>
        </w:drawing>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4E478D" w:rsidRDefault="004E478D" w:rsidP="004E478D">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La empresas (Big Tech) que </w:t>
      </w:r>
      <w:r w:rsidRPr="004B39F1">
        <w:rPr>
          <w:rFonts w:ascii="Times New Roman" w:hAnsi="Times New Roman" w:cs="Times New Roman"/>
          <w:sz w:val="24"/>
          <w:szCs w:val="24"/>
        </w:rPr>
        <w:t>capt</w:t>
      </w:r>
      <w:r>
        <w:rPr>
          <w:rFonts w:ascii="Times New Roman" w:hAnsi="Times New Roman" w:cs="Times New Roman"/>
          <w:sz w:val="24"/>
          <w:szCs w:val="24"/>
        </w:rPr>
        <w:t>uran y organizan la información, que también</w:t>
      </w:r>
      <w:r w:rsidRPr="004B39F1">
        <w:rPr>
          <w:rFonts w:ascii="Times New Roman" w:hAnsi="Times New Roman" w:cs="Times New Roman"/>
          <w:sz w:val="24"/>
          <w:szCs w:val="24"/>
        </w:rPr>
        <w:t xml:space="preserve"> alteran el comportamiento</w:t>
      </w:r>
      <w:r>
        <w:rPr>
          <w:rFonts w:ascii="Times New Roman" w:hAnsi="Times New Roman" w:cs="Times New Roman"/>
          <w:sz w:val="24"/>
          <w:szCs w:val="24"/>
        </w:rPr>
        <w:t xml:space="preserve"> de la gente, </w:t>
      </w:r>
      <w:r>
        <w:rPr>
          <w:rFonts w:ascii="Times New Roman" w:eastAsia="Times New Roman" w:hAnsi="Times New Roman" w:cs="Times New Roman"/>
          <w:sz w:val="24"/>
          <w:szCs w:val="24"/>
          <w:lang w:eastAsia="es-ES"/>
        </w:rPr>
        <w:t>han descubierto (Davos - Enero 2021) que el Partido Comunista de China puede ser el “policía” de último recurso. El nuevo “guardián” del becerro de oro.</w:t>
      </w:r>
    </w:p>
    <w:p w:rsidR="004E478D" w:rsidRDefault="004E478D" w:rsidP="004E478D">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121C9E"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Tal vez, porque estas corporaciones, </w:t>
      </w:r>
      <w:r>
        <w:rPr>
          <w:rFonts w:ascii="Times New Roman" w:hAnsi="Times New Roman" w:cs="Times New Roman"/>
          <w:sz w:val="24"/>
          <w:szCs w:val="24"/>
        </w:rPr>
        <w:t>no aceptan quedar sujetas por ningún estándar</w:t>
      </w:r>
      <w:r w:rsidRPr="00F2058B">
        <w:rPr>
          <w:rFonts w:ascii="Times New Roman" w:hAnsi="Times New Roman" w:cs="Times New Roman"/>
          <w:sz w:val="24"/>
          <w:szCs w:val="24"/>
        </w:rPr>
        <w:t xml:space="preserve"> de decencia y derechos humano</w:t>
      </w:r>
      <w:r w:rsidR="00910A51">
        <w:rPr>
          <w:rFonts w:ascii="Times New Roman" w:hAnsi="Times New Roman" w:cs="Times New Roman"/>
          <w:sz w:val="24"/>
          <w:szCs w:val="24"/>
        </w:rPr>
        <w:t>s, desean</w:t>
      </w:r>
      <w:r>
        <w:rPr>
          <w:rFonts w:ascii="Times New Roman" w:eastAsia="Times New Roman" w:hAnsi="Times New Roman" w:cs="Times New Roman"/>
          <w:sz w:val="24"/>
          <w:szCs w:val="24"/>
          <w:lang w:eastAsia="es-ES"/>
        </w:rPr>
        <w:t xml:space="preserve"> </w:t>
      </w:r>
      <w:r w:rsidR="00406182">
        <w:rPr>
          <w:rFonts w:ascii="Times New Roman" w:eastAsia="Times New Roman" w:hAnsi="Times New Roman" w:cs="Times New Roman"/>
          <w:sz w:val="24"/>
          <w:szCs w:val="24"/>
          <w:lang w:eastAsia="es-ES"/>
        </w:rPr>
        <w:t>que</w:t>
      </w:r>
      <w:r w:rsidR="004E478D">
        <w:rPr>
          <w:rFonts w:ascii="Times New Roman" w:eastAsia="Times New Roman" w:hAnsi="Times New Roman" w:cs="Times New Roman"/>
          <w:sz w:val="24"/>
          <w:szCs w:val="24"/>
          <w:lang w:eastAsia="es-ES"/>
        </w:rPr>
        <w:t xml:space="preserve"> </w:t>
      </w:r>
      <w:r w:rsidR="000F32CC">
        <w:rPr>
          <w:rFonts w:ascii="Times New Roman" w:eastAsia="Times New Roman" w:hAnsi="Times New Roman" w:cs="Times New Roman"/>
          <w:sz w:val="24"/>
          <w:szCs w:val="24"/>
          <w:lang w:eastAsia="es-ES"/>
        </w:rPr>
        <w:t>China dirija el “gran reseteo” de la economía. Para tener una “dictadura”, qu</w:t>
      </w:r>
      <w:r>
        <w:rPr>
          <w:rFonts w:ascii="Times New Roman" w:eastAsia="Times New Roman" w:hAnsi="Times New Roman" w:cs="Times New Roman"/>
          <w:sz w:val="24"/>
          <w:szCs w:val="24"/>
          <w:lang w:eastAsia="es-ES"/>
        </w:rPr>
        <w:t xml:space="preserve">e proteja sus negocios, </w:t>
      </w:r>
      <w:r w:rsidR="000F32CC">
        <w:rPr>
          <w:rFonts w:ascii="Times New Roman" w:eastAsia="Times New Roman" w:hAnsi="Times New Roman" w:cs="Times New Roman"/>
          <w:sz w:val="24"/>
          <w:szCs w:val="24"/>
          <w:lang w:eastAsia="es-ES"/>
        </w:rPr>
        <w:t xml:space="preserve">y familias.  Así, se entiende todo…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sidRPr="006119F4">
        <w:rPr>
          <w:noProof/>
          <w:lang w:eastAsia="es-ES"/>
        </w:rPr>
        <w:drawing>
          <wp:inline distT="0" distB="0" distL="0" distR="0" wp14:anchorId="212A278A" wp14:editId="693B98BF">
            <wp:extent cx="5734049" cy="2895600"/>
            <wp:effectExtent l="0" t="0" r="635"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731510" cy="2894318"/>
                    </a:xfrm>
                    <a:prstGeom prst="rect">
                      <a:avLst/>
                    </a:prstGeom>
                  </pic:spPr>
                </pic:pic>
              </a:graphicData>
            </a:graphic>
          </wp:inline>
        </w:drawing>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F763D7" w:rsidRDefault="000F32CC" w:rsidP="000F32CC">
      <w:pPr>
        <w:shd w:val="clear" w:color="auto" w:fill="FDFDFD"/>
        <w:spacing w:after="0" w:line="240" w:lineRule="auto"/>
        <w:jc w:val="both"/>
        <w:rPr>
          <w:rStyle w:val="nfasis"/>
          <w:rFonts w:ascii="Times New Roman" w:hAnsi="Times New Roman" w:cs="Times New Roman"/>
          <w:bCs/>
          <w:i w:val="0"/>
          <w:iCs w:val="0"/>
          <w:sz w:val="24"/>
          <w:szCs w:val="24"/>
          <w:shd w:val="clear" w:color="auto" w:fill="FFFFFF"/>
        </w:rPr>
      </w:pPr>
      <w:r>
        <w:rPr>
          <w:rFonts w:ascii="Times New Roman" w:eastAsia="Times New Roman" w:hAnsi="Times New Roman" w:cs="Times New Roman"/>
          <w:sz w:val="24"/>
          <w:szCs w:val="24"/>
          <w:lang w:eastAsia="es-ES"/>
        </w:rPr>
        <w:t>Entonces, cuándo le pregunten: ¿“de qué se ríe” Señor Jeff Bezos (o Mark Z</w:t>
      </w:r>
      <w:r w:rsidRPr="00EA3A91">
        <w:rPr>
          <w:rFonts w:ascii="Times New Roman" w:eastAsia="Times New Roman" w:hAnsi="Times New Roman" w:cs="Times New Roman"/>
          <w:sz w:val="24"/>
          <w:szCs w:val="24"/>
          <w:lang w:eastAsia="es-ES"/>
        </w:rPr>
        <w:t>uckerberg</w:t>
      </w:r>
      <w:r>
        <w:rPr>
          <w:rFonts w:ascii="Times New Roman" w:eastAsia="Times New Roman" w:hAnsi="Times New Roman" w:cs="Times New Roman"/>
          <w:sz w:val="24"/>
          <w:szCs w:val="24"/>
          <w:lang w:eastAsia="es-ES"/>
        </w:rPr>
        <w:t xml:space="preserve">, o Tim Cook, o </w:t>
      </w:r>
      <w:r w:rsidRPr="00EA3A91">
        <w:rPr>
          <w:rStyle w:val="nfasis"/>
          <w:rFonts w:ascii="Times New Roman" w:hAnsi="Times New Roman" w:cs="Times New Roman"/>
          <w:bCs/>
          <w:i w:val="0"/>
          <w:iCs w:val="0"/>
          <w:sz w:val="24"/>
          <w:szCs w:val="24"/>
          <w:shd w:val="clear" w:color="auto" w:fill="FFFFFF"/>
        </w:rPr>
        <w:t>Sundar Pichai</w:t>
      </w:r>
      <w:r>
        <w:rPr>
          <w:rStyle w:val="nfasis"/>
          <w:rFonts w:ascii="Times New Roman" w:hAnsi="Times New Roman" w:cs="Times New Roman"/>
          <w:bCs/>
          <w:i w:val="0"/>
          <w:iCs w:val="0"/>
          <w:sz w:val="24"/>
          <w:szCs w:val="24"/>
          <w:shd w:val="clear" w:color="auto" w:fill="FFFFFF"/>
        </w:rPr>
        <w:t xml:space="preserve">, o </w:t>
      </w:r>
      <w:r w:rsidRPr="00AB66F1">
        <w:rPr>
          <w:rStyle w:val="nfasis"/>
          <w:rFonts w:ascii="Times New Roman" w:hAnsi="Times New Roman" w:cs="Times New Roman"/>
          <w:bCs/>
          <w:i w:val="0"/>
          <w:iCs w:val="0"/>
          <w:sz w:val="24"/>
          <w:szCs w:val="24"/>
          <w:shd w:val="clear" w:color="auto" w:fill="FFFFFF"/>
        </w:rPr>
        <w:t>Ted Sarandos</w:t>
      </w:r>
      <w:r>
        <w:rPr>
          <w:rStyle w:val="nfasis"/>
          <w:rFonts w:ascii="Times New Roman" w:hAnsi="Times New Roman" w:cs="Times New Roman"/>
          <w:bCs/>
          <w:i w:val="0"/>
          <w:iCs w:val="0"/>
          <w:sz w:val="24"/>
          <w:szCs w:val="24"/>
          <w:shd w:val="clear" w:color="auto" w:fill="FFFFFF"/>
        </w:rPr>
        <w:t xml:space="preserve">)? </w:t>
      </w:r>
    </w:p>
    <w:p w:rsidR="004E478D" w:rsidRPr="00F763D7" w:rsidRDefault="000F32CC" w:rsidP="000F32CC">
      <w:pPr>
        <w:shd w:val="clear" w:color="auto" w:fill="FDFDFD"/>
        <w:spacing w:after="0" w:line="240" w:lineRule="auto"/>
        <w:jc w:val="both"/>
        <w:rPr>
          <w:rFonts w:ascii="Times New Roman" w:hAnsi="Times New Roman" w:cs="Times New Roman"/>
          <w:bCs/>
          <w:sz w:val="24"/>
          <w:szCs w:val="24"/>
          <w:shd w:val="clear" w:color="auto" w:fill="FFFFFF"/>
        </w:rPr>
      </w:pPr>
      <w:r>
        <w:rPr>
          <w:rFonts w:ascii="Times New Roman" w:eastAsia="Times New Roman" w:hAnsi="Times New Roman" w:cs="Times New Roman"/>
          <w:sz w:val="24"/>
          <w:szCs w:val="24"/>
          <w:lang w:eastAsia="es-ES"/>
        </w:rPr>
        <w:t xml:space="preserve">La respuesta del “amo” de Amazon (o Facebook, o Apple, o Google, o Netflix), será: de vosotros.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noProof/>
          <w:lang w:eastAsia="es-ES"/>
        </w:rPr>
        <w:lastRenderedPageBreak/>
        <w:drawing>
          <wp:inline distT="0" distB="0" distL="0" distR="0" wp14:anchorId="2E5FB965" wp14:editId="295821A6">
            <wp:extent cx="5726991" cy="2584450"/>
            <wp:effectExtent l="0" t="0" r="7620" b="6350"/>
            <wp:docPr id="156" name="Imagen 156" descr="CPC fla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C flags"/>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731510" cy="2586489"/>
                    </a:xfrm>
                    <a:prstGeom prst="rect">
                      <a:avLst/>
                    </a:prstGeom>
                    <a:noFill/>
                    <a:ln>
                      <a:noFill/>
                    </a:ln>
                  </pic:spPr>
                </pic:pic>
              </a:graphicData>
            </a:graphic>
          </wp:inline>
        </w:drawing>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4E478D" w:rsidRPr="004E478D" w:rsidRDefault="004E478D" w:rsidP="004E478D">
      <w:pPr>
        <w:spacing w:line="240" w:lineRule="auto"/>
        <w:jc w:val="both"/>
        <w:rPr>
          <w:rFonts w:ascii="Times New Roman" w:hAnsi="Times New Roman" w:cs="Times New Roman"/>
          <w:sz w:val="24"/>
          <w:szCs w:val="24"/>
        </w:rPr>
      </w:pPr>
      <w:r>
        <w:rPr>
          <w:rFonts w:ascii="Times New Roman" w:hAnsi="Times New Roman" w:cs="Times New Roman"/>
          <w:sz w:val="24"/>
          <w:szCs w:val="24"/>
        </w:rPr>
        <w:t>¿Podrán obtener</w:t>
      </w:r>
      <w:r w:rsidRPr="004B39F1">
        <w:rPr>
          <w:rFonts w:ascii="Times New Roman" w:hAnsi="Times New Roman" w:cs="Times New Roman"/>
          <w:sz w:val="24"/>
          <w:szCs w:val="24"/>
        </w:rPr>
        <w:t xml:space="preserve"> los resultados esperados</w:t>
      </w:r>
      <w:r>
        <w:rPr>
          <w:rFonts w:ascii="Times New Roman" w:hAnsi="Times New Roman" w:cs="Times New Roman"/>
          <w:sz w:val="24"/>
          <w:szCs w:val="24"/>
        </w:rPr>
        <w:t xml:space="preserve"> con su modelo del “gran reseteo”, dejando en manos de China, el “tablero de comando”? É</w:t>
      </w:r>
      <w:r w:rsidRPr="004B39F1">
        <w:rPr>
          <w:rFonts w:ascii="Times New Roman" w:hAnsi="Times New Roman" w:cs="Times New Roman"/>
          <w:sz w:val="24"/>
          <w:szCs w:val="24"/>
        </w:rPr>
        <w:t>sta no parece ser una apuesta muy segura.</w:t>
      </w:r>
      <w:r>
        <w:rPr>
          <w:rFonts w:ascii="Times New Roman" w:hAnsi="Times New Roman" w:cs="Times New Roman"/>
          <w:sz w:val="24"/>
          <w:szCs w:val="24"/>
        </w:rPr>
        <w:t xml:space="preserve"> ¿Quién rescatará a la sociedad occidental, cuando las cosas salgan mal?</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Aunque en lo personal me animaría a decir: Señores de Wall Street, Señores de Silicon Valley, en vuestra apuesta por el Par</w:t>
      </w:r>
      <w:r w:rsidR="00F763D7">
        <w:rPr>
          <w:rFonts w:ascii="Times New Roman" w:eastAsia="Times New Roman" w:hAnsi="Times New Roman" w:cs="Times New Roman"/>
          <w:sz w:val="24"/>
          <w:szCs w:val="24"/>
          <w:lang w:eastAsia="es-ES"/>
        </w:rPr>
        <w:t xml:space="preserve">tido Comunista de China (Davos - </w:t>
      </w:r>
      <w:r>
        <w:rPr>
          <w:rFonts w:ascii="Times New Roman" w:eastAsia="Times New Roman" w:hAnsi="Times New Roman" w:cs="Times New Roman"/>
          <w:sz w:val="24"/>
          <w:szCs w:val="24"/>
          <w:lang w:eastAsia="es-ES"/>
        </w:rPr>
        <w:t>Enero 2021) para que les asegure una “dictadura” de mercado (global), “no les arriendo la ganancia” (*).</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este “gran salto adelante” (sic Mao)</w:t>
      </w:r>
      <w:r w:rsidR="00F763D7">
        <w:rPr>
          <w:rFonts w:ascii="Times New Roman" w:eastAsia="Times New Roman" w:hAnsi="Times New Roman" w:cs="Times New Roman"/>
          <w:sz w:val="24"/>
          <w:szCs w:val="24"/>
          <w:lang w:eastAsia="es-ES"/>
        </w:rPr>
        <w:t>:</w:t>
      </w:r>
      <w:r w:rsidR="00532DCE">
        <w:rPr>
          <w:rFonts w:ascii="Times New Roman" w:eastAsia="Times New Roman" w:hAnsi="Times New Roman" w:cs="Times New Roman"/>
          <w:sz w:val="24"/>
          <w:szCs w:val="24"/>
          <w:lang w:eastAsia="es-ES"/>
        </w:rPr>
        <w:t xml:space="preserve"> ¿q</w:t>
      </w:r>
      <w:r>
        <w:rPr>
          <w:rFonts w:ascii="Times New Roman" w:eastAsia="Times New Roman" w:hAnsi="Times New Roman" w:cs="Times New Roman"/>
          <w:sz w:val="24"/>
          <w:szCs w:val="24"/>
          <w:lang w:eastAsia="es-ES"/>
        </w:rPr>
        <w:t>uién se</w:t>
      </w:r>
      <w:r w:rsidR="00532DCE">
        <w:rPr>
          <w:rFonts w:ascii="Times New Roman" w:eastAsia="Times New Roman" w:hAnsi="Times New Roman" w:cs="Times New Roman"/>
          <w:sz w:val="24"/>
          <w:szCs w:val="24"/>
          <w:lang w:eastAsia="es-ES"/>
        </w:rPr>
        <w:t>rá el esclavo moral de quién? ¿quién usará a quién? ¿q</w:t>
      </w:r>
      <w:r>
        <w:rPr>
          <w:rFonts w:ascii="Times New Roman" w:eastAsia="Times New Roman" w:hAnsi="Times New Roman" w:cs="Times New Roman"/>
          <w:sz w:val="24"/>
          <w:szCs w:val="24"/>
          <w:lang w:eastAsia="es-ES"/>
        </w:rPr>
        <w:t>uién será el primero en “cagarse” en los pantalones?</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“camino de servidumbre”, que ni siquiera, como huida hacia delante, de los funambulistas de Wall Street, y los giróvagos de Silicon Valley, puede comp</w:t>
      </w:r>
      <w:r w:rsidR="00406182">
        <w:rPr>
          <w:rFonts w:ascii="Times New Roman" w:eastAsia="Times New Roman" w:hAnsi="Times New Roman" w:cs="Times New Roman"/>
          <w:sz w:val="24"/>
          <w:szCs w:val="24"/>
          <w:lang w:eastAsia="es-ES"/>
        </w:rPr>
        <w:t xml:space="preserve">renderse, tolerarse, admitirse. </w:t>
      </w:r>
      <w:r>
        <w:rPr>
          <w:rFonts w:ascii="Times New Roman" w:eastAsia="Times New Roman" w:hAnsi="Times New Roman" w:cs="Times New Roman"/>
          <w:sz w:val="24"/>
          <w:szCs w:val="24"/>
          <w:lang w:eastAsia="es-ES"/>
        </w:rPr>
        <w:t>Para semejante “claudicación” del capitalismo, no hacían falta big data, algoritmos, o IA.</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Lenin dijo que: “los capitalistas </w:t>
      </w:r>
      <w:r w:rsidRPr="00590AE1">
        <w:rPr>
          <w:rFonts w:ascii="Times New Roman" w:eastAsia="Times New Roman" w:hAnsi="Times New Roman" w:cs="Times New Roman"/>
          <w:sz w:val="24"/>
          <w:szCs w:val="24"/>
          <w:lang w:eastAsia="es-ES"/>
        </w:rPr>
        <w:t xml:space="preserve">nos venderán la soga con que los ahorcaremos” </w:t>
      </w:r>
      <w:r>
        <w:rPr>
          <w:rFonts w:ascii="Times New Roman" w:eastAsia="Times New Roman" w:hAnsi="Times New Roman" w:cs="Times New Roman"/>
          <w:sz w:val="24"/>
          <w:szCs w:val="24"/>
          <w:lang w:eastAsia="es-ES"/>
        </w:rPr>
        <w:t>(sic)…</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480624"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Pero estos capitalistas “postmodernos”</w:t>
      </w:r>
      <w:r w:rsidR="000F32CC">
        <w:rPr>
          <w:rFonts w:ascii="Times New Roman" w:eastAsia="Times New Roman" w:hAnsi="Times New Roman" w:cs="Times New Roman"/>
          <w:sz w:val="24"/>
          <w:szCs w:val="24"/>
          <w:lang w:eastAsia="es-ES"/>
        </w:rPr>
        <w:t xml:space="preserve"> pueden ir m</w:t>
      </w:r>
      <w:r>
        <w:rPr>
          <w:rFonts w:ascii="Times New Roman" w:eastAsia="Times New Roman" w:hAnsi="Times New Roman" w:cs="Times New Roman"/>
          <w:sz w:val="24"/>
          <w:szCs w:val="24"/>
          <w:lang w:eastAsia="es-ES"/>
        </w:rPr>
        <w:t>ás allá de cualquier “</w:t>
      </w:r>
      <w:r w:rsidR="00873824">
        <w:rPr>
          <w:rFonts w:ascii="Times New Roman" w:eastAsia="Times New Roman" w:hAnsi="Times New Roman" w:cs="Times New Roman"/>
          <w:sz w:val="24"/>
          <w:szCs w:val="24"/>
          <w:lang w:eastAsia="es-ES"/>
        </w:rPr>
        <w:t>profecía</w:t>
      </w:r>
      <w:r w:rsidR="000F32CC">
        <w:rPr>
          <w:rFonts w:ascii="Times New Roman" w:eastAsia="Times New Roman" w:hAnsi="Times New Roman" w:cs="Times New Roman"/>
          <w:sz w:val="24"/>
          <w:szCs w:val="24"/>
          <w:lang w:eastAsia="es-ES"/>
        </w:rPr>
        <w:t xml:space="preserve">” de </w:t>
      </w:r>
      <w:r w:rsidR="000F32CC" w:rsidRPr="00590AE1">
        <w:rPr>
          <w:rFonts w:ascii="Times New Roman" w:eastAsia="Times New Roman" w:hAnsi="Times New Roman" w:cs="Times New Roman"/>
          <w:sz w:val="24"/>
          <w:szCs w:val="24"/>
          <w:lang w:eastAsia="es-ES"/>
        </w:rPr>
        <w:t>Vladímir Ilich Uliánov</w:t>
      </w:r>
      <w:r w:rsidR="000F32CC">
        <w:rPr>
          <w:rFonts w:ascii="Times New Roman" w:eastAsia="Times New Roman" w:hAnsi="Times New Roman" w:cs="Times New Roman"/>
          <w:sz w:val="24"/>
          <w:szCs w:val="24"/>
          <w:lang w:eastAsia="es-ES"/>
        </w:rPr>
        <w:t xml:space="preserve"> o de </w:t>
      </w:r>
      <w:r w:rsidR="000F32CC" w:rsidRPr="00590AE1">
        <w:rPr>
          <w:rFonts w:ascii="Times New Roman" w:eastAsia="Times New Roman" w:hAnsi="Times New Roman" w:cs="Times New Roman"/>
          <w:sz w:val="24"/>
          <w:szCs w:val="24"/>
          <w:lang w:eastAsia="es-ES"/>
        </w:rPr>
        <w:t xml:space="preserve"> Mao Tse-Tung</w:t>
      </w:r>
      <w:r w:rsidR="000F32CC">
        <w:rPr>
          <w:rFonts w:ascii="Times New Roman" w:eastAsia="Times New Roman" w:hAnsi="Times New Roman" w:cs="Times New Roman"/>
          <w:sz w:val="24"/>
          <w:szCs w:val="24"/>
          <w:lang w:eastAsia="es-ES"/>
        </w:rPr>
        <w:t>: ¡se la van a regalar!... Y si no, al tiempo.</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Ni en la mayor de sus “utopías”, Lenin, o Mao, se hubieran imaginado que el capitalismo, les iba a golpear la puerta par</w:t>
      </w:r>
      <w:r w:rsidR="00480624">
        <w:rPr>
          <w:rFonts w:ascii="Times New Roman" w:eastAsia="Times New Roman" w:hAnsi="Times New Roman" w:cs="Times New Roman"/>
          <w:sz w:val="24"/>
          <w:szCs w:val="24"/>
          <w:lang w:eastAsia="es-ES"/>
        </w:rPr>
        <w:t>a “claudicar</w:t>
      </w:r>
      <w:r>
        <w:rPr>
          <w:rFonts w:ascii="Times New Roman" w:eastAsia="Times New Roman" w:hAnsi="Times New Roman" w:cs="Times New Roman"/>
          <w:sz w:val="24"/>
          <w:szCs w:val="24"/>
          <w:lang w:eastAsia="es-ES"/>
        </w:rPr>
        <w:t>”, “entregarse”, “rendirse”, “someterse”, “inmolarse”.</w:t>
      </w:r>
    </w:p>
    <w:p w:rsidR="00532DCE" w:rsidRDefault="00532DCE"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532DCE" w:rsidRDefault="00532DCE"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Cuando se superan las fronteras del despropósito para incurrir en las del esperpento</w:t>
      </w:r>
      <w:r>
        <w:rPr>
          <w:rFonts w:ascii="Times New Roman" w:eastAsia="Times New Roman" w:hAnsi="Times New Roman" w:cs="Times New Roman"/>
          <w:sz w:val="24"/>
          <w:szCs w:val="24"/>
          <w:lang w:eastAsia="es-ES"/>
        </w:rPr>
        <w:t>, ante la inmensidad de la derrota, cabe preguntarse ¿si existe alguna ignominia necesaria?</w:t>
      </w: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0F32CC" w:rsidRDefault="000F32CC" w:rsidP="000F32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Al “costo de los factores” (colas del hambre y desiertos de comida, en los países avanzados), Señores Apóstoles del multilateralismo, la co</w:t>
      </w:r>
      <w:r w:rsidR="00EB05D0">
        <w:rPr>
          <w:rFonts w:ascii="Times New Roman" w:eastAsia="Times New Roman" w:hAnsi="Times New Roman" w:cs="Times New Roman"/>
          <w:sz w:val="24"/>
          <w:szCs w:val="24"/>
          <w:lang w:eastAsia="es-ES"/>
        </w:rPr>
        <w:t>mpetitividad, la digitalización</w:t>
      </w:r>
      <w:r>
        <w:rPr>
          <w:rFonts w:ascii="Times New Roman" w:eastAsia="Times New Roman" w:hAnsi="Times New Roman" w:cs="Times New Roman"/>
          <w:sz w:val="24"/>
          <w:szCs w:val="24"/>
          <w:lang w:eastAsia="es-ES"/>
        </w:rPr>
        <w:t>, la disrupción, la resiliencia</w:t>
      </w:r>
      <w:r w:rsidR="00480624">
        <w:rPr>
          <w:rFonts w:ascii="Times New Roman" w:eastAsia="Times New Roman" w:hAnsi="Times New Roman" w:cs="Times New Roman"/>
          <w:sz w:val="24"/>
          <w:szCs w:val="24"/>
          <w:lang w:eastAsia="es-ES"/>
        </w:rPr>
        <w:t xml:space="preserve"> y el ecologismo</w:t>
      </w:r>
      <w:r w:rsidR="00532DCE">
        <w:rPr>
          <w:rFonts w:ascii="Times New Roman" w:eastAsia="Times New Roman" w:hAnsi="Times New Roman" w:cs="Times New Roman"/>
          <w:sz w:val="24"/>
          <w:szCs w:val="24"/>
          <w:lang w:eastAsia="es-ES"/>
        </w:rPr>
        <w:t>, me animo a decirles: c</w:t>
      </w:r>
      <w:r>
        <w:rPr>
          <w:rFonts w:ascii="Times New Roman" w:eastAsia="Times New Roman" w:hAnsi="Times New Roman" w:cs="Times New Roman"/>
          <w:sz w:val="24"/>
          <w:szCs w:val="24"/>
          <w:lang w:eastAsia="es-ES"/>
        </w:rPr>
        <w:t xml:space="preserve">on el Partido Comunista de China como “business angel”, </w:t>
      </w:r>
      <w:r w:rsidRPr="004F5CA0">
        <w:rPr>
          <w:rFonts w:ascii="Times New Roman" w:eastAsia="Times New Roman" w:hAnsi="Times New Roman" w:cs="Times New Roman"/>
          <w:sz w:val="24"/>
          <w:szCs w:val="24"/>
          <w:lang w:eastAsia="es-ES"/>
        </w:rPr>
        <w:t>cuando espabile</w:t>
      </w:r>
      <w:r>
        <w:rPr>
          <w:rFonts w:ascii="Times New Roman" w:eastAsia="Times New Roman" w:hAnsi="Times New Roman" w:cs="Times New Roman"/>
          <w:sz w:val="24"/>
          <w:szCs w:val="24"/>
          <w:lang w:eastAsia="es-ES"/>
        </w:rPr>
        <w:t>n ya será</w:t>
      </w:r>
      <w:r w:rsidRPr="004F5CA0">
        <w:rPr>
          <w:rFonts w:ascii="Times New Roman" w:eastAsia="Times New Roman" w:hAnsi="Times New Roman" w:cs="Times New Roman"/>
          <w:sz w:val="24"/>
          <w:szCs w:val="24"/>
          <w:lang w:eastAsia="es-ES"/>
        </w:rPr>
        <w:t xml:space="preserve"> demasiado tarde.</w:t>
      </w:r>
    </w:p>
    <w:p w:rsidR="00F763D7" w:rsidRDefault="00F763D7" w:rsidP="000F32CC">
      <w:pPr>
        <w:shd w:val="clear" w:color="auto" w:fill="FDFDFD"/>
        <w:spacing w:after="0" w:line="240" w:lineRule="auto"/>
        <w:jc w:val="both"/>
        <w:rPr>
          <w:rFonts w:ascii="Times New Roman" w:eastAsia="Times New Roman" w:hAnsi="Times New Roman" w:cs="Times New Roman"/>
          <w:sz w:val="24"/>
          <w:szCs w:val="24"/>
          <w:lang w:eastAsia="es-ES"/>
        </w:rPr>
      </w:pPr>
    </w:p>
    <w:p w:rsidR="00EB05D0" w:rsidRDefault="000F32CC" w:rsidP="000F32CC">
      <w:pPr>
        <w:shd w:val="clear" w:color="auto" w:fill="FDFDFD"/>
        <w:spacing w:after="0" w:line="240" w:lineRule="auto"/>
        <w:jc w:val="both"/>
        <w:rPr>
          <w:rFonts w:ascii="Times New Roman" w:eastAsia="Times New Roman" w:hAnsi="Times New Roman" w:cs="Times New Roman"/>
          <w:sz w:val="20"/>
          <w:szCs w:val="20"/>
          <w:lang w:eastAsia="es-ES"/>
        </w:rPr>
      </w:pPr>
      <w:r>
        <w:rPr>
          <w:rFonts w:ascii="Times New Roman" w:eastAsia="Times New Roman" w:hAnsi="Times New Roman" w:cs="Times New Roman"/>
          <w:sz w:val="24"/>
          <w:szCs w:val="24"/>
          <w:lang w:eastAsia="es-ES"/>
        </w:rPr>
        <w:t xml:space="preserve">(*) </w:t>
      </w:r>
      <w:r w:rsidRPr="00F11A09">
        <w:rPr>
          <w:rFonts w:ascii="Times New Roman" w:eastAsia="Times New Roman" w:hAnsi="Times New Roman" w:cs="Times New Roman"/>
          <w:sz w:val="20"/>
          <w:szCs w:val="20"/>
          <w:lang w:eastAsia="es-ES"/>
        </w:rPr>
        <w:t xml:space="preserve">Se utiliza para dar a entender que una persona está en peligro o va a resultar perjudicada como consecuencia de sus actos.   </w:t>
      </w:r>
    </w:p>
    <w:p w:rsidR="00EB05D0" w:rsidRDefault="00EB05D0" w:rsidP="000F32CC">
      <w:pPr>
        <w:shd w:val="clear" w:color="auto" w:fill="FDFDFD"/>
        <w:spacing w:after="0" w:line="240" w:lineRule="auto"/>
        <w:jc w:val="both"/>
        <w:rPr>
          <w:rFonts w:ascii="Times New Roman" w:eastAsia="Times New Roman" w:hAnsi="Times New Roman" w:cs="Times New Roman"/>
          <w:sz w:val="20"/>
          <w:szCs w:val="20"/>
          <w:lang w:eastAsia="es-ES"/>
        </w:rPr>
      </w:pPr>
    </w:p>
    <w:p w:rsidR="00EB05D0" w:rsidRDefault="00EB05D0" w:rsidP="000F32CC">
      <w:pPr>
        <w:shd w:val="clear" w:color="auto" w:fill="FDFDFD"/>
        <w:spacing w:after="0" w:line="240" w:lineRule="auto"/>
        <w:jc w:val="both"/>
        <w:rPr>
          <w:rFonts w:ascii="Times New Roman" w:eastAsia="Times New Roman" w:hAnsi="Times New Roman" w:cs="Times New Roman"/>
          <w:sz w:val="20"/>
          <w:szCs w:val="20"/>
          <w:lang w:eastAsia="es-ES"/>
        </w:rPr>
      </w:pPr>
    </w:p>
    <w:p w:rsidR="00EB05D0" w:rsidRDefault="00EB05D0" w:rsidP="00EB05D0">
      <w:pPr>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D203E5">
        <w:rPr>
          <w:rFonts w:ascii="Times New Roman" w:hAnsi="Times New Roman" w:cs="Times New Roman"/>
          <w:b/>
          <w:sz w:val="24"/>
          <w:szCs w:val="24"/>
        </w:rPr>
        <w:t>Forensic</w:t>
      </w:r>
      <w:r>
        <w:rPr>
          <w:rFonts w:ascii="Times New Roman" w:hAnsi="Times New Roman" w:cs="Times New Roman"/>
          <w:b/>
          <w:sz w:val="24"/>
          <w:szCs w:val="24"/>
        </w:rPr>
        <w:t xml:space="preserve"> accountig</w:t>
      </w:r>
    </w:p>
    <w:p w:rsidR="00EB05D0"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A los “creadores absolutos” se los debería  “distinguir” (juzgar) en relación:</w:t>
      </w:r>
    </w:p>
    <w:p w:rsidR="00EB05D0" w:rsidRDefault="00EB05D0" w:rsidP="00EB05D0">
      <w:pPr>
        <w:pStyle w:val="Prrafodelista"/>
        <w:numPr>
          <w:ilvl w:val="0"/>
          <w:numId w:val="18"/>
        </w:numPr>
        <w:spacing w:line="240" w:lineRule="auto"/>
        <w:jc w:val="both"/>
        <w:rPr>
          <w:rFonts w:ascii="Times New Roman" w:hAnsi="Times New Roman" w:cs="Times New Roman"/>
          <w:b/>
          <w:sz w:val="24"/>
          <w:szCs w:val="24"/>
        </w:rPr>
      </w:pPr>
      <w:r>
        <w:rPr>
          <w:rFonts w:ascii="Times New Roman" w:hAnsi="Times New Roman" w:cs="Times New Roman"/>
          <w:b/>
          <w:sz w:val="24"/>
          <w:szCs w:val="24"/>
        </w:rPr>
        <w:t>Con la materia que trabajan</w:t>
      </w:r>
    </w:p>
    <w:p w:rsidR="00EB05D0" w:rsidRDefault="00EB05D0" w:rsidP="00EB05D0">
      <w:pPr>
        <w:pStyle w:val="Prrafodelista"/>
        <w:numPr>
          <w:ilvl w:val="0"/>
          <w:numId w:val="18"/>
        </w:numPr>
        <w:spacing w:line="240" w:lineRule="auto"/>
        <w:jc w:val="both"/>
        <w:rPr>
          <w:rFonts w:ascii="Times New Roman" w:hAnsi="Times New Roman" w:cs="Times New Roman"/>
          <w:b/>
          <w:sz w:val="24"/>
          <w:szCs w:val="24"/>
        </w:rPr>
      </w:pPr>
      <w:r>
        <w:rPr>
          <w:rFonts w:ascii="Times New Roman" w:hAnsi="Times New Roman" w:cs="Times New Roman"/>
          <w:b/>
          <w:sz w:val="24"/>
          <w:szCs w:val="24"/>
        </w:rPr>
        <w:t>Con su modo de operar</w:t>
      </w:r>
    </w:p>
    <w:p w:rsidR="00EB05D0" w:rsidRDefault="00EB05D0" w:rsidP="00EB05D0">
      <w:pPr>
        <w:pStyle w:val="Prrafodelista"/>
        <w:numPr>
          <w:ilvl w:val="0"/>
          <w:numId w:val="18"/>
        </w:numPr>
        <w:spacing w:line="240" w:lineRule="auto"/>
        <w:jc w:val="both"/>
        <w:rPr>
          <w:rFonts w:ascii="Times New Roman" w:hAnsi="Times New Roman" w:cs="Times New Roman"/>
          <w:b/>
          <w:sz w:val="24"/>
          <w:szCs w:val="24"/>
        </w:rPr>
      </w:pPr>
      <w:r>
        <w:rPr>
          <w:rFonts w:ascii="Times New Roman" w:hAnsi="Times New Roman" w:cs="Times New Roman"/>
          <w:b/>
          <w:sz w:val="24"/>
          <w:szCs w:val="24"/>
        </w:rPr>
        <w:t>Con el resultado de su operación, es decir con el provecho para la sociedad</w:t>
      </w:r>
    </w:p>
    <w:p w:rsidR="00EB05D0"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Toda criatura que ha recibido alguna “perfección” debe comunicarla, en cierto modo, a las “criaturas inferiores”</w:t>
      </w:r>
      <w:r w:rsidR="00C73F43">
        <w:rPr>
          <w:rFonts w:ascii="Times New Roman" w:hAnsi="Times New Roman" w:cs="Times New Roman"/>
          <w:b/>
          <w:sz w:val="24"/>
          <w:szCs w:val="24"/>
        </w:rPr>
        <w:t>.</w:t>
      </w:r>
    </w:p>
    <w:p w:rsidR="00EB05D0"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“creador absoluto” que recibe algo en el momento de su inspiración, debe hacer partícipes de lo recibido, a los que nada recibieron (pueden llamarlo: humanidad, amor</w:t>
      </w:r>
      <w:r w:rsidR="00C73F43">
        <w:rPr>
          <w:rFonts w:ascii="Times New Roman" w:hAnsi="Times New Roman" w:cs="Times New Roman"/>
          <w:b/>
          <w:sz w:val="24"/>
          <w:szCs w:val="24"/>
        </w:rPr>
        <w:t xml:space="preserve"> al prójimo</w:t>
      </w:r>
      <w:r>
        <w:rPr>
          <w:rFonts w:ascii="Times New Roman" w:hAnsi="Times New Roman" w:cs="Times New Roman"/>
          <w:b/>
          <w:sz w:val="24"/>
          <w:szCs w:val="24"/>
        </w:rPr>
        <w:t>, ética, caridad, responsabilidad</w:t>
      </w:r>
      <w:r w:rsidR="00C73F43">
        <w:rPr>
          <w:rFonts w:ascii="Times New Roman" w:hAnsi="Times New Roman" w:cs="Times New Roman"/>
          <w:b/>
          <w:sz w:val="24"/>
          <w:szCs w:val="24"/>
        </w:rPr>
        <w:t xml:space="preserve"> social</w:t>
      </w:r>
      <w:r>
        <w:rPr>
          <w:rFonts w:ascii="Times New Roman" w:hAnsi="Times New Roman" w:cs="Times New Roman"/>
          <w:b/>
          <w:sz w:val="24"/>
          <w:szCs w:val="24"/>
        </w:rPr>
        <w:t>…).</w:t>
      </w:r>
    </w:p>
    <w:p w:rsidR="00EB05D0" w:rsidRPr="00EF73D1" w:rsidRDefault="00EB05D0" w:rsidP="00EB05D0">
      <w:pPr>
        <w:spacing w:line="240" w:lineRule="auto"/>
        <w:jc w:val="both"/>
        <w:rPr>
          <w:rFonts w:ascii="Times New Roman" w:hAnsi="Times New Roman" w:cs="Times New Roman"/>
          <w:b/>
          <w:sz w:val="24"/>
          <w:szCs w:val="24"/>
        </w:rPr>
      </w:pPr>
      <w:r w:rsidRPr="00EF73D1">
        <w:rPr>
          <w:rFonts w:ascii="Times New Roman" w:hAnsi="Times New Roman" w:cs="Times New Roman"/>
          <w:b/>
          <w:sz w:val="24"/>
          <w:szCs w:val="24"/>
        </w:rPr>
        <w:t>El proceso de globalización económica iniciado en la década de los ochenta -embrionariamente- y lanzado con todo vigor en los</w:t>
      </w:r>
      <w:r w:rsidR="00C73F43">
        <w:rPr>
          <w:rFonts w:ascii="Times New Roman" w:hAnsi="Times New Roman" w:cs="Times New Roman"/>
          <w:b/>
          <w:sz w:val="24"/>
          <w:szCs w:val="24"/>
        </w:rPr>
        <w:t xml:space="preserve"> años</w:t>
      </w:r>
      <w:r>
        <w:rPr>
          <w:rFonts w:ascii="Times New Roman" w:hAnsi="Times New Roman" w:cs="Times New Roman"/>
          <w:b/>
          <w:sz w:val="24"/>
          <w:szCs w:val="24"/>
        </w:rPr>
        <w:t xml:space="preserve"> noventa ha puesto a los países avanzados,</w:t>
      </w:r>
      <w:r w:rsidRPr="00EF73D1">
        <w:rPr>
          <w:rFonts w:ascii="Times New Roman" w:hAnsi="Times New Roman" w:cs="Times New Roman"/>
          <w:b/>
          <w:sz w:val="24"/>
          <w:szCs w:val="24"/>
        </w:rPr>
        <w:t xml:space="preserve"> en una situación de competitividad complicada.</w:t>
      </w:r>
    </w:p>
    <w:p w:rsidR="00EB05D0" w:rsidRPr="00AE10E6"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Durante ese período de tiempo, ha quedado claro quiénes componen el elenco de los agraciados por el libre movimiento de mercancías y capitales</w:t>
      </w:r>
      <w:r w:rsidRPr="00AE10E6">
        <w:rPr>
          <w:rFonts w:ascii="Times New Roman" w:hAnsi="Times New Roman" w:cs="Times New Roman"/>
          <w:b/>
          <w:sz w:val="24"/>
          <w:szCs w:val="24"/>
        </w:rPr>
        <w:t>. Algunos países</w:t>
      </w:r>
      <w:r w:rsidR="00532DCE">
        <w:rPr>
          <w:rFonts w:ascii="Times New Roman" w:hAnsi="Times New Roman" w:cs="Times New Roman"/>
          <w:b/>
          <w:sz w:val="24"/>
          <w:szCs w:val="24"/>
        </w:rPr>
        <w:t xml:space="preserve"> (China, en particular</w:t>
      </w:r>
      <w:r>
        <w:rPr>
          <w:rFonts w:ascii="Times New Roman" w:hAnsi="Times New Roman" w:cs="Times New Roman"/>
          <w:b/>
          <w:sz w:val="24"/>
          <w:szCs w:val="24"/>
        </w:rPr>
        <w:t>)</w:t>
      </w:r>
      <w:r w:rsidRPr="00AE10E6">
        <w:rPr>
          <w:rFonts w:ascii="Times New Roman" w:hAnsi="Times New Roman" w:cs="Times New Roman"/>
          <w:b/>
          <w:sz w:val="24"/>
          <w:szCs w:val="24"/>
        </w:rPr>
        <w:t>, las grandes empresas</w:t>
      </w:r>
      <w:r>
        <w:rPr>
          <w:rFonts w:ascii="Times New Roman" w:hAnsi="Times New Roman" w:cs="Times New Roman"/>
          <w:b/>
          <w:sz w:val="24"/>
          <w:szCs w:val="24"/>
        </w:rPr>
        <w:t xml:space="preserve"> (principalmente</w:t>
      </w:r>
      <w:r w:rsidR="00C73F43">
        <w:rPr>
          <w:rFonts w:ascii="Times New Roman" w:hAnsi="Times New Roman" w:cs="Times New Roman"/>
          <w:b/>
          <w:sz w:val="24"/>
          <w:szCs w:val="24"/>
        </w:rPr>
        <w:t>,</w:t>
      </w:r>
      <w:r>
        <w:rPr>
          <w:rFonts w:ascii="Times New Roman" w:hAnsi="Times New Roman" w:cs="Times New Roman"/>
          <w:b/>
          <w:sz w:val="24"/>
          <w:szCs w:val="24"/>
        </w:rPr>
        <w:t xml:space="preserve"> las que han</w:t>
      </w:r>
      <w:r w:rsidR="00C73F43">
        <w:rPr>
          <w:rFonts w:ascii="Times New Roman" w:hAnsi="Times New Roman" w:cs="Times New Roman"/>
          <w:b/>
          <w:sz w:val="24"/>
          <w:szCs w:val="24"/>
        </w:rPr>
        <w:t xml:space="preserve"> logrado</w:t>
      </w:r>
      <w:r>
        <w:rPr>
          <w:rFonts w:ascii="Times New Roman" w:hAnsi="Times New Roman" w:cs="Times New Roman"/>
          <w:b/>
          <w:sz w:val="24"/>
          <w:szCs w:val="24"/>
        </w:rPr>
        <w:t xml:space="preserve"> des</w:t>
      </w:r>
      <w:r w:rsidR="00C73F43">
        <w:rPr>
          <w:rFonts w:ascii="Times New Roman" w:hAnsi="Times New Roman" w:cs="Times New Roman"/>
          <w:b/>
          <w:sz w:val="24"/>
          <w:szCs w:val="24"/>
        </w:rPr>
        <w:t>localizar su</w:t>
      </w:r>
      <w:r>
        <w:rPr>
          <w:rFonts w:ascii="Times New Roman" w:hAnsi="Times New Roman" w:cs="Times New Roman"/>
          <w:b/>
          <w:sz w:val="24"/>
          <w:szCs w:val="24"/>
        </w:rPr>
        <w:t xml:space="preserve"> producción)</w:t>
      </w:r>
      <w:r w:rsidRPr="00AE10E6">
        <w:rPr>
          <w:rFonts w:ascii="Times New Roman" w:hAnsi="Times New Roman" w:cs="Times New Roman"/>
          <w:b/>
          <w:sz w:val="24"/>
          <w:szCs w:val="24"/>
        </w:rPr>
        <w:t>, un 20% de la población activa, el l% de las familias ricas, el capitalismo financiero y los altos directivos</w:t>
      </w:r>
      <w:r>
        <w:rPr>
          <w:rFonts w:ascii="Times New Roman" w:hAnsi="Times New Roman" w:cs="Times New Roman"/>
          <w:b/>
          <w:sz w:val="24"/>
          <w:szCs w:val="24"/>
        </w:rPr>
        <w:t xml:space="preserve"> de las corporaciones globales.</w:t>
      </w:r>
    </w:p>
    <w:p w:rsidR="00EB05D0" w:rsidRDefault="00C73F43"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Pero también ha resultado evidente (inocultable)</w:t>
      </w:r>
      <w:r w:rsidR="00EB05D0" w:rsidRPr="00AE10E6">
        <w:rPr>
          <w:rFonts w:ascii="Times New Roman" w:hAnsi="Times New Roman" w:cs="Times New Roman"/>
          <w:b/>
          <w:sz w:val="24"/>
          <w:szCs w:val="24"/>
        </w:rPr>
        <w:t xml:space="preserve"> la otra cara de la globalización, los que pierden con el libre comercio. La subclase inmóvil, los nuevos pobres, el ejército de reserva, la salud, la educación, la mayoría insatisfecha, el trabajador de usar y tirar, los que viven el miedo al mañana, la angustia y la inseguridad,</w:t>
      </w:r>
      <w:r w:rsidR="00EB05D0">
        <w:rPr>
          <w:rFonts w:ascii="Times New Roman" w:hAnsi="Times New Roman" w:cs="Times New Roman"/>
          <w:b/>
          <w:sz w:val="24"/>
          <w:szCs w:val="24"/>
        </w:rPr>
        <w:t xml:space="preserve"> que son los que</w:t>
      </w:r>
      <w:r>
        <w:rPr>
          <w:rFonts w:ascii="Times New Roman" w:hAnsi="Times New Roman" w:cs="Times New Roman"/>
          <w:b/>
          <w:sz w:val="24"/>
          <w:szCs w:val="24"/>
        </w:rPr>
        <w:t xml:space="preserve"> padecen</w:t>
      </w:r>
      <w:r w:rsidR="00C50674">
        <w:rPr>
          <w:rFonts w:ascii="Times New Roman" w:hAnsi="Times New Roman" w:cs="Times New Roman"/>
          <w:b/>
          <w:sz w:val="24"/>
          <w:szCs w:val="24"/>
        </w:rPr>
        <w:t xml:space="preserve"> esta “nueva </w:t>
      </w:r>
      <w:r w:rsidR="00EB05D0">
        <w:rPr>
          <w:rFonts w:ascii="Times New Roman" w:hAnsi="Times New Roman" w:cs="Times New Roman"/>
          <w:b/>
          <w:sz w:val="24"/>
          <w:szCs w:val="24"/>
        </w:rPr>
        <w:t>era</w:t>
      </w:r>
      <w:r w:rsidR="00C50674">
        <w:rPr>
          <w:rFonts w:ascii="Times New Roman" w:hAnsi="Times New Roman" w:cs="Times New Roman"/>
          <w:b/>
          <w:sz w:val="24"/>
          <w:szCs w:val="24"/>
        </w:rPr>
        <w:t>”</w:t>
      </w:r>
      <w:r w:rsidR="00EB05D0">
        <w:rPr>
          <w:rFonts w:ascii="Times New Roman" w:hAnsi="Times New Roman" w:cs="Times New Roman"/>
          <w:b/>
          <w:sz w:val="24"/>
          <w:szCs w:val="24"/>
        </w:rPr>
        <w:t xml:space="preserve"> de las </w:t>
      </w:r>
      <w:r w:rsidR="003705D8">
        <w:rPr>
          <w:rFonts w:ascii="Times New Roman" w:hAnsi="Times New Roman" w:cs="Times New Roman"/>
          <w:b/>
          <w:sz w:val="24"/>
          <w:szCs w:val="24"/>
        </w:rPr>
        <w:t>“</w:t>
      </w:r>
      <w:r w:rsidR="00EB05D0">
        <w:rPr>
          <w:rFonts w:ascii="Times New Roman" w:hAnsi="Times New Roman" w:cs="Times New Roman"/>
          <w:b/>
          <w:sz w:val="24"/>
          <w:szCs w:val="24"/>
        </w:rPr>
        <w:t>desigualdades”</w:t>
      </w:r>
      <w:r w:rsidR="00EB05D0" w:rsidRPr="00AE10E6">
        <w:rPr>
          <w:rFonts w:ascii="Times New Roman" w:hAnsi="Times New Roman" w:cs="Times New Roman"/>
          <w:b/>
          <w:sz w:val="24"/>
          <w:szCs w:val="24"/>
        </w:rPr>
        <w:t>.</w:t>
      </w:r>
      <w:r>
        <w:rPr>
          <w:rFonts w:ascii="Times New Roman" w:hAnsi="Times New Roman" w:cs="Times New Roman"/>
          <w:b/>
          <w:sz w:val="24"/>
          <w:szCs w:val="24"/>
        </w:rPr>
        <w:t xml:space="preserve"> </w:t>
      </w:r>
    </w:p>
    <w:p w:rsidR="00EB05D0" w:rsidRDefault="003705D8"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Además, es</w:t>
      </w:r>
      <w:r w:rsidR="00EB05D0">
        <w:rPr>
          <w:rFonts w:ascii="Times New Roman" w:hAnsi="Times New Roman" w:cs="Times New Roman"/>
          <w:b/>
          <w:sz w:val="24"/>
          <w:szCs w:val="24"/>
        </w:rPr>
        <w:t xml:space="preserve"> innegable</w:t>
      </w:r>
      <w:r w:rsidR="00EB05D0" w:rsidRPr="00AE10E6">
        <w:rPr>
          <w:rFonts w:ascii="Times New Roman" w:hAnsi="Times New Roman" w:cs="Times New Roman"/>
          <w:b/>
          <w:sz w:val="24"/>
          <w:szCs w:val="24"/>
        </w:rPr>
        <w:t xml:space="preserve"> el impacto ecológico que</w:t>
      </w:r>
      <w:r w:rsidR="00EB05D0">
        <w:rPr>
          <w:rFonts w:ascii="Times New Roman" w:hAnsi="Times New Roman" w:cs="Times New Roman"/>
          <w:b/>
          <w:sz w:val="24"/>
          <w:szCs w:val="24"/>
        </w:rPr>
        <w:t xml:space="preserve"> ha producido</w:t>
      </w:r>
      <w:r w:rsidR="00EB05D0" w:rsidRPr="00AE10E6">
        <w:rPr>
          <w:rFonts w:ascii="Times New Roman" w:hAnsi="Times New Roman" w:cs="Times New Roman"/>
          <w:b/>
          <w:sz w:val="24"/>
          <w:szCs w:val="24"/>
        </w:rPr>
        <w:t xml:space="preserve"> el crecimiento ec</w:t>
      </w:r>
      <w:r w:rsidR="00EB05D0">
        <w:rPr>
          <w:rFonts w:ascii="Times New Roman" w:hAnsi="Times New Roman" w:cs="Times New Roman"/>
          <w:b/>
          <w:sz w:val="24"/>
          <w:szCs w:val="24"/>
        </w:rPr>
        <w:t xml:space="preserve">onómico descontrolado, al que hay que agregar </w:t>
      </w:r>
      <w:r w:rsidR="00EB05D0" w:rsidRPr="00AE10E6">
        <w:rPr>
          <w:rFonts w:ascii="Times New Roman" w:hAnsi="Times New Roman" w:cs="Times New Roman"/>
          <w:b/>
          <w:sz w:val="24"/>
          <w:szCs w:val="24"/>
        </w:rPr>
        <w:t>el peligro sobre la propia condición humana, reproducción, enfermedad y disminución de cualidades, que acarrea el libre mercado</w:t>
      </w:r>
      <w:r w:rsidR="00EB05D0">
        <w:rPr>
          <w:rFonts w:ascii="Times New Roman" w:hAnsi="Times New Roman" w:cs="Times New Roman"/>
          <w:b/>
          <w:sz w:val="24"/>
          <w:szCs w:val="24"/>
        </w:rPr>
        <w:t xml:space="preserve"> (como lo prueba la pandemia del Covid-19 que </w:t>
      </w:r>
      <w:r w:rsidR="00C73F43">
        <w:rPr>
          <w:rFonts w:ascii="Times New Roman" w:hAnsi="Times New Roman" w:cs="Times New Roman"/>
          <w:b/>
          <w:sz w:val="24"/>
          <w:szCs w:val="24"/>
        </w:rPr>
        <w:t>China provocó, ocultó o manipuló</w:t>
      </w:r>
      <w:r w:rsidR="00EB05D0">
        <w:rPr>
          <w:rFonts w:ascii="Times New Roman" w:hAnsi="Times New Roman" w:cs="Times New Roman"/>
          <w:b/>
          <w:sz w:val="24"/>
          <w:szCs w:val="24"/>
        </w:rPr>
        <w:t>).</w:t>
      </w:r>
    </w:p>
    <w:p w:rsidR="00EB05D0"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Después de haber abrevado en unas “estadísticas catastróficas”, el lector avisado no espera que los “artífices del fracaso”, confiesen a gritos la inmensidad de su derrota.</w:t>
      </w:r>
    </w:p>
    <w:p w:rsidR="00EB05D0"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Pero, que los Esta</w:t>
      </w:r>
      <w:r w:rsidR="00532DCE">
        <w:rPr>
          <w:rFonts w:ascii="Times New Roman" w:hAnsi="Times New Roman" w:cs="Times New Roman"/>
          <w:b/>
          <w:sz w:val="24"/>
          <w:szCs w:val="24"/>
        </w:rPr>
        <w:t>dos Unidos presente un “balance</w:t>
      </w:r>
      <w:r>
        <w:rPr>
          <w:rFonts w:ascii="Times New Roman" w:hAnsi="Times New Roman" w:cs="Times New Roman"/>
          <w:b/>
          <w:sz w:val="24"/>
          <w:szCs w:val="24"/>
        </w:rPr>
        <w:t xml:space="preserve"> social</w:t>
      </w:r>
      <w:r w:rsidR="00532DCE">
        <w:rPr>
          <w:rFonts w:ascii="Times New Roman" w:hAnsi="Times New Roman" w:cs="Times New Roman"/>
          <w:b/>
          <w:sz w:val="24"/>
          <w:szCs w:val="24"/>
        </w:rPr>
        <w:t>”</w:t>
      </w:r>
      <w:r>
        <w:rPr>
          <w:rFonts w:ascii="Times New Roman" w:hAnsi="Times New Roman" w:cs="Times New Roman"/>
          <w:b/>
          <w:sz w:val="24"/>
          <w:szCs w:val="24"/>
        </w:rPr>
        <w:t>, asemejable al del año 1929…</w:t>
      </w:r>
    </w:p>
    <w:p w:rsidR="00EB05D0"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O, </w:t>
      </w:r>
      <w:r w:rsidR="00532DCE">
        <w:rPr>
          <w:rFonts w:ascii="Times New Roman" w:hAnsi="Times New Roman" w:cs="Times New Roman"/>
          <w:b/>
          <w:sz w:val="24"/>
          <w:szCs w:val="24"/>
        </w:rPr>
        <w:t>que Europa presente un “balance</w:t>
      </w:r>
      <w:r>
        <w:rPr>
          <w:rFonts w:ascii="Times New Roman" w:hAnsi="Times New Roman" w:cs="Times New Roman"/>
          <w:b/>
          <w:sz w:val="24"/>
          <w:szCs w:val="24"/>
        </w:rPr>
        <w:t xml:space="preserve"> social</w:t>
      </w:r>
      <w:r w:rsidR="00532DCE">
        <w:rPr>
          <w:rFonts w:ascii="Times New Roman" w:hAnsi="Times New Roman" w:cs="Times New Roman"/>
          <w:b/>
          <w:sz w:val="24"/>
          <w:szCs w:val="24"/>
        </w:rPr>
        <w:t>”</w:t>
      </w:r>
      <w:r>
        <w:rPr>
          <w:rFonts w:ascii="Times New Roman" w:hAnsi="Times New Roman" w:cs="Times New Roman"/>
          <w:b/>
          <w:sz w:val="24"/>
          <w:szCs w:val="24"/>
        </w:rPr>
        <w:t>, tan malo como el del año 1944…</w:t>
      </w:r>
    </w:p>
    <w:p w:rsidR="00EB05D0"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 donde han aumentado la incertidumbre, el desempleo, las desigualdades… mientras han disminuido las posibilidades de capacitación, crecimiento, ascenso social…</w:t>
      </w:r>
    </w:p>
    <w:p w:rsidR="00EB05D0" w:rsidRDefault="00EB05D0" w:rsidP="00EB05D0">
      <w:pPr>
        <w:spacing w:line="240" w:lineRule="auto"/>
        <w:jc w:val="both"/>
        <w:rPr>
          <w:rFonts w:ascii="Times New Roman" w:hAnsi="Times New Roman" w:cs="Times New Roman"/>
          <w:b/>
          <w:sz w:val="24"/>
          <w:szCs w:val="24"/>
        </w:rPr>
      </w:pPr>
      <w:r>
        <w:rPr>
          <w:rFonts w:ascii="Times New Roman" w:hAnsi="Times New Roman" w:cs="Times New Roman"/>
          <w:b/>
          <w:sz w:val="24"/>
          <w:szCs w:val="24"/>
        </w:rPr>
        <w:t>… debería llevar a los políticos y grandes empresarios, de los países avanzados, a plantearse si no habrá llegado la hora del “regreso” (</w:t>
      </w:r>
      <w:r w:rsidR="00873824">
        <w:rPr>
          <w:rFonts w:ascii="Times New Roman" w:hAnsi="Times New Roman" w:cs="Times New Roman"/>
          <w:b/>
          <w:sz w:val="24"/>
          <w:szCs w:val="24"/>
        </w:rPr>
        <w:t>reindustrialización</w:t>
      </w:r>
      <w:r>
        <w:rPr>
          <w:rFonts w:ascii="Times New Roman" w:hAnsi="Times New Roman" w:cs="Times New Roman"/>
          <w:b/>
          <w:sz w:val="24"/>
          <w:szCs w:val="24"/>
        </w:rPr>
        <w:t>, bilateralismo, aranceles comp</w:t>
      </w:r>
      <w:r w:rsidR="00C73F43">
        <w:rPr>
          <w:rFonts w:ascii="Times New Roman" w:hAnsi="Times New Roman" w:cs="Times New Roman"/>
          <w:b/>
          <w:sz w:val="24"/>
          <w:szCs w:val="24"/>
        </w:rPr>
        <w:t>ensatorios, regulación financiera</w:t>
      </w:r>
      <w:r>
        <w:rPr>
          <w:rFonts w:ascii="Times New Roman" w:hAnsi="Times New Roman" w:cs="Times New Roman"/>
          <w:b/>
          <w:sz w:val="24"/>
          <w:szCs w:val="24"/>
        </w:rPr>
        <w:t>, empleo, educación</w:t>
      </w:r>
      <w:r w:rsidR="00D63928">
        <w:rPr>
          <w:rFonts w:ascii="Times New Roman" w:hAnsi="Times New Roman" w:cs="Times New Roman"/>
          <w:b/>
          <w:sz w:val="24"/>
          <w:szCs w:val="24"/>
        </w:rPr>
        <w:t xml:space="preserve">, sanidad, servicios sociales, igualdad de oportunidades, </w:t>
      </w:r>
      <w:r>
        <w:rPr>
          <w:rFonts w:ascii="Times New Roman" w:hAnsi="Times New Roman" w:cs="Times New Roman"/>
          <w:b/>
          <w:sz w:val="24"/>
          <w:szCs w:val="24"/>
        </w:rPr>
        <w:t xml:space="preserve">distribución de los ingresos, sostenibilidad…). </w:t>
      </w:r>
    </w:p>
    <w:p w:rsidR="00B11189" w:rsidRDefault="00D63928" w:rsidP="00B11189">
      <w:pPr>
        <w:spacing w:line="240" w:lineRule="auto"/>
        <w:jc w:val="both"/>
        <w:rPr>
          <w:rFonts w:ascii="Times New Roman" w:hAnsi="Times New Roman" w:cs="Times New Roman"/>
          <w:b/>
          <w:sz w:val="24"/>
          <w:szCs w:val="24"/>
        </w:rPr>
      </w:pPr>
      <w:r>
        <w:rPr>
          <w:rFonts w:ascii="Times New Roman" w:hAnsi="Times New Roman" w:cs="Times New Roman"/>
          <w:b/>
          <w:sz w:val="24"/>
          <w:szCs w:val="24"/>
        </w:rPr>
        <w:t>Y esto no se resuelve, entregando a China, la dirección de</w:t>
      </w:r>
      <w:r w:rsidR="00B11189">
        <w:rPr>
          <w:rFonts w:ascii="Times New Roman" w:hAnsi="Times New Roman" w:cs="Times New Roman"/>
          <w:b/>
          <w:sz w:val="24"/>
          <w:szCs w:val="24"/>
        </w:rPr>
        <w:t>l “gran reseteo” de la economía; arriando la bandera d</w:t>
      </w:r>
      <w:r w:rsidR="007D1CF0">
        <w:rPr>
          <w:rFonts w:ascii="Times New Roman" w:hAnsi="Times New Roman" w:cs="Times New Roman"/>
          <w:b/>
          <w:sz w:val="24"/>
          <w:szCs w:val="24"/>
        </w:rPr>
        <w:t>e la libertad</w:t>
      </w:r>
      <w:r>
        <w:rPr>
          <w:rFonts w:ascii="Times New Roman" w:hAnsi="Times New Roman" w:cs="Times New Roman"/>
          <w:b/>
          <w:sz w:val="24"/>
          <w:szCs w:val="24"/>
        </w:rPr>
        <w:t>,</w:t>
      </w:r>
      <w:r w:rsidR="007D1CF0">
        <w:rPr>
          <w:rFonts w:ascii="Times New Roman" w:hAnsi="Times New Roman" w:cs="Times New Roman"/>
          <w:b/>
          <w:sz w:val="24"/>
          <w:szCs w:val="24"/>
        </w:rPr>
        <w:t xml:space="preserve"> o aboliendo</w:t>
      </w:r>
      <w:r w:rsidR="00B11189">
        <w:rPr>
          <w:rFonts w:ascii="Times New Roman" w:hAnsi="Times New Roman" w:cs="Times New Roman"/>
          <w:b/>
          <w:sz w:val="24"/>
          <w:szCs w:val="24"/>
        </w:rPr>
        <w:t xml:space="preserve"> los dere</w:t>
      </w:r>
      <w:r>
        <w:rPr>
          <w:rFonts w:ascii="Times New Roman" w:hAnsi="Times New Roman" w:cs="Times New Roman"/>
          <w:b/>
          <w:sz w:val="24"/>
          <w:szCs w:val="24"/>
        </w:rPr>
        <w:t>chos humanos. Todo lo contrario: así, solo se estará pasando de un odioso presente, a un futuro aborrecible.</w:t>
      </w:r>
      <w:r w:rsidR="00B11189">
        <w:rPr>
          <w:rFonts w:ascii="Times New Roman" w:hAnsi="Times New Roman" w:cs="Times New Roman"/>
          <w:b/>
          <w:sz w:val="24"/>
          <w:szCs w:val="24"/>
        </w:rPr>
        <w:t xml:space="preserve">   </w:t>
      </w:r>
    </w:p>
    <w:p w:rsidR="00D46EDF" w:rsidRPr="00B11189" w:rsidRDefault="00CA3920" w:rsidP="00B11189">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Anexo - </w:t>
      </w:r>
      <w:r w:rsidRPr="00CA3920">
        <w:rPr>
          <w:rFonts w:ascii="Times New Roman" w:hAnsi="Times New Roman" w:cs="Times New Roman"/>
          <w:b/>
          <w:sz w:val="24"/>
          <w:szCs w:val="24"/>
        </w:rPr>
        <w:t xml:space="preserve">Base de datos: </w:t>
      </w:r>
      <w:r w:rsidR="00DB50B5" w:rsidRPr="00CA3920">
        <w:rPr>
          <w:rFonts w:ascii="Times New Roman" w:hAnsi="Times New Roman" w:cs="Times New Roman"/>
          <w:b/>
          <w:sz w:val="24"/>
          <w:szCs w:val="24"/>
        </w:rPr>
        <w:t>Hay verdades, mentiras y… estadísticas</w:t>
      </w:r>
    </w:p>
    <w:p w:rsidR="00F64314" w:rsidRPr="00D63928" w:rsidRDefault="00F64314" w:rsidP="00F64314">
      <w:pPr>
        <w:rPr>
          <w:rFonts w:ascii="Times New Roman" w:hAnsi="Times New Roman" w:cs="Times New Roman"/>
          <w:b/>
          <w:sz w:val="24"/>
          <w:szCs w:val="24"/>
        </w:rPr>
      </w:pPr>
      <w:r w:rsidRPr="00D63928">
        <w:rPr>
          <w:rFonts w:ascii="Times New Roman" w:hAnsi="Times New Roman" w:cs="Times New Roman"/>
          <w:b/>
          <w:sz w:val="24"/>
          <w:szCs w:val="24"/>
        </w:rPr>
        <w:t>U.S. Bureau of Labor Statistics</w:t>
      </w:r>
    </w:p>
    <w:p w:rsidR="00F64314" w:rsidRPr="00A531D2" w:rsidRDefault="00F64314" w:rsidP="00F64314">
      <w:pPr>
        <w:rPr>
          <w:rFonts w:ascii="Times New Roman" w:hAnsi="Times New Roman" w:cs="Times New Roman"/>
          <w:b/>
          <w:sz w:val="24"/>
          <w:szCs w:val="24"/>
        </w:rPr>
      </w:pPr>
      <w:r w:rsidRPr="00A531D2">
        <w:rPr>
          <w:rFonts w:ascii="Times New Roman" w:hAnsi="Times New Roman" w:cs="Times New Roman"/>
          <w:b/>
          <w:sz w:val="24"/>
          <w:szCs w:val="24"/>
        </w:rPr>
        <w:t>Un perfil de los trabajadores pobres, imagen de 2018</w:t>
      </w:r>
    </w:p>
    <w:p w:rsidR="00F64314" w:rsidRDefault="00F64314" w:rsidP="00F64314">
      <w:pPr>
        <w:spacing w:line="240" w:lineRule="auto"/>
        <w:jc w:val="both"/>
        <w:rPr>
          <w:rFonts w:ascii="Times New Roman" w:hAnsi="Times New Roman" w:cs="Times New Roman"/>
          <w:sz w:val="24"/>
          <w:szCs w:val="24"/>
        </w:rPr>
      </w:pPr>
      <w:r w:rsidRPr="00E00D6B">
        <w:rPr>
          <w:rFonts w:ascii="Times New Roman" w:hAnsi="Times New Roman" w:cs="Times New Roman"/>
          <w:sz w:val="24"/>
          <w:szCs w:val="24"/>
        </w:rPr>
        <w:t>Aproximadamente 38,1 millones de personas, o el 11,8 por ciento de la población del país, vivían por debajo del nivel oficial de pobreza en 2018, según la Oficina del Censo de EE.</w:t>
      </w:r>
      <w:r>
        <w:rPr>
          <w:rFonts w:ascii="Times New Roman" w:hAnsi="Times New Roman" w:cs="Times New Roman"/>
          <w:sz w:val="24"/>
          <w:szCs w:val="24"/>
        </w:rPr>
        <w:t xml:space="preserve"> UU. </w:t>
      </w:r>
    </w:p>
    <w:p w:rsidR="00F64314" w:rsidRDefault="00F64314" w:rsidP="00F64314">
      <w:pPr>
        <w:spacing w:line="240" w:lineRule="auto"/>
        <w:jc w:val="both"/>
        <w:rPr>
          <w:rFonts w:ascii="Times New Roman" w:hAnsi="Times New Roman" w:cs="Times New Roman"/>
          <w:sz w:val="24"/>
          <w:szCs w:val="24"/>
        </w:rPr>
      </w:pPr>
      <w:r w:rsidRPr="00E00D6B">
        <w:rPr>
          <w:rFonts w:ascii="Times New Roman" w:hAnsi="Times New Roman" w:cs="Times New Roman"/>
          <w:sz w:val="24"/>
          <w:szCs w:val="24"/>
        </w:rPr>
        <w:t>Si bien los pobres eran principalmente adultos que no habían participado en la fuerza laboral durante el año y niños, 7,0 millones de per</w:t>
      </w:r>
      <w:r w:rsidR="00CA3920">
        <w:rPr>
          <w:rFonts w:ascii="Times New Roman" w:hAnsi="Times New Roman" w:cs="Times New Roman"/>
          <w:sz w:val="24"/>
          <w:szCs w:val="24"/>
        </w:rPr>
        <w:t>sonas se encontraban entre los “</w:t>
      </w:r>
      <w:r w:rsidRPr="00E00D6B">
        <w:rPr>
          <w:rFonts w:ascii="Times New Roman" w:hAnsi="Times New Roman" w:cs="Times New Roman"/>
          <w:sz w:val="24"/>
          <w:szCs w:val="24"/>
        </w:rPr>
        <w:t>trabajadores</w:t>
      </w:r>
      <w:r w:rsidR="00CA3920">
        <w:rPr>
          <w:rFonts w:ascii="Times New Roman" w:hAnsi="Times New Roman" w:cs="Times New Roman"/>
          <w:sz w:val="24"/>
          <w:szCs w:val="24"/>
        </w:rPr>
        <w:t xml:space="preserve"> pobres”</w:t>
      </w:r>
      <w:r w:rsidRPr="00E00D6B">
        <w:rPr>
          <w:rFonts w:ascii="Times New Roman" w:hAnsi="Times New Roman" w:cs="Times New Roman"/>
          <w:sz w:val="24"/>
          <w:szCs w:val="24"/>
        </w:rPr>
        <w:t xml:space="preserve"> en 2018, según datos de la Oficina de Estadísticas Laborales. (BLS); esta medida cambió poco de 6,9 ​​millones en 2017. </w:t>
      </w:r>
    </w:p>
    <w:p w:rsidR="00F64314" w:rsidRPr="00E00D6B" w:rsidRDefault="00F64314" w:rsidP="00F64314">
      <w:pPr>
        <w:spacing w:line="240" w:lineRule="auto"/>
        <w:jc w:val="both"/>
        <w:rPr>
          <w:rFonts w:ascii="Times New Roman" w:hAnsi="Times New Roman" w:cs="Times New Roman"/>
          <w:sz w:val="24"/>
          <w:szCs w:val="24"/>
        </w:rPr>
      </w:pPr>
      <w:r w:rsidRPr="00E00D6B">
        <w:rPr>
          <w:rFonts w:ascii="Times New Roman" w:hAnsi="Times New Roman" w:cs="Times New Roman"/>
          <w:sz w:val="24"/>
          <w:szCs w:val="24"/>
        </w:rPr>
        <w:t xml:space="preserve">Los trabajadores pobres son personas que pasaron al menos 27 semanas en la fuerza laboral (es decir, trabajando o buscando trabajo) pero cuyos ingresos aún caían por debajo del nivel oficial de pobreza. En 2018, la tasa de trabajadores pobres, la relación entre los trabajadores pobres y todas las personas en la fuerza laboral durante al menos 27 semanas, fue del 4,5 por ciento, sin cambios con respecto a la cifra del año anterior. </w:t>
      </w:r>
    </w:p>
    <w:p w:rsidR="00F64314" w:rsidRDefault="00F64314" w:rsidP="00F64314">
      <w:pPr>
        <w:spacing w:line="240" w:lineRule="auto"/>
        <w:jc w:val="both"/>
        <w:rPr>
          <w:rFonts w:ascii="Times New Roman" w:hAnsi="Times New Roman" w:cs="Times New Roman"/>
          <w:sz w:val="24"/>
          <w:szCs w:val="24"/>
        </w:rPr>
      </w:pPr>
      <w:r w:rsidRPr="00E00D6B">
        <w:rPr>
          <w:rFonts w:ascii="Times New Roman" w:hAnsi="Times New Roman" w:cs="Times New Roman"/>
          <w:noProof/>
          <w:sz w:val="24"/>
          <w:szCs w:val="24"/>
          <w:lang w:eastAsia="es-ES"/>
        </w:rPr>
        <w:drawing>
          <wp:inline distT="0" distB="0" distL="0" distR="0" wp14:anchorId="2ED418CD" wp14:editId="19C84345">
            <wp:extent cx="5726435" cy="3105150"/>
            <wp:effectExtent l="0" t="0" r="762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731510" cy="3107902"/>
                    </a:xfrm>
                    <a:prstGeom prst="rect">
                      <a:avLst/>
                    </a:prstGeom>
                  </pic:spPr>
                </pic:pic>
              </a:graphicData>
            </a:graphic>
          </wp:inline>
        </w:drawing>
      </w:r>
    </w:p>
    <w:p w:rsidR="00F64314" w:rsidRDefault="00F64314" w:rsidP="00F64314">
      <w:pPr>
        <w:spacing w:line="240" w:lineRule="auto"/>
        <w:jc w:val="both"/>
        <w:rPr>
          <w:rFonts w:ascii="Times New Roman" w:hAnsi="Times New Roman" w:cs="Times New Roman"/>
          <w:sz w:val="24"/>
          <w:szCs w:val="24"/>
        </w:rPr>
      </w:pPr>
      <w:r w:rsidRPr="00E00D6B">
        <w:rPr>
          <w:rFonts w:ascii="Times New Roman" w:hAnsi="Times New Roman" w:cs="Times New Roman"/>
          <w:noProof/>
          <w:sz w:val="24"/>
          <w:szCs w:val="24"/>
          <w:lang w:eastAsia="es-ES"/>
        </w:rPr>
        <w:lastRenderedPageBreak/>
        <w:drawing>
          <wp:inline distT="0" distB="0" distL="0" distR="0" wp14:anchorId="32C97CE4" wp14:editId="76C913F6">
            <wp:extent cx="5732200" cy="2590800"/>
            <wp:effectExtent l="0" t="0" r="190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31510" cy="2590488"/>
                    </a:xfrm>
                    <a:prstGeom prst="rect">
                      <a:avLst/>
                    </a:prstGeom>
                  </pic:spPr>
                </pic:pic>
              </a:graphicData>
            </a:graphic>
          </wp:inline>
        </w:drawing>
      </w:r>
    </w:p>
    <w:p w:rsidR="00F64314" w:rsidRDefault="00F64314" w:rsidP="00F64314">
      <w:pPr>
        <w:spacing w:line="240" w:lineRule="auto"/>
        <w:jc w:val="both"/>
        <w:rPr>
          <w:rFonts w:ascii="Times New Roman" w:hAnsi="Times New Roman" w:cs="Times New Roman"/>
          <w:sz w:val="24"/>
          <w:szCs w:val="24"/>
        </w:rPr>
      </w:pPr>
      <w:r w:rsidRPr="00E00D6B">
        <w:rPr>
          <w:rFonts w:ascii="Times New Roman" w:hAnsi="Times New Roman" w:cs="Times New Roman"/>
          <w:noProof/>
          <w:sz w:val="24"/>
          <w:szCs w:val="24"/>
          <w:lang w:eastAsia="es-ES"/>
        </w:rPr>
        <w:drawing>
          <wp:inline distT="0" distB="0" distL="0" distR="0" wp14:anchorId="1B0FBC1B" wp14:editId="45B01579">
            <wp:extent cx="5734050" cy="293370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31510" cy="2932400"/>
                    </a:xfrm>
                    <a:prstGeom prst="rect">
                      <a:avLst/>
                    </a:prstGeom>
                  </pic:spPr>
                </pic:pic>
              </a:graphicData>
            </a:graphic>
          </wp:inline>
        </w:drawing>
      </w:r>
    </w:p>
    <w:p w:rsidR="00F64314" w:rsidRPr="00E00D6B" w:rsidRDefault="00F64314" w:rsidP="00F64314">
      <w:pPr>
        <w:spacing w:line="240" w:lineRule="auto"/>
        <w:jc w:val="both"/>
        <w:rPr>
          <w:rFonts w:ascii="Times New Roman" w:hAnsi="Times New Roman" w:cs="Times New Roman"/>
          <w:sz w:val="24"/>
          <w:szCs w:val="24"/>
        </w:rPr>
      </w:pPr>
      <w:r w:rsidRPr="00E00D6B">
        <w:rPr>
          <w:rFonts w:ascii="Times New Roman" w:hAnsi="Times New Roman" w:cs="Times New Roman"/>
          <w:noProof/>
          <w:sz w:val="24"/>
          <w:szCs w:val="24"/>
          <w:lang w:eastAsia="es-ES"/>
        </w:rPr>
        <w:drawing>
          <wp:inline distT="0" distB="0" distL="0" distR="0" wp14:anchorId="0F34AF9B" wp14:editId="73418F51">
            <wp:extent cx="5727700" cy="3022600"/>
            <wp:effectExtent l="0" t="0" r="6350" b="635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731510" cy="3024611"/>
                    </a:xfrm>
                    <a:prstGeom prst="rect">
                      <a:avLst/>
                    </a:prstGeom>
                  </pic:spPr>
                </pic:pic>
              </a:graphicData>
            </a:graphic>
          </wp:inline>
        </w:drawing>
      </w:r>
    </w:p>
    <w:p w:rsidR="00F64314" w:rsidRDefault="00F64314" w:rsidP="00F64314">
      <w:pPr>
        <w:rPr>
          <w:rFonts w:ascii="Times New Roman" w:hAnsi="Times New Roman" w:cs="Times New Roman"/>
          <w:b/>
          <w:sz w:val="24"/>
          <w:szCs w:val="24"/>
        </w:rPr>
      </w:pPr>
      <w:r w:rsidRPr="00A531D2">
        <w:rPr>
          <w:rFonts w:ascii="Times New Roman" w:hAnsi="Times New Roman" w:cs="Times New Roman"/>
          <w:b/>
          <w:sz w:val="24"/>
          <w:szCs w:val="24"/>
        </w:rPr>
        <w:lastRenderedPageBreak/>
        <w:t>Tasa de desempleo</w:t>
      </w:r>
    </w:p>
    <w:p w:rsidR="00F64314" w:rsidRDefault="00F64314" w:rsidP="00F64314">
      <w:pPr>
        <w:rPr>
          <w:rFonts w:ascii="Times New Roman" w:hAnsi="Times New Roman" w:cs="Times New Roman"/>
          <w:b/>
          <w:sz w:val="24"/>
          <w:szCs w:val="24"/>
        </w:rPr>
      </w:pPr>
      <w:r w:rsidRPr="00A531D2">
        <w:rPr>
          <w:rFonts w:ascii="Times New Roman" w:hAnsi="Times New Roman" w:cs="Times New Roman"/>
          <w:b/>
          <w:noProof/>
          <w:sz w:val="24"/>
          <w:szCs w:val="24"/>
          <w:lang w:eastAsia="es-ES"/>
        </w:rPr>
        <w:drawing>
          <wp:inline distT="0" distB="0" distL="0" distR="0" wp14:anchorId="3524179A" wp14:editId="44AA4E7B">
            <wp:extent cx="4944165" cy="3677163"/>
            <wp:effectExtent l="0" t="0" r="889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4944165" cy="3677163"/>
                    </a:xfrm>
                    <a:prstGeom prst="rect">
                      <a:avLst/>
                    </a:prstGeom>
                  </pic:spPr>
                </pic:pic>
              </a:graphicData>
            </a:graphic>
          </wp:inline>
        </w:drawing>
      </w:r>
    </w:p>
    <w:p w:rsidR="00F64314" w:rsidRDefault="00F64314" w:rsidP="00F64314">
      <w:pPr>
        <w:rPr>
          <w:rFonts w:ascii="Times New Roman" w:hAnsi="Times New Roman" w:cs="Times New Roman"/>
          <w:b/>
          <w:sz w:val="24"/>
          <w:szCs w:val="24"/>
        </w:rPr>
      </w:pPr>
      <w:r w:rsidRPr="00A531D2">
        <w:rPr>
          <w:rFonts w:ascii="Times New Roman" w:hAnsi="Times New Roman" w:cs="Times New Roman"/>
          <w:b/>
          <w:noProof/>
          <w:sz w:val="24"/>
          <w:szCs w:val="24"/>
          <w:lang w:eastAsia="es-ES"/>
        </w:rPr>
        <w:drawing>
          <wp:inline distT="0" distB="0" distL="0" distR="0" wp14:anchorId="54918EDD" wp14:editId="6F228761">
            <wp:extent cx="4934639" cy="4267796"/>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4934639" cy="4267796"/>
                    </a:xfrm>
                    <a:prstGeom prst="rect">
                      <a:avLst/>
                    </a:prstGeom>
                  </pic:spPr>
                </pic:pic>
              </a:graphicData>
            </a:graphic>
          </wp:inline>
        </w:drawing>
      </w:r>
    </w:p>
    <w:p w:rsidR="00F64314" w:rsidRDefault="00F64314" w:rsidP="00F64314">
      <w:pPr>
        <w:rPr>
          <w:rFonts w:ascii="Times New Roman" w:hAnsi="Times New Roman" w:cs="Times New Roman"/>
          <w:b/>
          <w:sz w:val="24"/>
          <w:szCs w:val="24"/>
        </w:rPr>
      </w:pPr>
      <w:r w:rsidRPr="00B420A2">
        <w:rPr>
          <w:rFonts w:ascii="Times New Roman" w:hAnsi="Times New Roman" w:cs="Times New Roman"/>
          <w:b/>
          <w:noProof/>
          <w:sz w:val="24"/>
          <w:szCs w:val="24"/>
          <w:lang w:eastAsia="es-ES"/>
        </w:rPr>
        <w:lastRenderedPageBreak/>
        <w:drawing>
          <wp:inline distT="0" distB="0" distL="0" distR="0" wp14:anchorId="1AB07EF0" wp14:editId="000289D8">
            <wp:extent cx="5732730" cy="3752850"/>
            <wp:effectExtent l="0" t="0" r="1905"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731510" cy="3752051"/>
                    </a:xfrm>
                    <a:prstGeom prst="rect">
                      <a:avLst/>
                    </a:prstGeom>
                  </pic:spPr>
                </pic:pic>
              </a:graphicData>
            </a:graphic>
          </wp:inline>
        </w:drawing>
      </w:r>
    </w:p>
    <w:p w:rsidR="00F64314" w:rsidRDefault="00F64314" w:rsidP="00F64314">
      <w:pPr>
        <w:rPr>
          <w:rFonts w:ascii="Times New Roman" w:hAnsi="Times New Roman" w:cs="Times New Roman"/>
          <w:b/>
          <w:sz w:val="24"/>
          <w:szCs w:val="24"/>
        </w:rPr>
      </w:pPr>
      <w:r>
        <w:rPr>
          <w:rFonts w:ascii="Times New Roman" w:hAnsi="Times New Roman" w:cs="Times New Roman"/>
          <w:b/>
          <w:sz w:val="24"/>
          <w:szCs w:val="24"/>
        </w:rPr>
        <w:t xml:space="preserve">                   </w:t>
      </w:r>
      <w:r w:rsidRPr="00B420A2">
        <w:rPr>
          <w:rFonts w:ascii="Times New Roman" w:hAnsi="Times New Roman" w:cs="Times New Roman"/>
          <w:b/>
          <w:noProof/>
          <w:sz w:val="24"/>
          <w:szCs w:val="24"/>
          <w:lang w:eastAsia="es-ES"/>
        </w:rPr>
        <w:drawing>
          <wp:inline distT="0" distB="0" distL="0" distR="0" wp14:anchorId="7C6ECFF9" wp14:editId="422D7F9D">
            <wp:extent cx="4019550" cy="4267200"/>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4020111" cy="4267796"/>
                    </a:xfrm>
                    <a:prstGeom prst="rect">
                      <a:avLst/>
                    </a:prstGeom>
                  </pic:spPr>
                </pic:pic>
              </a:graphicData>
            </a:graphic>
          </wp:inline>
        </w:drawing>
      </w:r>
    </w:p>
    <w:p w:rsidR="00F64314" w:rsidRDefault="00F64314" w:rsidP="00F64314">
      <w:pPr>
        <w:rPr>
          <w:rFonts w:ascii="Times New Roman" w:hAnsi="Times New Roman" w:cs="Times New Roman"/>
          <w:b/>
          <w:sz w:val="24"/>
          <w:szCs w:val="24"/>
        </w:rPr>
      </w:pPr>
      <w:r w:rsidRPr="00B420A2">
        <w:rPr>
          <w:rFonts w:ascii="Times New Roman" w:hAnsi="Times New Roman" w:cs="Times New Roman"/>
          <w:b/>
          <w:noProof/>
          <w:sz w:val="24"/>
          <w:szCs w:val="24"/>
          <w:lang w:eastAsia="es-ES"/>
        </w:rPr>
        <w:lastRenderedPageBreak/>
        <w:drawing>
          <wp:inline distT="0" distB="0" distL="0" distR="0" wp14:anchorId="668590E9" wp14:editId="2D15238C">
            <wp:extent cx="5731510" cy="3685067"/>
            <wp:effectExtent l="0" t="0" r="254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731510" cy="3685067"/>
                    </a:xfrm>
                    <a:prstGeom prst="rect">
                      <a:avLst/>
                    </a:prstGeom>
                  </pic:spPr>
                </pic:pic>
              </a:graphicData>
            </a:graphic>
          </wp:inline>
        </w:drawing>
      </w:r>
    </w:p>
    <w:p w:rsidR="00F64314" w:rsidRDefault="00F64314" w:rsidP="00F64314">
      <w:pPr>
        <w:rPr>
          <w:rFonts w:ascii="Times New Roman" w:hAnsi="Times New Roman" w:cs="Times New Roman"/>
          <w:b/>
          <w:sz w:val="24"/>
          <w:szCs w:val="24"/>
        </w:rPr>
      </w:pPr>
      <w:r w:rsidRPr="00392DEA">
        <w:rPr>
          <w:rFonts w:ascii="Times New Roman" w:hAnsi="Times New Roman" w:cs="Times New Roman"/>
          <w:b/>
          <w:noProof/>
          <w:sz w:val="24"/>
          <w:szCs w:val="24"/>
          <w:lang w:eastAsia="es-ES"/>
        </w:rPr>
        <w:drawing>
          <wp:inline distT="0" distB="0" distL="0" distR="0" wp14:anchorId="1F0170BA" wp14:editId="154E5242">
            <wp:extent cx="5732110" cy="4476750"/>
            <wp:effectExtent l="0" t="0" r="254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731510" cy="4476282"/>
                    </a:xfrm>
                    <a:prstGeom prst="rect">
                      <a:avLst/>
                    </a:prstGeom>
                  </pic:spPr>
                </pic:pic>
              </a:graphicData>
            </a:graphic>
          </wp:inline>
        </w:drawing>
      </w:r>
    </w:p>
    <w:p w:rsidR="00F64314" w:rsidRPr="00116C35" w:rsidRDefault="00F64314" w:rsidP="00F64314">
      <w:pPr>
        <w:rPr>
          <w:rFonts w:ascii="Times New Roman" w:hAnsi="Times New Roman" w:cs="Times New Roman"/>
          <w:sz w:val="24"/>
          <w:szCs w:val="24"/>
        </w:rPr>
      </w:pPr>
      <w:r w:rsidRPr="00116C35">
        <w:rPr>
          <w:rFonts w:ascii="Times New Roman" w:hAnsi="Times New Roman" w:cs="Times New Roman"/>
          <w:sz w:val="24"/>
          <w:szCs w:val="24"/>
        </w:rPr>
        <w:t>Fuente: Datos Macro - Expansión</w:t>
      </w:r>
    </w:p>
    <w:p w:rsidR="00F64314" w:rsidRPr="00116C35" w:rsidRDefault="00F64314" w:rsidP="00F64314">
      <w:pPr>
        <w:spacing w:line="240" w:lineRule="auto"/>
        <w:jc w:val="both"/>
        <w:rPr>
          <w:rFonts w:ascii="Times New Roman" w:hAnsi="Times New Roman" w:cs="Times New Roman"/>
          <w:b/>
          <w:sz w:val="24"/>
          <w:szCs w:val="24"/>
        </w:rPr>
      </w:pPr>
      <w:r w:rsidRPr="00116C35">
        <w:rPr>
          <w:rFonts w:ascii="Times New Roman" w:hAnsi="Times New Roman" w:cs="Times New Roman"/>
          <w:b/>
          <w:sz w:val="24"/>
          <w:szCs w:val="24"/>
        </w:rPr>
        <w:lastRenderedPageBreak/>
        <w:t>Human Rights Watch</w:t>
      </w:r>
    </w:p>
    <w:p w:rsidR="00F64314" w:rsidRPr="00392DEA" w:rsidRDefault="00CA3920" w:rsidP="00F64314">
      <w:pPr>
        <w:spacing w:line="240" w:lineRule="auto"/>
        <w:jc w:val="both"/>
        <w:rPr>
          <w:rFonts w:ascii="Times New Roman" w:hAnsi="Times New Roman" w:cs="Times New Roman"/>
          <w:sz w:val="24"/>
          <w:szCs w:val="24"/>
        </w:rPr>
      </w:pPr>
      <w:r w:rsidRPr="00116C35">
        <w:rPr>
          <w:rFonts w:ascii="Times New Roman" w:hAnsi="Times New Roman" w:cs="Times New Roman"/>
          <w:sz w:val="24"/>
          <w:szCs w:val="24"/>
        </w:rPr>
        <w:t>(Washington, DC).-</w:t>
      </w:r>
      <w:r w:rsidR="00F64314" w:rsidRPr="00116C35">
        <w:rPr>
          <w:rFonts w:ascii="Times New Roman" w:hAnsi="Times New Roman" w:cs="Times New Roman"/>
          <w:sz w:val="24"/>
          <w:szCs w:val="24"/>
        </w:rPr>
        <w:t xml:space="preserve"> </w:t>
      </w:r>
      <w:r w:rsidR="00F64314" w:rsidRPr="00392DEA">
        <w:rPr>
          <w:rFonts w:ascii="Times New Roman" w:hAnsi="Times New Roman" w:cs="Times New Roman"/>
          <w:sz w:val="24"/>
          <w:szCs w:val="24"/>
        </w:rPr>
        <w:t>El gobierno de Estados Unidos ha logrado escasos avances en lo que hace a frenar el aumento de la pobreza y la desigualdad durante la pandemia del Covid-19, señaló Human Rights Watch en el día de hoy. El gobierno debería adoptar medidas urgentes para abordar los derechos de millones de personas afectadas por el agravamiento de los impactos económ</w:t>
      </w:r>
      <w:r w:rsidR="00F64314">
        <w:rPr>
          <w:rFonts w:ascii="Times New Roman" w:hAnsi="Times New Roman" w:cs="Times New Roman"/>
          <w:sz w:val="24"/>
          <w:szCs w:val="24"/>
        </w:rPr>
        <w:t>icos y sociales de la pandemia.</w:t>
      </w:r>
    </w:p>
    <w:p w:rsidR="00F64314" w:rsidRPr="00392DEA" w:rsidRDefault="00F64314" w:rsidP="00F64314">
      <w:pPr>
        <w:spacing w:line="240" w:lineRule="auto"/>
        <w:jc w:val="both"/>
        <w:rPr>
          <w:rFonts w:ascii="Times New Roman" w:hAnsi="Times New Roman" w:cs="Times New Roman"/>
          <w:sz w:val="24"/>
          <w:szCs w:val="24"/>
        </w:rPr>
      </w:pPr>
      <w:r w:rsidRPr="00392DEA">
        <w:rPr>
          <w:rFonts w:ascii="Times New Roman" w:hAnsi="Times New Roman" w:cs="Times New Roman"/>
          <w:sz w:val="24"/>
          <w:szCs w:val="24"/>
        </w:rPr>
        <w:t xml:space="preserve">Un análisis realizado por Human Rights Watch de microdatos de uso público obtenidos de la encuesta Household Pulse de la Oficina de Censos muestra que la recesión económica ocasionada por la pandemia ha tenido un impacto devastador y desproporcionado sobre los derechos de las personas con bajos ingresos que ya atravesaban dificultades. El American Rescue Plan del Presidente Joe Biden, un proyecto de ley que prevé otorgar ayuda por valor de USD 1,9 billones en el marco del coronavirus, y que fue aprobado por la </w:t>
      </w:r>
      <w:r w:rsidR="00CA3920">
        <w:rPr>
          <w:rFonts w:ascii="Times New Roman" w:hAnsi="Times New Roman" w:cs="Times New Roman"/>
          <w:sz w:val="24"/>
          <w:szCs w:val="24"/>
        </w:rPr>
        <w:t>Cámara de Representantes de EEUU</w:t>
      </w:r>
      <w:r w:rsidRPr="00392DEA">
        <w:rPr>
          <w:rFonts w:ascii="Times New Roman" w:hAnsi="Times New Roman" w:cs="Times New Roman"/>
          <w:sz w:val="24"/>
          <w:szCs w:val="24"/>
        </w:rPr>
        <w:t xml:space="preserve"> el 27 de febrero de 2021, dispone que se realicen inversiones de vital importancia para mitigar las dificultades económicas cada vez mayores que afectan a estos sectores de la población. Ahora, este proyecto de ley está siendo evaluado por el Senado, el cual podrá modificarlo antes de volver a enviarlo a la Cámara de Represe</w:t>
      </w:r>
      <w:r>
        <w:rPr>
          <w:rFonts w:ascii="Times New Roman" w:hAnsi="Times New Roman" w:cs="Times New Roman"/>
          <w:sz w:val="24"/>
          <w:szCs w:val="24"/>
        </w:rPr>
        <w:t>ntantes para su votación final.</w:t>
      </w:r>
    </w:p>
    <w:p w:rsidR="00F64314" w:rsidRPr="00392DEA" w:rsidRDefault="00CA3920" w:rsidP="00F64314">
      <w:pPr>
        <w:spacing w:line="240" w:lineRule="auto"/>
        <w:jc w:val="both"/>
        <w:rPr>
          <w:rFonts w:ascii="Times New Roman" w:hAnsi="Times New Roman" w:cs="Times New Roman"/>
          <w:sz w:val="24"/>
          <w:szCs w:val="24"/>
        </w:rPr>
      </w:pPr>
      <w:r>
        <w:rPr>
          <w:rFonts w:ascii="Times New Roman" w:hAnsi="Times New Roman" w:cs="Times New Roman"/>
          <w:sz w:val="24"/>
          <w:szCs w:val="24"/>
        </w:rPr>
        <w:t>“Millones de personas de EEUU</w:t>
      </w:r>
      <w:r w:rsidR="00F64314" w:rsidRPr="00392DEA">
        <w:rPr>
          <w:rFonts w:ascii="Times New Roman" w:hAnsi="Times New Roman" w:cs="Times New Roman"/>
          <w:sz w:val="24"/>
          <w:szCs w:val="24"/>
        </w:rPr>
        <w:t xml:space="preserve"> enfrentan una situación de pobreza y hambre que podría prevenirse”, manifestó Lena Simet, investigadora sénior sobre pobreza y desigualdad de Human Rights Watch. “Las medidas que establece la propuesta de ayuda del Presidente Biden se necesitan de manera urgente, y el gobierno no debería pasar nada por alto cuando están en riesgo tantas v</w:t>
      </w:r>
      <w:r w:rsidR="00F64314">
        <w:rPr>
          <w:rFonts w:ascii="Times New Roman" w:hAnsi="Times New Roman" w:cs="Times New Roman"/>
          <w:sz w:val="24"/>
          <w:szCs w:val="24"/>
        </w:rPr>
        <w:t>idas y medios de subsistencia”.</w:t>
      </w:r>
    </w:p>
    <w:p w:rsidR="00F64314" w:rsidRPr="00392DEA" w:rsidRDefault="00F64314" w:rsidP="00F64314">
      <w:pPr>
        <w:spacing w:line="240" w:lineRule="auto"/>
        <w:jc w:val="both"/>
        <w:rPr>
          <w:rFonts w:ascii="Times New Roman" w:hAnsi="Times New Roman" w:cs="Times New Roman"/>
          <w:sz w:val="24"/>
          <w:szCs w:val="24"/>
        </w:rPr>
      </w:pPr>
      <w:r w:rsidRPr="00392DEA">
        <w:rPr>
          <w:rFonts w:ascii="Times New Roman" w:hAnsi="Times New Roman" w:cs="Times New Roman"/>
          <w:sz w:val="24"/>
          <w:szCs w:val="24"/>
        </w:rPr>
        <w:t>Los responsables de formular políticas a nivel federal deberían asegurar que la ayuda no solo llegue a todas las personas que la necesiten, sino que también brinde niveles de asistencia suficientes. También debería establecer las condiciones para una recuperación económica basada en derechos que garantice un estándar de vida adecuado a todas las personas en Estados Unidos, y que aborde las desigualdades raciales, de género y de otro t</w:t>
      </w:r>
      <w:r>
        <w:rPr>
          <w:rFonts w:ascii="Times New Roman" w:hAnsi="Times New Roman" w:cs="Times New Roman"/>
          <w:sz w:val="24"/>
          <w:szCs w:val="24"/>
        </w:rPr>
        <w:t>ipo, señaló Human Rights Watch.</w:t>
      </w:r>
    </w:p>
    <w:p w:rsidR="00F64314" w:rsidRPr="00392DEA" w:rsidRDefault="00F64314" w:rsidP="00F64314">
      <w:pPr>
        <w:spacing w:line="240" w:lineRule="auto"/>
        <w:jc w:val="both"/>
        <w:rPr>
          <w:rFonts w:ascii="Times New Roman" w:hAnsi="Times New Roman" w:cs="Times New Roman"/>
          <w:sz w:val="24"/>
          <w:szCs w:val="24"/>
        </w:rPr>
      </w:pPr>
      <w:r w:rsidRPr="00392DEA">
        <w:rPr>
          <w:rFonts w:ascii="Times New Roman" w:hAnsi="Times New Roman" w:cs="Times New Roman"/>
          <w:sz w:val="24"/>
          <w:szCs w:val="24"/>
        </w:rPr>
        <w:t>Desde el inicio de la pandemia, 74,7 millones de personas han perdido su trabajo, y la mayoría de los empleos se perdieron en sectores que pagan salarios inferiores a la media. Muchas de las personas que perdieron su trabajo y sus ingresos se están quedando sin dinero y ahorros. En el mes de enero, aproximadamente 24 millones de adultos informaron que se encontraban en situación de hambre y más de seis millones manifestaron que temían sufrir un desalojo o la ejecución de sus hipotecas en los dos meses siguientes, por no poder cumplir con los pagos relacionados con la vivienda. En contraposición con ello, las personas de ingresos más altos no han sufrido un perjuicio económico grave. Pese a estar atravesando la peor contracción económica desde la Gran Depresión, la riqueza conjunta d</w:t>
      </w:r>
      <w:r w:rsidR="00CA3920">
        <w:rPr>
          <w:rFonts w:ascii="Times New Roman" w:hAnsi="Times New Roman" w:cs="Times New Roman"/>
          <w:sz w:val="24"/>
          <w:szCs w:val="24"/>
        </w:rPr>
        <w:t>e los 651 milmillonarios de EEUU</w:t>
      </w:r>
      <w:r w:rsidRPr="00392DEA">
        <w:rPr>
          <w:rFonts w:ascii="Times New Roman" w:hAnsi="Times New Roman" w:cs="Times New Roman"/>
          <w:sz w:val="24"/>
          <w:szCs w:val="24"/>
        </w:rPr>
        <w:t xml:space="preserve"> ha aumentado en más de USD 1 billón desde el inicio de la pandemia, lo cual representa un salto del 36 %.</w:t>
      </w:r>
    </w:p>
    <w:p w:rsidR="00F64314" w:rsidRPr="00392DEA" w:rsidRDefault="00F64314" w:rsidP="00F64314">
      <w:pPr>
        <w:spacing w:line="240" w:lineRule="auto"/>
        <w:jc w:val="both"/>
        <w:rPr>
          <w:rFonts w:ascii="Times New Roman" w:hAnsi="Times New Roman" w:cs="Times New Roman"/>
          <w:sz w:val="24"/>
          <w:szCs w:val="24"/>
        </w:rPr>
      </w:pPr>
      <w:r w:rsidRPr="00392DEA">
        <w:rPr>
          <w:rFonts w:ascii="Times New Roman" w:hAnsi="Times New Roman" w:cs="Times New Roman"/>
          <w:sz w:val="24"/>
          <w:szCs w:val="24"/>
        </w:rPr>
        <w:t xml:space="preserve">Datos aportados recientemente por la Oficina de Censos señalan cómo los hogares con diferentes niveles de ingresos están haciendo frente a la pandemia, y que los hogares con ingresos bajos tienen dificultades desproporcionadas en lo que respecta a la satisfacción de sus derechos sociales y económicos. Entre los hogares que tienen ingresos inferiores a USD 35.000, el 47 % de los adultos informan que están atrasados con los pagos de vivienda, y el 25 % manifiesta tener dificultades para obtener alimentos. El 32 % de los adultos de bajos </w:t>
      </w:r>
      <w:r w:rsidRPr="00392DEA">
        <w:rPr>
          <w:rFonts w:ascii="Times New Roman" w:hAnsi="Times New Roman" w:cs="Times New Roman"/>
          <w:sz w:val="24"/>
          <w:szCs w:val="24"/>
        </w:rPr>
        <w:lastRenderedPageBreak/>
        <w:t>ingresos dijeron que se habían sentido deprimidos en los siete días anteriores. Estos hogares de bajos ingresos necesitan, con urgenci</w:t>
      </w:r>
      <w:r>
        <w:rPr>
          <w:rFonts w:ascii="Times New Roman" w:hAnsi="Times New Roman" w:cs="Times New Roman"/>
          <w:sz w:val="24"/>
          <w:szCs w:val="24"/>
        </w:rPr>
        <w:t>a, un plan de rescate integral.</w:t>
      </w:r>
    </w:p>
    <w:p w:rsidR="00F64314" w:rsidRDefault="00F64314" w:rsidP="00F64314">
      <w:pPr>
        <w:spacing w:line="240" w:lineRule="auto"/>
        <w:jc w:val="both"/>
        <w:rPr>
          <w:rFonts w:ascii="Times New Roman" w:hAnsi="Times New Roman" w:cs="Times New Roman"/>
          <w:sz w:val="24"/>
          <w:szCs w:val="24"/>
        </w:rPr>
      </w:pPr>
      <w:r w:rsidRPr="00392DEA">
        <w:rPr>
          <w:rFonts w:ascii="Times New Roman" w:hAnsi="Times New Roman" w:cs="Times New Roman"/>
          <w:sz w:val="24"/>
          <w:szCs w:val="24"/>
        </w:rPr>
        <w:t>La tercera parte de los adultos informó haber usado los pagos de estímulo anteriores y los beneficios por desempleo mejorados para cubrir gastos normales del hogar en los siete días previos; el 37 % de ellos también señaló que había contraído deudas utilizando tarjetas de crédito y préstamos para cubrir gastos de rutina.</w:t>
      </w:r>
    </w:p>
    <w:p w:rsidR="00F64314" w:rsidRDefault="00F64314" w:rsidP="00F64314">
      <w:pPr>
        <w:rPr>
          <w:rFonts w:ascii="Times New Roman" w:hAnsi="Times New Roman" w:cs="Times New Roman"/>
          <w:sz w:val="24"/>
          <w:szCs w:val="24"/>
        </w:rPr>
      </w:pPr>
      <w:r w:rsidRPr="00392DEA">
        <w:rPr>
          <w:rFonts w:ascii="Times New Roman" w:hAnsi="Times New Roman" w:cs="Times New Roman"/>
          <w:noProof/>
          <w:sz w:val="24"/>
          <w:szCs w:val="24"/>
          <w:lang w:eastAsia="es-ES"/>
        </w:rPr>
        <w:drawing>
          <wp:inline distT="0" distB="0" distL="0" distR="0" wp14:anchorId="78B67AC6" wp14:editId="0B91051B">
            <wp:extent cx="5731510" cy="4302919"/>
            <wp:effectExtent l="0" t="0" r="2540" b="254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731510" cy="4302919"/>
                    </a:xfrm>
                    <a:prstGeom prst="rect">
                      <a:avLst/>
                    </a:prstGeom>
                  </pic:spPr>
                </pic:pic>
              </a:graphicData>
            </a:graphic>
          </wp:inline>
        </w:drawing>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A fines de enero, según lo indicaron esos datos, más de 24 millones de adultos no habían tenido alimentos suficientes a veces, o a menudo, en los siete días anteriores. Eso representa cinco millones más que en agosto de 2020, cuando las dificultades para obtener alimentos ya se situaban en niveles más altos que antes de la pandemia. Human Rights Watch determinó que más de la mitad de los hogares que tienen dificultades para obtener alimentos incluyen niños y niñas, lo cual plantea una fuerte preocupación sobre las consecuencias a largo plazo para la salud de los niños y</w:t>
      </w:r>
      <w:r>
        <w:rPr>
          <w:rFonts w:ascii="Times New Roman" w:hAnsi="Times New Roman" w:cs="Times New Roman"/>
          <w:sz w:val="24"/>
          <w:szCs w:val="24"/>
        </w:rPr>
        <w:t xml:space="preserve"> </w:t>
      </w:r>
      <w:r w:rsidRPr="002676E0">
        <w:rPr>
          <w:rFonts w:ascii="Times New Roman" w:hAnsi="Times New Roman" w:cs="Times New Roman"/>
          <w:sz w:val="24"/>
          <w:szCs w:val="24"/>
        </w:rPr>
        <w:t>las niñas y sus resultados académicos. Más del 45 % de los hogares que tienen dificultades para obtener alimentos se sitúan en el cuartil de menores ingresos, y ganan menos de USD 35.000 por año. Las desigualdades raciales son elevadas; la tasa de personas adultas negras y latinas que viven en hogares que no cuentan con suficientes alimentos es más del doble de la que existe entr</w:t>
      </w:r>
      <w:r>
        <w:rPr>
          <w:rFonts w:ascii="Times New Roman" w:hAnsi="Times New Roman" w:cs="Times New Roman"/>
          <w:sz w:val="24"/>
          <w:szCs w:val="24"/>
        </w:rPr>
        <w:t>e las personas adultas blancas.</w:t>
      </w:r>
    </w:p>
    <w:p w:rsidR="00F64314"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 xml:space="preserve">Human Rights Watch determinó que los hogares de bajos ingresos están particularmente </w:t>
      </w:r>
      <w:r w:rsidR="00DE27E7" w:rsidRPr="002676E0">
        <w:rPr>
          <w:rFonts w:ascii="Times New Roman" w:hAnsi="Times New Roman" w:cs="Times New Roman"/>
          <w:sz w:val="24"/>
          <w:szCs w:val="24"/>
        </w:rPr>
        <w:t>desfavorecidos</w:t>
      </w:r>
      <w:r w:rsidRPr="002676E0">
        <w:rPr>
          <w:rFonts w:ascii="Times New Roman" w:hAnsi="Times New Roman" w:cs="Times New Roman"/>
          <w:sz w:val="24"/>
          <w:szCs w:val="24"/>
        </w:rPr>
        <w:t xml:space="preserve"> respecto de la recuperación, porque muchos experimentan múltiples factores de estrés (“estresores”), como la inseguridad habitacional. El 60 % de los hogares con ingresos inferiores a USD 35.000 por año enfrentan al menos dos estresores en forma simultánea, en comparación con menos del 20 % de los hogares que ganan más de USD </w:t>
      </w:r>
      <w:r w:rsidRPr="002676E0">
        <w:rPr>
          <w:rFonts w:ascii="Times New Roman" w:hAnsi="Times New Roman" w:cs="Times New Roman"/>
          <w:sz w:val="24"/>
          <w:szCs w:val="24"/>
        </w:rPr>
        <w:lastRenderedPageBreak/>
        <w:t>150.000. Estos estresores agravantes pueden empujar a las familias hacia una situación de mayor pobreza y representan un riesgo para los derechos de las personas.</w:t>
      </w:r>
    </w:p>
    <w:p w:rsidR="00F64314" w:rsidRDefault="00F64314" w:rsidP="00F64314">
      <w:pPr>
        <w:rPr>
          <w:rFonts w:ascii="Times New Roman" w:hAnsi="Times New Roman" w:cs="Times New Roman"/>
          <w:sz w:val="24"/>
          <w:szCs w:val="24"/>
        </w:rPr>
      </w:pPr>
      <w:r w:rsidRPr="00392DEA">
        <w:rPr>
          <w:rFonts w:ascii="Times New Roman" w:hAnsi="Times New Roman" w:cs="Times New Roman"/>
          <w:noProof/>
          <w:sz w:val="24"/>
          <w:szCs w:val="24"/>
          <w:lang w:eastAsia="es-ES"/>
        </w:rPr>
        <w:drawing>
          <wp:inline distT="0" distB="0" distL="0" distR="0" wp14:anchorId="557D83FF" wp14:editId="4B3DA767">
            <wp:extent cx="5731510" cy="3969193"/>
            <wp:effectExtent l="0" t="0" r="254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3969193"/>
                    </a:xfrm>
                    <a:prstGeom prst="rect">
                      <a:avLst/>
                    </a:prstGeom>
                  </pic:spPr>
                </pic:pic>
              </a:graphicData>
            </a:graphic>
          </wp:inline>
        </w:drawing>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“Los programas gubernamentales y los anteriores proyectos legislativos de estímulo han brindado ayuda de vital importancia, pero que fue temporal”, manifestó Simet. “La inseguridad alimentaria y habitacional está aumentando, y millones de personas están en una situación de hambre, o a punto de perder sus hogares o de sufrir el corte de los servicios públicos en uno de los países más ricos del mundo. Todo ello evidencia la falla de la redes de seguridad, y la necesidad urgente de atender los derechos de las personas a a</w:t>
      </w:r>
      <w:r>
        <w:rPr>
          <w:rFonts w:ascii="Times New Roman" w:hAnsi="Times New Roman" w:cs="Times New Roman"/>
          <w:sz w:val="24"/>
          <w:szCs w:val="24"/>
        </w:rPr>
        <w:t>cceder a alimentos y vivienda”.</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El impacto desproporcionado de la pandemia sobre las personas de bajos ingresos subraya cuán urgente es abordar la precaria situación financiera de los trabajadores de bajos ingresos, que ya existía antes de la pandemia, manifestó Human Rights Watch. Elevar el salario mínimo a un salario que permita vivir es un mecanismo eficaz. También es efectivo para combatir la pobreza y abordar la desigualdad en los ingresos. La oposición de algunos legisladores a la propuesta de Biden de elevar el salario mínimo federal a USD 15 por hora como parte del plan de rescate va en contra de una recuperación equitativa y pone en una situación de mayor riesgo a las personas que ganan salarios bajos, particularmente las mujeres y los trabajadores de color, quienes siguen siendo empujados hacia los empleos con sueldos más exiguos.</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 xml:space="preserve">La red de seguridad que se establezca deberá proteger a aquellos que lo necesiten. En la actualidad, los sistemas de asistencia económica y sanitaria </w:t>
      </w:r>
      <w:r w:rsidR="00CA3920">
        <w:rPr>
          <w:rFonts w:ascii="Times New Roman" w:hAnsi="Times New Roman" w:cs="Times New Roman"/>
          <w:sz w:val="24"/>
          <w:szCs w:val="24"/>
        </w:rPr>
        <w:t>más importantes de EEUU</w:t>
      </w:r>
      <w:r w:rsidRPr="002676E0">
        <w:rPr>
          <w:rFonts w:ascii="Times New Roman" w:hAnsi="Times New Roman" w:cs="Times New Roman"/>
          <w:sz w:val="24"/>
          <w:szCs w:val="24"/>
        </w:rPr>
        <w:t xml:space="preserve"> están orientados, en gran medida, a brindar apoyo a los niños y a sus padres, a las personas con discapacidad y a los adultos mayores. Estos programas suelen ser insuficientes para asegurar el derecho a un estándar de v</w:t>
      </w:r>
      <w:r>
        <w:rPr>
          <w:rFonts w:ascii="Times New Roman" w:hAnsi="Times New Roman" w:cs="Times New Roman"/>
          <w:sz w:val="24"/>
          <w:szCs w:val="24"/>
        </w:rPr>
        <w:t>ida adecuado para estos grupos.</w:t>
      </w:r>
    </w:p>
    <w:p w:rsidR="00F64314"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lastRenderedPageBreak/>
        <w:t>Tampoco responden a las necesidades de las personas de ingresos bajos que no se enmarcan en estas categorías, quienes tienen menos opciones de asistencia gubernamental, y a menudo quedan desatendidas. En 2020, más de uno de cada ocho adultos menores de 65 años, sin hijos y sin ninguna discapacidad, vivían en situación de pobreza, según el Centro de Presupuesto y Prioridades de Políticas (Center on Budget and Policy Priorities).</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Dificultad para sufragar gastos del hogar</w:t>
      </w:r>
    </w:p>
    <w:p w:rsidR="00F64314"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La encuesta de la Oficina de Censos analizó el impacto desproporcionado que experimentaron los hogares de bajos ingresos y las personas de color, y la capacidad de cubrir gastos como los alimentos, el alquiler o la hipoteca, gastos médicos o servicios públicos en los siete días anteriores.</w:t>
      </w:r>
    </w:p>
    <w:p w:rsidR="00F64314" w:rsidRPr="002676E0" w:rsidRDefault="00F64314" w:rsidP="00F643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174BE520" wp14:editId="55A1B3C5">
            <wp:extent cx="3435350" cy="2647950"/>
            <wp:effectExtent l="0" t="0" r="0" b="0"/>
            <wp:docPr id="127" name="Imagen 127" descr="Graph showing difficulty paying expenses by 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aph showing difficulty paying expenses by race"/>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435350" cy="2647950"/>
                    </a:xfrm>
                    <a:prstGeom prst="rect">
                      <a:avLst/>
                    </a:prstGeom>
                    <a:noFill/>
                    <a:ln>
                      <a:noFill/>
                    </a:ln>
                  </pic:spPr>
                </pic:pic>
              </a:graphicData>
            </a:graphic>
          </wp:inline>
        </w:drawing>
      </w:r>
    </w:p>
    <w:p w:rsidR="00F64314" w:rsidRPr="002676E0" w:rsidRDefault="00F64314" w:rsidP="00F64314">
      <w:pPr>
        <w:spacing w:line="240" w:lineRule="auto"/>
        <w:jc w:val="both"/>
        <w:rPr>
          <w:rFonts w:ascii="Times New Roman" w:hAnsi="Times New Roman" w:cs="Times New Roman"/>
          <w:sz w:val="24"/>
          <w:szCs w:val="24"/>
        </w:rPr>
      </w:pP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Aproximadamente el 35 % del total de adultos vive en hogares que tienen dificultades para cubrir los gastos habituales de su grupo familiar, pero este porcentaje es el más alto entre las personas que viven en hogares con ingresos muy bajos. Casi el 60 % de los hogares que perciben ingresos inferiores a USD 35.000 por año tienen dificultades para pagar sus gastos habituales, lo cual sugiere que el impacto de la pandemia, incluidas las pérdidas de empleo y la morbilidad y mortalidad relacionadas con el Covid-19, está haciendo que la subsistencia resulte más difícil para muchas personas. Este porcentaje es significativamente menor en el caso de los hogares con ingresos superiores, y registra los niveles más bajos entre quienes ga</w:t>
      </w:r>
      <w:r>
        <w:rPr>
          <w:rFonts w:ascii="Times New Roman" w:hAnsi="Times New Roman" w:cs="Times New Roman"/>
          <w:sz w:val="24"/>
          <w:szCs w:val="24"/>
        </w:rPr>
        <w:t>nan más de USD 150.000 por año.</w:t>
      </w:r>
    </w:p>
    <w:p w:rsidR="00F64314"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Las personas adultas negras y latinas tuvieron casi el doble de probabilidades que las personas adultas blancas de enfrentar dificultades para pagar los gastos cotidianos en la semana anterior.</w:t>
      </w:r>
    </w:p>
    <w:p w:rsidR="00F64314" w:rsidRPr="002676E0" w:rsidRDefault="00F64314" w:rsidP="00F6431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77A80C8" wp14:editId="71AB47ED">
            <wp:extent cx="5731510" cy="3826885"/>
            <wp:effectExtent l="0" t="0" r="2540" b="2540"/>
            <wp:docPr id="128" name="Imagen 128" descr="Graph showing difficulty paying expenses by income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raph showing difficulty paying expenses by income group"/>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731510" cy="3826885"/>
                    </a:xfrm>
                    <a:prstGeom prst="rect">
                      <a:avLst/>
                    </a:prstGeom>
                    <a:noFill/>
                    <a:ln>
                      <a:noFill/>
                    </a:ln>
                  </pic:spPr>
                </pic:pic>
              </a:graphicData>
            </a:graphic>
          </wp:inline>
        </w:drawing>
      </w:r>
    </w:p>
    <w:p w:rsidR="00F64314" w:rsidRPr="002676E0" w:rsidRDefault="00F64314" w:rsidP="00F64314">
      <w:pPr>
        <w:spacing w:line="240" w:lineRule="auto"/>
        <w:jc w:val="both"/>
        <w:rPr>
          <w:rFonts w:ascii="Times New Roman" w:hAnsi="Times New Roman" w:cs="Times New Roman"/>
          <w:sz w:val="24"/>
          <w:szCs w:val="24"/>
        </w:rPr>
      </w:pPr>
      <w:r>
        <w:rPr>
          <w:rFonts w:ascii="Times New Roman" w:hAnsi="Times New Roman" w:cs="Times New Roman"/>
          <w:sz w:val="24"/>
          <w:szCs w:val="24"/>
        </w:rPr>
        <w:t>Inseguridad alimentaria</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En enero de 2021, en función de los datos del censo, más de uno de cada 10 adultos vivía en un hogar donde a veces o a menudo no hubo alimentos suficientes para comer en la semana anterior. Las desigualdades raciales son elevadas; la tasa de personas adultas negras y latinas que viven en hogares que no cuentan con suficientes alimentos es más del doble de la que existe entr</w:t>
      </w:r>
      <w:r>
        <w:rPr>
          <w:rFonts w:ascii="Times New Roman" w:hAnsi="Times New Roman" w:cs="Times New Roman"/>
          <w:sz w:val="24"/>
          <w:szCs w:val="24"/>
        </w:rPr>
        <w:t>e las personas adultas blancas.</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Se observa una relación clara entre ingresos e inseguridad alimentaria. Una cuarta parte de los adultos (aproximadamente 11 millones) que viven en hogares con un ingreso anual de menos de USD 35.000 enfrentaban situaciones de inseguridad alimentaria en enero, según lo indicaban los datos. De aquellos que tenían un ingreso anual de entre USD 35.000 y USD 75.000, el 11 % enfrentaban situaciones de inseguridad alimentaria. Este porcentaje es mucho menor en el caso de hogares con</w:t>
      </w:r>
      <w:r>
        <w:rPr>
          <w:rFonts w:ascii="Times New Roman" w:hAnsi="Times New Roman" w:cs="Times New Roman"/>
          <w:sz w:val="24"/>
          <w:szCs w:val="24"/>
        </w:rPr>
        <w:t xml:space="preserve"> ingresos mayores a USD 75.000.</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La inseguridad alimentaria fue particularmente alta en los hogares que habían sufrido la pérdida del empleo durante la pandemia. Tres de cada cuatro hogares que enfrentan una situación de inseguridad alimentaria han sufrido la pérdida del empleo desde que comenzó la pandemia, y el 58 % no tenía tra</w:t>
      </w:r>
      <w:r>
        <w:rPr>
          <w:rFonts w:ascii="Times New Roman" w:hAnsi="Times New Roman" w:cs="Times New Roman"/>
          <w:sz w:val="24"/>
          <w:szCs w:val="24"/>
        </w:rPr>
        <w:t>bajo al momento de la encuesta.</w:t>
      </w:r>
    </w:p>
    <w:p w:rsidR="00F64314"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Más de la mitad de los adultos que viven en hogares afectados por la inseguridad alimentaria tienen hijos que viven con ellos. Aproximadamente dos tercios de las familias afectadas por la inseguridad alimentaria señalaron que, en los siete días anteriores, “a veces” o “a menudo” fue cierto el enunciado que dice que sus “hijos no están comiendo lo suficiente porque simplemente no pudimos comprar la cantidad necesaria de alimentos”. La mayoría de estos hogares habían tenido ingresos de menos de USD 35.000 en el año anterior.</w:t>
      </w:r>
    </w:p>
    <w:p w:rsidR="00F64314" w:rsidRPr="002676E0" w:rsidRDefault="00F64314" w:rsidP="00F6431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2F3560B" wp14:editId="5C38C314">
            <wp:extent cx="5734050" cy="3340100"/>
            <wp:effectExtent l="0" t="0" r="0" b="0"/>
            <wp:docPr id="129" name="Imagen 129" descr="Graph showing numbers of adults in households with less than enough f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raph showing numbers of adults in households with less than enough food"/>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731510" cy="3338620"/>
                    </a:xfrm>
                    <a:prstGeom prst="rect">
                      <a:avLst/>
                    </a:prstGeom>
                    <a:noFill/>
                    <a:ln>
                      <a:noFill/>
                    </a:ln>
                  </pic:spPr>
                </pic:pic>
              </a:graphicData>
            </a:graphic>
          </wp:inline>
        </w:drawing>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El plan American Rescue brindaría inversiones críticas para abordar las alarmantes tasas que dan cuenta de la situación de hambre. Extendería el aumento temporal del 15 % en los beneficios del Programa de Asistencia Nutricional Complementario (Supplemental Nutrition Assistance Program, SNAP) desde junio hasta septiembre. Los beneficios deberían extenderse más allá de fines de septiembre si la economía estadounidense aún no se ha recuperado completamente</w:t>
      </w:r>
      <w:r>
        <w:rPr>
          <w:rFonts w:ascii="Times New Roman" w:hAnsi="Times New Roman" w:cs="Times New Roman"/>
          <w:sz w:val="24"/>
          <w:szCs w:val="24"/>
        </w:rPr>
        <w:t>, manifestó Human Rights Watch.</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Una parte significativa de las personas que están recibiendo beneficios del SNAP están enfrentando situaciones de inseguridad alimentaria. Esto sugiere que el aumento en el beneficio tal vez sea demasiado bajo. Entre los hogares donde viven beneficiarios del SNAP, el 27 % salteó comidas en enero. Según el Centro de Presupuesto y Prioridades de Políticas, uno de los motivos es que la interpretación actual del De</w:t>
      </w:r>
      <w:r w:rsidR="00CA3920">
        <w:rPr>
          <w:rFonts w:ascii="Times New Roman" w:hAnsi="Times New Roman" w:cs="Times New Roman"/>
          <w:sz w:val="24"/>
          <w:szCs w:val="24"/>
        </w:rPr>
        <w:t>partamento de Agricultura de EEUU</w:t>
      </w:r>
      <w:r w:rsidRPr="002676E0">
        <w:rPr>
          <w:rFonts w:ascii="Times New Roman" w:hAnsi="Times New Roman" w:cs="Times New Roman"/>
          <w:sz w:val="24"/>
          <w:szCs w:val="24"/>
        </w:rPr>
        <w:t xml:space="preserve"> de las disposiciones sobre asistencia alimentaria de emergencia en virtud de la Ley de Respuesta al Coronavirus Families First (Families First Coronavirus Response Act) niega esas asignaciones a casi el 40 % de los hogares alcanzados por el SNAP. El gobierno federal debería abordar las necesidades inmediatas, como así también las desigualdades estructurales en materia de inseg</w:t>
      </w:r>
      <w:r>
        <w:rPr>
          <w:rFonts w:ascii="Times New Roman" w:hAnsi="Times New Roman" w:cs="Times New Roman"/>
          <w:sz w:val="24"/>
          <w:szCs w:val="24"/>
        </w:rPr>
        <w:t>uridad alimentaria.</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Además, los beneficios del SNAP dejan fuera a millones de hogares que los necesitan. Hay 16,5 millones de hogares que, en este momento, no pueden hacer todas las comidas y no están recibiendo beneficios. Aproximadamente dos de cada tres adultos pertenecientes a hogares afectados por la inseguridad alimentaria no recibieron asistencia de alimentos en los siete días anteriores o tenían a un beneficiario del SNAP. De los adultos que viven en un hogar donde al menos un miembro recibió comestibles gratis o una comida gratis en los siete días anteriores, casi una cuarta parte no tuvo comida suficiente esa semana.</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Si los estrictos criterios de elegibilidad o las interpretaciones acerca de quiénes deben recibir los beneficios del SNAP impiden que la asistencia alimentaria llegue a todas las personas que la necesitan, poner dinero directamente en el bolsillo de las personas brindaría un alivio importante. El 33 % de los adultos que respondieron a la Encuesta de Puls</w:t>
      </w:r>
      <w:r w:rsidR="00CA3920">
        <w:rPr>
          <w:rFonts w:ascii="Times New Roman" w:hAnsi="Times New Roman" w:cs="Times New Roman"/>
          <w:sz w:val="24"/>
          <w:szCs w:val="24"/>
        </w:rPr>
        <w:t xml:space="preserve">o de la Oficina de </w:t>
      </w:r>
      <w:r w:rsidR="00CA3920">
        <w:rPr>
          <w:rFonts w:ascii="Times New Roman" w:hAnsi="Times New Roman" w:cs="Times New Roman"/>
          <w:sz w:val="24"/>
          <w:szCs w:val="24"/>
        </w:rPr>
        <w:lastRenderedPageBreak/>
        <w:t>Censos de EEUU</w:t>
      </w:r>
      <w:r w:rsidRPr="002676E0">
        <w:rPr>
          <w:rFonts w:ascii="Times New Roman" w:hAnsi="Times New Roman" w:cs="Times New Roman"/>
          <w:sz w:val="24"/>
          <w:szCs w:val="24"/>
        </w:rPr>
        <w:t xml:space="preserve"> manifestaron que habían usado el segundo cheque de e</w:t>
      </w:r>
      <w:r>
        <w:rPr>
          <w:rFonts w:ascii="Times New Roman" w:hAnsi="Times New Roman" w:cs="Times New Roman"/>
          <w:sz w:val="24"/>
          <w:szCs w:val="24"/>
        </w:rPr>
        <w:t>stímulo para comprar alimentos.</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Los créditos fiscales son otro instrumento de ayuda ante las dificultades económicas. El crédito fiscal por menores a cargo que se proponía en el plan American Rescue ayudaría a los hogares afectados por inseguridad al</w:t>
      </w:r>
      <w:r>
        <w:rPr>
          <w:rFonts w:ascii="Times New Roman" w:hAnsi="Times New Roman" w:cs="Times New Roman"/>
          <w:sz w:val="24"/>
          <w:szCs w:val="24"/>
        </w:rPr>
        <w:t>imentaria en los que hay hijos.</w:t>
      </w:r>
    </w:p>
    <w:p w:rsidR="00F64314"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Enviaría cheques mensuales por valor de USD 300 a padres de bajos ingresos que tengan hijos menores de seis años y USD 250 por cada niño de entre 6 y 17 años. Al brindar estos beneficios, el gobierno debe asegurar que los hogares que no hacen las presentaciones del impuesto federal sobre la renta no queden excluidos</w:t>
      </w:r>
      <w:r>
        <w:rPr>
          <w:rFonts w:ascii="Times New Roman" w:hAnsi="Times New Roman" w:cs="Times New Roman"/>
          <w:sz w:val="24"/>
          <w:szCs w:val="24"/>
        </w:rPr>
        <w:t>…</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Múltiples factores de estrés que contribuyen</w:t>
      </w:r>
      <w:r>
        <w:rPr>
          <w:rFonts w:ascii="Times New Roman" w:hAnsi="Times New Roman" w:cs="Times New Roman"/>
          <w:sz w:val="24"/>
          <w:szCs w:val="24"/>
        </w:rPr>
        <w:t xml:space="preserve"> a las dificultades financieras</w:t>
      </w:r>
    </w:p>
    <w:p w:rsidR="00F64314" w:rsidRPr="002676E0"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Los hogares de bajos ingresos sufren una desventaja particular que afecta su recuperación, dado que muchos están expuestos a múltiples factores de estrés que pueden afecta</w:t>
      </w:r>
      <w:r w:rsidR="00CA3920">
        <w:rPr>
          <w:rFonts w:ascii="Times New Roman" w:hAnsi="Times New Roman" w:cs="Times New Roman"/>
          <w:sz w:val="24"/>
          <w:szCs w:val="24"/>
        </w:rPr>
        <w:t>r los derechos de las personas -</w:t>
      </w:r>
      <w:r w:rsidRPr="002676E0">
        <w:rPr>
          <w:rFonts w:ascii="Times New Roman" w:hAnsi="Times New Roman" w:cs="Times New Roman"/>
          <w:sz w:val="24"/>
          <w:szCs w:val="24"/>
        </w:rPr>
        <w:t>como la inseguridad al</w:t>
      </w:r>
      <w:r w:rsidR="00CA3920">
        <w:rPr>
          <w:rFonts w:ascii="Times New Roman" w:hAnsi="Times New Roman" w:cs="Times New Roman"/>
          <w:sz w:val="24"/>
          <w:szCs w:val="24"/>
        </w:rPr>
        <w:t>imentaria-</w:t>
      </w:r>
      <w:r>
        <w:rPr>
          <w:rFonts w:ascii="Times New Roman" w:hAnsi="Times New Roman" w:cs="Times New Roman"/>
          <w:sz w:val="24"/>
          <w:szCs w:val="24"/>
        </w:rPr>
        <w:t xml:space="preserve"> durante la pandemia.</w:t>
      </w:r>
    </w:p>
    <w:p w:rsidR="00F64314"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Se estima que decenas de millones de hogares enfrentan múltiples factores de estrés de manera simultánea. Algunos de estos factores son no haber trabajado en la semana anterior, la pérdida de ingresos, la inseguridad alimentaria o habitacional, o síntomas de depresión. Los hogares de bajos ingresos son particularmente proclives a enfrentar múltiples factores de estrés. Uno de cada nueve adultos que viven en hogares con un ingreso anual inferior a USD 35.000 experimentaron al menos uno de los cinco factores de estrés; el 60 % experimentó al menos dos, y el 30 % tuvo dificultades para manejar tres al mismo tiempo. Los factores de estrés simultáneos son mucho menos frecuentes entre las personas que perciben los ingresos más altos. En la actualidad, solo el 18 % está expuesto a más de un estresor.</w:t>
      </w:r>
    </w:p>
    <w:p w:rsidR="00F64314" w:rsidRPr="002676E0" w:rsidRDefault="00F64314" w:rsidP="00F64314">
      <w:pPr>
        <w:spacing w:line="240" w:lineRule="auto"/>
        <w:jc w:val="both"/>
        <w:rPr>
          <w:rFonts w:ascii="Times New Roman" w:hAnsi="Times New Roman" w:cs="Times New Roman"/>
          <w:sz w:val="24"/>
          <w:szCs w:val="24"/>
        </w:rPr>
      </w:pPr>
      <w:r>
        <w:rPr>
          <w:noProof/>
          <w:lang w:eastAsia="es-ES"/>
        </w:rPr>
        <w:drawing>
          <wp:inline distT="0" distB="0" distL="0" distR="0" wp14:anchorId="08A0C35D" wp14:editId="1A738C3F">
            <wp:extent cx="5725871" cy="3435350"/>
            <wp:effectExtent l="0" t="0" r="8255" b="0"/>
            <wp:docPr id="130" name="Imagen 130" descr="Graph showing percentage of adults who reported multiple stressors, by income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raph showing percentage of adults who reported multiple stressors, by income group"/>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731510" cy="3438733"/>
                    </a:xfrm>
                    <a:prstGeom prst="rect">
                      <a:avLst/>
                    </a:prstGeom>
                    <a:noFill/>
                    <a:ln>
                      <a:noFill/>
                    </a:ln>
                  </pic:spPr>
                </pic:pic>
              </a:graphicData>
            </a:graphic>
          </wp:inline>
        </w:drawing>
      </w:r>
    </w:p>
    <w:p w:rsidR="00F64314" w:rsidRPr="00392DEA" w:rsidRDefault="00F64314" w:rsidP="00F64314">
      <w:pPr>
        <w:spacing w:line="240" w:lineRule="auto"/>
        <w:jc w:val="both"/>
        <w:rPr>
          <w:rFonts w:ascii="Times New Roman" w:hAnsi="Times New Roman" w:cs="Times New Roman"/>
          <w:sz w:val="24"/>
          <w:szCs w:val="24"/>
        </w:rPr>
      </w:pPr>
      <w:r w:rsidRPr="002676E0">
        <w:rPr>
          <w:rFonts w:ascii="Times New Roman" w:hAnsi="Times New Roman" w:cs="Times New Roman"/>
          <w:sz w:val="24"/>
          <w:szCs w:val="24"/>
        </w:rPr>
        <w:t xml:space="preserve">Las personas de color también tienen más probabilidades de experimentar la superposición de factores de estrés. Aproximadamente el 45 % de las personas adultas negras y latinas viven </w:t>
      </w:r>
      <w:r w:rsidRPr="002676E0">
        <w:rPr>
          <w:rFonts w:ascii="Times New Roman" w:hAnsi="Times New Roman" w:cs="Times New Roman"/>
          <w:sz w:val="24"/>
          <w:szCs w:val="24"/>
        </w:rPr>
        <w:lastRenderedPageBreak/>
        <w:t>en un hogar que enfrenta múltiples factores de estrés, en comparación con el 30 % de las personas adultas blancas y asiáticas</w:t>
      </w:r>
      <w:r w:rsidR="00CA3920">
        <w:rPr>
          <w:rFonts w:ascii="Times New Roman" w:hAnsi="Times New Roman" w:cs="Times New Roman"/>
          <w:sz w:val="24"/>
          <w:szCs w:val="24"/>
        </w:rPr>
        <w:t>…</w:t>
      </w:r>
    </w:p>
    <w:p w:rsidR="00F64314" w:rsidRPr="003C67CF" w:rsidRDefault="00F64314" w:rsidP="00F64314">
      <w:pPr>
        <w:rPr>
          <w:rFonts w:ascii="Times New Roman" w:hAnsi="Times New Roman" w:cs="Times New Roman"/>
          <w:b/>
          <w:sz w:val="24"/>
          <w:szCs w:val="24"/>
        </w:rPr>
      </w:pPr>
      <w:r w:rsidRPr="00A531D2">
        <w:rPr>
          <w:rFonts w:ascii="Times New Roman" w:hAnsi="Times New Roman" w:cs="Times New Roman"/>
          <w:b/>
          <w:noProof/>
          <w:sz w:val="24"/>
          <w:szCs w:val="24"/>
          <w:lang w:eastAsia="es-ES"/>
        </w:rPr>
        <w:drawing>
          <wp:inline distT="0" distB="0" distL="0" distR="0" wp14:anchorId="5DD80EF9" wp14:editId="44C3483D">
            <wp:extent cx="5727700" cy="2381250"/>
            <wp:effectExtent l="0" t="0" r="635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31510" cy="2382834"/>
                    </a:xfrm>
                    <a:prstGeom prst="rect">
                      <a:avLst/>
                    </a:prstGeom>
                  </pic:spPr>
                </pic:pic>
              </a:graphicData>
            </a:graphic>
          </wp:inline>
        </w:drawing>
      </w:r>
      <w:r w:rsidRPr="00392DEA">
        <w:rPr>
          <w:rFonts w:ascii="Times New Roman" w:hAnsi="Times New Roman" w:cs="Times New Roman"/>
          <w:sz w:val="24"/>
          <w:szCs w:val="24"/>
        </w:rPr>
        <w:t>Fuente: Statista</w:t>
      </w:r>
      <w:r w:rsidR="003C67CF">
        <w:rPr>
          <w:rFonts w:ascii="Times New Roman" w:hAnsi="Times New Roman" w:cs="Times New Roman"/>
          <w:sz w:val="24"/>
          <w:szCs w:val="24"/>
        </w:rPr>
        <w:t xml:space="preserve"> - 2021</w:t>
      </w:r>
    </w:p>
    <w:p w:rsidR="00947FD4" w:rsidRPr="003C67CF" w:rsidRDefault="00947FD4" w:rsidP="003C67CF">
      <w:pPr>
        <w:pStyle w:val="NormalWeb"/>
        <w:shd w:val="clear" w:color="auto" w:fill="FFFFFF"/>
        <w:jc w:val="both"/>
        <w:rPr>
          <w:rFonts w:ascii="TiemposTextWeb" w:hAnsi="TiemposTextWeb"/>
        </w:rPr>
      </w:pPr>
      <w:r w:rsidRPr="003C67CF">
        <w:rPr>
          <w:rFonts w:ascii="TiemposTextWeb" w:hAnsi="TiemposTextWeb"/>
        </w:rPr>
        <w:t>Durante toda la </w:t>
      </w:r>
      <w:hyperlink r:id="rId285" w:tooltip="60 millones de personas estaban en riesgo de pobreza cuando comenzó la crisis del coronavirus" w:history="1">
        <w:r w:rsidRPr="003C67CF">
          <w:rPr>
            <w:rStyle w:val="Hipervnculo"/>
            <w:rFonts w:ascii="TiemposTextWeb" w:hAnsi="TiemposTextWeb"/>
            <w:color w:val="auto"/>
            <w:u w:val="none"/>
          </w:rPr>
          <w:t>crisis del coronavirus</w:t>
        </w:r>
      </w:hyperlink>
      <w:r w:rsidRPr="003C67CF">
        <w:rPr>
          <w:rFonts w:ascii="TiemposTextWeb" w:hAnsi="TiemposTextWeb"/>
        </w:rPr>
        <w:t xml:space="preserve">, investigadores de la Universidad de Zhejiang, la Universidad de Chicago y de la Universidad de Notre Dame han rastreado </w:t>
      </w:r>
      <w:r w:rsidRPr="003C67CF">
        <w:rPr>
          <w:rFonts w:ascii="TiemposTextWeb" w:hAnsi="TiemposTextWeb"/>
          <w:b/>
        </w:rPr>
        <w:t>l</w:t>
      </w:r>
      <w:r w:rsidRPr="003C67CF">
        <w:rPr>
          <w:rStyle w:val="Textoennegrita"/>
          <w:rFonts w:ascii="TiemposTextWeb" w:hAnsi="TiemposTextWeb"/>
          <w:b w:val="0"/>
        </w:rPr>
        <w:t>as tasas de pobreza provocada por la pandemia en Estados Unidos</w:t>
      </w:r>
      <w:r w:rsidRPr="003C67CF">
        <w:rPr>
          <w:rFonts w:ascii="TiemposTextWeb" w:hAnsi="TiemposTextWeb"/>
        </w:rPr>
        <w:t>. En marzo de 2021, la pobreza pandémica alcanzó un nuevo récord. Superando, así, el máximo anterior, que se dio en noviembre de 2020, cuando</w:t>
      </w:r>
      <w:r w:rsidR="003C67CF">
        <w:rPr>
          <w:rFonts w:ascii="TiemposTextWeb" w:hAnsi="TiemposTextWeb"/>
        </w:rPr>
        <w:t xml:space="preserve"> </w:t>
      </w:r>
      <w:r w:rsidRPr="003C67CF">
        <w:rPr>
          <w:rFonts w:ascii="TiemposTextWeb" w:hAnsi="TiemposTextWeb"/>
        </w:rPr>
        <w:t> </w:t>
      </w:r>
      <w:r w:rsidRPr="003C67CF">
        <w:rPr>
          <w:rStyle w:val="Textoennegrita"/>
          <w:rFonts w:ascii="TiemposTextWeb" w:hAnsi="TiemposTextWeb"/>
          <w:b w:val="0"/>
        </w:rPr>
        <w:t>8 millones de estadounidenses cayeron en la pobreza</w:t>
      </w:r>
      <w:r w:rsidRPr="003C67CF">
        <w:rPr>
          <w:rFonts w:ascii="TiemposTextWeb" w:hAnsi="TiemposTextWeb"/>
        </w:rPr>
        <w:t> coincidiendo con la expiración de las ayudas por desempleo. Entre diciembre de 2020 y enero de 2021, la tasa de pobreza descendió a medida que se desarrollaban nuevas medidas de estímulo.</w:t>
      </w:r>
    </w:p>
    <w:p w:rsidR="00947FD4" w:rsidRPr="003C67CF" w:rsidRDefault="00947FD4" w:rsidP="003C67CF">
      <w:pPr>
        <w:pStyle w:val="NormalWeb"/>
        <w:shd w:val="clear" w:color="auto" w:fill="FFFFFF"/>
        <w:jc w:val="both"/>
        <w:rPr>
          <w:rFonts w:ascii="TiemposTextWeb" w:hAnsi="TiemposTextWeb"/>
        </w:rPr>
      </w:pPr>
      <w:r w:rsidRPr="003C67CF">
        <w:rPr>
          <w:rFonts w:ascii="TiemposTextWeb" w:hAnsi="TiemposTextWeb"/>
        </w:rPr>
        <w:t>“Las tasas de pobreza se han movido como en una montaña rusa, algo que tampoco nos ha sorprendido, ya que la política también ha sido una montaña rusa”, apuntó en </w:t>
      </w:r>
      <w:r w:rsidRPr="003C67CF">
        <w:rPr>
          <w:rStyle w:val="nfasis"/>
          <w:rFonts w:ascii="TiemposTextWeb" w:eastAsiaTheme="majorEastAsia" w:hAnsi="TiemposTextWeb"/>
        </w:rPr>
        <w:t>Insider</w:t>
      </w:r>
      <w:r w:rsidRPr="003C67CF">
        <w:rPr>
          <w:rFonts w:ascii="TiemposTextWeb" w:hAnsi="TiemposTextWeb"/>
        </w:rPr>
        <w:t> Bruce Meyer, economista en la Universidad de Chicago y coautor del informe. </w:t>
      </w:r>
    </w:p>
    <w:p w:rsidR="00947FD4" w:rsidRDefault="00947FD4" w:rsidP="00947FD4">
      <w:pPr>
        <w:shd w:val="clear" w:color="auto" w:fill="FFFFFF"/>
        <w:rPr>
          <w:rFonts w:ascii="LabGrotesque" w:hAnsi="LabGrotesque"/>
          <w:color w:val="111111"/>
        </w:rPr>
      </w:pPr>
      <w:r>
        <w:rPr>
          <w:rFonts w:ascii="LabGrotesque" w:hAnsi="LabGrotesque"/>
          <w:noProof/>
          <w:color w:val="111111"/>
          <w:lang w:eastAsia="es-ES"/>
        </w:rPr>
        <w:drawing>
          <wp:inline distT="0" distB="0" distL="0" distR="0">
            <wp:extent cx="5695950" cy="1879600"/>
            <wp:effectExtent l="0" t="0" r="0" b="6350"/>
            <wp:docPr id="142" name="Imagen 142" descr="Tasa de pobreza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sa de pobreza en EEUU"/>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695950" cy="1879600"/>
                    </a:xfrm>
                    <a:prstGeom prst="rect">
                      <a:avLst/>
                    </a:prstGeom>
                    <a:noFill/>
                    <a:ln>
                      <a:noFill/>
                    </a:ln>
                  </pic:spPr>
                </pic:pic>
              </a:graphicData>
            </a:graphic>
          </wp:inline>
        </w:drawing>
      </w:r>
    </w:p>
    <w:p w:rsidR="003C67CF" w:rsidRDefault="00947FD4" w:rsidP="003C67CF">
      <w:pPr>
        <w:pStyle w:val="NormalWeb"/>
        <w:shd w:val="clear" w:color="auto" w:fill="FFFFFF"/>
        <w:jc w:val="both"/>
        <w:rPr>
          <w:rFonts w:ascii="TiemposTextWeb" w:hAnsi="TiemposTextWeb"/>
          <w:color w:val="111111"/>
        </w:rPr>
      </w:pPr>
      <w:r>
        <w:rPr>
          <w:rFonts w:ascii="TiemposTextWeb" w:hAnsi="TiemposTextWeb"/>
          <w:color w:val="111111"/>
        </w:rPr>
        <w:t>Los datos más recientes muestran un preocupante aumento de la pobreza provocada por la p</w:t>
      </w:r>
      <w:r w:rsidR="00480624">
        <w:rPr>
          <w:rFonts w:ascii="TiemposTextWeb" w:hAnsi="TiemposTextWeb"/>
          <w:color w:val="111111"/>
        </w:rPr>
        <w:t>andemia en el último mes: “</w:t>
      </w:r>
      <w:r>
        <w:rPr>
          <w:rFonts w:ascii="TiemposTextWeb" w:hAnsi="TiemposTextWeb"/>
          <w:color w:val="111111"/>
        </w:rPr>
        <w:t>Los grupos que experimentaron el aumento más pronunciado de la pobreza son los niños, los blancos, las mujeres, las personas con niveles educativos bajos y aquellos habitantes de Estados que históricamente han pagado seguro de desempleo a una pe</w:t>
      </w:r>
      <w:r w:rsidR="00480624">
        <w:rPr>
          <w:rFonts w:ascii="TiemposTextWeb" w:hAnsi="TiemposTextWeb"/>
          <w:color w:val="111111"/>
        </w:rPr>
        <w:t>queña parte de los desempleados”</w:t>
      </w:r>
      <w:r>
        <w:rPr>
          <w:rFonts w:ascii="TiemposTextWeb" w:hAnsi="TiemposTextWeb"/>
          <w:color w:val="111111"/>
        </w:rPr>
        <w:t>, subrayan los autores del </w:t>
      </w:r>
      <w:hyperlink r:id="rId287" w:tgtFrame="_blank" w:history="1">
        <w:r w:rsidRPr="003C67CF">
          <w:rPr>
            <w:rStyle w:val="Hipervnculo"/>
            <w:rFonts w:ascii="TiemposTextWeb" w:hAnsi="TiemposTextWeb"/>
            <w:color w:val="auto"/>
            <w:u w:val="none"/>
          </w:rPr>
          <w:t>informe</w:t>
        </w:r>
      </w:hyperlink>
      <w:r w:rsidRPr="003C67CF">
        <w:rPr>
          <w:rFonts w:ascii="TiemposTextWeb" w:hAnsi="TiemposTextWeb"/>
        </w:rPr>
        <w:t>.</w:t>
      </w:r>
      <w:r>
        <w:rPr>
          <w:rFonts w:ascii="TiemposTextWeb" w:hAnsi="TiemposTextWeb"/>
          <w:color w:val="111111"/>
        </w:rPr>
        <w:t> </w:t>
      </w:r>
    </w:p>
    <w:p w:rsidR="003C67CF" w:rsidRDefault="003C67CF" w:rsidP="003C67CF">
      <w:pPr>
        <w:pStyle w:val="NormalWeb"/>
        <w:shd w:val="clear" w:color="auto" w:fill="FFFFFF"/>
        <w:jc w:val="both"/>
        <w:rPr>
          <w:rFonts w:ascii="TiemposTextWeb" w:hAnsi="TiemposTextWeb"/>
          <w:color w:val="111111"/>
        </w:rPr>
      </w:pPr>
      <w:r>
        <w:rPr>
          <w:rFonts w:ascii="TiemposTextWeb" w:hAnsi="TiemposTextWeb"/>
          <w:color w:val="111111"/>
        </w:rPr>
        <w:t xml:space="preserve">Fuente: Business Insider - 22/4/21 </w:t>
      </w:r>
    </w:p>
    <w:p w:rsidR="00F64314" w:rsidRPr="003C67CF" w:rsidRDefault="00AA68F1" w:rsidP="003C67CF">
      <w:pPr>
        <w:pStyle w:val="NormalWeb"/>
        <w:shd w:val="clear" w:color="auto" w:fill="FFFFFF"/>
        <w:jc w:val="both"/>
        <w:rPr>
          <w:rFonts w:ascii="TiemposTextWeb" w:hAnsi="TiemposTextWeb"/>
          <w:color w:val="111111"/>
        </w:rPr>
      </w:pPr>
      <w:r>
        <w:rPr>
          <w:b/>
        </w:rPr>
        <w:lastRenderedPageBreak/>
        <w:t xml:space="preserve">Unión Europea: </w:t>
      </w:r>
      <w:r w:rsidR="00F64314" w:rsidRPr="00F64314">
        <w:rPr>
          <w:b/>
        </w:rPr>
        <w:t>Eurostat</w:t>
      </w:r>
    </w:p>
    <w:p w:rsidR="00DB50B5" w:rsidRDefault="00DB50B5" w:rsidP="00DB50B5">
      <w:pPr>
        <w:spacing w:line="240" w:lineRule="auto"/>
        <w:jc w:val="both"/>
        <w:rPr>
          <w:rFonts w:ascii="Times New Roman" w:hAnsi="Times New Roman" w:cs="Times New Roman"/>
          <w:sz w:val="24"/>
          <w:szCs w:val="24"/>
        </w:rPr>
      </w:pPr>
      <w:r w:rsidRPr="008F029F">
        <w:rPr>
          <w:rFonts w:ascii="Times New Roman" w:hAnsi="Times New Roman" w:cs="Times New Roman"/>
          <w:sz w:val="24"/>
          <w:szCs w:val="24"/>
        </w:rPr>
        <w:t>El indicador AROPE (At Risk Of Poverty and/or Exclusion) es un indicador creado por la Red Europea de Lucha contra la Pobreza y la Exclusión Social. ... Para ello, trata de medir la pobreza en base a una serie de parámetros entre los que se incluye el riesgo de pobreza, la privación de recursos, así como el empleo.</w:t>
      </w:r>
    </w:p>
    <w:p w:rsidR="00DB50B5" w:rsidRDefault="00DB50B5" w:rsidP="00DB50B5">
      <w:pPr>
        <w:spacing w:line="240" w:lineRule="auto"/>
        <w:jc w:val="both"/>
        <w:rPr>
          <w:rFonts w:ascii="Times New Roman" w:hAnsi="Times New Roman" w:cs="Times New Roman"/>
          <w:sz w:val="24"/>
          <w:szCs w:val="24"/>
        </w:rPr>
      </w:pPr>
      <w:r w:rsidRPr="00EB554E">
        <w:rPr>
          <w:rFonts w:ascii="Times New Roman" w:hAnsi="Times New Roman" w:cs="Times New Roman"/>
          <w:noProof/>
          <w:sz w:val="24"/>
          <w:szCs w:val="24"/>
          <w:lang w:eastAsia="es-ES"/>
        </w:rPr>
        <w:drawing>
          <wp:inline distT="0" distB="0" distL="0" distR="0" wp14:anchorId="4681A577" wp14:editId="76B59D39">
            <wp:extent cx="4108450" cy="3384550"/>
            <wp:effectExtent l="0" t="0" r="635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4111994" cy="3387469"/>
                    </a:xfrm>
                    <a:prstGeom prst="rect">
                      <a:avLst/>
                    </a:prstGeom>
                  </pic:spPr>
                </pic:pic>
              </a:graphicData>
            </a:graphic>
          </wp:inline>
        </w:drawing>
      </w:r>
      <w:r w:rsidRPr="00BB3476">
        <w:rPr>
          <w:noProof/>
          <w:lang w:eastAsia="es-ES"/>
        </w:rPr>
        <w:t xml:space="preserve"> </w:t>
      </w:r>
      <w:r w:rsidRPr="00BB3476">
        <w:rPr>
          <w:rFonts w:ascii="Times New Roman" w:hAnsi="Times New Roman" w:cs="Times New Roman"/>
          <w:noProof/>
          <w:sz w:val="24"/>
          <w:szCs w:val="24"/>
          <w:lang w:eastAsia="es-ES"/>
        </w:rPr>
        <w:drawing>
          <wp:inline distT="0" distB="0" distL="0" distR="0" wp14:anchorId="305D8021" wp14:editId="0E094589">
            <wp:extent cx="1244600" cy="2984499"/>
            <wp:effectExtent l="0" t="0" r="0" b="698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1246222" cy="2988388"/>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sidRPr="00EB554E">
        <w:rPr>
          <w:rFonts w:ascii="Times New Roman" w:hAnsi="Times New Roman" w:cs="Times New Roman"/>
          <w:noProof/>
          <w:sz w:val="24"/>
          <w:szCs w:val="24"/>
          <w:lang w:eastAsia="es-ES"/>
        </w:rPr>
        <w:drawing>
          <wp:inline distT="0" distB="0" distL="0" distR="0" wp14:anchorId="14BD608E" wp14:editId="402DDB83">
            <wp:extent cx="4108450" cy="2927350"/>
            <wp:effectExtent l="0" t="0" r="6350" b="635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4112241" cy="2930051"/>
                    </a:xfrm>
                    <a:prstGeom prst="rect">
                      <a:avLst/>
                    </a:prstGeom>
                  </pic:spPr>
                </pic:pic>
              </a:graphicData>
            </a:graphic>
          </wp:inline>
        </w:drawing>
      </w:r>
      <w:r w:rsidRPr="00BB3476">
        <w:rPr>
          <w:rFonts w:ascii="Times New Roman" w:hAnsi="Times New Roman" w:cs="Times New Roman"/>
          <w:noProof/>
          <w:sz w:val="24"/>
          <w:szCs w:val="24"/>
          <w:lang w:eastAsia="es-ES"/>
        </w:rPr>
        <w:drawing>
          <wp:inline distT="0" distB="0" distL="0" distR="0" wp14:anchorId="3A4B05B6" wp14:editId="6B26D7C7">
            <wp:extent cx="1276350" cy="293370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1277702" cy="2936808"/>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Pr>
          <w:rFonts w:ascii="Times New Roman" w:hAnsi="Times New Roman" w:cs="Times New Roman"/>
          <w:sz w:val="24"/>
          <w:szCs w:val="24"/>
        </w:rPr>
        <w:t>Diferencia acumulada desde el año 2008, en miles.</w:t>
      </w:r>
    </w:p>
    <w:p w:rsidR="00DB50B5" w:rsidRDefault="00DB50B5" w:rsidP="00DB50B5">
      <w:pPr>
        <w:spacing w:line="240" w:lineRule="auto"/>
        <w:jc w:val="both"/>
        <w:rPr>
          <w:rFonts w:ascii="Times New Roman" w:hAnsi="Times New Roman" w:cs="Times New Roman"/>
          <w:sz w:val="24"/>
          <w:szCs w:val="24"/>
        </w:rPr>
      </w:pPr>
      <w:r w:rsidRPr="002570AF">
        <w:rPr>
          <w:rFonts w:ascii="Times New Roman" w:hAnsi="Times New Roman" w:cs="Times New Roman"/>
          <w:noProof/>
          <w:sz w:val="24"/>
          <w:szCs w:val="24"/>
          <w:lang w:eastAsia="es-ES"/>
        </w:rPr>
        <w:lastRenderedPageBreak/>
        <w:drawing>
          <wp:inline distT="0" distB="0" distL="0" distR="0" wp14:anchorId="4C30E421" wp14:editId="0AACA321">
            <wp:extent cx="5918200" cy="1631950"/>
            <wp:effectExtent l="0" t="0" r="635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5929079" cy="1634950"/>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sidRPr="004F7E59">
        <w:rPr>
          <w:rFonts w:ascii="Times New Roman" w:hAnsi="Times New Roman" w:cs="Times New Roman"/>
          <w:noProof/>
          <w:sz w:val="24"/>
          <w:szCs w:val="24"/>
          <w:lang w:eastAsia="es-ES"/>
        </w:rPr>
        <w:drawing>
          <wp:inline distT="0" distB="0" distL="0" distR="0" wp14:anchorId="1BFAD400" wp14:editId="00A3C185">
            <wp:extent cx="5918200" cy="1917700"/>
            <wp:effectExtent l="0" t="0" r="6350"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929881" cy="1921485"/>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sidRPr="004F7E59">
        <w:rPr>
          <w:rFonts w:ascii="Times New Roman" w:hAnsi="Times New Roman" w:cs="Times New Roman"/>
          <w:noProof/>
          <w:sz w:val="24"/>
          <w:szCs w:val="24"/>
          <w:lang w:eastAsia="es-ES"/>
        </w:rPr>
        <w:drawing>
          <wp:inline distT="0" distB="0" distL="0" distR="0" wp14:anchorId="2543C3AA" wp14:editId="33B61B04">
            <wp:extent cx="5975350" cy="1783926"/>
            <wp:effectExtent l="0" t="0" r="6350" b="698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972703" cy="1783136"/>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Pr>
          <w:rFonts w:ascii="Times New Roman" w:hAnsi="Times New Roman" w:cs="Times New Roman"/>
          <w:sz w:val="24"/>
          <w:szCs w:val="24"/>
        </w:rPr>
        <w:t>Diferencia acumulada desde el año 2008, en miles.</w:t>
      </w:r>
    </w:p>
    <w:p w:rsidR="00DB50B5" w:rsidRDefault="00DB50B5" w:rsidP="00DB50B5">
      <w:pPr>
        <w:spacing w:line="240" w:lineRule="auto"/>
        <w:jc w:val="both"/>
        <w:rPr>
          <w:rFonts w:ascii="Times New Roman" w:hAnsi="Times New Roman" w:cs="Times New Roman"/>
          <w:sz w:val="24"/>
          <w:szCs w:val="24"/>
        </w:rPr>
      </w:pPr>
      <w:r w:rsidRPr="005E408A">
        <w:rPr>
          <w:rFonts w:ascii="Times New Roman" w:hAnsi="Times New Roman" w:cs="Times New Roman"/>
          <w:noProof/>
          <w:sz w:val="24"/>
          <w:szCs w:val="24"/>
          <w:lang w:eastAsia="es-ES"/>
        </w:rPr>
        <w:drawing>
          <wp:inline distT="0" distB="0" distL="0" distR="0" wp14:anchorId="6C3727A7" wp14:editId="1AF926E5">
            <wp:extent cx="6070600" cy="1618521"/>
            <wp:effectExtent l="0" t="0" r="6350" b="127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6067911" cy="1617804"/>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sidRPr="005E408A">
        <w:rPr>
          <w:rFonts w:ascii="Times New Roman" w:hAnsi="Times New Roman" w:cs="Times New Roman"/>
          <w:noProof/>
          <w:sz w:val="24"/>
          <w:szCs w:val="24"/>
          <w:lang w:eastAsia="es-ES"/>
        </w:rPr>
        <w:lastRenderedPageBreak/>
        <w:drawing>
          <wp:inline distT="0" distB="0" distL="0" distR="0" wp14:anchorId="6355ECBE" wp14:editId="72680EC9">
            <wp:extent cx="5962650" cy="184150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967980" cy="1843146"/>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Pr>
          <w:rFonts w:ascii="Times New Roman" w:hAnsi="Times New Roman" w:cs="Times New Roman"/>
          <w:sz w:val="24"/>
          <w:szCs w:val="24"/>
        </w:rPr>
        <w:t>Unidad de medida: Porcentajes</w:t>
      </w:r>
    </w:p>
    <w:p w:rsidR="00DB50B5" w:rsidRDefault="00DB50B5" w:rsidP="00DB50B5">
      <w:pPr>
        <w:spacing w:line="240" w:lineRule="auto"/>
        <w:jc w:val="both"/>
        <w:rPr>
          <w:rFonts w:ascii="Times New Roman" w:hAnsi="Times New Roman" w:cs="Times New Roman"/>
          <w:sz w:val="24"/>
          <w:szCs w:val="24"/>
        </w:rPr>
      </w:pPr>
      <w:r w:rsidRPr="00037770">
        <w:rPr>
          <w:rFonts w:ascii="Times New Roman" w:hAnsi="Times New Roman" w:cs="Times New Roman"/>
          <w:noProof/>
          <w:sz w:val="24"/>
          <w:szCs w:val="24"/>
          <w:lang w:eastAsia="es-ES"/>
        </w:rPr>
        <w:drawing>
          <wp:inline distT="0" distB="0" distL="0" distR="0" wp14:anchorId="1D0C2617" wp14:editId="761DF793">
            <wp:extent cx="6026150" cy="20828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6029032" cy="2083796"/>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sidRPr="00037770">
        <w:rPr>
          <w:rFonts w:ascii="Times New Roman" w:hAnsi="Times New Roman" w:cs="Times New Roman"/>
          <w:noProof/>
          <w:sz w:val="24"/>
          <w:szCs w:val="24"/>
          <w:lang w:eastAsia="es-ES"/>
        </w:rPr>
        <w:drawing>
          <wp:inline distT="0" distB="0" distL="0" distR="0" wp14:anchorId="76AFBD95" wp14:editId="4F08EEA5">
            <wp:extent cx="6026150" cy="189230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6027442" cy="1892706"/>
                    </a:xfrm>
                    <a:prstGeom prst="rect">
                      <a:avLst/>
                    </a:prstGeom>
                  </pic:spPr>
                </pic:pic>
              </a:graphicData>
            </a:graphic>
          </wp:inline>
        </w:drawing>
      </w:r>
    </w:p>
    <w:p w:rsidR="00DB50B5" w:rsidRDefault="00DB50B5" w:rsidP="00DB50B5">
      <w:pPr>
        <w:spacing w:line="240" w:lineRule="auto"/>
        <w:jc w:val="both"/>
        <w:rPr>
          <w:rFonts w:ascii="Times New Roman" w:hAnsi="Times New Roman" w:cs="Times New Roman"/>
          <w:sz w:val="24"/>
          <w:szCs w:val="24"/>
        </w:rPr>
      </w:pPr>
      <w:r>
        <w:rPr>
          <w:rFonts w:ascii="Times New Roman" w:hAnsi="Times New Roman" w:cs="Times New Roman"/>
          <w:sz w:val="24"/>
          <w:szCs w:val="24"/>
        </w:rPr>
        <w:t>Unidad de medida: Porcentajes</w:t>
      </w:r>
    </w:p>
    <w:p w:rsidR="00DB50B5" w:rsidRDefault="00DB50B5" w:rsidP="00DB50B5">
      <w:pPr>
        <w:spacing w:line="240" w:lineRule="auto"/>
        <w:jc w:val="both"/>
        <w:rPr>
          <w:rFonts w:ascii="Times New Roman" w:hAnsi="Times New Roman" w:cs="Times New Roman"/>
          <w:sz w:val="24"/>
          <w:szCs w:val="24"/>
        </w:rPr>
      </w:pPr>
      <w:r w:rsidRPr="005E408A">
        <w:rPr>
          <w:rFonts w:ascii="Times New Roman" w:hAnsi="Times New Roman" w:cs="Times New Roman"/>
          <w:noProof/>
          <w:sz w:val="24"/>
          <w:szCs w:val="24"/>
          <w:lang w:eastAsia="es-ES"/>
        </w:rPr>
        <w:drawing>
          <wp:inline distT="0" distB="0" distL="0" distR="0" wp14:anchorId="24B810FA" wp14:editId="447002EA">
            <wp:extent cx="5731510" cy="1795383"/>
            <wp:effectExtent l="0" t="0" r="254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1795383"/>
                    </a:xfrm>
                    <a:prstGeom prst="rect">
                      <a:avLst/>
                    </a:prstGeom>
                  </pic:spPr>
                </pic:pic>
              </a:graphicData>
            </a:graphic>
          </wp:inline>
        </w:drawing>
      </w:r>
    </w:p>
    <w:p w:rsidR="00A50B77" w:rsidRPr="00F766EF" w:rsidRDefault="00DB50B5" w:rsidP="00DB50B5">
      <w:pPr>
        <w:spacing w:line="240" w:lineRule="auto"/>
        <w:jc w:val="both"/>
        <w:rPr>
          <w:rFonts w:ascii="Times New Roman" w:hAnsi="Times New Roman" w:cs="Times New Roman"/>
          <w:sz w:val="24"/>
          <w:szCs w:val="24"/>
        </w:rPr>
      </w:pPr>
      <w:r w:rsidRPr="00747EC1">
        <w:rPr>
          <w:rFonts w:ascii="Times New Roman" w:hAnsi="Times New Roman" w:cs="Times New Roman"/>
          <w:noProof/>
          <w:sz w:val="24"/>
          <w:szCs w:val="24"/>
          <w:lang w:eastAsia="es-ES"/>
        </w:rPr>
        <w:lastRenderedPageBreak/>
        <w:drawing>
          <wp:inline distT="0" distB="0" distL="0" distR="0" wp14:anchorId="182C9869" wp14:editId="01DFBFFA">
            <wp:extent cx="5734050" cy="1670050"/>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1669310"/>
                    </a:xfrm>
                    <a:prstGeom prst="rect">
                      <a:avLst/>
                    </a:prstGeom>
                  </pic:spPr>
                </pic:pic>
              </a:graphicData>
            </a:graphic>
          </wp:inline>
        </w:drawing>
      </w:r>
    </w:p>
    <w:p w:rsidR="00F766EF" w:rsidRDefault="00F766EF" w:rsidP="00DB50B5">
      <w:pPr>
        <w:spacing w:line="240" w:lineRule="auto"/>
        <w:jc w:val="both"/>
        <w:rPr>
          <w:rFonts w:ascii="Times New Roman" w:hAnsi="Times New Roman" w:cs="Times New Roman"/>
          <w:sz w:val="24"/>
          <w:szCs w:val="24"/>
          <w:lang w:val="en-US"/>
        </w:rPr>
      </w:pPr>
    </w:p>
    <w:p w:rsidR="00DB50B5" w:rsidRPr="00747EC1" w:rsidRDefault="00DB50B5" w:rsidP="00DB50B5">
      <w:pPr>
        <w:spacing w:line="240" w:lineRule="auto"/>
        <w:jc w:val="both"/>
        <w:rPr>
          <w:rFonts w:ascii="Times New Roman" w:hAnsi="Times New Roman" w:cs="Times New Roman"/>
          <w:sz w:val="24"/>
          <w:szCs w:val="24"/>
          <w:lang w:val="en-US"/>
        </w:rPr>
      </w:pPr>
      <w:r w:rsidRPr="00747EC1">
        <w:rPr>
          <w:rFonts w:ascii="Times New Roman" w:hAnsi="Times New Roman" w:cs="Times New Roman"/>
          <w:sz w:val="24"/>
          <w:szCs w:val="24"/>
          <w:lang w:val="en-US"/>
        </w:rPr>
        <w:t>The share of persons who are at work and have an equivalised disposable income below the risk-of-poverty threshold, which is set at 60 % of the national median equivalised disposable income (after social transfers).</w:t>
      </w:r>
    </w:p>
    <w:p w:rsidR="00DB50B5" w:rsidRDefault="00DB50B5" w:rsidP="00DB50B5">
      <w:pPr>
        <w:spacing w:line="240" w:lineRule="auto"/>
        <w:jc w:val="both"/>
        <w:rPr>
          <w:rFonts w:ascii="Times New Roman" w:hAnsi="Times New Roman" w:cs="Times New Roman"/>
          <w:sz w:val="24"/>
          <w:szCs w:val="24"/>
          <w:lang w:val="en-US"/>
        </w:rPr>
      </w:pPr>
      <w:r w:rsidRPr="00747EC1">
        <w:rPr>
          <w:rFonts w:ascii="Times New Roman" w:hAnsi="Times New Roman" w:cs="Times New Roman"/>
          <w:sz w:val="24"/>
          <w:szCs w:val="24"/>
          <w:lang w:val="en-US"/>
        </w:rPr>
        <w:t>The indicator is based on the EU-SILC (statistics on income, social inclusion and living conditions).</w:t>
      </w:r>
    </w:p>
    <w:p w:rsidR="00DB50B5" w:rsidRDefault="00DB50B5" w:rsidP="00DB50B5">
      <w:pPr>
        <w:spacing w:line="240" w:lineRule="auto"/>
        <w:jc w:val="both"/>
        <w:rPr>
          <w:rFonts w:ascii="Times New Roman" w:hAnsi="Times New Roman" w:cs="Times New Roman"/>
          <w:sz w:val="24"/>
          <w:szCs w:val="24"/>
          <w:lang w:val="en-US"/>
        </w:rPr>
      </w:pPr>
      <w:r w:rsidRPr="00747EC1">
        <w:rPr>
          <w:rFonts w:ascii="Times New Roman" w:hAnsi="Times New Roman" w:cs="Times New Roman"/>
          <w:noProof/>
          <w:sz w:val="24"/>
          <w:szCs w:val="24"/>
          <w:lang w:eastAsia="es-ES"/>
        </w:rPr>
        <w:drawing>
          <wp:inline distT="0" distB="0" distL="0" distR="0" wp14:anchorId="7FD48666" wp14:editId="1734FA2F">
            <wp:extent cx="5731510" cy="1966839"/>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731510" cy="1966839"/>
                    </a:xfrm>
                    <a:prstGeom prst="rect">
                      <a:avLst/>
                    </a:prstGeom>
                  </pic:spPr>
                </pic:pic>
              </a:graphicData>
            </a:graphic>
          </wp:inline>
        </w:drawing>
      </w:r>
    </w:p>
    <w:p w:rsidR="00A50B77" w:rsidRPr="00F766EF" w:rsidRDefault="00DB50B5" w:rsidP="00DB50B5">
      <w:pPr>
        <w:spacing w:line="240" w:lineRule="auto"/>
        <w:jc w:val="both"/>
        <w:rPr>
          <w:rFonts w:ascii="Times New Roman" w:hAnsi="Times New Roman" w:cs="Times New Roman"/>
          <w:sz w:val="24"/>
          <w:szCs w:val="24"/>
          <w:lang w:val="en-US"/>
        </w:rPr>
      </w:pPr>
      <w:r w:rsidRPr="00747EC1">
        <w:rPr>
          <w:rFonts w:ascii="Times New Roman" w:hAnsi="Times New Roman" w:cs="Times New Roman"/>
          <w:noProof/>
          <w:sz w:val="24"/>
          <w:szCs w:val="24"/>
          <w:lang w:eastAsia="es-ES"/>
        </w:rPr>
        <w:drawing>
          <wp:inline distT="0" distB="0" distL="0" distR="0" wp14:anchorId="666EA2AE" wp14:editId="3D63E399">
            <wp:extent cx="5842000" cy="1657350"/>
            <wp:effectExtent l="0" t="0" r="635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844494" cy="1658058"/>
                    </a:xfrm>
                    <a:prstGeom prst="rect">
                      <a:avLst/>
                    </a:prstGeom>
                  </pic:spPr>
                </pic:pic>
              </a:graphicData>
            </a:graphic>
          </wp:inline>
        </w:drawing>
      </w:r>
    </w:p>
    <w:p w:rsidR="00F766EF" w:rsidRDefault="00F766EF" w:rsidP="00DB50B5">
      <w:pPr>
        <w:spacing w:line="240" w:lineRule="auto"/>
        <w:jc w:val="both"/>
        <w:rPr>
          <w:rFonts w:ascii="Times New Roman" w:hAnsi="Times New Roman" w:cs="Times New Roman"/>
          <w:color w:val="333333"/>
          <w:sz w:val="24"/>
          <w:szCs w:val="24"/>
          <w:shd w:val="clear" w:color="auto" w:fill="FFFFFF"/>
          <w:lang w:val="en-US"/>
        </w:rPr>
      </w:pPr>
    </w:p>
    <w:p w:rsidR="00DB50B5" w:rsidRDefault="00DB50B5" w:rsidP="00DB50B5">
      <w:pPr>
        <w:spacing w:line="240" w:lineRule="auto"/>
        <w:jc w:val="both"/>
        <w:rPr>
          <w:rFonts w:ascii="Times New Roman" w:hAnsi="Times New Roman" w:cs="Times New Roman"/>
          <w:color w:val="333333"/>
          <w:sz w:val="24"/>
          <w:szCs w:val="24"/>
          <w:shd w:val="clear" w:color="auto" w:fill="FFFFFF"/>
          <w:lang w:val="en-US"/>
        </w:rPr>
      </w:pPr>
      <w:r w:rsidRPr="00747EC1">
        <w:rPr>
          <w:rFonts w:ascii="Times New Roman" w:hAnsi="Times New Roman" w:cs="Times New Roman"/>
          <w:color w:val="333333"/>
          <w:sz w:val="24"/>
          <w:szCs w:val="24"/>
          <w:shd w:val="clear" w:color="auto" w:fill="FFFFFF"/>
          <w:lang w:val="en-US"/>
        </w:rPr>
        <w:t>The share of persons who are at work and have an equivalised disposable income below the risk-of-poverty threshold, which is set at 60 % of the national median equivalised disposable income (after social transfers). The indicator is broken down by working time (full- and part-time workers).</w:t>
      </w:r>
    </w:p>
    <w:p w:rsidR="00F766EF" w:rsidRPr="00F766EF" w:rsidRDefault="00F766EF" w:rsidP="00DB50B5">
      <w:pPr>
        <w:spacing w:line="240" w:lineRule="auto"/>
        <w:jc w:val="both"/>
        <w:rPr>
          <w:rFonts w:ascii="Times New Roman" w:hAnsi="Times New Roman" w:cs="Times New Roman"/>
          <w:color w:val="333333"/>
          <w:sz w:val="24"/>
          <w:szCs w:val="24"/>
          <w:shd w:val="clear" w:color="auto" w:fill="FFFFFF"/>
          <w:lang w:val="en-US"/>
        </w:rPr>
      </w:pPr>
    </w:p>
    <w:p w:rsidR="004B3ED3" w:rsidRPr="00C73F43" w:rsidRDefault="004B3ED3" w:rsidP="004D3B88">
      <w:pPr>
        <w:spacing w:line="240" w:lineRule="auto"/>
        <w:jc w:val="both"/>
        <w:rPr>
          <w:rFonts w:ascii="Times New Roman" w:hAnsi="Times New Roman" w:cs="Times New Roman"/>
          <w:sz w:val="24"/>
          <w:szCs w:val="24"/>
          <w:lang w:val="en-US"/>
        </w:rPr>
      </w:pPr>
    </w:p>
    <w:sectPr w:rsidR="004B3ED3" w:rsidRPr="00C73F4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emposTextWeb">
    <w:altName w:val="Times New Roman"/>
    <w:panose1 w:val="00000000000000000000"/>
    <w:charset w:val="00"/>
    <w:family w:val="roman"/>
    <w:notTrueType/>
    <w:pitch w:val="default"/>
  </w:font>
  <w:font w:name="LabGrotesque">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C58CF"/>
    <w:multiLevelType w:val="multilevel"/>
    <w:tmpl w:val="65E0C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042A53"/>
    <w:multiLevelType w:val="hybridMultilevel"/>
    <w:tmpl w:val="6F105530"/>
    <w:lvl w:ilvl="0" w:tplc="245684B4">
      <w:start w:val="7"/>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36B1AF6"/>
    <w:multiLevelType w:val="multilevel"/>
    <w:tmpl w:val="2DA44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ADA4736"/>
    <w:multiLevelType w:val="multilevel"/>
    <w:tmpl w:val="6E2AE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8666B5"/>
    <w:multiLevelType w:val="hybridMultilevel"/>
    <w:tmpl w:val="84A42B42"/>
    <w:lvl w:ilvl="0" w:tplc="E0605314">
      <w:numFmt w:val="bullet"/>
      <w:lvlText w:val="-"/>
      <w:lvlJc w:val="left"/>
      <w:pPr>
        <w:ind w:left="720" w:hanging="360"/>
      </w:pPr>
      <w:rPr>
        <w:rFonts w:ascii="Arial" w:eastAsiaTheme="minorHAnsi" w:hAnsi="Arial" w:cs="Arial" w:hint="default"/>
        <w:sz w:val="22"/>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9ED233D"/>
    <w:multiLevelType w:val="hybridMultilevel"/>
    <w:tmpl w:val="2BFEF498"/>
    <w:lvl w:ilvl="0" w:tplc="511E53F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EE42542"/>
    <w:multiLevelType w:val="multilevel"/>
    <w:tmpl w:val="22543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84C6FB9"/>
    <w:multiLevelType w:val="multilevel"/>
    <w:tmpl w:val="ADCA9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E394BBD"/>
    <w:multiLevelType w:val="hybridMultilevel"/>
    <w:tmpl w:val="D81C4A14"/>
    <w:lvl w:ilvl="0" w:tplc="0E82D458">
      <w:start w:val="7"/>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F387FF0"/>
    <w:multiLevelType w:val="hybridMultilevel"/>
    <w:tmpl w:val="C04A4DD6"/>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47862F8A"/>
    <w:multiLevelType w:val="multilevel"/>
    <w:tmpl w:val="D73A5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FFA02BF"/>
    <w:multiLevelType w:val="multilevel"/>
    <w:tmpl w:val="04742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23616CA"/>
    <w:multiLevelType w:val="multilevel"/>
    <w:tmpl w:val="CEC28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B9E1848"/>
    <w:multiLevelType w:val="multilevel"/>
    <w:tmpl w:val="51325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04F6FB8"/>
    <w:multiLevelType w:val="multilevel"/>
    <w:tmpl w:val="849CE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46C2794"/>
    <w:multiLevelType w:val="multilevel"/>
    <w:tmpl w:val="2708C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CB56F75"/>
    <w:multiLevelType w:val="multilevel"/>
    <w:tmpl w:val="78944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DD23CE7"/>
    <w:multiLevelType w:val="multilevel"/>
    <w:tmpl w:val="374CD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4"/>
  </w:num>
  <w:num w:numId="3">
    <w:abstractNumId w:val="13"/>
  </w:num>
  <w:num w:numId="4">
    <w:abstractNumId w:val="12"/>
  </w:num>
  <w:num w:numId="5">
    <w:abstractNumId w:val="16"/>
  </w:num>
  <w:num w:numId="6">
    <w:abstractNumId w:val="11"/>
  </w:num>
  <w:num w:numId="7">
    <w:abstractNumId w:val="7"/>
  </w:num>
  <w:num w:numId="8">
    <w:abstractNumId w:val="6"/>
  </w:num>
  <w:num w:numId="9">
    <w:abstractNumId w:val="5"/>
  </w:num>
  <w:num w:numId="10">
    <w:abstractNumId w:val="1"/>
  </w:num>
  <w:num w:numId="11">
    <w:abstractNumId w:val="10"/>
  </w:num>
  <w:num w:numId="12">
    <w:abstractNumId w:val="3"/>
  </w:num>
  <w:num w:numId="13">
    <w:abstractNumId w:val="2"/>
  </w:num>
  <w:num w:numId="14">
    <w:abstractNumId w:val="17"/>
  </w:num>
  <w:num w:numId="15">
    <w:abstractNumId w:val="4"/>
  </w:num>
  <w:num w:numId="16">
    <w:abstractNumId w:val="8"/>
  </w:num>
  <w:num w:numId="17">
    <w:abstractNumId w:val="0"/>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7B99"/>
    <w:rsid w:val="00004692"/>
    <w:rsid w:val="00042680"/>
    <w:rsid w:val="00065931"/>
    <w:rsid w:val="00071F46"/>
    <w:rsid w:val="00077B24"/>
    <w:rsid w:val="000C28C6"/>
    <w:rsid w:val="000D57BA"/>
    <w:rsid w:val="000F32CC"/>
    <w:rsid w:val="00104FAC"/>
    <w:rsid w:val="00116C35"/>
    <w:rsid w:val="00121C9E"/>
    <w:rsid w:val="001312F1"/>
    <w:rsid w:val="001454F2"/>
    <w:rsid w:val="001725F3"/>
    <w:rsid w:val="001A3BEE"/>
    <w:rsid w:val="001B2CBE"/>
    <w:rsid w:val="001B4149"/>
    <w:rsid w:val="001B466B"/>
    <w:rsid w:val="001C5A31"/>
    <w:rsid w:val="001C65E1"/>
    <w:rsid w:val="001E3C55"/>
    <w:rsid w:val="001E4B1C"/>
    <w:rsid w:val="001E6779"/>
    <w:rsid w:val="001F46E1"/>
    <w:rsid w:val="00200BD5"/>
    <w:rsid w:val="002049E3"/>
    <w:rsid w:val="00213ACE"/>
    <w:rsid w:val="0021606D"/>
    <w:rsid w:val="00236953"/>
    <w:rsid w:val="002427A7"/>
    <w:rsid w:val="002571D6"/>
    <w:rsid w:val="0026211F"/>
    <w:rsid w:val="0028639F"/>
    <w:rsid w:val="00290ADA"/>
    <w:rsid w:val="00292625"/>
    <w:rsid w:val="0029369F"/>
    <w:rsid w:val="00293BDD"/>
    <w:rsid w:val="002C77F5"/>
    <w:rsid w:val="002D0AF1"/>
    <w:rsid w:val="002D3CAF"/>
    <w:rsid w:val="002F18BB"/>
    <w:rsid w:val="00302047"/>
    <w:rsid w:val="00315728"/>
    <w:rsid w:val="003209C4"/>
    <w:rsid w:val="003566B7"/>
    <w:rsid w:val="00356A21"/>
    <w:rsid w:val="00366479"/>
    <w:rsid w:val="003705D8"/>
    <w:rsid w:val="00380E18"/>
    <w:rsid w:val="003817B6"/>
    <w:rsid w:val="003A4A58"/>
    <w:rsid w:val="003A6CD0"/>
    <w:rsid w:val="003C67CF"/>
    <w:rsid w:val="003E008B"/>
    <w:rsid w:val="0040158B"/>
    <w:rsid w:val="00401A73"/>
    <w:rsid w:val="00406182"/>
    <w:rsid w:val="00414B65"/>
    <w:rsid w:val="00453C82"/>
    <w:rsid w:val="0046434C"/>
    <w:rsid w:val="0047167A"/>
    <w:rsid w:val="00477EC5"/>
    <w:rsid w:val="00480624"/>
    <w:rsid w:val="004945C2"/>
    <w:rsid w:val="004A04F5"/>
    <w:rsid w:val="004B3ED3"/>
    <w:rsid w:val="004D3B88"/>
    <w:rsid w:val="004E478D"/>
    <w:rsid w:val="004E64C7"/>
    <w:rsid w:val="004F5CA0"/>
    <w:rsid w:val="005215D4"/>
    <w:rsid w:val="00532DCE"/>
    <w:rsid w:val="00581A05"/>
    <w:rsid w:val="00590AE1"/>
    <w:rsid w:val="005A10A7"/>
    <w:rsid w:val="005B2E1B"/>
    <w:rsid w:val="005C1B9F"/>
    <w:rsid w:val="006026DD"/>
    <w:rsid w:val="00607727"/>
    <w:rsid w:val="0061242C"/>
    <w:rsid w:val="00613588"/>
    <w:rsid w:val="00624149"/>
    <w:rsid w:val="00624487"/>
    <w:rsid w:val="0062712E"/>
    <w:rsid w:val="00641A5C"/>
    <w:rsid w:val="00664378"/>
    <w:rsid w:val="00683041"/>
    <w:rsid w:val="006843F3"/>
    <w:rsid w:val="0069330D"/>
    <w:rsid w:val="006B452E"/>
    <w:rsid w:val="006B60DC"/>
    <w:rsid w:val="00700473"/>
    <w:rsid w:val="007137E3"/>
    <w:rsid w:val="00723920"/>
    <w:rsid w:val="0072485D"/>
    <w:rsid w:val="007453B3"/>
    <w:rsid w:val="00760564"/>
    <w:rsid w:val="00763DF0"/>
    <w:rsid w:val="00771CF6"/>
    <w:rsid w:val="0078779D"/>
    <w:rsid w:val="007D1CF0"/>
    <w:rsid w:val="007D733A"/>
    <w:rsid w:val="007F4569"/>
    <w:rsid w:val="008254FD"/>
    <w:rsid w:val="00837CFA"/>
    <w:rsid w:val="008403B7"/>
    <w:rsid w:val="00841999"/>
    <w:rsid w:val="00847952"/>
    <w:rsid w:val="0087066F"/>
    <w:rsid w:val="00870B67"/>
    <w:rsid w:val="00873824"/>
    <w:rsid w:val="0087525B"/>
    <w:rsid w:val="008938E4"/>
    <w:rsid w:val="008C2830"/>
    <w:rsid w:val="008D1763"/>
    <w:rsid w:val="008D25A0"/>
    <w:rsid w:val="008D58FF"/>
    <w:rsid w:val="008E36DD"/>
    <w:rsid w:val="008E5D36"/>
    <w:rsid w:val="008F08A8"/>
    <w:rsid w:val="008F1A34"/>
    <w:rsid w:val="00910A51"/>
    <w:rsid w:val="0091497D"/>
    <w:rsid w:val="00934ED7"/>
    <w:rsid w:val="00947FD4"/>
    <w:rsid w:val="00964D19"/>
    <w:rsid w:val="00980A07"/>
    <w:rsid w:val="00987770"/>
    <w:rsid w:val="009A04C5"/>
    <w:rsid w:val="009A3EC0"/>
    <w:rsid w:val="009A4B4E"/>
    <w:rsid w:val="009B7F94"/>
    <w:rsid w:val="009E407E"/>
    <w:rsid w:val="009F7A61"/>
    <w:rsid w:val="00A36259"/>
    <w:rsid w:val="00A50B77"/>
    <w:rsid w:val="00A731BE"/>
    <w:rsid w:val="00A74301"/>
    <w:rsid w:val="00A80124"/>
    <w:rsid w:val="00A960F1"/>
    <w:rsid w:val="00AA1E3C"/>
    <w:rsid w:val="00AA62A3"/>
    <w:rsid w:val="00AA68F1"/>
    <w:rsid w:val="00AB66F1"/>
    <w:rsid w:val="00AD3F40"/>
    <w:rsid w:val="00AE1FDE"/>
    <w:rsid w:val="00B11189"/>
    <w:rsid w:val="00B26355"/>
    <w:rsid w:val="00B31043"/>
    <w:rsid w:val="00B53BF6"/>
    <w:rsid w:val="00B663C7"/>
    <w:rsid w:val="00B75902"/>
    <w:rsid w:val="00B759A7"/>
    <w:rsid w:val="00B86271"/>
    <w:rsid w:val="00B955E2"/>
    <w:rsid w:val="00BB2C6B"/>
    <w:rsid w:val="00BB7B99"/>
    <w:rsid w:val="00BC059A"/>
    <w:rsid w:val="00BD12C1"/>
    <w:rsid w:val="00C12A3C"/>
    <w:rsid w:val="00C20695"/>
    <w:rsid w:val="00C4665B"/>
    <w:rsid w:val="00C50674"/>
    <w:rsid w:val="00C532E3"/>
    <w:rsid w:val="00C549A5"/>
    <w:rsid w:val="00C62FCA"/>
    <w:rsid w:val="00C73F43"/>
    <w:rsid w:val="00CA3920"/>
    <w:rsid w:val="00CB3D7A"/>
    <w:rsid w:val="00CD3F46"/>
    <w:rsid w:val="00CE300A"/>
    <w:rsid w:val="00CF0D4F"/>
    <w:rsid w:val="00D06762"/>
    <w:rsid w:val="00D23B93"/>
    <w:rsid w:val="00D41A49"/>
    <w:rsid w:val="00D42154"/>
    <w:rsid w:val="00D46EDF"/>
    <w:rsid w:val="00D63928"/>
    <w:rsid w:val="00DA1E2D"/>
    <w:rsid w:val="00DB50B5"/>
    <w:rsid w:val="00DE27E7"/>
    <w:rsid w:val="00DE42F7"/>
    <w:rsid w:val="00E0535C"/>
    <w:rsid w:val="00E15C08"/>
    <w:rsid w:val="00E35D69"/>
    <w:rsid w:val="00E565EB"/>
    <w:rsid w:val="00E60211"/>
    <w:rsid w:val="00E6073E"/>
    <w:rsid w:val="00E60E8E"/>
    <w:rsid w:val="00E6181C"/>
    <w:rsid w:val="00E623D8"/>
    <w:rsid w:val="00E777C4"/>
    <w:rsid w:val="00E802CC"/>
    <w:rsid w:val="00E814FC"/>
    <w:rsid w:val="00E97EC6"/>
    <w:rsid w:val="00EA14DB"/>
    <w:rsid w:val="00EA257B"/>
    <w:rsid w:val="00EA3A91"/>
    <w:rsid w:val="00EB05D0"/>
    <w:rsid w:val="00EB7437"/>
    <w:rsid w:val="00EC3893"/>
    <w:rsid w:val="00EC5056"/>
    <w:rsid w:val="00ED3A04"/>
    <w:rsid w:val="00EE565B"/>
    <w:rsid w:val="00F0621B"/>
    <w:rsid w:val="00F11A09"/>
    <w:rsid w:val="00F22CAA"/>
    <w:rsid w:val="00F3401B"/>
    <w:rsid w:val="00F50760"/>
    <w:rsid w:val="00F60556"/>
    <w:rsid w:val="00F64314"/>
    <w:rsid w:val="00F72C11"/>
    <w:rsid w:val="00F763D7"/>
    <w:rsid w:val="00F766EF"/>
    <w:rsid w:val="00F90457"/>
    <w:rsid w:val="00FA02AA"/>
    <w:rsid w:val="00FB0BF1"/>
    <w:rsid w:val="00FE632F"/>
    <w:rsid w:val="00FF4B3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7B99"/>
  </w:style>
  <w:style w:type="paragraph" w:styleId="Ttulo1">
    <w:name w:val="heading 1"/>
    <w:basedOn w:val="Normal"/>
    <w:link w:val="Ttulo1Car"/>
    <w:uiPriority w:val="9"/>
    <w:qFormat/>
    <w:rsid w:val="001725F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1725F3"/>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1725F3"/>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B7B9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B7B99"/>
    <w:rPr>
      <w:rFonts w:ascii="Tahoma" w:hAnsi="Tahoma" w:cs="Tahoma"/>
      <w:sz w:val="16"/>
      <w:szCs w:val="16"/>
    </w:rPr>
  </w:style>
  <w:style w:type="character" w:customStyle="1" w:styleId="Ttulo1Car">
    <w:name w:val="Título 1 Car"/>
    <w:basedOn w:val="Fuentedeprrafopredeter"/>
    <w:link w:val="Ttulo1"/>
    <w:uiPriority w:val="9"/>
    <w:rsid w:val="001725F3"/>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1725F3"/>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1725F3"/>
    <w:rPr>
      <w:rFonts w:asciiTheme="majorHAnsi" w:eastAsiaTheme="majorEastAsia" w:hAnsiTheme="majorHAnsi" w:cstheme="majorBidi"/>
      <w:b/>
      <w:bCs/>
      <w:color w:val="4F81BD" w:themeColor="accent1"/>
    </w:rPr>
  </w:style>
  <w:style w:type="paragraph" w:customStyle="1" w:styleId="bbc-1s1cxbv">
    <w:name w:val="bbc-1s1cxbv"/>
    <w:basedOn w:val="Normal"/>
    <w:rsid w:val="001725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1725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1725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ssuperimpactfig">
    <w:name w:val="ns_super_impact__fig"/>
    <w:basedOn w:val="Normal"/>
    <w:rsid w:val="001725F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1725F3"/>
  </w:style>
  <w:style w:type="paragraph" w:styleId="Prrafodelista">
    <w:name w:val="List Paragraph"/>
    <w:basedOn w:val="Normal"/>
    <w:uiPriority w:val="34"/>
    <w:qFormat/>
    <w:rsid w:val="00C532E3"/>
    <w:pPr>
      <w:ind w:left="720"/>
      <w:contextualSpacing/>
    </w:pPr>
  </w:style>
  <w:style w:type="character" w:customStyle="1" w:styleId="mw-headline">
    <w:name w:val="mw-headline"/>
    <w:basedOn w:val="Fuentedeprrafopredeter"/>
    <w:rsid w:val="007453B3"/>
  </w:style>
  <w:style w:type="character" w:styleId="Hipervnculo">
    <w:name w:val="Hyperlink"/>
    <w:basedOn w:val="Fuentedeprrafopredeter"/>
    <w:uiPriority w:val="99"/>
    <w:semiHidden/>
    <w:unhideWhenUsed/>
    <w:rsid w:val="007453B3"/>
    <w:rPr>
      <w:color w:val="0000FF"/>
      <w:u w:val="single"/>
    </w:rPr>
  </w:style>
  <w:style w:type="character" w:styleId="Textoennegrita">
    <w:name w:val="Strong"/>
    <w:basedOn w:val="Fuentedeprrafopredeter"/>
    <w:uiPriority w:val="22"/>
    <w:qFormat/>
    <w:rsid w:val="00DB50B5"/>
    <w:rPr>
      <w:b/>
      <w:bCs/>
    </w:rPr>
  </w:style>
  <w:style w:type="character" w:customStyle="1" w:styleId="arrow">
    <w:name w:val="arrow"/>
    <w:basedOn w:val="Fuentedeprrafopredeter"/>
    <w:rsid w:val="00DB50B5"/>
  </w:style>
  <w:style w:type="character" w:styleId="nfasis">
    <w:name w:val="Emphasis"/>
    <w:basedOn w:val="Fuentedeprrafopredeter"/>
    <w:uiPriority w:val="20"/>
    <w:qFormat/>
    <w:rsid w:val="00947FD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7B99"/>
  </w:style>
  <w:style w:type="paragraph" w:styleId="Ttulo1">
    <w:name w:val="heading 1"/>
    <w:basedOn w:val="Normal"/>
    <w:link w:val="Ttulo1Car"/>
    <w:uiPriority w:val="9"/>
    <w:qFormat/>
    <w:rsid w:val="001725F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1725F3"/>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1725F3"/>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B7B9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B7B99"/>
    <w:rPr>
      <w:rFonts w:ascii="Tahoma" w:hAnsi="Tahoma" w:cs="Tahoma"/>
      <w:sz w:val="16"/>
      <w:szCs w:val="16"/>
    </w:rPr>
  </w:style>
  <w:style w:type="character" w:customStyle="1" w:styleId="Ttulo1Car">
    <w:name w:val="Título 1 Car"/>
    <w:basedOn w:val="Fuentedeprrafopredeter"/>
    <w:link w:val="Ttulo1"/>
    <w:uiPriority w:val="9"/>
    <w:rsid w:val="001725F3"/>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1725F3"/>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1725F3"/>
    <w:rPr>
      <w:rFonts w:asciiTheme="majorHAnsi" w:eastAsiaTheme="majorEastAsia" w:hAnsiTheme="majorHAnsi" w:cstheme="majorBidi"/>
      <w:b/>
      <w:bCs/>
      <w:color w:val="4F81BD" w:themeColor="accent1"/>
    </w:rPr>
  </w:style>
  <w:style w:type="paragraph" w:customStyle="1" w:styleId="bbc-1s1cxbv">
    <w:name w:val="bbc-1s1cxbv"/>
    <w:basedOn w:val="Normal"/>
    <w:rsid w:val="001725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1725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1725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ssuperimpactfig">
    <w:name w:val="ns_super_impact__fig"/>
    <w:basedOn w:val="Normal"/>
    <w:rsid w:val="001725F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1725F3"/>
  </w:style>
  <w:style w:type="paragraph" w:styleId="Prrafodelista">
    <w:name w:val="List Paragraph"/>
    <w:basedOn w:val="Normal"/>
    <w:uiPriority w:val="34"/>
    <w:qFormat/>
    <w:rsid w:val="00C532E3"/>
    <w:pPr>
      <w:ind w:left="720"/>
      <w:contextualSpacing/>
    </w:pPr>
  </w:style>
  <w:style w:type="character" w:customStyle="1" w:styleId="mw-headline">
    <w:name w:val="mw-headline"/>
    <w:basedOn w:val="Fuentedeprrafopredeter"/>
    <w:rsid w:val="007453B3"/>
  </w:style>
  <w:style w:type="character" w:styleId="Hipervnculo">
    <w:name w:val="Hyperlink"/>
    <w:basedOn w:val="Fuentedeprrafopredeter"/>
    <w:uiPriority w:val="99"/>
    <w:semiHidden/>
    <w:unhideWhenUsed/>
    <w:rsid w:val="007453B3"/>
    <w:rPr>
      <w:color w:val="0000FF"/>
      <w:u w:val="single"/>
    </w:rPr>
  </w:style>
  <w:style w:type="character" w:styleId="Textoennegrita">
    <w:name w:val="Strong"/>
    <w:basedOn w:val="Fuentedeprrafopredeter"/>
    <w:uiPriority w:val="22"/>
    <w:qFormat/>
    <w:rsid w:val="00DB50B5"/>
    <w:rPr>
      <w:b/>
      <w:bCs/>
    </w:rPr>
  </w:style>
  <w:style w:type="character" w:customStyle="1" w:styleId="arrow">
    <w:name w:val="arrow"/>
    <w:basedOn w:val="Fuentedeprrafopredeter"/>
    <w:rsid w:val="00DB50B5"/>
  </w:style>
  <w:style w:type="character" w:styleId="nfasis">
    <w:name w:val="Emphasis"/>
    <w:basedOn w:val="Fuentedeprrafopredeter"/>
    <w:uiPriority w:val="20"/>
    <w:qFormat/>
    <w:rsid w:val="00947FD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344282">
      <w:bodyDiv w:val="1"/>
      <w:marLeft w:val="0"/>
      <w:marRight w:val="0"/>
      <w:marTop w:val="0"/>
      <w:marBottom w:val="0"/>
      <w:divBdr>
        <w:top w:val="none" w:sz="0" w:space="0" w:color="auto"/>
        <w:left w:val="none" w:sz="0" w:space="0" w:color="auto"/>
        <w:bottom w:val="none" w:sz="0" w:space="0" w:color="auto"/>
        <w:right w:val="none" w:sz="0" w:space="0" w:color="auto"/>
      </w:divBdr>
      <w:divsChild>
        <w:div w:id="1736050125">
          <w:marLeft w:val="0"/>
          <w:marRight w:val="0"/>
          <w:marTop w:val="0"/>
          <w:marBottom w:val="0"/>
          <w:divBdr>
            <w:top w:val="none" w:sz="0" w:space="0" w:color="auto"/>
            <w:left w:val="none" w:sz="0" w:space="0" w:color="auto"/>
            <w:bottom w:val="none" w:sz="0" w:space="0" w:color="auto"/>
            <w:right w:val="none" w:sz="0" w:space="0" w:color="auto"/>
          </w:divBdr>
        </w:div>
      </w:divsChild>
    </w:div>
    <w:div w:id="345521554">
      <w:bodyDiv w:val="1"/>
      <w:marLeft w:val="0"/>
      <w:marRight w:val="0"/>
      <w:marTop w:val="0"/>
      <w:marBottom w:val="0"/>
      <w:divBdr>
        <w:top w:val="none" w:sz="0" w:space="0" w:color="auto"/>
        <w:left w:val="none" w:sz="0" w:space="0" w:color="auto"/>
        <w:bottom w:val="none" w:sz="0" w:space="0" w:color="auto"/>
        <w:right w:val="none" w:sz="0" w:space="0" w:color="auto"/>
      </w:divBdr>
      <w:divsChild>
        <w:div w:id="1586300721">
          <w:marLeft w:val="0"/>
          <w:marRight w:val="0"/>
          <w:marTop w:val="0"/>
          <w:marBottom w:val="0"/>
          <w:divBdr>
            <w:top w:val="none" w:sz="0" w:space="0" w:color="auto"/>
            <w:left w:val="none" w:sz="0" w:space="0" w:color="auto"/>
            <w:bottom w:val="none" w:sz="0" w:space="0" w:color="auto"/>
            <w:right w:val="none" w:sz="0" w:space="0" w:color="auto"/>
          </w:divBdr>
          <w:divsChild>
            <w:div w:id="1022052241">
              <w:marLeft w:val="300"/>
              <w:marRight w:val="300"/>
              <w:marTop w:val="0"/>
              <w:marBottom w:val="0"/>
              <w:divBdr>
                <w:top w:val="none" w:sz="0" w:space="0" w:color="auto"/>
                <w:left w:val="none" w:sz="0" w:space="0" w:color="auto"/>
                <w:bottom w:val="none" w:sz="0" w:space="0" w:color="auto"/>
                <w:right w:val="none" w:sz="0" w:space="0" w:color="auto"/>
              </w:divBdr>
              <w:divsChild>
                <w:div w:id="2010404905">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171791862">
              <w:marLeft w:val="300"/>
              <w:marRight w:val="300"/>
              <w:marTop w:val="0"/>
              <w:marBottom w:val="0"/>
              <w:divBdr>
                <w:top w:val="none" w:sz="0" w:space="0" w:color="auto"/>
                <w:left w:val="none" w:sz="0" w:space="0" w:color="auto"/>
                <w:bottom w:val="none" w:sz="0" w:space="0" w:color="auto"/>
                <w:right w:val="none" w:sz="0" w:space="0" w:color="auto"/>
              </w:divBdr>
              <w:divsChild>
                <w:div w:id="754783539">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077095045">
              <w:marLeft w:val="300"/>
              <w:marRight w:val="300"/>
              <w:marTop w:val="0"/>
              <w:marBottom w:val="0"/>
              <w:divBdr>
                <w:top w:val="none" w:sz="0" w:space="0" w:color="auto"/>
                <w:left w:val="none" w:sz="0" w:space="0" w:color="auto"/>
                <w:bottom w:val="none" w:sz="0" w:space="0" w:color="auto"/>
                <w:right w:val="none" w:sz="0" w:space="0" w:color="auto"/>
              </w:divBdr>
              <w:divsChild>
                <w:div w:id="745960164">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522621689">
              <w:marLeft w:val="300"/>
              <w:marRight w:val="300"/>
              <w:marTop w:val="0"/>
              <w:marBottom w:val="0"/>
              <w:divBdr>
                <w:top w:val="none" w:sz="0" w:space="0" w:color="auto"/>
                <w:left w:val="none" w:sz="0" w:space="0" w:color="auto"/>
                <w:bottom w:val="none" w:sz="0" w:space="0" w:color="auto"/>
                <w:right w:val="none" w:sz="0" w:space="0" w:color="auto"/>
              </w:divBdr>
              <w:divsChild>
                <w:div w:id="1407730732">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707605016">
              <w:marLeft w:val="300"/>
              <w:marRight w:val="300"/>
              <w:marTop w:val="0"/>
              <w:marBottom w:val="0"/>
              <w:divBdr>
                <w:top w:val="none" w:sz="0" w:space="0" w:color="auto"/>
                <w:left w:val="none" w:sz="0" w:space="0" w:color="auto"/>
                <w:bottom w:val="none" w:sz="0" w:space="0" w:color="auto"/>
                <w:right w:val="none" w:sz="0" w:space="0" w:color="auto"/>
              </w:divBdr>
              <w:divsChild>
                <w:div w:id="1568565283">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888099819">
              <w:marLeft w:val="300"/>
              <w:marRight w:val="300"/>
              <w:marTop w:val="0"/>
              <w:marBottom w:val="0"/>
              <w:divBdr>
                <w:top w:val="none" w:sz="0" w:space="0" w:color="auto"/>
                <w:left w:val="none" w:sz="0" w:space="0" w:color="auto"/>
                <w:bottom w:val="none" w:sz="0" w:space="0" w:color="auto"/>
                <w:right w:val="none" w:sz="0" w:space="0" w:color="auto"/>
              </w:divBdr>
              <w:divsChild>
                <w:div w:id="1347175872">
                  <w:marLeft w:val="0"/>
                  <w:marRight w:val="0"/>
                  <w:marTop w:val="100"/>
                  <w:marBottom w:val="100"/>
                  <w:divBdr>
                    <w:top w:val="single" w:sz="6" w:space="15" w:color="auto"/>
                    <w:left w:val="single" w:sz="6" w:space="15" w:color="auto"/>
                    <w:bottom w:val="single" w:sz="6" w:space="15" w:color="auto"/>
                    <w:right w:val="single" w:sz="6" w:space="15" w:color="auto"/>
                  </w:divBdr>
                </w:div>
              </w:divsChild>
            </w:div>
          </w:divsChild>
        </w:div>
        <w:div w:id="204566271">
          <w:marLeft w:val="0"/>
          <w:marRight w:val="0"/>
          <w:marTop w:val="0"/>
          <w:marBottom w:val="0"/>
          <w:divBdr>
            <w:top w:val="none" w:sz="0" w:space="0" w:color="auto"/>
            <w:left w:val="none" w:sz="0" w:space="0" w:color="auto"/>
            <w:bottom w:val="none" w:sz="0" w:space="0" w:color="auto"/>
            <w:right w:val="none" w:sz="0" w:space="0" w:color="auto"/>
          </w:divBdr>
          <w:divsChild>
            <w:div w:id="556205240">
              <w:marLeft w:val="300"/>
              <w:marRight w:val="300"/>
              <w:marTop w:val="0"/>
              <w:marBottom w:val="0"/>
              <w:divBdr>
                <w:top w:val="none" w:sz="0" w:space="0" w:color="auto"/>
                <w:left w:val="none" w:sz="0" w:space="0" w:color="auto"/>
                <w:bottom w:val="none" w:sz="0" w:space="0" w:color="auto"/>
                <w:right w:val="none" w:sz="0" w:space="0" w:color="auto"/>
              </w:divBdr>
              <w:divsChild>
                <w:div w:id="1905218980">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957493211">
              <w:marLeft w:val="300"/>
              <w:marRight w:val="300"/>
              <w:marTop w:val="0"/>
              <w:marBottom w:val="0"/>
              <w:divBdr>
                <w:top w:val="none" w:sz="0" w:space="0" w:color="auto"/>
                <w:left w:val="none" w:sz="0" w:space="0" w:color="auto"/>
                <w:bottom w:val="none" w:sz="0" w:space="0" w:color="auto"/>
                <w:right w:val="none" w:sz="0" w:space="0" w:color="auto"/>
              </w:divBdr>
              <w:divsChild>
                <w:div w:id="166796285">
                  <w:marLeft w:val="0"/>
                  <w:marRight w:val="0"/>
                  <w:marTop w:val="100"/>
                  <w:marBottom w:val="100"/>
                  <w:divBdr>
                    <w:top w:val="single" w:sz="6" w:space="15" w:color="auto"/>
                    <w:left w:val="single" w:sz="6" w:space="15" w:color="auto"/>
                    <w:bottom w:val="single" w:sz="6" w:space="15" w:color="auto"/>
                    <w:right w:val="single" w:sz="6" w:space="15" w:color="auto"/>
                  </w:divBdr>
                </w:div>
              </w:divsChild>
            </w:div>
          </w:divsChild>
        </w:div>
        <w:div w:id="1692872931">
          <w:marLeft w:val="300"/>
          <w:marRight w:val="300"/>
          <w:marTop w:val="0"/>
          <w:marBottom w:val="0"/>
          <w:divBdr>
            <w:top w:val="none" w:sz="0" w:space="0" w:color="auto"/>
            <w:left w:val="none" w:sz="0" w:space="0" w:color="auto"/>
            <w:bottom w:val="none" w:sz="0" w:space="0" w:color="auto"/>
            <w:right w:val="none" w:sz="0" w:space="0" w:color="auto"/>
          </w:divBdr>
          <w:divsChild>
            <w:div w:id="1515263057">
              <w:marLeft w:val="0"/>
              <w:marRight w:val="0"/>
              <w:marTop w:val="100"/>
              <w:marBottom w:val="100"/>
              <w:divBdr>
                <w:top w:val="single" w:sz="6" w:space="15" w:color="auto"/>
                <w:left w:val="single" w:sz="6" w:space="15" w:color="auto"/>
                <w:bottom w:val="single" w:sz="6" w:space="15" w:color="auto"/>
                <w:right w:val="single" w:sz="6" w:space="15" w:color="auto"/>
              </w:divBdr>
            </w:div>
          </w:divsChild>
        </w:div>
      </w:divsChild>
    </w:div>
    <w:div w:id="711147795">
      <w:bodyDiv w:val="1"/>
      <w:marLeft w:val="0"/>
      <w:marRight w:val="0"/>
      <w:marTop w:val="0"/>
      <w:marBottom w:val="0"/>
      <w:divBdr>
        <w:top w:val="none" w:sz="0" w:space="0" w:color="auto"/>
        <w:left w:val="none" w:sz="0" w:space="0" w:color="auto"/>
        <w:bottom w:val="none" w:sz="0" w:space="0" w:color="auto"/>
        <w:right w:val="none" w:sz="0" w:space="0" w:color="auto"/>
      </w:divBdr>
      <w:divsChild>
        <w:div w:id="1022895870">
          <w:marLeft w:val="0"/>
          <w:marRight w:val="0"/>
          <w:marTop w:val="0"/>
          <w:marBottom w:val="0"/>
          <w:divBdr>
            <w:top w:val="none" w:sz="0" w:space="0" w:color="auto"/>
            <w:left w:val="none" w:sz="0" w:space="0" w:color="auto"/>
            <w:bottom w:val="none" w:sz="0" w:space="0" w:color="auto"/>
            <w:right w:val="none" w:sz="0" w:space="0" w:color="auto"/>
          </w:divBdr>
          <w:divsChild>
            <w:div w:id="1797412273">
              <w:marLeft w:val="0"/>
              <w:marRight w:val="0"/>
              <w:marTop w:val="0"/>
              <w:marBottom w:val="210"/>
              <w:divBdr>
                <w:top w:val="none" w:sz="0" w:space="0" w:color="auto"/>
                <w:left w:val="none" w:sz="0" w:space="0" w:color="auto"/>
                <w:bottom w:val="none" w:sz="0" w:space="0" w:color="auto"/>
                <w:right w:val="none" w:sz="0" w:space="0" w:color="auto"/>
              </w:divBdr>
            </w:div>
          </w:divsChild>
        </w:div>
        <w:div w:id="391077856">
          <w:marLeft w:val="0"/>
          <w:marRight w:val="0"/>
          <w:marTop w:val="0"/>
          <w:marBottom w:val="0"/>
          <w:divBdr>
            <w:top w:val="none" w:sz="0" w:space="0" w:color="auto"/>
            <w:left w:val="none" w:sz="0" w:space="0" w:color="auto"/>
            <w:bottom w:val="none" w:sz="0" w:space="0" w:color="auto"/>
            <w:right w:val="none" w:sz="0" w:space="0" w:color="auto"/>
          </w:divBdr>
          <w:divsChild>
            <w:div w:id="2036226793">
              <w:marLeft w:val="300"/>
              <w:marRight w:val="300"/>
              <w:marTop w:val="0"/>
              <w:marBottom w:val="0"/>
              <w:divBdr>
                <w:top w:val="none" w:sz="0" w:space="0" w:color="auto"/>
                <w:left w:val="none" w:sz="0" w:space="0" w:color="auto"/>
                <w:bottom w:val="none" w:sz="0" w:space="0" w:color="auto"/>
                <w:right w:val="none" w:sz="0" w:space="0" w:color="auto"/>
              </w:divBdr>
              <w:divsChild>
                <w:div w:id="2052916748">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48849839">
              <w:marLeft w:val="300"/>
              <w:marRight w:val="300"/>
              <w:marTop w:val="0"/>
              <w:marBottom w:val="0"/>
              <w:divBdr>
                <w:top w:val="none" w:sz="0" w:space="0" w:color="auto"/>
                <w:left w:val="none" w:sz="0" w:space="0" w:color="auto"/>
                <w:bottom w:val="none" w:sz="0" w:space="0" w:color="auto"/>
                <w:right w:val="none" w:sz="0" w:space="0" w:color="auto"/>
              </w:divBdr>
              <w:divsChild>
                <w:div w:id="1199319296">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401638069">
              <w:marLeft w:val="300"/>
              <w:marRight w:val="300"/>
              <w:marTop w:val="0"/>
              <w:marBottom w:val="0"/>
              <w:divBdr>
                <w:top w:val="none" w:sz="0" w:space="0" w:color="auto"/>
                <w:left w:val="none" w:sz="0" w:space="0" w:color="auto"/>
                <w:bottom w:val="none" w:sz="0" w:space="0" w:color="auto"/>
                <w:right w:val="none" w:sz="0" w:space="0" w:color="auto"/>
              </w:divBdr>
              <w:divsChild>
                <w:div w:id="1471552703">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907618375">
              <w:marLeft w:val="300"/>
              <w:marRight w:val="300"/>
              <w:marTop w:val="0"/>
              <w:marBottom w:val="0"/>
              <w:divBdr>
                <w:top w:val="none" w:sz="0" w:space="0" w:color="auto"/>
                <w:left w:val="none" w:sz="0" w:space="0" w:color="auto"/>
                <w:bottom w:val="none" w:sz="0" w:space="0" w:color="auto"/>
                <w:right w:val="none" w:sz="0" w:space="0" w:color="auto"/>
              </w:divBdr>
              <w:divsChild>
                <w:div w:id="1578898478">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817383816">
              <w:marLeft w:val="300"/>
              <w:marRight w:val="300"/>
              <w:marTop w:val="0"/>
              <w:marBottom w:val="0"/>
              <w:divBdr>
                <w:top w:val="none" w:sz="0" w:space="0" w:color="auto"/>
                <w:left w:val="none" w:sz="0" w:space="0" w:color="auto"/>
                <w:bottom w:val="none" w:sz="0" w:space="0" w:color="auto"/>
                <w:right w:val="none" w:sz="0" w:space="0" w:color="auto"/>
              </w:divBdr>
              <w:divsChild>
                <w:div w:id="1094205886">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603414765">
              <w:marLeft w:val="300"/>
              <w:marRight w:val="300"/>
              <w:marTop w:val="0"/>
              <w:marBottom w:val="0"/>
              <w:divBdr>
                <w:top w:val="none" w:sz="0" w:space="0" w:color="auto"/>
                <w:left w:val="none" w:sz="0" w:space="0" w:color="auto"/>
                <w:bottom w:val="none" w:sz="0" w:space="0" w:color="auto"/>
                <w:right w:val="none" w:sz="0" w:space="0" w:color="auto"/>
              </w:divBdr>
              <w:divsChild>
                <w:div w:id="82460976">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852956879">
              <w:marLeft w:val="300"/>
              <w:marRight w:val="300"/>
              <w:marTop w:val="0"/>
              <w:marBottom w:val="0"/>
              <w:divBdr>
                <w:top w:val="none" w:sz="0" w:space="0" w:color="auto"/>
                <w:left w:val="none" w:sz="0" w:space="0" w:color="auto"/>
                <w:bottom w:val="none" w:sz="0" w:space="0" w:color="auto"/>
                <w:right w:val="none" w:sz="0" w:space="0" w:color="auto"/>
              </w:divBdr>
              <w:divsChild>
                <w:div w:id="1512598163">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981234793">
              <w:marLeft w:val="300"/>
              <w:marRight w:val="300"/>
              <w:marTop w:val="0"/>
              <w:marBottom w:val="0"/>
              <w:divBdr>
                <w:top w:val="none" w:sz="0" w:space="0" w:color="auto"/>
                <w:left w:val="none" w:sz="0" w:space="0" w:color="auto"/>
                <w:bottom w:val="none" w:sz="0" w:space="0" w:color="auto"/>
                <w:right w:val="none" w:sz="0" w:space="0" w:color="auto"/>
              </w:divBdr>
              <w:divsChild>
                <w:div w:id="503010545">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378671010">
              <w:marLeft w:val="0"/>
              <w:marRight w:val="0"/>
              <w:marTop w:val="0"/>
              <w:marBottom w:val="210"/>
              <w:divBdr>
                <w:top w:val="none" w:sz="0" w:space="0" w:color="auto"/>
                <w:left w:val="none" w:sz="0" w:space="0" w:color="auto"/>
                <w:bottom w:val="none" w:sz="0" w:space="0" w:color="auto"/>
                <w:right w:val="none" w:sz="0" w:space="0" w:color="auto"/>
              </w:divBdr>
            </w:div>
            <w:div w:id="1365982006">
              <w:marLeft w:val="300"/>
              <w:marRight w:val="300"/>
              <w:marTop w:val="0"/>
              <w:marBottom w:val="0"/>
              <w:divBdr>
                <w:top w:val="none" w:sz="0" w:space="0" w:color="auto"/>
                <w:left w:val="none" w:sz="0" w:space="0" w:color="auto"/>
                <w:bottom w:val="none" w:sz="0" w:space="0" w:color="auto"/>
                <w:right w:val="none" w:sz="0" w:space="0" w:color="auto"/>
              </w:divBdr>
              <w:divsChild>
                <w:div w:id="1098794204">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686328470">
              <w:marLeft w:val="300"/>
              <w:marRight w:val="300"/>
              <w:marTop w:val="0"/>
              <w:marBottom w:val="0"/>
              <w:divBdr>
                <w:top w:val="none" w:sz="0" w:space="0" w:color="auto"/>
                <w:left w:val="none" w:sz="0" w:space="0" w:color="auto"/>
                <w:bottom w:val="none" w:sz="0" w:space="0" w:color="auto"/>
                <w:right w:val="none" w:sz="0" w:space="0" w:color="auto"/>
              </w:divBdr>
              <w:divsChild>
                <w:div w:id="741022831">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93749143">
              <w:marLeft w:val="300"/>
              <w:marRight w:val="300"/>
              <w:marTop w:val="0"/>
              <w:marBottom w:val="0"/>
              <w:divBdr>
                <w:top w:val="none" w:sz="0" w:space="0" w:color="auto"/>
                <w:left w:val="none" w:sz="0" w:space="0" w:color="auto"/>
                <w:bottom w:val="none" w:sz="0" w:space="0" w:color="auto"/>
                <w:right w:val="none" w:sz="0" w:space="0" w:color="auto"/>
              </w:divBdr>
              <w:divsChild>
                <w:div w:id="296686837">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134175440">
              <w:marLeft w:val="300"/>
              <w:marRight w:val="300"/>
              <w:marTop w:val="0"/>
              <w:marBottom w:val="0"/>
              <w:divBdr>
                <w:top w:val="none" w:sz="0" w:space="0" w:color="auto"/>
                <w:left w:val="none" w:sz="0" w:space="0" w:color="auto"/>
                <w:bottom w:val="none" w:sz="0" w:space="0" w:color="auto"/>
                <w:right w:val="none" w:sz="0" w:space="0" w:color="auto"/>
              </w:divBdr>
              <w:divsChild>
                <w:div w:id="1693413425">
                  <w:marLeft w:val="0"/>
                  <w:marRight w:val="0"/>
                  <w:marTop w:val="100"/>
                  <w:marBottom w:val="100"/>
                  <w:divBdr>
                    <w:top w:val="single" w:sz="6" w:space="15" w:color="auto"/>
                    <w:left w:val="single" w:sz="6" w:space="15" w:color="auto"/>
                    <w:bottom w:val="single" w:sz="6" w:space="15" w:color="auto"/>
                    <w:right w:val="single" w:sz="6" w:space="15" w:color="auto"/>
                  </w:divBdr>
                </w:div>
              </w:divsChild>
            </w:div>
            <w:div w:id="106396251">
              <w:marLeft w:val="300"/>
              <w:marRight w:val="300"/>
              <w:marTop w:val="0"/>
              <w:marBottom w:val="0"/>
              <w:divBdr>
                <w:top w:val="none" w:sz="0" w:space="0" w:color="auto"/>
                <w:left w:val="none" w:sz="0" w:space="0" w:color="auto"/>
                <w:bottom w:val="none" w:sz="0" w:space="0" w:color="auto"/>
                <w:right w:val="none" w:sz="0" w:space="0" w:color="auto"/>
              </w:divBdr>
              <w:divsChild>
                <w:div w:id="1267496948">
                  <w:marLeft w:val="0"/>
                  <w:marRight w:val="0"/>
                  <w:marTop w:val="100"/>
                  <w:marBottom w:val="100"/>
                  <w:divBdr>
                    <w:top w:val="single" w:sz="6" w:space="15" w:color="auto"/>
                    <w:left w:val="single" w:sz="6" w:space="15" w:color="auto"/>
                    <w:bottom w:val="single" w:sz="6" w:space="15" w:color="auto"/>
                    <w:right w:val="single" w:sz="6" w:space="15" w:color="auto"/>
                  </w:divBdr>
                </w:div>
              </w:divsChild>
            </w:div>
          </w:divsChild>
        </w:div>
      </w:divsChild>
    </w:div>
    <w:div w:id="1257900876">
      <w:bodyDiv w:val="1"/>
      <w:marLeft w:val="0"/>
      <w:marRight w:val="0"/>
      <w:marTop w:val="0"/>
      <w:marBottom w:val="0"/>
      <w:divBdr>
        <w:top w:val="none" w:sz="0" w:space="0" w:color="auto"/>
        <w:left w:val="none" w:sz="0" w:space="0" w:color="auto"/>
        <w:bottom w:val="none" w:sz="0" w:space="0" w:color="auto"/>
        <w:right w:val="none" w:sz="0" w:space="0" w:color="auto"/>
      </w:divBdr>
    </w:div>
    <w:div w:id="1655068504">
      <w:bodyDiv w:val="1"/>
      <w:marLeft w:val="0"/>
      <w:marRight w:val="0"/>
      <w:marTop w:val="0"/>
      <w:marBottom w:val="0"/>
      <w:divBdr>
        <w:top w:val="none" w:sz="0" w:space="0" w:color="auto"/>
        <w:left w:val="none" w:sz="0" w:space="0" w:color="auto"/>
        <w:bottom w:val="none" w:sz="0" w:space="0" w:color="auto"/>
        <w:right w:val="none" w:sz="0" w:space="0" w:color="auto"/>
      </w:divBdr>
      <w:divsChild>
        <w:div w:id="696852084">
          <w:marLeft w:val="0"/>
          <w:marRight w:val="0"/>
          <w:marTop w:val="0"/>
          <w:marBottom w:val="240"/>
          <w:divBdr>
            <w:top w:val="none" w:sz="0" w:space="0" w:color="auto"/>
            <w:left w:val="none" w:sz="0" w:space="0" w:color="auto"/>
            <w:bottom w:val="none" w:sz="0" w:space="0" w:color="auto"/>
            <w:right w:val="none" w:sz="0" w:space="0" w:color="auto"/>
          </w:divBdr>
          <w:divsChild>
            <w:div w:id="148944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png"/><Relationship Id="rId299" Type="http://schemas.openxmlformats.org/officeDocument/2006/relationships/image" Target="media/image144.png"/><Relationship Id="rId21" Type="http://schemas.openxmlformats.org/officeDocument/2006/relationships/image" Target="media/image16.jpeg"/><Relationship Id="rId63" Type="http://schemas.openxmlformats.org/officeDocument/2006/relationships/hyperlink" Target="https://es.inflation.eu/tasas-de-inflacion/estados-unidos/inflacion-historica/ipc-inflacion-estados-unidos-1982.aspx" TargetMode="External"/><Relationship Id="rId159" Type="http://schemas.openxmlformats.org/officeDocument/2006/relationships/image" Target="media/image76.png"/><Relationship Id="rId170" Type="http://schemas.openxmlformats.org/officeDocument/2006/relationships/hyperlink" Target="https://ec.europa.eu/eurostat/statistics-explained/index.php?title=Glossary:Income_quintile_share_ratio" TargetMode="External"/><Relationship Id="rId226" Type="http://schemas.openxmlformats.org/officeDocument/2006/relationships/hyperlink" Target="https://ec.europa.eu/eurostat/databrowser/view/ilc_li02/default/table?lang=en" TargetMode="External"/><Relationship Id="rId268" Type="http://schemas.openxmlformats.org/officeDocument/2006/relationships/image" Target="media/image115.png"/><Relationship Id="rId32" Type="http://schemas.openxmlformats.org/officeDocument/2006/relationships/image" Target="media/image27.jpeg"/><Relationship Id="rId74" Type="http://schemas.openxmlformats.org/officeDocument/2006/relationships/hyperlink" Target="https://es.inflation.eu/tasas-de-inflacion/estados-unidos/inflacion-historica/ipc-inflacion-estados-unidos-2007.aspx" TargetMode="External"/><Relationship Id="rId128" Type="http://schemas.openxmlformats.org/officeDocument/2006/relationships/image" Target="media/image56.jpeg"/><Relationship Id="rId5" Type="http://schemas.openxmlformats.org/officeDocument/2006/relationships/webSettings" Target="webSettings.xml"/><Relationship Id="rId181" Type="http://schemas.openxmlformats.org/officeDocument/2006/relationships/hyperlink" Target="https://ec.europa.eu/eurostat/databrowser/view/ilc_li11/default/table?lang=en" TargetMode="External"/><Relationship Id="rId237" Type="http://schemas.openxmlformats.org/officeDocument/2006/relationships/hyperlink" Target="https://ec.europa.eu/eurostat/databrowser/view/ilc_li02/default/table?lang=en" TargetMode="External"/><Relationship Id="rId279" Type="http://schemas.openxmlformats.org/officeDocument/2006/relationships/image" Target="media/image126.png"/><Relationship Id="rId43" Type="http://schemas.openxmlformats.org/officeDocument/2006/relationships/image" Target="media/image38.jpeg"/><Relationship Id="rId139" Type="http://schemas.openxmlformats.org/officeDocument/2006/relationships/image" Target="media/image67.png"/><Relationship Id="rId290" Type="http://schemas.openxmlformats.org/officeDocument/2006/relationships/image" Target="media/image135.png"/><Relationship Id="rId304" Type="http://schemas.openxmlformats.org/officeDocument/2006/relationships/theme" Target="theme/theme1.xml"/><Relationship Id="rId85" Type="http://schemas.openxmlformats.org/officeDocument/2006/relationships/hyperlink" Target="https://es.inflation.eu/tasas-de-inflacion/estados-unidos/inflacion-historica/ipc-inflacion-estados-unidos-1971.aspx" TargetMode="External"/><Relationship Id="rId150" Type="http://schemas.openxmlformats.org/officeDocument/2006/relationships/hyperlink" Target="https://ec.europa.eu/eurostat/databrowser/view/ilc_li01/default/table?lang=en" TargetMode="External"/><Relationship Id="rId192" Type="http://schemas.openxmlformats.org/officeDocument/2006/relationships/hyperlink" Target="https://ec.europa.eu/eurostat/statistics-explained/index.php?title=Glossary:City" TargetMode="External"/><Relationship Id="rId206" Type="http://schemas.openxmlformats.org/officeDocument/2006/relationships/image" Target="media/image84.png"/><Relationship Id="rId248" Type="http://schemas.openxmlformats.org/officeDocument/2006/relationships/image" Target="media/image99.png"/><Relationship Id="rId12" Type="http://schemas.openxmlformats.org/officeDocument/2006/relationships/image" Target="media/image7.jpeg"/><Relationship Id="rId108" Type="http://schemas.openxmlformats.org/officeDocument/2006/relationships/hyperlink" Target="https://es.inflation.eu/tasas-de-inflacion/estados-unidos/inflacion-historica/ipc-inflacion-estados-unidos-1990.aspx" TargetMode="External"/><Relationship Id="rId54" Type="http://schemas.openxmlformats.org/officeDocument/2006/relationships/hyperlink" Target="https://es.inflation.eu/tasas-de-inflacion/estados-unidos/inflacion-historica/ipc-inflacion-estados-unidos-2017.aspx" TargetMode="External"/><Relationship Id="rId96" Type="http://schemas.openxmlformats.org/officeDocument/2006/relationships/hyperlink" Target="https://es.inflation.eu/tasas-de-inflacion/estados-unidos/inflacion-historica/ipc-inflacion-estados-unidos-1996.aspx" TargetMode="External"/><Relationship Id="rId161" Type="http://schemas.openxmlformats.org/officeDocument/2006/relationships/image" Target="media/image77.png"/><Relationship Id="rId217" Type="http://schemas.openxmlformats.org/officeDocument/2006/relationships/hyperlink" Target="https://ec.europa.eu/eurostat/databrowser/view/ilc_peps13/default/table?lang=en" TargetMode="External"/><Relationship Id="rId6" Type="http://schemas.openxmlformats.org/officeDocument/2006/relationships/image" Target="media/image1.jpeg"/><Relationship Id="rId238" Type="http://schemas.openxmlformats.org/officeDocument/2006/relationships/hyperlink" Target="https://ec.europa.eu/eurostat/databrowser/view/ilc_li10/default/table?lang=en" TargetMode="External"/><Relationship Id="rId259" Type="http://schemas.openxmlformats.org/officeDocument/2006/relationships/image" Target="media/image106.png"/><Relationship Id="rId23" Type="http://schemas.openxmlformats.org/officeDocument/2006/relationships/image" Target="media/image18.jpeg"/><Relationship Id="rId119" Type="http://schemas.openxmlformats.org/officeDocument/2006/relationships/image" Target="media/image52.jpeg"/><Relationship Id="rId270" Type="http://schemas.openxmlformats.org/officeDocument/2006/relationships/image" Target="media/image117.png"/><Relationship Id="rId291" Type="http://schemas.openxmlformats.org/officeDocument/2006/relationships/image" Target="media/image136.png"/><Relationship Id="rId44" Type="http://schemas.openxmlformats.org/officeDocument/2006/relationships/image" Target="media/image39.jpeg"/><Relationship Id="rId65" Type="http://schemas.openxmlformats.org/officeDocument/2006/relationships/hyperlink" Target="https://es.inflation.eu/tasas-de-inflacion/estados-unidos/inflacion-historica/ipc-inflacion-estados-unidos-1981.aspx" TargetMode="External"/><Relationship Id="rId86" Type="http://schemas.openxmlformats.org/officeDocument/2006/relationships/hyperlink" Target="https://es.inflation.eu/tasas-de-inflacion/estados-unidos/inflacion-historica/ipc-inflacion-estados-unidos-2001.aspx" TargetMode="External"/><Relationship Id="rId130" Type="http://schemas.openxmlformats.org/officeDocument/2006/relationships/image" Target="media/image58.jpeg"/><Relationship Id="rId151" Type="http://schemas.openxmlformats.org/officeDocument/2006/relationships/hyperlink" Target="https://ec.europa.eu/eurostat/databrowser/view/ilc_li02/default/table?lang=en" TargetMode="External"/><Relationship Id="rId172" Type="http://schemas.openxmlformats.org/officeDocument/2006/relationships/hyperlink" Target="https://ec.europa.eu/eurostat/databrowser/view/ilc_di11/default/table?lang=en" TargetMode="External"/><Relationship Id="rId193" Type="http://schemas.openxmlformats.org/officeDocument/2006/relationships/hyperlink" Target="https://ec.europa.eu/eurostat/statistics-explained/index.php?title=Glossary:Town_or_suburb" TargetMode="External"/><Relationship Id="rId207" Type="http://schemas.openxmlformats.org/officeDocument/2006/relationships/hyperlink" Target="https://ec.europa.eu/eurostat/databrowser/view/ilc_peps01/default/table?lang=en" TargetMode="External"/><Relationship Id="rId228" Type="http://schemas.openxmlformats.org/officeDocument/2006/relationships/hyperlink" Target="https://ec.europa.eu/eurostat/statistics-explained/index.php?title=File:At-risk-of-poverty_rate_by_age_group,_2019_(%25)_LCIE20.png" TargetMode="External"/><Relationship Id="rId249" Type="http://schemas.openxmlformats.org/officeDocument/2006/relationships/image" Target="media/image100.png"/><Relationship Id="rId13" Type="http://schemas.openxmlformats.org/officeDocument/2006/relationships/image" Target="media/image8.png"/><Relationship Id="rId109" Type="http://schemas.openxmlformats.org/officeDocument/2006/relationships/hyperlink" Target="https://es.inflation.eu/tasas-de-inflacion/estados-unidos/inflacion-historica/ipc-inflacion-estados-unidos-1959.aspx" TargetMode="External"/><Relationship Id="rId260" Type="http://schemas.openxmlformats.org/officeDocument/2006/relationships/image" Target="media/image107.png"/><Relationship Id="rId281" Type="http://schemas.openxmlformats.org/officeDocument/2006/relationships/image" Target="media/image128.jpeg"/><Relationship Id="rId34" Type="http://schemas.openxmlformats.org/officeDocument/2006/relationships/image" Target="media/image29.jpeg"/><Relationship Id="rId55" Type="http://schemas.openxmlformats.org/officeDocument/2006/relationships/hyperlink" Target="https://es.inflation.eu/tasas-de-inflacion/estados-unidos/inflacion-historica/ipc-inflacion-estados-unidos-1986.aspx" TargetMode="External"/><Relationship Id="rId76" Type="http://schemas.openxmlformats.org/officeDocument/2006/relationships/hyperlink" Target="https://es.inflation.eu/tasas-de-inflacion/estados-unidos/inflacion-historica/ipc-inflacion-estados-unidos-2006.aspx" TargetMode="External"/><Relationship Id="rId97" Type="http://schemas.openxmlformats.org/officeDocument/2006/relationships/hyperlink" Target="https://es.inflation.eu/tasas-de-inflacion/estados-unidos/inflacion-historica/ipc-inflacion-estados-unidos-1965.aspx" TargetMode="External"/><Relationship Id="rId120" Type="http://schemas.openxmlformats.org/officeDocument/2006/relationships/hyperlink" Target="https://www.dw.com/es/alemania-pol%C3%A9mica-por-banco-de-alimentos-que-ya-no-atiende-a-extranjeros/a-42720461" TargetMode="External"/><Relationship Id="rId141" Type="http://schemas.openxmlformats.org/officeDocument/2006/relationships/image" Target="media/image69.png"/><Relationship Id="rId7" Type="http://schemas.openxmlformats.org/officeDocument/2006/relationships/image" Target="media/image2.jpeg"/><Relationship Id="rId162" Type="http://schemas.openxmlformats.org/officeDocument/2006/relationships/hyperlink" Target="https://ec.europa.eu/eurostat/databrowser/view/ilc_li03/default/table?lang=en" TargetMode="External"/><Relationship Id="rId183" Type="http://schemas.openxmlformats.org/officeDocument/2006/relationships/hyperlink" Target="https://ec.europa.eu/eurostat/statistics-explained/index.php?title=Glossary:EU_enlargements" TargetMode="External"/><Relationship Id="rId218" Type="http://schemas.openxmlformats.org/officeDocument/2006/relationships/image" Target="media/image88.png"/><Relationship Id="rId239" Type="http://schemas.openxmlformats.org/officeDocument/2006/relationships/hyperlink" Target="https://ec.europa.eu/eurostat/statistics-explained/index.php?title=File:Change_in_the_at-risk-of-poverty_rate_anchored_in_2008,_2008-2019.png" TargetMode="External"/><Relationship Id="rId250" Type="http://schemas.openxmlformats.org/officeDocument/2006/relationships/image" Target="media/image101.jpeg"/><Relationship Id="rId271" Type="http://schemas.openxmlformats.org/officeDocument/2006/relationships/image" Target="media/image118.png"/><Relationship Id="rId292" Type="http://schemas.openxmlformats.org/officeDocument/2006/relationships/image" Target="media/image137.png"/><Relationship Id="rId24" Type="http://schemas.openxmlformats.org/officeDocument/2006/relationships/image" Target="media/image19.jpeg"/><Relationship Id="rId45" Type="http://schemas.openxmlformats.org/officeDocument/2006/relationships/image" Target="media/image40.png"/><Relationship Id="rId66" Type="http://schemas.openxmlformats.org/officeDocument/2006/relationships/hyperlink" Target="https://es.inflation.eu/tasas-de-inflacion/estados-unidos/inflacion-historica/ipc-inflacion-estados-unidos-2011.aspx" TargetMode="External"/><Relationship Id="rId87" Type="http://schemas.openxmlformats.org/officeDocument/2006/relationships/hyperlink" Target="https://es.inflation.eu/tasas-de-inflacion/estados-unidos/inflacion-historica/ipc-inflacion-estados-unidos-1970.aspx" TargetMode="External"/><Relationship Id="rId110" Type="http://schemas.openxmlformats.org/officeDocument/2006/relationships/hyperlink" Target="https://es.inflation.eu/tasas-de-inflacion/estados-unidos/inflacion-historica/ipc-inflacion-estados-unidos-1989.aspx" TargetMode="External"/><Relationship Id="rId131" Type="http://schemas.openxmlformats.org/officeDocument/2006/relationships/image" Target="media/image59.jpeg"/><Relationship Id="rId152" Type="http://schemas.openxmlformats.org/officeDocument/2006/relationships/hyperlink" Target="https://ec.europa.eu/eurostat/statistics-explained/index.php?title=Glossary:PPS" TargetMode="External"/><Relationship Id="rId173" Type="http://schemas.openxmlformats.org/officeDocument/2006/relationships/hyperlink" Target="https://ec.europa.eu/eurostat/statistics-explained/index.php?title=Glossary:Relative_median_income_ratio" TargetMode="External"/><Relationship Id="rId194" Type="http://schemas.openxmlformats.org/officeDocument/2006/relationships/hyperlink" Target="https://ec.europa.eu/eurostat/statistics-explained/index.php/Living_conditions_in_Europe_-_income_distribution_and_income_inequality" TargetMode="External"/><Relationship Id="rId208" Type="http://schemas.openxmlformats.org/officeDocument/2006/relationships/hyperlink" Target="https://ec.europa.eu/eurostat/databrowser/view/ilc_peps02/default/table?lang=en" TargetMode="External"/><Relationship Id="rId229" Type="http://schemas.openxmlformats.org/officeDocument/2006/relationships/image" Target="media/image91.png"/><Relationship Id="rId240" Type="http://schemas.openxmlformats.org/officeDocument/2006/relationships/image" Target="media/image94.png"/><Relationship Id="rId261" Type="http://schemas.openxmlformats.org/officeDocument/2006/relationships/image" Target="media/image108.png"/><Relationship Id="rId14" Type="http://schemas.openxmlformats.org/officeDocument/2006/relationships/image" Target="media/image9.jpeg"/><Relationship Id="rId35" Type="http://schemas.openxmlformats.org/officeDocument/2006/relationships/image" Target="media/image30.jpeg"/><Relationship Id="rId56" Type="http://schemas.openxmlformats.org/officeDocument/2006/relationships/hyperlink" Target="https://es.inflation.eu/tasas-de-inflacion/estados-unidos/inflacion-historica/ipc-inflacion-estados-unidos-2016.aspx" TargetMode="External"/><Relationship Id="rId77" Type="http://schemas.openxmlformats.org/officeDocument/2006/relationships/hyperlink" Target="https://es.inflation.eu/tasas-de-inflacion/estados-unidos/inflacion-historica/ipc-inflacion-estados-unidos-1975.aspx" TargetMode="External"/><Relationship Id="rId100" Type="http://schemas.openxmlformats.org/officeDocument/2006/relationships/hyperlink" Target="https://es.inflation.eu/tasas-de-inflacion/estados-unidos/inflacion-historica/ipc-inflacion-estados-unidos-1994.aspx" TargetMode="External"/><Relationship Id="rId282" Type="http://schemas.openxmlformats.org/officeDocument/2006/relationships/image" Target="media/image129.jpeg"/><Relationship Id="rId8" Type="http://schemas.openxmlformats.org/officeDocument/2006/relationships/image" Target="media/image3.jpeg"/><Relationship Id="rId98" Type="http://schemas.openxmlformats.org/officeDocument/2006/relationships/hyperlink" Target="https://es.inflation.eu/tasas-de-inflacion/estados-unidos/inflacion-historica/ipc-inflacion-estados-unidos-1995.aspx" TargetMode="External"/><Relationship Id="rId121" Type="http://schemas.openxmlformats.org/officeDocument/2006/relationships/image" Target="media/image53.jpeg"/><Relationship Id="rId142" Type="http://schemas.openxmlformats.org/officeDocument/2006/relationships/image" Target="media/image70.png"/><Relationship Id="rId163" Type="http://schemas.openxmlformats.org/officeDocument/2006/relationships/hyperlink" Target="https://ec.europa.eu/eurostat/statistics-explained/index.php?title=Glossary:Candidate_countries" TargetMode="External"/><Relationship Id="rId184" Type="http://schemas.openxmlformats.org/officeDocument/2006/relationships/hyperlink" Target="https://ec.europa.eu/eurostat/statistics-explained/index.php?title=Glossary:At_risk_of_poverty_or_social_exclusion_(AROPE)" TargetMode="External"/><Relationship Id="rId219" Type="http://schemas.openxmlformats.org/officeDocument/2006/relationships/hyperlink" Target="https://ec.europa.eu/eurostat/databrowser/view/ilc_pees01/default/table?lang=en" TargetMode="External"/><Relationship Id="rId230" Type="http://schemas.openxmlformats.org/officeDocument/2006/relationships/hyperlink" Target="https://ec.europa.eu/eurostat/databrowser/view/ilc_li02/default/table?lang=en" TargetMode="External"/><Relationship Id="rId251" Type="http://schemas.openxmlformats.org/officeDocument/2006/relationships/image" Target="media/image102.jpeg"/><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hyperlink" Target="https://es.inflation.eu/tasas-de-inflacion/estados-unidos/inflacion-historica/ipc-inflacion-estados-unidos-1980.aspx" TargetMode="External"/><Relationship Id="rId272" Type="http://schemas.openxmlformats.org/officeDocument/2006/relationships/image" Target="media/image119.png"/><Relationship Id="rId293" Type="http://schemas.openxmlformats.org/officeDocument/2006/relationships/image" Target="media/image138.png"/><Relationship Id="rId88" Type="http://schemas.openxmlformats.org/officeDocument/2006/relationships/hyperlink" Target="https://es.inflation.eu/tasas-de-inflacion/estados-unidos/inflacion-historica/ipc-inflacion-estados-unidos-2000.aspx" TargetMode="External"/><Relationship Id="rId111" Type="http://schemas.openxmlformats.org/officeDocument/2006/relationships/hyperlink" Target="https://es.inflation.eu/tasas-de-inflacion/estados-unidos/inflacion-historica/ipc-inflacion-estados-unidos-1958.aspx" TargetMode="External"/><Relationship Id="rId132" Type="http://schemas.openxmlformats.org/officeDocument/2006/relationships/image" Target="media/image60.jpeg"/><Relationship Id="rId153" Type="http://schemas.openxmlformats.org/officeDocument/2006/relationships/hyperlink" Target="https://ec.europa.eu/eurostat/statistics-explained/index.php?title=Glossary:EFTA" TargetMode="External"/><Relationship Id="rId174" Type="http://schemas.openxmlformats.org/officeDocument/2006/relationships/hyperlink" Target="https://ec.europa.eu/eurostat/statistics-explained/index.php?title=Glossary:Baltic_Member_States" TargetMode="External"/><Relationship Id="rId195" Type="http://schemas.openxmlformats.org/officeDocument/2006/relationships/hyperlink" Target="https://ec.europa.eu/eurostat/statistics-explained/index.php?title=Glossary:Social_protection" TargetMode="External"/><Relationship Id="rId209" Type="http://schemas.openxmlformats.org/officeDocument/2006/relationships/hyperlink" Target="https://ec.europa.eu/eurostat/databrowser/view/hlth_dpe010/default/table?lang=en" TargetMode="External"/><Relationship Id="rId220" Type="http://schemas.openxmlformats.org/officeDocument/2006/relationships/image" Target="media/image89.png"/><Relationship Id="rId241" Type="http://schemas.openxmlformats.org/officeDocument/2006/relationships/hyperlink" Target="https://ec.europa.eu/eurostat/databrowser/view/ilc_li22b/default/table?lang=en" TargetMode="External"/><Relationship Id="rId15" Type="http://schemas.openxmlformats.org/officeDocument/2006/relationships/image" Target="media/image10.jpeg"/><Relationship Id="rId36" Type="http://schemas.openxmlformats.org/officeDocument/2006/relationships/image" Target="media/image31.jpeg"/><Relationship Id="rId57" Type="http://schemas.openxmlformats.org/officeDocument/2006/relationships/hyperlink" Target="https://es.inflation.eu/tasas-de-inflacion/estados-unidos/inflacion-historica/ipc-inflacion-estados-unidos-1985.aspx" TargetMode="External"/><Relationship Id="rId262" Type="http://schemas.openxmlformats.org/officeDocument/2006/relationships/image" Target="media/image109.png"/><Relationship Id="rId283" Type="http://schemas.openxmlformats.org/officeDocument/2006/relationships/image" Target="media/image130.jpeg"/><Relationship Id="rId78" Type="http://schemas.openxmlformats.org/officeDocument/2006/relationships/hyperlink" Target="https://es.inflation.eu/tasas-de-inflacion/estados-unidos/inflacion-historica/ipc-inflacion-estados-unidos-2005.aspx" TargetMode="External"/><Relationship Id="rId99" Type="http://schemas.openxmlformats.org/officeDocument/2006/relationships/hyperlink" Target="https://es.inflation.eu/tasas-de-inflacion/estados-unidos/inflacion-historica/ipc-inflacion-estados-unidos-1964.aspx" TargetMode="External"/><Relationship Id="rId101" Type="http://schemas.openxmlformats.org/officeDocument/2006/relationships/hyperlink" Target="https://es.inflation.eu/tasas-de-inflacion/estados-unidos/inflacion-historica/ipc-inflacion-estados-unidos-1963.aspx" TargetMode="External"/><Relationship Id="rId122" Type="http://schemas.openxmlformats.org/officeDocument/2006/relationships/image" Target="media/image54.jpeg"/><Relationship Id="rId143" Type="http://schemas.openxmlformats.org/officeDocument/2006/relationships/image" Target="media/image71.jpeg"/><Relationship Id="rId164" Type="http://schemas.openxmlformats.org/officeDocument/2006/relationships/hyperlink" Target="https://ec.europa.eu/eurostat/statistics-explained/index.php?title=Glossary:Social_protection" TargetMode="External"/><Relationship Id="rId185" Type="http://schemas.openxmlformats.org/officeDocument/2006/relationships/hyperlink" Target="https://ec.europa.eu/eurostat/statistics-explained/index.php?title=Glossary:Dependent_children" TargetMode="External"/><Relationship Id="rId9" Type="http://schemas.openxmlformats.org/officeDocument/2006/relationships/image" Target="media/image4.jpeg"/><Relationship Id="rId210" Type="http://schemas.openxmlformats.org/officeDocument/2006/relationships/image" Target="media/image85.png"/><Relationship Id="rId26" Type="http://schemas.openxmlformats.org/officeDocument/2006/relationships/image" Target="media/image21.jpeg"/><Relationship Id="rId231" Type="http://schemas.openxmlformats.org/officeDocument/2006/relationships/hyperlink" Target="https://ec.europa.eu/eurostat/statistics-explained/index.php?title=Glossary:Dwelling" TargetMode="External"/><Relationship Id="rId252" Type="http://schemas.openxmlformats.org/officeDocument/2006/relationships/image" Target="media/image103.jpeg"/><Relationship Id="rId273" Type="http://schemas.openxmlformats.org/officeDocument/2006/relationships/image" Target="media/image120.png"/><Relationship Id="rId294" Type="http://schemas.openxmlformats.org/officeDocument/2006/relationships/image" Target="media/image139.png"/><Relationship Id="rId47" Type="http://schemas.openxmlformats.org/officeDocument/2006/relationships/image" Target="media/image42.jpeg"/><Relationship Id="rId68" Type="http://schemas.openxmlformats.org/officeDocument/2006/relationships/hyperlink" Target="https://es.inflation.eu/tasas-de-inflacion/estados-unidos/inflacion-historica/ipc-inflacion-estados-unidos-2010.aspx" TargetMode="External"/><Relationship Id="rId89" Type="http://schemas.openxmlformats.org/officeDocument/2006/relationships/hyperlink" Target="https://es.inflation.eu/tasas-de-inflacion/estados-unidos/inflacion-historica/ipc-inflacion-estados-unidos-1969.aspx" TargetMode="External"/><Relationship Id="rId112" Type="http://schemas.openxmlformats.org/officeDocument/2006/relationships/hyperlink" Target="https://es.inflation.eu/tasas-de-inflacion/estados-unidos/inflacion-historica/ipc-inflacion-estados-unidos-1988.aspx" TargetMode="External"/><Relationship Id="rId133" Type="http://schemas.openxmlformats.org/officeDocument/2006/relationships/image" Target="media/image61.jpeg"/><Relationship Id="rId154" Type="http://schemas.openxmlformats.org/officeDocument/2006/relationships/image" Target="media/image74.png"/><Relationship Id="rId175" Type="http://schemas.openxmlformats.org/officeDocument/2006/relationships/hyperlink" Target="https://ec.europa.eu/eurostat/statistics-explained/index.php?title=File:Relative_median_income_ratio,_2018_SILC20.png" TargetMode="External"/><Relationship Id="rId196" Type="http://schemas.openxmlformats.org/officeDocument/2006/relationships/hyperlink" Target="https://ec.europa.eu/eurostat/statistics-explained/index.php?title=Glossary:Social_protection" TargetMode="External"/><Relationship Id="rId200" Type="http://schemas.openxmlformats.org/officeDocument/2006/relationships/hyperlink" Target="https://ec.europa.eu/eurostat/statistics-explained/index.php?title=Glossary:Long-term_unemployment" TargetMode="External"/><Relationship Id="rId16" Type="http://schemas.openxmlformats.org/officeDocument/2006/relationships/image" Target="media/image11.jpeg"/><Relationship Id="rId221" Type="http://schemas.openxmlformats.org/officeDocument/2006/relationships/hyperlink" Target="https://ec.europa.eu/eurostat/databrowser/view/ilc_li02/default/table?lang=en" TargetMode="External"/><Relationship Id="rId242" Type="http://schemas.openxmlformats.org/officeDocument/2006/relationships/image" Target="media/image95.png"/><Relationship Id="rId263" Type="http://schemas.openxmlformats.org/officeDocument/2006/relationships/image" Target="media/image110.jpeg"/><Relationship Id="rId284" Type="http://schemas.openxmlformats.org/officeDocument/2006/relationships/image" Target="media/image131.png"/><Relationship Id="rId37" Type="http://schemas.openxmlformats.org/officeDocument/2006/relationships/image" Target="media/image32.jpeg"/><Relationship Id="rId58" Type="http://schemas.openxmlformats.org/officeDocument/2006/relationships/hyperlink" Target="https://es.inflation.eu/tasas-de-inflacion/estados-unidos/inflacion-historica/ipc-inflacion-estados-unidos-2015.aspx" TargetMode="External"/><Relationship Id="rId79" Type="http://schemas.openxmlformats.org/officeDocument/2006/relationships/hyperlink" Target="https://es.inflation.eu/tasas-de-inflacion/estados-unidos/inflacion-historica/ipc-inflacion-estados-unidos-1974.aspx" TargetMode="External"/><Relationship Id="rId102" Type="http://schemas.openxmlformats.org/officeDocument/2006/relationships/hyperlink" Target="https://es.inflation.eu/tasas-de-inflacion/estados-unidos/inflacion-historica/ipc-inflacion-estados-unidos-1993.aspx" TargetMode="External"/><Relationship Id="rId123" Type="http://schemas.openxmlformats.org/officeDocument/2006/relationships/hyperlink" Target="https://www.dw.com/es/viviendas-en-alemania-escasez-y-precios-por-las-nubes/a-39778811" TargetMode="External"/><Relationship Id="rId144" Type="http://schemas.openxmlformats.org/officeDocument/2006/relationships/image" Target="media/image72.png"/><Relationship Id="rId90" Type="http://schemas.openxmlformats.org/officeDocument/2006/relationships/hyperlink" Target="https://es.inflation.eu/tasas-de-inflacion/estados-unidos/inflacion-historica/ipc-inflacion-estados-unidos-1999.aspx" TargetMode="External"/><Relationship Id="rId165" Type="http://schemas.openxmlformats.org/officeDocument/2006/relationships/hyperlink" Target="https://ec.europa.eu/eurostat/statistics-explained/index.php?title=Glossary:Social_transfers" TargetMode="External"/><Relationship Id="rId186" Type="http://schemas.openxmlformats.org/officeDocument/2006/relationships/hyperlink" Target="https://ec.europa.eu/eurostat/statistics-explained/index.php?title=Glossary:Employed_person" TargetMode="External"/><Relationship Id="rId211" Type="http://schemas.openxmlformats.org/officeDocument/2006/relationships/hyperlink" Target="https://ec.europa.eu/eurostat/databrowser/view/ilc_peps03/default/table?lang=en" TargetMode="External"/><Relationship Id="rId232" Type="http://schemas.openxmlformats.org/officeDocument/2006/relationships/image" Target="media/image92.png"/><Relationship Id="rId253" Type="http://schemas.openxmlformats.org/officeDocument/2006/relationships/hyperlink" Target="https://blog.oxfamintermon.org/los-10-derechos-del-nino/" TargetMode="External"/><Relationship Id="rId274" Type="http://schemas.openxmlformats.org/officeDocument/2006/relationships/image" Target="media/image121.png"/><Relationship Id="rId295" Type="http://schemas.openxmlformats.org/officeDocument/2006/relationships/image" Target="media/image140.png"/><Relationship Id="rId27" Type="http://schemas.openxmlformats.org/officeDocument/2006/relationships/image" Target="media/image22.jpeg"/><Relationship Id="rId48" Type="http://schemas.openxmlformats.org/officeDocument/2006/relationships/image" Target="media/image43.jpeg"/><Relationship Id="rId69" Type="http://schemas.openxmlformats.org/officeDocument/2006/relationships/hyperlink" Target="https://es.inflation.eu/tasas-de-inflacion/estados-unidos/inflacion-historica/ipc-inflacion-estados-unidos-1979.aspx" TargetMode="External"/><Relationship Id="rId113" Type="http://schemas.openxmlformats.org/officeDocument/2006/relationships/hyperlink" Target="https://es.inflation.eu/tasas-de-inflacion/estados-unidos/inflacion-historica/ipc-inflacion-estados-unidos-1957.aspx" TargetMode="External"/><Relationship Id="rId134" Type="http://schemas.openxmlformats.org/officeDocument/2006/relationships/image" Target="media/image62.jpeg"/><Relationship Id="rId80" Type="http://schemas.openxmlformats.org/officeDocument/2006/relationships/hyperlink" Target="https://es.inflation.eu/tasas-de-inflacion/estados-unidos/inflacion-historica/ipc-inflacion-estados-unidos-2004.aspx" TargetMode="External"/><Relationship Id="rId155" Type="http://schemas.openxmlformats.org/officeDocument/2006/relationships/hyperlink" Target="https://ec.europa.eu/eurostat/databrowser/view/ilc_li02/default/table?lang=en" TargetMode="External"/><Relationship Id="rId176" Type="http://schemas.openxmlformats.org/officeDocument/2006/relationships/image" Target="media/image80.png"/><Relationship Id="rId197" Type="http://schemas.openxmlformats.org/officeDocument/2006/relationships/hyperlink" Target="https://ec.europa.eu/eurostat/statistics-explained/index.php?title=Glossary:Social_transfers" TargetMode="External"/><Relationship Id="rId201" Type="http://schemas.openxmlformats.org/officeDocument/2006/relationships/hyperlink" Target="https://ec.europa.eu/eurostat/statistics-explained/index.php?title=Glossary:Persistent_at-risk-of-poverty_rate" TargetMode="External"/><Relationship Id="rId222" Type="http://schemas.openxmlformats.org/officeDocument/2006/relationships/hyperlink" Target="https://ec.europa.eu/eurostat/databrowser/view/ilc_lvhl11/default/table?lang=en" TargetMode="External"/><Relationship Id="rId243" Type="http://schemas.openxmlformats.org/officeDocument/2006/relationships/hyperlink" Target="https://ec.europa.eu/eurostat/databrowser/view/ilc_li23/default/table?lang=en" TargetMode="External"/><Relationship Id="rId264" Type="http://schemas.openxmlformats.org/officeDocument/2006/relationships/image" Target="media/image111.jpeg"/><Relationship Id="rId285" Type="http://schemas.openxmlformats.org/officeDocument/2006/relationships/hyperlink" Target="https://www.businessinsider.es/60-millones-personas-estan-riesgo-sufrir-pobreza-extrema-644057" TargetMode="External"/><Relationship Id="rId17" Type="http://schemas.openxmlformats.org/officeDocument/2006/relationships/image" Target="media/image12.jpeg"/><Relationship Id="rId38" Type="http://schemas.openxmlformats.org/officeDocument/2006/relationships/image" Target="media/image33.jpeg"/><Relationship Id="rId59" Type="http://schemas.openxmlformats.org/officeDocument/2006/relationships/hyperlink" Target="https://es.inflation.eu/tasas-de-inflacion/estados-unidos/inflacion-historica/ipc-inflacion-estados-unidos-1984.aspx" TargetMode="External"/><Relationship Id="rId103" Type="http://schemas.openxmlformats.org/officeDocument/2006/relationships/hyperlink" Target="https://es.inflation.eu/tasas-de-inflacion/estados-unidos/inflacion-historica/ipc-inflacion-estados-unidos-1962.aspx" TargetMode="External"/><Relationship Id="rId124" Type="http://schemas.openxmlformats.org/officeDocument/2006/relationships/hyperlink" Target="https://www.dw.com/es/un-20-por-ciento-de-los-alemanes-al-borde-de-la-pobreza/a-41302631" TargetMode="External"/><Relationship Id="rId70" Type="http://schemas.openxmlformats.org/officeDocument/2006/relationships/hyperlink" Target="https://es.inflation.eu/tasas-de-inflacion/estados-unidos/inflacion-historica/ipc-inflacion-estados-unidos-2009.aspx" TargetMode="External"/><Relationship Id="rId91" Type="http://schemas.openxmlformats.org/officeDocument/2006/relationships/hyperlink" Target="https://es.inflation.eu/tasas-de-inflacion/estados-unidos/inflacion-historica/ipc-inflacion-estados-unidos-1968.aspx" TargetMode="External"/><Relationship Id="rId145" Type="http://schemas.openxmlformats.org/officeDocument/2006/relationships/hyperlink" Target="https://ec.europa.eu/eurostat/statistics-explained/index.php?title=Glossary:At-risk-of-poverty_rate" TargetMode="External"/><Relationship Id="rId166" Type="http://schemas.openxmlformats.org/officeDocument/2006/relationships/hyperlink" Target="https://ec.europa.eu/eurostat/statistics-explained/index.php?title=File:At-risk-of-poverty_rate_before_and_after_social_transfers,_2018_(%25)_SILC20.png" TargetMode="External"/><Relationship Id="rId187" Type="http://schemas.openxmlformats.org/officeDocument/2006/relationships/hyperlink" Target="https://ec.europa.eu/eurostat/statistics-explained/index.php?title=Glossary:Unemployment" TargetMode="External"/><Relationship Id="rId1" Type="http://schemas.openxmlformats.org/officeDocument/2006/relationships/numbering" Target="numbering.xml"/><Relationship Id="rId212" Type="http://schemas.openxmlformats.org/officeDocument/2006/relationships/image" Target="media/image86.png"/><Relationship Id="rId233" Type="http://schemas.openxmlformats.org/officeDocument/2006/relationships/hyperlink" Target="https://ec.europa.eu/eurostat/databrowser/view/ilc_li02/default/table?lang=en" TargetMode="External"/><Relationship Id="rId254" Type="http://schemas.openxmlformats.org/officeDocument/2006/relationships/image" Target="media/image104.jpeg"/><Relationship Id="rId28" Type="http://schemas.openxmlformats.org/officeDocument/2006/relationships/image" Target="media/image23.jpeg"/><Relationship Id="rId49" Type="http://schemas.openxmlformats.org/officeDocument/2006/relationships/image" Target="media/image44.jpeg"/><Relationship Id="rId114" Type="http://schemas.openxmlformats.org/officeDocument/2006/relationships/hyperlink" Target="https://es.inflation.eu/tasas-de-inflacion/estados-unidos/inflacion-historica/ipc-inflacion-estados-unidos-1987.aspx" TargetMode="External"/><Relationship Id="rId275" Type="http://schemas.openxmlformats.org/officeDocument/2006/relationships/image" Target="media/image122.png"/><Relationship Id="rId296" Type="http://schemas.openxmlformats.org/officeDocument/2006/relationships/image" Target="media/image141.png"/><Relationship Id="rId300" Type="http://schemas.openxmlformats.org/officeDocument/2006/relationships/image" Target="media/image145.png"/><Relationship Id="rId60" Type="http://schemas.openxmlformats.org/officeDocument/2006/relationships/hyperlink" Target="https://es.inflation.eu/tasas-de-inflacion/estados-unidos/inflacion-historica/ipc-inflacion-estados-unidos-2014.aspx" TargetMode="External"/><Relationship Id="rId81" Type="http://schemas.openxmlformats.org/officeDocument/2006/relationships/hyperlink" Target="https://es.inflation.eu/tasas-de-inflacion/estados-unidos/inflacion-historica/ipc-inflacion-estados-unidos-1973.aspx" TargetMode="External"/><Relationship Id="rId135" Type="http://schemas.openxmlformats.org/officeDocument/2006/relationships/image" Target="media/image63.jpeg"/><Relationship Id="rId156" Type="http://schemas.openxmlformats.org/officeDocument/2006/relationships/hyperlink" Target="https://ec.europa.eu/eurostat/statistics-explained/index.php?title=Glossary:Unemployment" TargetMode="External"/><Relationship Id="rId177" Type="http://schemas.openxmlformats.org/officeDocument/2006/relationships/hyperlink" Target="https://ec.europa.eu/eurostat/databrowser/view/ilc_pnp2/default/table?lang=en" TargetMode="External"/><Relationship Id="rId198" Type="http://schemas.openxmlformats.org/officeDocument/2006/relationships/hyperlink" Target="https://ec.europa.eu/eurostat/statistics-explained/index.php?title=Glossary:Monetary_poverty" TargetMode="External"/><Relationship Id="rId202" Type="http://schemas.openxmlformats.org/officeDocument/2006/relationships/hyperlink" Target="https://ec.europa.eu/eurostat/statistics-explained/index.php?title=Glossary:At_risk_of_poverty_or_social_exclusion_(AROPE)" TargetMode="External"/><Relationship Id="rId223" Type="http://schemas.openxmlformats.org/officeDocument/2006/relationships/hyperlink" Target="https://ec.europa.eu/eurostat/databrowser/view/ilc_mddd11/default/table?lang=en" TargetMode="External"/><Relationship Id="rId244" Type="http://schemas.openxmlformats.org/officeDocument/2006/relationships/hyperlink" Target="https://www.imf.org/external/datamapper/NGDPDPC@WEO/OEMDC/ADVEC/WEOWORLD/" TargetMode="External"/><Relationship Id="rId18" Type="http://schemas.openxmlformats.org/officeDocument/2006/relationships/image" Target="media/image13.jpeg"/><Relationship Id="rId39" Type="http://schemas.openxmlformats.org/officeDocument/2006/relationships/image" Target="media/image34.jpeg"/><Relationship Id="rId265" Type="http://schemas.openxmlformats.org/officeDocument/2006/relationships/image" Target="media/image112.jpeg"/><Relationship Id="rId286" Type="http://schemas.openxmlformats.org/officeDocument/2006/relationships/image" Target="media/image132.jpeg"/><Relationship Id="rId50" Type="http://schemas.openxmlformats.org/officeDocument/2006/relationships/image" Target="media/image45.jpeg"/><Relationship Id="rId104" Type="http://schemas.openxmlformats.org/officeDocument/2006/relationships/hyperlink" Target="https://es.inflation.eu/tasas-de-inflacion/estados-unidos/inflacion-historica/ipc-inflacion-estados-unidos-1992.aspx" TargetMode="External"/><Relationship Id="rId125" Type="http://schemas.openxmlformats.org/officeDocument/2006/relationships/hyperlink" Target="https://www.dw.com/es/cottbus-una-ciudad-dividida/a-42437524" TargetMode="External"/><Relationship Id="rId146" Type="http://schemas.openxmlformats.org/officeDocument/2006/relationships/hyperlink" Target="https://ec.europa.eu/eurostat/statistics-explained/index.php?title=Glossary:EU_enlargements" TargetMode="External"/><Relationship Id="rId167" Type="http://schemas.openxmlformats.org/officeDocument/2006/relationships/image" Target="media/image78.png"/><Relationship Id="rId188" Type="http://schemas.openxmlformats.org/officeDocument/2006/relationships/hyperlink" Target="https://ec.europa.eu/eurostat/statistics-explained/index.php?title=Glossary:Inactive" TargetMode="External"/><Relationship Id="rId71" Type="http://schemas.openxmlformats.org/officeDocument/2006/relationships/hyperlink" Target="https://es.inflation.eu/tasas-de-inflacion/estados-unidos/inflacion-historica/ipc-inflacion-estados-unidos-1978.aspx" TargetMode="External"/><Relationship Id="rId92" Type="http://schemas.openxmlformats.org/officeDocument/2006/relationships/hyperlink" Target="https://es.inflation.eu/tasas-de-inflacion/estados-unidos/inflacion-historica/ipc-inflacion-estados-unidos-1998.aspx" TargetMode="External"/><Relationship Id="rId213" Type="http://schemas.openxmlformats.org/officeDocument/2006/relationships/hyperlink" Target="https://ec.europa.eu/eurostat/databrowser/view/ilc_peps03/default/table?lang=en" TargetMode="External"/><Relationship Id="rId234" Type="http://schemas.openxmlformats.org/officeDocument/2006/relationships/hyperlink" Target="https://ec.europa.eu/eurostat/databrowser/view/ilc_li48/default/table?lang=en" TargetMode="External"/><Relationship Id="rId2" Type="http://schemas.openxmlformats.org/officeDocument/2006/relationships/styles" Target="styles.xml"/><Relationship Id="rId29" Type="http://schemas.openxmlformats.org/officeDocument/2006/relationships/image" Target="media/image24.jpeg"/><Relationship Id="rId255" Type="http://schemas.openxmlformats.org/officeDocument/2006/relationships/image" Target="media/image105.jpeg"/><Relationship Id="rId276" Type="http://schemas.openxmlformats.org/officeDocument/2006/relationships/image" Target="media/image123.png"/><Relationship Id="rId297" Type="http://schemas.openxmlformats.org/officeDocument/2006/relationships/image" Target="media/image142.png"/><Relationship Id="rId40" Type="http://schemas.openxmlformats.org/officeDocument/2006/relationships/image" Target="media/image35.jpeg"/><Relationship Id="rId115" Type="http://schemas.openxmlformats.org/officeDocument/2006/relationships/hyperlink" Target="https://es.inflation.eu/tasas-de-inflacion/estados-unidos/inflacion-historica/ipc-inflacion-estados-unidos-1956.aspx" TargetMode="External"/><Relationship Id="rId136" Type="http://schemas.openxmlformats.org/officeDocument/2006/relationships/image" Target="media/image64.jpeg"/><Relationship Id="rId157" Type="http://schemas.openxmlformats.org/officeDocument/2006/relationships/image" Target="media/image75.png"/><Relationship Id="rId178" Type="http://schemas.openxmlformats.org/officeDocument/2006/relationships/hyperlink" Target="https://ec.europa.eu/eurostat/statistics-explained/index.php?title=Glossary:Relative_median_at-risk-of-poverty_gap" TargetMode="External"/><Relationship Id="rId301" Type="http://schemas.openxmlformats.org/officeDocument/2006/relationships/image" Target="media/image146.png"/><Relationship Id="rId61" Type="http://schemas.openxmlformats.org/officeDocument/2006/relationships/hyperlink" Target="https://es.inflation.eu/tasas-de-inflacion/estados-unidos/inflacion-historica/ipc-inflacion-estados-unidos-1983.aspx" TargetMode="External"/><Relationship Id="rId82" Type="http://schemas.openxmlformats.org/officeDocument/2006/relationships/hyperlink" Target="https://es.inflation.eu/tasas-de-inflacion/estados-unidos/inflacion-historica/ipc-inflacion-estados-unidos-2003.aspx" TargetMode="External"/><Relationship Id="rId199" Type="http://schemas.openxmlformats.org/officeDocument/2006/relationships/hyperlink" Target="https://ec.europa.eu/eurostat/statistics-explained/index.php?title=Glossary:Percentage_point" TargetMode="External"/><Relationship Id="rId203" Type="http://schemas.openxmlformats.org/officeDocument/2006/relationships/hyperlink" Target="https://ec.europa.eu/eurostat/statistics-explained/index.php?title=Glossary:Severe_material_deprivation_rate" TargetMode="External"/><Relationship Id="rId19" Type="http://schemas.openxmlformats.org/officeDocument/2006/relationships/image" Target="media/image14.jpeg"/><Relationship Id="rId224" Type="http://schemas.openxmlformats.org/officeDocument/2006/relationships/hyperlink" Target="https://ec.europa.eu/eurostat/statistics-explained/index.php?title=File:At-risk-of-poverty_rate_and_at-risk-of-poverty_threshold,_2019_LCIE20.png" TargetMode="External"/><Relationship Id="rId245" Type="http://schemas.openxmlformats.org/officeDocument/2006/relationships/image" Target="media/image96.png"/><Relationship Id="rId266" Type="http://schemas.openxmlformats.org/officeDocument/2006/relationships/image" Target="media/image113.png"/><Relationship Id="rId287" Type="http://schemas.openxmlformats.org/officeDocument/2006/relationships/hyperlink" Target="https://harris.uchicago.edu/files/monthly_poverty_rates_updated_thru_mar_2021.pdf" TargetMode="External"/><Relationship Id="rId30" Type="http://schemas.openxmlformats.org/officeDocument/2006/relationships/image" Target="media/image25.jpeg"/><Relationship Id="rId105" Type="http://schemas.openxmlformats.org/officeDocument/2006/relationships/hyperlink" Target="https://es.inflation.eu/tasas-de-inflacion/estados-unidos/inflacion-historica/ipc-inflacion-estados-unidos-1961.aspx" TargetMode="External"/><Relationship Id="rId126" Type="http://schemas.openxmlformats.org/officeDocument/2006/relationships/hyperlink" Target="https://www.dw.com/es/sondeo-la-afd-supera-por-primera-vez-al-spd-alem%C3%A1n/a-42649898" TargetMode="External"/><Relationship Id="rId147" Type="http://schemas.openxmlformats.org/officeDocument/2006/relationships/hyperlink" Target="https://ec.europa.eu/eurostat/statistics-explained/index.php?title=Glossary:Percentage_point" TargetMode="External"/><Relationship Id="rId168" Type="http://schemas.openxmlformats.org/officeDocument/2006/relationships/hyperlink" Target="https://ec.europa.eu/eurostat/databrowser/view/ilc_li02/default/table?lang=en" TargetMode="External"/><Relationship Id="rId51" Type="http://schemas.openxmlformats.org/officeDocument/2006/relationships/image" Target="media/image46.png"/><Relationship Id="rId72" Type="http://schemas.openxmlformats.org/officeDocument/2006/relationships/hyperlink" Target="https://es.inflation.eu/tasas-de-inflacion/estados-unidos/inflacion-historica/ipc-inflacion-estados-unidos-2008.aspx" TargetMode="External"/><Relationship Id="rId93" Type="http://schemas.openxmlformats.org/officeDocument/2006/relationships/hyperlink" Target="https://es.inflation.eu/tasas-de-inflacion/estados-unidos/inflacion-historica/ipc-inflacion-estados-unidos-1967.aspx" TargetMode="External"/><Relationship Id="rId189" Type="http://schemas.openxmlformats.org/officeDocument/2006/relationships/hyperlink" Target="https://ec.europa.eu/eurostat/statistics-explained/index.php?title=Glossary:Baltic_Member_States" TargetMode="External"/><Relationship Id="rId3" Type="http://schemas.microsoft.com/office/2007/relationships/stylesWithEffects" Target="stylesWithEffects.xml"/><Relationship Id="rId214" Type="http://schemas.openxmlformats.org/officeDocument/2006/relationships/hyperlink" Target="https://ec.europa.eu/eurostat/statistics-explained/index.php?title=Glossary:Degree_of_urbanisation" TargetMode="External"/><Relationship Id="rId235" Type="http://schemas.openxmlformats.org/officeDocument/2006/relationships/hyperlink" Target="https://ec.europa.eu/eurostat/statistics-explained/index.php?title=File:At-risk-of-poverty_rate_before_and_after_social_transfers,_2019_(%25)_LCIE20.png" TargetMode="External"/><Relationship Id="rId256" Type="http://schemas.openxmlformats.org/officeDocument/2006/relationships/hyperlink" Target="https://royalsocietypublishing.org/doi/10.1098/rspb.2015.0211" TargetMode="External"/><Relationship Id="rId277" Type="http://schemas.openxmlformats.org/officeDocument/2006/relationships/image" Target="media/image124.png"/><Relationship Id="rId298" Type="http://schemas.openxmlformats.org/officeDocument/2006/relationships/image" Target="media/image143.png"/><Relationship Id="rId116" Type="http://schemas.openxmlformats.org/officeDocument/2006/relationships/image" Target="media/image49.png"/><Relationship Id="rId137" Type="http://schemas.openxmlformats.org/officeDocument/2006/relationships/image" Target="media/image65.png"/><Relationship Id="rId158" Type="http://schemas.openxmlformats.org/officeDocument/2006/relationships/hyperlink" Target="https://ec.europa.eu/eurostat/databrowser/view/ilc_li04/default/table?lang=en" TargetMode="External"/><Relationship Id="rId302" Type="http://schemas.openxmlformats.org/officeDocument/2006/relationships/image" Target="media/image147.pn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hyperlink" Target="https://es.inflation.eu/tasas-de-inflacion/estados-unidos/inflacion-historica/ipc-inflacion-estados-unidos-2013.aspx" TargetMode="External"/><Relationship Id="rId83" Type="http://schemas.openxmlformats.org/officeDocument/2006/relationships/hyperlink" Target="https://es.inflation.eu/tasas-de-inflacion/estados-unidos/inflacion-historica/ipc-inflacion-estados-unidos-1972.aspx" TargetMode="External"/><Relationship Id="rId179" Type="http://schemas.openxmlformats.org/officeDocument/2006/relationships/hyperlink" Target="https://ec.europa.eu/eurostat/statistics-explained/index.php?title=File:Relative_median_at-risk-of-poverty_gap,_2018_(%25)_SILC20.png" TargetMode="External"/><Relationship Id="rId190" Type="http://schemas.openxmlformats.org/officeDocument/2006/relationships/hyperlink" Target="https://ec.europa.eu/eurostat/statistics-explained/index.php?title=Glossary:Rural_area" TargetMode="External"/><Relationship Id="rId204" Type="http://schemas.openxmlformats.org/officeDocument/2006/relationships/image" Target="media/image83.png"/><Relationship Id="rId225" Type="http://schemas.openxmlformats.org/officeDocument/2006/relationships/image" Target="media/image90.png"/><Relationship Id="rId246" Type="http://schemas.openxmlformats.org/officeDocument/2006/relationships/image" Target="media/image97.png"/><Relationship Id="rId267" Type="http://schemas.openxmlformats.org/officeDocument/2006/relationships/image" Target="media/image114.jpeg"/><Relationship Id="rId288" Type="http://schemas.openxmlformats.org/officeDocument/2006/relationships/image" Target="media/image133.png"/><Relationship Id="rId106" Type="http://schemas.openxmlformats.org/officeDocument/2006/relationships/hyperlink" Target="https://es.inflation.eu/tasas-de-inflacion/estados-unidos/inflacion-historica/ipc-inflacion-estados-unidos-1991.aspx" TargetMode="External"/><Relationship Id="rId127" Type="http://schemas.openxmlformats.org/officeDocument/2006/relationships/image" Target="media/image55.jpeg"/><Relationship Id="rId10" Type="http://schemas.openxmlformats.org/officeDocument/2006/relationships/image" Target="media/image5.jpeg"/><Relationship Id="rId31" Type="http://schemas.openxmlformats.org/officeDocument/2006/relationships/image" Target="media/image26.jpeg"/><Relationship Id="rId52" Type="http://schemas.openxmlformats.org/officeDocument/2006/relationships/image" Target="media/image47.png"/><Relationship Id="rId73" Type="http://schemas.openxmlformats.org/officeDocument/2006/relationships/hyperlink" Target="https://es.inflation.eu/tasas-de-inflacion/estados-unidos/inflacion-historica/ipc-inflacion-estados-unidos-1977.aspx" TargetMode="External"/><Relationship Id="rId94" Type="http://schemas.openxmlformats.org/officeDocument/2006/relationships/hyperlink" Target="https://es.inflation.eu/tasas-de-inflacion/estados-unidos/inflacion-historica/ipc-inflacion-estados-unidos-1997.aspx" TargetMode="External"/><Relationship Id="rId148" Type="http://schemas.openxmlformats.org/officeDocument/2006/relationships/hyperlink" Target="https://ec.europa.eu/eurostat/statistics-explained/index.php?title=File:At-risk-of-poverty_rate_and_threshold,_2018_SILC20.png" TargetMode="External"/><Relationship Id="rId169" Type="http://schemas.openxmlformats.org/officeDocument/2006/relationships/hyperlink" Target="https://ec.europa.eu/eurostat/databrowser/view/ilc_li10/default/table?lang=en" TargetMode="External"/><Relationship Id="rId4" Type="http://schemas.openxmlformats.org/officeDocument/2006/relationships/settings" Target="settings.xml"/><Relationship Id="rId180" Type="http://schemas.openxmlformats.org/officeDocument/2006/relationships/image" Target="media/image81.png"/><Relationship Id="rId215" Type="http://schemas.openxmlformats.org/officeDocument/2006/relationships/image" Target="media/image87.png"/><Relationship Id="rId236" Type="http://schemas.openxmlformats.org/officeDocument/2006/relationships/image" Target="media/image93.png"/><Relationship Id="rId257" Type="http://schemas.openxmlformats.org/officeDocument/2006/relationships/hyperlink" Target="https://www.bbc.com/travel/article/20200823-why-are-the-dutch-so-tall" TargetMode="External"/><Relationship Id="rId278" Type="http://schemas.openxmlformats.org/officeDocument/2006/relationships/image" Target="media/image125.png"/><Relationship Id="rId303" Type="http://schemas.openxmlformats.org/officeDocument/2006/relationships/fontTable" Target="fontTable.xml"/><Relationship Id="rId42" Type="http://schemas.openxmlformats.org/officeDocument/2006/relationships/image" Target="media/image37.jpeg"/><Relationship Id="rId84" Type="http://schemas.openxmlformats.org/officeDocument/2006/relationships/hyperlink" Target="https://es.inflation.eu/tasas-de-inflacion/estados-unidos/inflacion-historica/ipc-inflacion-estados-unidos-2002.aspx" TargetMode="External"/><Relationship Id="rId138" Type="http://schemas.openxmlformats.org/officeDocument/2006/relationships/image" Target="media/image66.jpeg"/><Relationship Id="rId191" Type="http://schemas.openxmlformats.org/officeDocument/2006/relationships/hyperlink" Target="https://ec.europa.eu/eurostat/statistics-explained/index.php?title=Glossary:Urban_area" TargetMode="External"/><Relationship Id="rId205" Type="http://schemas.openxmlformats.org/officeDocument/2006/relationships/hyperlink" Target="https://ec.europa.eu/eurostat/databrowser/view/ilc_peps01/default/table?lang=en" TargetMode="External"/><Relationship Id="rId247" Type="http://schemas.openxmlformats.org/officeDocument/2006/relationships/image" Target="media/image98.png"/><Relationship Id="rId107" Type="http://schemas.openxmlformats.org/officeDocument/2006/relationships/hyperlink" Target="https://es.inflation.eu/tasas-de-inflacion/estados-unidos/inflacion-historica/ipc-inflacion-estados-unidos-1960.aspx" TargetMode="External"/><Relationship Id="rId289" Type="http://schemas.openxmlformats.org/officeDocument/2006/relationships/image" Target="media/image134.png"/><Relationship Id="rId11" Type="http://schemas.openxmlformats.org/officeDocument/2006/relationships/image" Target="media/image6.jpeg"/><Relationship Id="rId53" Type="http://schemas.openxmlformats.org/officeDocument/2006/relationships/image" Target="media/image48.jpeg"/><Relationship Id="rId149" Type="http://schemas.openxmlformats.org/officeDocument/2006/relationships/image" Target="media/image73.png"/><Relationship Id="rId95" Type="http://schemas.openxmlformats.org/officeDocument/2006/relationships/hyperlink" Target="https://es.inflation.eu/tasas-de-inflacion/estados-unidos/inflacion-historica/ipc-inflacion-estados-unidos-1966.aspx" TargetMode="External"/><Relationship Id="rId160" Type="http://schemas.openxmlformats.org/officeDocument/2006/relationships/hyperlink" Target="https://ec.europa.eu/eurostat/databrowser/view/ilc_li03/default/table?lang=en" TargetMode="External"/><Relationship Id="rId216" Type="http://schemas.openxmlformats.org/officeDocument/2006/relationships/hyperlink" Target="https://ec.europa.eu/eurostat/databrowser/view/ilc_peps01/default/table?lang=en" TargetMode="External"/><Relationship Id="rId258" Type="http://schemas.openxmlformats.org/officeDocument/2006/relationships/hyperlink" Target="https://www.thelancet.com/journals/lancet/article/PIIS0140-6736(20)31859-6/fulltext" TargetMode="External"/><Relationship Id="rId22" Type="http://schemas.openxmlformats.org/officeDocument/2006/relationships/image" Target="media/image17.jpeg"/><Relationship Id="rId64" Type="http://schemas.openxmlformats.org/officeDocument/2006/relationships/hyperlink" Target="https://es.inflation.eu/tasas-de-inflacion/estados-unidos/inflacion-historica/ipc-inflacion-estados-unidos-2012.aspx" TargetMode="External"/><Relationship Id="rId118" Type="http://schemas.openxmlformats.org/officeDocument/2006/relationships/image" Target="media/image51.png"/><Relationship Id="rId171" Type="http://schemas.openxmlformats.org/officeDocument/2006/relationships/image" Target="media/image79.png"/><Relationship Id="rId227" Type="http://schemas.openxmlformats.org/officeDocument/2006/relationships/hyperlink" Target="https://ec.europa.eu/eurostat/databrowser/view/ilc_li01/default/table?lang=en" TargetMode="External"/><Relationship Id="rId269" Type="http://schemas.openxmlformats.org/officeDocument/2006/relationships/image" Target="media/image116.png"/><Relationship Id="rId33" Type="http://schemas.openxmlformats.org/officeDocument/2006/relationships/image" Target="media/image28.jpeg"/><Relationship Id="rId129" Type="http://schemas.openxmlformats.org/officeDocument/2006/relationships/image" Target="media/image57.jpeg"/><Relationship Id="rId280" Type="http://schemas.openxmlformats.org/officeDocument/2006/relationships/image" Target="media/image127.jpeg"/><Relationship Id="rId75" Type="http://schemas.openxmlformats.org/officeDocument/2006/relationships/hyperlink" Target="https://es.inflation.eu/tasas-de-inflacion/estados-unidos/inflacion-historica/ipc-inflacion-estados-unidos-1976.aspx" TargetMode="External"/><Relationship Id="rId140" Type="http://schemas.openxmlformats.org/officeDocument/2006/relationships/image" Target="media/image68.png"/><Relationship Id="rId182" Type="http://schemas.openxmlformats.org/officeDocument/2006/relationships/image" Target="media/image8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174</Pages>
  <Words>60810</Words>
  <Characters>334459</Characters>
  <Application>Microsoft Office Word</Application>
  <DocSecurity>0</DocSecurity>
  <Lines>2787</Lines>
  <Paragraphs>788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394481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2021-07-17T10:33:00Z</dcterms:created>
  <dcterms:modified xsi:type="dcterms:W3CDTF">2021-07-17T10:33:00Z</dcterms:modified>
</cp:coreProperties>
</file>